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F643A" w14:textId="5B21567E" w:rsidR="006054AA" w:rsidRDefault="003B3AC7" w:rsidP="003B3AC7">
      <w:pPr>
        <w:pStyle w:val="Pagedecouverture"/>
        <w:rPr>
          <w:noProof/>
        </w:rPr>
      </w:pPr>
      <w:bookmarkStart w:id="0" w:name="LW_BM_COVERPAGE"/>
      <w:r>
        <w:rPr>
          <w:noProof/>
        </w:rPr>
        <w:pict w14:anchorId="6282F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F13F4F59-9AA2-47B8-9F72-40830CC6F1D0" style="width:455.25pt;height:425.25pt">
            <v:imagedata r:id="rId11" o:title=""/>
          </v:shape>
        </w:pict>
      </w:r>
    </w:p>
    <w:bookmarkEnd w:id="0"/>
    <w:p w14:paraId="67CD86DA" w14:textId="77777777" w:rsidR="006054AA" w:rsidRDefault="006054AA">
      <w:pPr>
        <w:rPr>
          <w:noProof/>
        </w:rPr>
        <w:sectPr w:rsidR="006054AA" w:rsidSect="003B3AC7">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C6D21E8" w14:textId="1EED3DB8" w:rsidR="006054AA" w:rsidRDefault="001F7667">
      <w:pPr>
        <w:pStyle w:val="P68B1DB1-Heading11"/>
        <w:numPr>
          <w:ilvl w:val="0"/>
          <w:numId w:val="0"/>
        </w:numPr>
        <w:jc w:val="center"/>
        <w:rPr>
          <w:noProof/>
        </w:rPr>
      </w:pPr>
      <w:bookmarkStart w:id="1" w:name="_GoBack"/>
      <w:bookmarkEnd w:id="1"/>
      <w:r>
        <w:rPr>
          <w:noProof/>
        </w:rPr>
        <w:lastRenderedPageBreak/>
        <w:t>ПРИЛОЖЕНИЕ</w:t>
      </w:r>
    </w:p>
    <w:p w14:paraId="2E98B2C1" w14:textId="7CEA1D25" w:rsidR="006054AA" w:rsidRDefault="001F7667">
      <w:pPr>
        <w:pStyle w:val="Heading1"/>
        <w:rPr>
          <w:noProof/>
        </w:rPr>
      </w:pPr>
      <w:r>
        <w:rPr>
          <w:noProof/>
        </w:rPr>
        <w:t xml:space="preserve">Описание на реформите и инвестициите </w:t>
      </w:r>
    </w:p>
    <w:p w14:paraId="6E146819" w14:textId="77777777" w:rsidR="006054AA" w:rsidRDefault="001F7667">
      <w:pPr>
        <w:pStyle w:val="Heading2"/>
        <w:numPr>
          <w:ilvl w:val="0"/>
          <w:numId w:val="105"/>
        </w:numPr>
        <w:rPr>
          <w:noProof/>
        </w:rPr>
      </w:pPr>
      <w:r>
        <w:rPr>
          <w:noProof/>
        </w:rPr>
        <w:t>МИСИЯ 1, КОМПОНЕНТ 1:</w:t>
      </w:r>
    </w:p>
    <w:p w14:paraId="1FEA85CA" w14:textId="7F478567" w:rsidR="006054AA" w:rsidRDefault="001F7667">
      <w:pPr>
        <w:pStyle w:val="Descriptiontitle"/>
        <w:ind w:left="0"/>
        <w:rPr>
          <w:rFonts w:eastAsiaTheme="minorHAnsi"/>
          <w:noProof/>
        </w:rPr>
      </w:pPr>
      <w:r>
        <w:rPr>
          <w:b/>
          <w:noProof/>
        </w:rPr>
        <w:t>Ос 1 — Цифровизация на публичната администрация</w:t>
      </w:r>
      <w:r>
        <w:rPr>
          <w:noProof/>
        </w:rPr>
        <w:t>: Ос 1 от компонент M1C1 от италианския план за възстановяване и устойчивост съдържа мерки, които имат за цел да насърчат цифровизацията на италианската публична администрация, и включва седем инвестиции и три реформи. Инвестициите са насочени по-специално към: и) рационализиране и консолидиране на съществуващите цифрови инфраструктури на публичната администрация; II) насърчаване на внедряването на изчисленията в облак, iii) като се обръща специално внимание на хармонизирането и оперативната съвместимост на платформите и услугите за данни, прилагането на принципа на еднократност и достъпността на данните чрез каталог на приложно-програмни интерфейси (ППИ); IV) подобряване на наличността, ефикасността и достъпността на всички цифрови обществени услуги с цел повишаване на степента на приемане и на удовлетвореността на потребителите, v) укрепване на защитата на Италия срещу рисковете, свързани с киберпрестъпността, vi) насърчаване на цифровата трансформация на големите централни администрации; VII) преодоляване на цифровото разделение чрез укрепване на цифровите умения на гражданите. Реформите по тази ос са насочени по-специално към i) рационализиране и ускоряване на процеса на възлагане на обществени поръчки за решения в областта на информационните и комуникационните технологии (ИКТ) от страна на публичната администрация; II) подкрепа за цифровата трансформация на публичната администрация и iii) премахване на пречките пред приемането на облачни услуги от страна на публичните администрации и рационализиране на процесите на обмен на данни между публичните администрации.</w:t>
      </w:r>
    </w:p>
    <w:p w14:paraId="031B4FDB" w14:textId="77777777" w:rsidR="006054AA" w:rsidRDefault="001F7667">
      <w:pPr>
        <w:pStyle w:val="Descriptiontitle"/>
        <w:ind w:left="0"/>
        <w:rPr>
          <w:rFonts w:eastAsiaTheme="minorEastAsia"/>
          <w:noProof/>
        </w:rPr>
      </w:pPr>
      <w:r>
        <w:rPr>
          <w:noProof/>
        </w:rPr>
        <w:t>Инвестициите и реформите по този компонент допринасят за изпълнението на специфичните за всяка държава препоръки, отправени към Италия през 2020 г. и 2019 г., относно необходимостта от „подобряване на ефективността на публичната администрация, включително чрез инвестиране в уменията на служителите в публичния сектор, чрез ускоряване на цифровизацията и чрез повишаване на ефикасността и качеството на местните обществени услуги „(Специфични за всяка държава препоръки 3 и 2019), както и за „съсредоточаване на инвестициите върху екологичния и цифровия преход, по-специално върху [...] укрепената цифрова инфраструктура, за да се гарантира предоставянето на основни услуги“ (Специфични за всяка държава препоръки 3, 2020).</w:t>
      </w:r>
    </w:p>
    <w:p w14:paraId="49D3443F" w14:textId="77777777" w:rsidR="006054AA" w:rsidRDefault="001F7667">
      <w:pPr>
        <w:pStyle w:val="Descriptiontitle"/>
        <w:ind w:left="0"/>
        <w:rPr>
          <w:rFonts w:eastAsiaTheme="minorEastAsia"/>
          <w:noProof/>
        </w:rPr>
      </w:pPr>
      <w:r>
        <w:rPr>
          <w:b/>
          <w:noProof/>
        </w:rPr>
        <w:t>Ос 2 — Правосъдие</w:t>
      </w:r>
      <w:r>
        <w:rPr>
          <w:noProof/>
        </w:rPr>
        <w:t>: Функционирането на италианската правосъдна система остава далеч от това на другите държави членки по отношение на продължителността на производствата, както е посочено в последния доклад на Европейската комисия относно ефикасността на правосъдието (CEPEJ). Ос 2 на компонент M1C1 от плана за възстановяване и устойчивост съдържа мерки, които имат за цел да направят съдебната система по-ефективна чрез намаляване на продължителността на производствата и доближаване на Италия до медианата за ЕС. Този компонент е насочен към специфичните за всяка държава препоръки, отправени към Италия през 2020 г. и 2019 г., за намаляване на продължителността на гражданските дела и за подобряване на ефективността на борбата с корупцията (специфични за всяка държава препоръки 4, 2019 и 4, 2020). Освен това цифровизацията на правосъдната система е от значение и за цифровия преход.</w:t>
      </w:r>
    </w:p>
    <w:p w14:paraId="48EE0DDD" w14:textId="32EA48DC" w:rsidR="006054AA" w:rsidRDefault="001F7667">
      <w:pPr>
        <w:pStyle w:val="Descriptiontitle"/>
        <w:ind w:left="0"/>
        <w:rPr>
          <w:rFonts w:eastAsiaTheme="minorEastAsia"/>
          <w:noProof/>
        </w:rPr>
      </w:pPr>
      <w:r>
        <w:rPr>
          <w:b/>
          <w:noProof/>
        </w:rPr>
        <w:t>Ос 3 — Публична администрация</w:t>
      </w:r>
      <w:r>
        <w:rPr>
          <w:noProof/>
        </w:rPr>
        <w:t>: Ос 3 от компонент M1C1 от плана за възстановяване и устойчивост съдържа мерки, насочени към реформиране на италианската публична администрация и подобряване на административния капацитет. Италия се нарежда под средното за ЕС-27 както по отношение на ефективността на управлението, така и по отношение на доверието в управлението. Реформите в италианската публична администрация бяха засегнати от сериозен пропуск в изпълнението на реформите „отгоре-надолу „и от недостатъчното признаване и разпространение на ценни иновации „отдолу нагоре“. Административният капацитет е много нисък. Усилията за укрепване на капацитета за стратегическо планиране, механизмите за мониторинг и оценка и основаните на факти инструменти за създаване на политики следва да продължат. Основната цел на този компонент е да се подобри административният капацитет на италианските публични администрации на централно и местно равнище както по отношение на човешкия капитал (подбор, компетентност и кариерно развитие), така и по отношение на опростяването на административните процедури. В настоящия раздел е представена всеобхватната стратегия за структурните човешки ресурси — от процесите на подбор до професионалното развитие. Реформата включва и действия за опростяване на процедурите. Инвестициите в нови цифрови инструменти и засилени действия за учене през целия живот са включени в компонент 1 на мисия 1. Този компонент е насочен към специфичните за всяка държава препоръки, отправени към Италия през 2020 г. и 2019 г., относно подобряването на ефективността на публичната администрация (специфични за всяка държава препоръки 3, 2019 и 4).</w:t>
      </w:r>
    </w:p>
    <w:p w14:paraId="6F96B41E" w14:textId="77777777" w:rsidR="006054AA" w:rsidRDefault="001F7667">
      <w:pPr>
        <w:pStyle w:val="Descriptiontitle"/>
        <w:ind w:left="0"/>
        <w:rPr>
          <w:rFonts w:eastAsiaTheme="minorHAnsi"/>
          <w:noProof/>
        </w:rPr>
      </w:pPr>
      <w:r>
        <w:rPr>
          <w:b/>
          <w:noProof/>
        </w:rPr>
        <w:t>Ос 4 — Обществени поръчки и плащания от администрацията</w:t>
      </w:r>
      <w:r>
        <w:rPr>
          <w:noProof/>
        </w:rPr>
        <w:t>: Ос 4 на компонент M1C1 от плана за възстановяване и устойчивост съдържа мерки, насочени към реформиране на някои ключови аспекти на италианската законодателна рамка за обществените поръчки и намаляване на забавените плащания от страна на публичните администрации на централно, регионално и местно равнище, както и на регионалните здравни органи. Основната цел на реформата е да се опростят правилата за обществените поръчки, да се повиши правната сигурност за предприятията и да се ускори възлагането на обществени поръчки, като същевременно се запазят процедурните гаранции по отношение на прозрачността и равното третиране. Следователно тези реформи подкрепят навременната реализация на инфраструктурите и проектите, финансирани от плана.</w:t>
      </w:r>
    </w:p>
    <w:p w14:paraId="0388E521" w14:textId="77777777" w:rsidR="006054AA" w:rsidRDefault="001F7667">
      <w:pPr>
        <w:pStyle w:val="Descriptiontitle"/>
        <w:ind w:left="0"/>
        <w:rPr>
          <w:rFonts w:eastAsiaTheme="minorHAnsi"/>
          <w:noProof/>
        </w:rPr>
      </w:pPr>
      <w:r>
        <w:rPr>
          <w:b/>
          <w:noProof/>
        </w:rPr>
        <w:t>Ос 5 — структурни реформи във фискалната област (Данъчно облагане и публични разходи)</w:t>
      </w:r>
      <w:r>
        <w:rPr>
          <w:noProof/>
        </w:rPr>
        <w:t>: Ос 5 от компонент M1C1 за възстановяване и устойчивост включва няколко реформи, насочени към подпомагане на устойчивостта на публичните финанси на Италия (специфична за държавата препоръка 1, 2019 г.). По отношение на приходите реформите имат за цел подобряване на процеса на събиране на данъци, насърчаване на спазването на данъчното законодателство и борба с укриването на данъци, за да се намалят разходите на данъкоплатците за привеждане в съответствие и да се увеличат приходите за сектор „Държавно управление“, което ще допринесе за подобряване на устойчивостта на публичните финанси. По отношение на разходите реформите имат за цел да подобрят ефикасността на публичните разходи, както на централно равнище, чрез укрепване на съществуващата рамка за годишни прегледи на разходите, така и на поднационално равнище чрез завършване на реформата на фискалните отношения на различните равнища на управление.</w:t>
      </w:r>
    </w:p>
    <w:p w14:paraId="35CACAC7" w14:textId="77777777" w:rsidR="006054AA" w:rsidRDefault="001F7667">
      <w:pPr>
        <w:pStyle w:val="Heading3"/>
        <w:numPr>
          <w:ilvl w:val="0"/>
          <w:numId w:val="0"/>
        </w:numPr>
        <w:ind w:left="850" w:hanging="850"/>
        <w:rPr>
          <w:b/>
          <w:i w:val="0"/>
          <w:noProof/>
          <w:u w:val="single"/>
        </w:rPr>
      </w:pPr>
      <w:r>
        <w:rPr>
          <w:b/>
          <w:i w:val="0"/>
          <w:noProof/>
          <w:u w:val="single"/>
        </w:rPr>
        <w:t xml:space="preserve">А.1. </w:t>
      </w:r>
      <w:r>
        <w:rPr>
          <w:noProof/>
        </w:rPr>
        <w:tab/>
      </w:r>
      <w:r>
        <w:rPr>
          <w:b/>
          <w:i w:val="0"/>
          <w:noProof/>
          <w:u w:val="single"/>
        </w:rPr>
        <w:t>Описание на реформите и инвестициите за безвъзмездна финансова подкрепа</w:t>
      </w:r>
    </w:p>
    <w:p w14:paraId="3FD1F914" w14:textId="77777777" w:rsidR="006054AA" w:rsidRDefault="001F7667">
      <w:pPr>
        <w:pStyle w:val="Axistitle"/>
        <w:ind w:left="0"/>
        <w:rPr>
          <w:noProof/>
        </w:rPr>
      </w:pPr>
      <w:r>
        <w:rPr>
          <w:noProof/>
        </w:rPr>
        <w:t>Ос 1 — Цифровизация на публичната администрация</w:t>
      </w:r>
    </w:p>
    <w:p w14:paraId="754D445C" w14:textId="322A06E0" w:rsidR="006054AA" w:rsidRDefault="001F7667">
      <w:pPr>
        <w:pStyle w:val="P68B1DB1-Normal2"/>
        <w:spacing w:before="240" w:after="120"/>
        <w:jc w:val="both"/>
        <w:rPr>
          <w:rFonts w:eastAsiaTheme="minorHAnsi"/>
          <w:noProof/>
        </w:rPr>
      </w:pPr>
      <w:r>
        <w:rPr>
          <w:noProof/>
        </w:rPr>
        <w:t>Инвестиция 1.1 — Цифрова инфраструктура</w:t>
      </w:r>
    </w:p>
    <w:p w14:paraId="3044844B" w14:textId="77777777" w:rsidR="006054AA" w:rsidRDefault="001F7667">
      <w:pPr>
        <w:pStyle w:val="Descriptiontitle"/>
        <w:ind w:left="0"/>
        <w:rPr>
          <w:noProof/>
        </w:rPr>
      </w:pPr>
      <w:r>
        <w:rPr>
          <w:noProof/>
        </w:rPr>
        <w:t>Целта на тази инвестиция е да се гарантира, че системите, наборите от данни и приложенията на публичната администрация се хостват във високо надеждни центрове за данни с високи стандарти за качество по отношение на сигурността, ефективността, възможностите за разрастване, европейската оперативна съвместимост и енергийната ефективност. За тази цел инвестицията предвижда създаването на модерна, напълно излишна национална хибридна инфраструктура в облак (наречена „Polo Strategico Nazionale“, PSN), сертифициране на сигурни и подлежащи на разрастване публични облачни алтернативи и миграция на наборите от данни и приложенията на публичната администрация към облачна среда.</w:t>
      </w:r>
    </w:p>
    <w:p w14:paraId="4F940949" w14:textId="77777777" w:rsidR="006054AA" w:rsidRDefault="001F7667">
      <w:pPr>
        <w:pStyle w:val="Descriptiontitle"/>
        <w:ind w:left="0"/>
        <w:rPr>
          <w:noProof/>
        </w:rPr>
      </w:pPr>
      <w:r>
        <w:rPr>
          <w:noProof/>
        </w:rPr>
        <w:t>Очаква се инфраструктурата за PSN да се експлоатира от технологичен доставчик, избран чрез европейска тръжна процедура, и да бъде проектирана в съответствие със стандартите за оперативна съвместимост на данните, определени на европейско равнище в съответствие с инициативата Gaia-X, за да се даде възможност за свободен обмен на нелични данни между различните държави членки чрез свързване на техните национални модели „в облак“. Подобни изисквания се очаква да бъдат приети при предварителната квалификация на публичните доставчици на услуги за изчисления в облак.</w:t>
      </w:r>
    </w:p>
    <w:p w14:paraId="7D351FC4" w14:textId="77777777" w:rsidR="006054AA" w:rsidRDefault="001F7667">
      <w:pPr>
        <w:pStyle w:val="Descriptiontitle"/>
        <w:ind w:left="0"/>
        <w:rPr>
          <w:noProof/>
        </w:rPr>
      </w:pPr>
      <w:r>
        <w:rPr>
          <w:noProof/>
        </w:rPr>
        <w:t>Миграцията на наборите от данни и приложенията на публичната администрация към PSN или към сигурни сертифицирани публични доставчици на услуги в облак се очаква да зависи от изискванията за ефективност, възможност за разрастване и чувствителност на данните, определени от различните администрации, всяка от които се очаква да запази своята независимост при разработването на приложения и управлението на данните.</w:t>
      </w:r>
    </w:p>
    <w:p w14:paraId="7A1091C5" w14:textId="049DC2CA" w:rsidR="006054AA" w:rsidRDefault="001F7667">
      <w:pPr>
        <w:pStyle w:val="P68B1DB1-Normal2"/>
        <w:spacing w:before="240" w:after="120"/>
        <w:jc w:val="both"/>
        <w:rPr>
          <w:rFonts w:eastAsiaTheme="minorHAnsi"/>
          <w:noProof/>
        </w:rPr>
      </w:pPr>
      <w:r>
        <w:rPr>
          <w:noProof/>
        </w:rPr>
        <w:t>Инвестиция 1.3 — Данни и оперативна съвместимост</w:t>
      </w:r>
    </w:p>
    <w:p w14:paraId="68B51E3C" w14:textId="77777777" w:rsidR="006054AA" w:rsidRDefault="001F7667">
      <w:pPr>
        <w:pStyle w:val="Descriptiontitle"/>
        <w:ind w:left="0"/>
        <w:rPr>
          <w:noProof/>
        </w:rPr>
      </w:pPr>
      <w:r>
        <w:rPr>
          <w:noProof/>
        </w:rPr>
        <w:t>Целта на тази инвестиция е да се гарантира пълната оперативна съвместимост на основните набори от данни и услуги в централните и местните публични администрации.</w:t>
      </w:r>
    </w:p>
    <w:p w14:paraId="0755E4C1" w14:textId="299E9664" w:rsidR="006054AA" w:rsidRDefault="001F7667">
      <w:pPr>
        <w:pStyle w:val="Descriptiontitle"/>
        <w:ind w:left="0"/>
        <w:rPr>
          <w:noProof/>
        </w:rPr>
      </w:pPr>
      <w:r>
        <w:rPr>
          <w:noProof/>
        </w:rPr>
        <w:t>Мярката предвижда разработването на национална платформа за цифрови данни („Piattaforma Digitale Nazionale Dati“), която да гарантира оперативната съвместимост на наборите от данни чрез каталог на приложно-програмни интерфейси (ППИ), споделяни между централните и местните администрации (Investment 1.3.1). Когато бъде изградена, тази платформа гарантира оперативната съвместимост на наборите от данни чрез каталог на приложно-програмни интерфейси (ППИ), споделяни между централните и местните администрации. Платформата е в пълно съответствие с правото на ЕС.</w:t>
      </w:r>
    </w:p>
    <w:p w14:paraId="05356462" w14:textId="77777777" w:rsidR="006054AA" w:rsidRDefault="001F7667">
      <w:pPr>
        <w:pStyle w:val="Descriptiontitle"/>
        <w:ind w:left="0"/>
        <w:rPr>
          <w:noProof/>
        </w:rPr>
      </w:pPr>
      <w:r>
        <w:rPr>
          <w:noProof/>
        </w:rPr>
        <w:t>Освен това с мярката се създава „единен цифров портал „в съответствие с Регламент (ЕС) 2018/1724), който се управлява, за да се помогне на централните и публичните администрации да преструктурират приоритетните процедури и да се даде възможност за изпълнение на принципа на еднократност (инвестиция 1.3.2).</w:t>
      </w:r>
    </w:p>
    <w:p w14:paraId="6C58B3C7" w14:textId="2D20E9FA" w:rsidR="006054AA" w:rsidRDefault="001F7667">
      <w:pPr>
        <w:pStyle w:val="P68B1DB1-Normal2"/>
        <w:spacing w:before="240" w:after="120"/>
        <w:jc w:val="both"/>
        <w:rPr>
          <w:rFonts w:eastAsiaTheme="minorHAnsi"/>
          <w:noProof/>
        </w:rPr>
      </w:pPr>
      <w:r>
        <w:rPr>
          <w:noProof/>
        </w:rPr>
        <w:t>Инвестиция 1.5 — Киберсигурност</w:t>
      </w:r>
    </w:p>
    <w:p w14:paraId="21F5D1A1" w14:textId="77777777" w:rsidR="006054AA" w:rsidRDefault="001F7667">
      <w:pPr>
        <w:pStyle w:val="Descriptiontitle"/>
        <w:ind w:left="0"/>
        <w:rPr>
          <w:noProof/>
        </w:rPr>
      </w:pPr>
      <w:r>
        <w:rPr>
          <w:noProof/>
        </w:rPr>
        <w:t>Целта на тази инвестиция е да се засили защитата на Италия срещу рисковете, свързани с киберпрестъпността, по-специално чрез въвеждането на „Национален периметър за киберсигурност“ (PSNC) в съответствие с изискванията за сигурност, определени в Директива (ЕС) 2016/1148 относно сигурността на мрежите и информационните системи (Директивата за МИС), и чрез укрепване на националните способности за киберотбрана за техническа проверка и наблюдение на риска.</w:t>
      </w:r>
    </w:p>
    <w:p w14:paraId="6E77DC89" w14:textId="43FC343F" w:rsidR="006054AA" w:rsidRDefault="001F7667">
      <w:pPr>
        <w:pStyle w:val="Descriptiontitle"/>
        <w:ind w:left="0"/>
        <w:rPr>
          <w:noProof/>
        </w:rPr>
      </w:pPr>
      <w:r>
        <w:rPr>
          <w:noProof/>
        </w:rPr>
        <w:t>Мярката предвижда разработването на най-съвременна интегрирана система, която тясно свързва различни субекти в цялата страна и се свързва на международно равнище с партньори и надеждни доставчици на технологии. Тя се основава на четири стълба: I) укрепване на капацитета на първа линия по отношение на обществеността и дружествата/субектите за управление на предупреждения и действителни публично признати събития; II) изграждане/укрепване на капацитета на страната за инспектиране и одит на хардуера и софтуера, използвани от субекти с основни функции за удостоверяване на надеждност/предотвратяване на заплахи; III) подсилващи звена на правоприлагащите и киберзвената в рамките на полицейските сили, отговарящи за разследванията на престъпни дейности; IV) значително укрепване на киберактивите и човешките ресурси, отговарящи за националната сигурност и реагирането на киберзаплахи.</w:t>
      </w:r>
    </w:p>
    <w:p w14:paraId="075465D0" w14:textId="01216002" w:rsidR="006054AA" w:rsidRDefault="001F7667">
      <w:pPr>
        <w:pStyle w:val="P68B1DB1-Normal2"/>
        <w:spacing w:before="240" w:after="120"/>
        <w:jc w:val="both"/>
        <w:rPr>
          <w:rFonts w:eastAsiaTheme="minorHAnsi"/>
          <w:noProof/>
        </w:rPr>
      </w:pPr>
      <w:r>
        <w:rPr>
          <w:noProof/>
        </w:rPr>
        <w:t>Инвестиция 1.7 — Основни цифрови умения</w:t>
      </w:r>
    </w:p>
    <w:p w14:paraId="4BD2A1B9" w14:textId="2F35C0EF" w:rsidR="006054AA" w:rsidRDefault="001F7667">
      <w:pPr>
        <w:spacing w:before="120" w:after="120"/>
        <w:jc w:val="both"/>
        <w:rPr>
          <w:noProof/>
        </w:rPr>
      </w:pPr>
      <w:r>
        <w:rPr>
          <w:noProof/>
        </w:rPr>
        <w:t>Целта на тази инвестиция е да се намали делът на настоящото население, изложено на риск от цифрово изключване, чрез стартиране на инициативата „Цифрова публична служба „— мрежа от млади доброволци с различен произход в цяла Италия, за да се предоставят услуги за улесняване и образование на лицата, изложени на риск от цифрово изключване, за развитие и подобряване на цифровите умения (инвестиция 1.7.1) и чрез укрепване на съществуващата мрежа от „центрове за цифрово улесняване“ (инвестиция 1.7.2).</w:t>
      </w:r>
    </w:p>
    <w:p w14:paraId="6A9302C8" w14:textId="77777777" w:rsidR="006054AA" w:rsidRDefault="001F7667">
      <w:pPr>
        <w:spacing w:before="120" w:after="120"/>
        <w:jc w:val="both"/>
        <w:rPr>
          <w:noProof/>
        </w:rPr>
      </w:pPr>
      <w:r>
        <w:rPr>
          <w:noProof/>
        </w:rPr>
        <w:t>Центровете за цифрови улеснения са точки за физически достъп, които обикновено се намират в библиотеки, училища и социални центрове, които предоставят на гражданите както присъствено, така и онлайн обучение относно цифровите умения с цел ефективно подпомагане на тяхното цифрово приобщаване. Инициативата се основава на съществуващия успешен опит и има за цел да гарантира широко развитие на такива центрове на национално равнище. Въпреки че 600 центъра вече са активни, тяхното присъствие ще бъде допълнително засилено чрез специални дейности за обучение и ново оборудване, като основната цел е да се създадат 2,400 нови точки за достъп в цяла Италия и да се обучат над 2 000 000 граждани, изложени на риск от цифрово изключване. От 3 000 центъра около 1 200 ще бъдат концентрирани в южната част на Италия.</w:t>
      </w:r>
      <w:r>
        <w:rPr>
          <w:noProof/>
          <w:color w:val="2B579A"/>
          <w:shd w:val="clear" w:color="auto" w:fill="E6E6E6"/>
        </w:rPr>
        <w:t xml:space="preserve"> </w:t>
      </w:r>
    </w:p>
    <w:p w14:paraId="24DEA4ED" w14:textId="30AB5F7B" w:rsidR="006054AA" w:rsidRDefault="001F7667">
      <w:pPr>
        <w:spacing w:before="120" w:after="120"/>
        <w:jc w:val="both"/>
        <w:rPr>
          <w:noProof/>
        </w:rPr>
      </w:pPr>
      <w:r>
        <w:rPr>
          <w:noProof/>
        </w:rPr>
        <w:t>Инициативата „Цифрова публична служба“ е разделена на три години и постепенно има за цел постигането на следните резултати: и) провеждане на три годишни покани за представяне на предложения за проекти в областта на цифровите услуги, насочени към организации с нестопанска цел, регистрирани в националния регистър на организациите за универсална публична служба; II) изграждане на капацитет на организациите с нестопанска цел, участващи в годишната покана за представяне на предложения за цифрова публична служба, и стартиране на проекти за цифрово улесняване и цифрово образование; III) обучение и практически опит по проекти в областта на цифровите услуги на около 8 300 доброволци; предоставяне на 700 000 инициативи за цифрово улесняване и/или цифрово образование с участието на граждани, разработени по проекти за цифрови държавни служби, в които работят 8 300 доброволци.</w:t>
      </w:r>
    </w:p>
    <w:p w14:paraId="0C69CBA7" w14:textId="17EC030B" w:rsidR="006054AA" w:rsidRDefault="001F7667">
      <w:pPr>
        <w:pStyle w:val="P68B1DB1-Normal2"/>
        <w:spacing w:before="240" w:after="120"/>
        <w:jc w:val="both"/>
        <w:rPr>
          <w:rFonts w:eastAsiaTheme="minorHAnsi"/>
          <w:noProof/>
        </w:rPr>
      </w:pPr>
      <w:r>
        <w:rPr>
          <w:noProof/>
        </w:rPr>
        <w:t>Реформа 1.1 — Обществени поръчки в областта на ИКТ</w:t>
      </w:r>
    </w:p>
    <w:p w14:paraId="51B677F2" w14:textId="77777777" w:rsidR="006054AA" w:rsidRDefault="001F7667">
      <w:pPr>
        <w:spacing w:before="120" w:after="120"/>
        <w:jc w:val="both"/>
        <w:rPr>
          <w:noProof/>
        </w:rPr>
      </w:pPr>
      <w:r>
        <w:rPr>
          <w:noProof/>
        </w:rPr>
        <w:t>Целта на тази реформа е да се гарантира, че публичната администрация може да възлага обществени поръчки за решения в областта на информационните и комуникационните технологии (ИКТ) по по-навременен и по-ефективен начин чрез рационализиране и ускоряване на процеса на възлагане на обществени поръчки за ИКТ услуги и активи.</w:t>
      </w:r>
    </w:p>
    <w:p w14:paraId="6024542E" w14:textId="77777777" w:rsidR="006054AA" w:rsidRDefault="001F7667">
      <w:pPr>
        <w:spacing w:before="120" w:after="120"/>
        <w:jc w:val="both"/>
        <w:rPr>
          <w:noProof/>
        </w:rPr>
      </w:pPr>
      <w:r>
        <w:rPr>
          <w:noProof/>
        </w:rPr>
        <w:t>Изпълнението на реформата се състои от три направления на действие. Първо, създава се единна база данни, съдържаща бял списък на икономическите оператори, които имат разрешение да предоставят стоки и услуги на публичните администрации, и се въвежда специална технологична инфраструктура, която да позволява сертифицирането на доставчиците. Второ, следва да се приеме опростен подход („ускорена процедура“) за рационализиране на покупките на ИКТ за проекти за РНЖП. Трето, създава се цифрова услуга за възлагане на обществени поръчки с цел i) да се включат само сертифицирани доставчици (икономическите оператори могат да поискат по всяко време да бъдат сертифицирани в съответствие с член 64 от Директива 2014/24/ЕС); II) позволява бързо идентифициране на доставчиците, които отговарят на определена потребност (напр. чрез конфигуратор); III) осигуряване на интуитивен потребителски опит за администрациите (напр. ясно описание на предлаганите услуги, сравнителна оценка на доставчиците). Тази цялостна структура ще се основава на съществуващите възможности на CONSIP — италианския държавен орган за възлагане на обществени поръчки.</w:t>
      </w:r>
    </w:p>
    <w:p w14:paraId="6CBE5DAC" w14:textId="3FFE0534" w:rsidR="006054AA" w:rsidRDefault="001F7667">
      <w:pPr>
        <w:pStyle w:val="P68B1DB1-Normal2"/>
        <w:spacing w:before="240" w:after="120"/>
        <w:jc w:val="both"/>
        <w:rPr>
          <w:rFonts w:eastAsiaTheme="minorHAnsi"/>
          <w:noProof/>
        </w:rPr>
      </w:pPr>
      <w:r>
        <w:rPr>
          <w:noProof/>
        </w:rPr>
        <w:t>Реформа 1.2 — Подкрепа за трансформацията</w:t>
      </w:r>
    </w:p>
    <w:p w14:paraId="5E1C7E14" w14:textId="77777777" w:rsidR="006054AA" w:rsidRDefault="001F7667">
      <w:pPr>
        <w:spacing w:before="120" w:after="120"/>
        <w:jc w:val="both"/>
        <w:rPr>
          <w:noProof/>
        </w:rPr>
      </w:pPr>
      <w:r>
        <w:rPr>
          <w:noProof/>
        </w:rPr>
        <w:t>Целта на тази реформа е да се подкрепи цифровата трансформация на всички централни и местни публични администрации чрез създаването на специална „служба за цифрова трансформация на ПСП“. Службата за преобразуване се състои от временен, компетентен по отношение на технологиите ресурсен фонд, който организира и подпомага усилията за миграция и централизираното договаряне на „пакети“ от сертифицирана външна подкрепа. Освен това мярката предвижда създаването на дружество, съсредоточено върху управлението на операциите по разработване на софтуер, за да се подпомогне цифровото разрастване на централните администрации. Службата за преобразуване подкрепя по-специално публичната администрация при изпълнението на инвестиции 1.1—1.7, включени в този компонент, и също така подкрепя осъществяването на инвестиции и реформи в цифровизацията на здравеопазването, включени в мисия 6.</w:t>
      </w:r>
    </w:p>
    <w:p w14:paraId="061DA301" w14:textId="502788C8" w:rsidR="006054AA" w:rsidRDefault="001F7667">
      <w:pPr>
        <w:pStyle w:val="P68B1DB1-Normal2"/>
        <w:spacing w:before="240" w:after="120"/>
        <w:jc w:val="both"/>
        <w:rPr>
          <w:rFonts w:eastAsiaTheme="minorHAnsi"/>
          <w:noProof/>
        </w:rPr>
      </w:pPr>
      <w:r>
        <w:rPr>
          <w:noProof/>
        </w:rPr>
        <w:t>Реформа 1.3 — Първо „в облак“ и оперативна съвместимост</w:t>
      </w:r>
    </w:p>
    <w:p w14:paraId="3A0319C2" w14:textId="77777777" w:rsidR="006054AA" w:rsidRDefault="001F7667">
      <w:pPr>
        <w:spacing w:before="120" w:after="120"/>
        <w:jc w:val="both"/>
        <w:rPr>
          <w:noProof/>
        </w:rPr>
      </w:pPr>
      <w:r>
        <w:rPr>
          <w:noProof/>
        </w:rPr>
        <w:t>Целта на тази реформа е да се премахнат пречките пред възприемането на услугите в облак и да се рационализира бюрокрацията, която забавя процесите на обмен на данни между публичните администрации, като се въведе набор от стимули и задължения, насочени към улесняване на миграцията към изчисленията в облак и премахване на процедурните ограничения за широкото приемане на цифрови услуги.</w:t>
      </w:r>
    </w:p>
    <w:p w14:paraId="23FFEA64" w14:textId="77777777" w:rsidR="006054AA" w:rsidRDefault="001F7667">
      <w:pPr>
        <w:spacing w:before="120" w:after="120"/>
        <w:jc w:val="both"/>
        <w:rPr>
          <w:noProof/>
        </w:rPr>
      </w:pPr>
      <w:r>
        <w:rPr>
          <w:noProof/>
        </w:rPr>
        <w:t xml:space="preserve">Реформата включва три насоки на действие. Първо, тъй като решенията за изчисления в облак ще стимулират разходната ефективност на разходите в областта на информационните и комуникационните технологии (ИКТ), след предварително определен „гратисен период“ (например три години след започването на трансформацията) администрациите, които не са се придържали към тази трансформация, следва да виждат ограничение в своя бюджет за разходи за ИКТ. </w:t>
      </w:r>
    </w:p>
    <w:p w14:paraId="2BCFB9AC" w14:textId="77777777" w:rsidR="006054AA" w:rsidRDefault="001F7667">
      <w:pPr>
        <w:spacing w:before="120" w:after="120"/>
        <w:jc w:val="both"/>
        <w:rPr>
          <w:noProof/>
        </w:rPr>
      </w:pPr>
      <w:r>
        <w:rPr>
          <w:noProof/>
        </w:rPr>
        <w:t>Второ, като част от стимулите за преминаване към облачни услуги, настоящите правила за счетоводно отчитане на публичния сектор за разходите, свързани с услугите „в облак“, следва да бъдат преразгледани. Като се има предвид, че миграцията към облака понастоящем включва прехвърляне на бюджети от капиталови към оперативни разходи, правилата за публично счетоводство за разходите, свързани с услуги в облак, следва да бъдат преразгледани, за да не се демотивира миграцията на облачни услуги за публичните администрации.</w:t>
      </w:r>
    </w:p>
    <w:p w14:paraId="5B12CFED" w14:textId="77777777" w:rsidR="006054AA" w:rsidRDefault="001F7667">
      <w:pPr>
        <w:spacing w:before="120" w:after="120"/>
        <w:jc w:val="both"/>
        <w:rPr>
          <w:noProof/>
        </w:rPr>
      </w:pPr>
      <w:r>
        <w:rPr>
          <w:noProof/>
        </w:rPr>
        <w:t>Трето, нормите, свързани с правилата за оперативна съвместимост на данните, се преразглеждат в съответствие с разпоредбите относно отворените данни и обработването на лични данни, а текущите процедури за обмен на данни между публичните администрации се опростяват, за да се рационализират процедурните аспекти и да се ускори прилагането на оперативната съвместимост между базите данни на публичната администрация. Освен това цифровият адрес се преразглежда и интегрира в националния регистър на пребиваващите лица (ANPR), за да се даде възможност за определена и сигурна цифрова кореспонденция между гражданите и публичните администрации.</w:t>
      </w:r>
    </w:p>
    <w:p w14:paraId="7BBFAC22" w14:textId="77777777" w:rsidR="006054AA" w:rsidRDefault="001F7667">
      <w:pPr>
        <w:pStyle w:val="Axistitle"/>
        <w:ind w:left="0"/>
        <w:rPr>
          <w:noProof/>
        </w:rPr>
      </w:pPr>
      <w:r>
        <w:rPr>
          <w:noProof/>
        </w:rPr>
        <w:t>Ос 2 — Правосъдие</w:t>
      </w:r>
    </w:p>
    <w:p w14:paraId="033B89EB" w14:textId="77777777" w:rsidR="006054AA" w:rsidRDefault="001F7667">
      <w:pPr>
        <w:pStyle w:val="P68B1DB1-Normal2"/>
        <w:spacing w:before="240" w:after="120"/>
        <w:jc w:val="both"/>
        <w:rPr>
          <w:rFonts w:eastAsiaTheme="minorHAnsi"/>
          <w:noProof/>
        </w:rPr>
      </w:pPr>
      <w:r>
        <w:rPr>
          <w:noProof/>
        </w:rPr>
        <w:t>Реформа 1.4 — Гражданско правосъдие</w:t>
      </w:r>
    </w:p>
    <w:p w14:paraId="1E26AFB3" w14:textId="069D9F92" w:rsidR="006054AA" w:rsidRDefault="001F7667">
      <w:pPr>
        <w:spacing w:before="120" w:after="120"/>
        <w:jc w:val="both"/>
        <w:rPr>
          <w:noProof/>
        </w:rPr>
      </w:pPr>
      <w:r>
        <w:rPr>
          <w:noProof/>
        </w:rPr>
        <w:t>Целта на реформата е насочена главно към намаляване на продължителността на гражданските производства чрез определяне на широк спектър от искове за намаляване на броя на новозаведените дела в съдилищата, чрез опростяване на съществуващите процедури, намаляване на броя на висящите дела и увеличаване на производителността на съдилищата. Намаляването на броя на новозаведените дела в съдилищата се постига чрез засилване на медиацията, алтернативното разрешаване на спорове и арбитража и преразглеждане на настоящата система за количествено определяне и възстановяване на съдебните такси. Опростяването се цели чрез засилване на „процедурите за филтриране“ на равнище обжалване, разширяване на случаите, в които едноличен съдебен състав е компетентен да се произнася, като се гарантира действителното прилагане на задължителните срокове за процедурите. По-висока производителност на съдилищата се постига чрез система за наблюдение и стимули за постигане на стандартни резултати в съдилищата. Реформата има за цел също така да намали изоставането в гражданските съдилища чрез временно наемане на работа и целенасочени действия, включително схеми за стимулиране с цел намаляване на броя на висящите дела.</w:t>
      </w:r>
    </w:p>
    <w:p w14:paraId="4D2F29C4" w14:textId="77777777" w:rsidR="006054AA" w:rsidRDefault="001F7667">
      <w:pPr>
        <w:pStyle w:val="P68B1DB1-Normal2"/>
        <w:spacing w:before="240" w:after="120"/>
        <w:jc w:val="both"/>
        <w:rPr>
          <w:rFonts w:eastAsiaTheme="minorHAnsi"/>
          <w:noProof/>
        </w:rPr>
      </w:pPr>
      <w:r>
        <w:rPr>
          <w:noProof/>
        </w:rPr>
        <w:t>Реформа 1.5 — Наказателно правосъдие</w:t>
      </w:r>
    </w:p>
    <w:p w14:paraId="2562167A" w14:textId="77777777" w:rsidR="006054AA" w:rsidRDefault="001F7667">
      <w:pPr>
        <w:spacing w:before="120" w:after="120"/>
        <w:jc w:val="both"/>
        <w:rPr>
          <w:noProof/>
        </w:rPr>
      </w:pPr>
      <w:r>
        <w:rPr>
          <w:noProof/>
        </w:rPr>
        <w:t xml:space="preserve">Реформата е насочена главно към намаляване на продължителността на наказателните производства чрез идентифициране на широк спектър от действия чрез опростяване на съществуващите процедури и увеличаване на производителността на съдилищата. Целта на опростяването е да се разшири прилагането на опростени процедури, да се разшири използването на цифрови технологии, да се определят срокове за времетраенето на предварителното разследване, да се преразгледа системата за уведомяване, за да стане тя по-ефективна. По-висока производителност на съдилищата се постига чрез система за мониторинг и стимули за постигане на стандартни резултати в съдилищата. </w:t>
      </w:r>
    </w:p>
    <w:p w14:paraId="3F050ABB" w14:textId="1125F82D" w:rsidR="006054AA" w:rsidRDefault="001F7667">
      <w:pPr>
        <w:pStyle w:val="P68B1DB1-Normal2"/>
        <w:spacing w:before="240" w:after="120"/>
        <w:jc w:val="both"/>
        <w:rPr>
          <w:rFonts w:eastAsiaTheme="minorHAnsi"/>
          <w:noProof/>
        </w:rPr>
      </w:pPr>
      <w:r>
        <w:rPr>
          <w:noProof/>
        </w:rPr>
        <w:t>Реформа 1.6 — Неплатежоспособност</w:t>
      </w:r>
    </w:p>
    <w:p w14:paraId="3F797B8E" w14:textId="77777777" w:rsidR="006054AA" w:rsidRDefault="001F7667">
      <w:pPr>
        <w:spacing w:before="120" w:after="120"/>
        <w:jc w:val="both"/>
        <w:rPr>
          <w:noProof/>
        </w:rPr>
      </w:pPr>
      <w:r>
        <w:rPr>
          <w:noProof/>
        </w:rPr>
        <w:t xml:space="preserve">Целта на реформата е да се цифровизират и подобрят производствата по несъстоятелност, като се въведат механизми за ранно предупреждение преди изпадането в несъстоятелност, специализация на съдилищата и съдебните институции с цел по-ефективно управление на всички фази на производствата по несъстоятелност, включително чрез обучение и специализация за членовете на съдебните и административните органи. </w:t>
      </w:r>
    </w:p>
    <w:p w14:paraId="3285C556" w14:textId="77777777" w:rsidR="006054AA" w:rsidRDefault="001F7667">
      <w:pPr>
        <w:pStyle w:val="P68B1DB1-Normal2"/>
        <w:spacing w:before="240" w:after="120"/>
        <w:jc w:val="both"/>
        <w:rPr>
          <w:rFonts w:eastAsiaTheme="minorHAnsi"/>
          <w:noProof/>
        </w:rPr>
      </w:pPr>
      <w:r>
        <w:rPr>
          <w:noProof/>
        </w:rPr>
        <w:t>Реформа 1.7 — Данъчни съдилища</w:t>
      </w:r>
    </w:p>
    <w:p w14:paraId="50F04A69" w14:textId="77777777" w:rsidR="006054AA" w:rsidRDefault="001F7667">
      <w:pPr>
        <w:spacing w:before="120" w:after="120"/>
        <w:jc w:val="both"/>
        <w:rPr>
          <w:noProof/>
        </w:rPr>
      </w:pPr>
      <w:r>
        <w:rPr>
          <w:noProof/>
        </w:rPr>
        <w:t xml:space="preserve">Целта на реформата е да се повиши ефективността на прилагането на данъчното законодателство и да се намали големият брой жалби пред Касационния съд. </w:t>
      </w:r>
    </w:p>
    <w:p w14:paraId="2D6373A4" w14:textId="77777777" w:rsidR="006054AA" w:rsidRDefault="001F7667">
      <w:pPr>
        <w:pStyle w:val="P68B1DB1-Normal2"/>
        <w:spacing w:before="240" w:after="120"/>
        <w:jc w:val="both"/>
        <w:rPr>
          <w:rFonts w:eastAsiaTheme="minorHAnsi"/>
          <w:noProof/>
        </w:rPr>
      </w:pPr>
      <w:r>
        <w:rPr>
          <w:noProof/>
        </w:rPr>
        <w:t>Реформа 1.8 — Цифровизация на съдебната система</w:t>
      </w:r>
    </w:p>
    <w:p w14:paraId="5B5817B8" w14:textId="77777777" w:rsidR="006054AA" w:rsidRDefault="001F7667">
      <w:pPr>
        <w:spacing w:before="120" w:after="120"/>
        <w:jc w:val="both"/>
        <w:rPr>
          <w:noProof/>
        </w:rPr>
      </w:pPr>
      <w:r>
        <w:rPr>
          <w:noProof/>
        </w:rPr>
        <w:t xml:space="preserve">Реформата предвижда задължително електронно подаване на всички документи и пълен електронен работен процес за гражданските производства. То е насочено и към цифровизацията на първоинстанционните наказателни производства, с изключение на предварителните изслушвания. И накрая, тя има за цел да въведе безплатна, напълно достъпна и позволяваща търсене база данни за решения в областта на гражданското право в съответствие със законодателството. </w:t>
      </w:r>
    </w:p>
    <w:p w14:paraId="5D92D013" w14:textId="77777777" w:rsidR="006054AA" w:rsidRDefault="001F7667">
      <w:pPr>
        <w:pStyle w:val="P68B1DB1-Normal2"/>
        <w:spacing w:before="240" w:after="120"/>
        <w:jc w:val="both"/>
        <w:rPr>
          <w:rFonts w:eastAsiaTheme="minorHAnsi"/>
          <w:noProof/>
        </w:rPr>
      </w:pPr>
      <w:r>
        <w:rPr>
          <w:noProof/>
        </w:rPr>
        <w:t>Инвестиция 1.8 — Процедури за набиране на персонал в граждански, наказателни и административни съдилища</w:t>
      </w:r>
    </w:p>
    <w:p w14:paraId="644547C2" w14:textId="77777777" w:rsidR="006054AA" w:rsidRDefault="001F7667">
      <w:pPr>
        <w:spacing w:before="120" w:after="120"/>
        <w:jc w:val="both"/>
        <w:rPr>
          <w:noProof/>
        </w:rPr>
      </w:pPr>
      <w:r>
        <w:rPr>
          <w:noProof/>
        </w:rPr>
        <w:t xml:space="preserve">Инвестициите са насочени към предприемане на действия в краткосрочен план по организационни фактори, за да се даде възможност на реформите в процес на разработване да генерират резултати по-бързо, като се увеличат максимално полезните взаимодействия, като същевременно се постигне преобразуваща промяна чрез извънредните ресурси, предоставени в рамките на плана. </w:t>
      </w:r>
    </w:p>
    <w:p w14:paraId="50DEDC08" w14:textId="5DB75BCC" w:rsidR="006054AA" w:rsidRDefault="001F7667">
      <w:pPr>
        <w:spacing w:before="120" w:after="120"/>
        <w:jc w:val="both"/>
        <w:rPr>
          <w:noProof/>
        </w:rPr>
      </w:pPr>
      <w:r>
        <w:rPr>
          <w:noProof/>
        </w:rPr>
        <w:t>Организационният инструмент, наречен „</w:t>
      </w:r>
      <w:r>
        <w:rPr>
          <w:i/>
          <w:noProof/>
        </w:rPr>
        <w:t>служба на съдебния процес</w:t>
      </w:r>
      <w:r>
        <w:rPr>
          <w:noProof/>
        </w:rPr>
        <w:t xml:space="preserve">“, се състои от създаването (или, където вече съществува, укрепването) на екипи за подкрепа на магистратите (чрез временно наемане на работа) с цел намаляване на изоставането и необходимото време за разглеждане на висящите дела в Италия. </w:t>
      </w:r>
    </w:p>
    <w:p w14:paraId="13FF3220" w14:textId="665D8149" w:rsidR="006054AA" w:rsidRDefault="001F7667">
      <w:pPr>
        <w:spacing w:before="120" w:after="120"/>
        <w:jc w:val="both"/>
        <w:rPr>
          <w:noProof/>
        </w:rPr>
      </w:pPr>
      <w:r>
        <w:rPr>
          <w:noProof/>
        </w:rPr>
        <w:t xml:space="preserve">Тази мярка има за цел да подобри качеството на правосъдието чрез подпомагане на магистратите в обичайните дейности по обучение, правни изследвания, изготвяне на актове, организация на досиетата, като по този начин се даде възможност на съдиите да се съсредоточат върху по-сложните задачи. </w:t>
      </w:r>
    </w:p>
    <w:p w14:paraId="7FF02BA9" w14:textId="77777777" w:rsidR="006054AA" w:rsidRDefault="001F7667">
      <w:pPr>
        <w:spacing w:before="120" w:after="120"/>
        <w:jc w:val="both"/>
        <w:rPr>
          <w:noProof/>
        </w:rPr>
      </w:pPr>
      <w:r>
        <w:rPr>
          <w:noProof/>
        </w:rPr>
        <w:t>Организационният инструмент, наречен „</w:t>
      </w:r>
      <w:r>
        <w:rPr>
          <w:i/>
          <w:noProof/>
        </w:rPr>
        <w:t>служба на съдебния процес</w:t>
      </w:r>
      <w:r>
        <w:rPr>
          <w:noProof/>
        </w:rPr>
        <w:t xml:space="preserve">“, се състои от създаването (или, където вече съществува, укрепването) на екипи за подкрепа на магистратите (чрез временно наемане на работа) с цел намаляване на изоставането и необходимото време за разглеждане на висящите дела в Италия. </w:t>
      </w:r>
    </w:p>
    <w:p w14:paraId="10ABF0BB" w14:textId="5CF52343" w:rsidR="006054AA" w:rsidRDefault="001F7667">
      <w:pPr>
        <w:spacing w:before="120" w:after="120"/>
        <w:jc w:val="both"/>
        <w:rPr>
          <w:noProof/>
        </w:rPr>
      </w:pPr>
      <w:r>
        <w:rPr>
          <w:noProof/>
        </w:rPr>
        <w:t>Инвестициите включват също така наемане на технически и административен персонал в подкрепа на изпълнението на целите на ПВУ. Персоналът на службата по съдебния процес и техническият административен персонал подпомагат административните, гражданските, наказателните съдилища и териториалните и централните служби на Министерството на правосъдието, които отговарят за изпълнението на ПВУ. Договорите на звеното за персонал са със срок от 3 години, който може да бъде удължен до 30 юни 2026 г.</w:t>
      </w:r>
    </w:p>
    <w:p w14:paraId="2F3EF6E6" w14:textId="77777777" w:rsidR="006054AA" w:rsidRDefault="001F7667">
      <w:pPr>
        <w:spacing w:before="120" w:after="120"/>
        <w:jc w:val="both"/>
        <w:rPr>
          <w:noProof/>
        </w:rPr>
      </w:pPr>
      <w:r>
        <w:rPr>
          <w:noProof/>
        </w:rPr>
        <w:t xml:space="preserve">Инвестицията включва и обучение в подкрепа на цифровия преход в правосъдната система. </w:t>
      </w:r>
    </w:p>
    <w:p w14:paraId="1D929B8A" w14:textId="77777777" w:rsidR="006054AA" w:rsidRDefault="001F7667">
      <w:pPr>
        <w:pStyle w:val="Axistitle"/>
        <w:ind w:left="0"/>
        <w:rPr>
          <w:noProof/>
        </w:rPr>
      </w:pPr>
      <w:r>
        <w:rPr>
          <w:noProof/>
        </w:rPr>
        <w:t>Ос 3 — Публична администрация</w:t>
      </w:r>
    </w:p>
    <w:p w14:paraId="1C65C9A3" w14:textId="310A130D" w:rsidR="006054AA" w:rsidRDefault="001F7667">
      <w:pPr>
        <w:pStyle w:val="P68B1DB1-Normal2"/>
        <w:spacing w:before="240" w:after="120"/>
        <w:jc w:val="both"/>
        <w:rPr>
          <w:rFonts w:eastAsiaTheme="minorHAnsi"/>
          <w:noProof/>
        </w:rPr>
      </w:pPr>
      <w:r>
        <w:rPr>
          <w:noProof/>
        </w:rPr>
        <w:t>Реформа 1.9 — Реформа на заетостта в публичния сектор и реформа за опростяване</w:t>
      </w:r>
    </w:p>
    <w:p w14:paraId="07F53727" w14:textId="77777777" w:rsidR="006054AA" w:rsidRDefault="001F7667">
      <w:pPr>
        <w:keepNext/>
        <w:spacing w:before="120" w:after="120"/>
        <w:jc w:val="both"/>
        <w:rPr>
          <w:rFonts w:eastAsiaTheme="minorHAnsi"/>
          <w:noProof/>
        </w:rPr>
      </w:pPr>
      <w:r>
        <w:rPr>
          <w:noProof/>
        </w:rPr>
        <w:t>Реформите в областта на заетостта в публичния сектор следват двуетапен подход. В краткосрочен план се приемат спешни мерки за оптимално използване на финансирането по МВУ по отношение на управлението на плана и незабавната помощ за публичните администрации при липса на административен капацитет. Тази стратегия е съпътствана от организационни реформи и стратегия за човешките ресурси, насочени към трансформационна промяна за публичната администрация като цяло. В рамките на определянето на стратегическите планове в областта на човешките ресурси е определен всеобхватен набор от мерки с цел: актуализиране на длъжностните характеристики (също и с оглед на двойния преход); реформиране на процедурите за наемане на работа, за да бъдат по-целенасочени и ефективни; реформиране на висшите държавни служители с цел уеднаквяване на процедурите за назначаване в публичната администрация; укрепване на връзката между ученето през целия живот и механизмите за възнаграждаване или специфичните възможности за професионално развитие; определяне или актуализиране на етичните принципи на публичните администрации; засилване на ангажимента за баланс между половете; и реформа на хоризонталната и вертикалната мобилност на персонала. Реформата включва спешни мерки за опростяване на административните процедури в полза на предприятията и гражданите, като същевременно се гарантира гладкото изпълнение на ПВУ.</w:t>
      </w:r>
    </w:p>
    <w:p w14:paraId="65518AD6" w14:textId="77777777" w:rsidR="006054AA" w:rsidRDefault="001F7667">
      <w:pPr>
        <w:keepNext/>
        <w:spacing w:before="120" w:after="120"/>
        <w:jc w:val="both"/>
        <w:rPr>
          <w:noProof/>
        </w:rPr>
      </w:pPr>
      <w:r>
        <w:rPr>
          <w:noProof/>
        </w:rPr>
        <w:t xml:space="preserve">Реформата за опростяване премахва разрешенията, които не са оправдани от наложителни причини от общ интерес, заедно с премахването на ненужните задължения или на тези, които не използват нови технологии. Освен това тя прилага приемането на механизъм за мълчаливо съгласие, въвеждането на обикновена комуникация и приемането на единни режими, споделени с регионите и общините. </w:t>
      </w:r>
    </w:p>
    <w:p w14:paraId="64B01EC5" w14:textId="77777777" w:rsidR="006054AA" w:rsidRDefault="001F7667">
      <w:pPr>
        <w:spacing w:before="120" w:after="120"/>
        <w:jc w:val="both"/>
        <w:rPr>
          <w:noProof/>
        </w:rPr>
      </w:pPr>
      <w:r>
        <w:rPr>
          <w:noProof/>
        </w:rPr>
        <w:t>Реформата за опростяване включва следните елементи: оперативната съвместимост на процедурите в областта на бизнеса и строителството (SUAP ĊSUE); прилагането на общ набор от ориентирани към резултатите показатели за изпълнение; и определянето на набор от ключови показатели за ефективност (КПЕ) за насочване на организационните промени в администрациите. Първият доклад за КПЕ се публикува на всеки шест месеца след публикуването на последващи доклади.</w:t>
      </w:r>
    </w:p>
    <w:p w14:paraId="60C13F4D" w14:textId="32CC5A47" w:rsidR="006054AA" w:rsidRDefault="001F7667">
      <w:pPr>
        <w:spacing w:before="120" w:after="120"/>
        <w:jc w:val="both"/>
        <w:rPr>
          <w:noProof/>
        </w:rPr>
      </w:pPr>
      <w:r>
        <w:rPr>
          <w:noProof/>
        </w:rPr>
        <w:t xml:space="preserve">Към момента на подаване на първото искане за плащане трябва да е налице и да започне да функционира система от регистри за мониторинг на изпълнението на МВУ. </w:t>
      </w:r>
    </w:p>
    <w:p w14:paraId="6F2A2E33" w14:textId="6EED7E6E" w:rsidR="006054AA" w:rsidRDefault="001F7667">
      <w:pPr>
        <w:pStyle w:val="P68B1DB1-Normal2"/>
        <w:spacing w:before="120" w:after="120"/>
        <w:jc w:val="both"/>
        <w:rPr>
          <w:noProof/>
        </w:rPr>
      </w:pPr>
      <w:r>
        <w:rPr>
          <w:noProof/>
        </w:rPr>
        <w:t>Реформа 1.9.1 — Реформа за ускоряване на прилагането на политиката на сближаване</w:t>
      </w:r>
    </w:p>
    <w:p w14:paraId="403B5616" w14:textId="77777777" w:rsidR="006054AA" w:rsidRDefault="001F7667">
      <w:pPr>
        <w:spacing w:before="120" w:after="120"/>
        <w:jc w:val="both"/>
        <w:rPr>
          <w:noProof/>
        </w:rPr>
      </w:pPr>
      <w:r>
        <w:rPr>
          <w:noProof/>
        </w:rPr>
        <w:t>Реформата има за цел да ускори изпълнението и ефективността на политиката на сближаване в допълнение към НПВУ. Тя взема предвид стратегическия план на единната специална икономическа зона.</w:t>
      </w:r>
    </w:p>
    <w:p w14:paraId="3F6251B3" w14:textId="4C64DE00" w:rsidR="006054AA" w:rsidRDefault="001F7667">
      <w:pPr>
        <w:spacing w:before="120" w:after="120"/>
        <w:jc w:val="both"/>
        <w:rPr>
          <w:noProof/>
        </w:rPr>
      </w:pPr>
      <w:r>
        <w:rPr>
          <w:rStyle w:val="s10"/>
          <w:noProof/>
          <w:color w:val="000000" w:themeColor="text1"/>
        </w:rPr>
        <w:t xml:space="preserve">Националното законодателство изисква становището на Единната конференция преди преобразуването ѝ в закон, както е предвидено в Законодателен декрет № 281/1997. </w:t>
      </w:r>
    </w:p>
    <w:p w14:paraId="39E51359" w14:textId="77777777" w:rsidR="006054AA" w:rsidRDefault="001F7667">
      <w:pPr>
        <w:spacing w:before="120" w:after="120"/>
        <w:jc w:val="both"/>
        <w:rPr>
          <w:noProof/>
        </w:rPr>
      </w:pPr>
      <w:r>
        <w:rPr>
          <w:noProof/>
        </w:rPr>
        <w:t>В съответствие с член 9 от Регламент (ЕС) 2021/241 реформата може да получи подкрепа от други програми и инструменти на Съюза, при условие че тази подкрепа не покрива едни и същи разходи. МВУ не покрива никакви разходи за реформата.</w:t>
      </w:r>
    </w:p>
    <w:p w14:paraId="70A6502D" w14:textId="77777777" w:rsidR="006054AA" w:rsidRDefault="001F7667">
      <w:pPr>
        <w:pStyle w:val="P68B1DB1-Normal2"/>
        <w:spacing w:before="240" w:after="120"/>
        <w:jc w:val="both"/>
        <w:rPr>
          <w:rFonts w:eastAsiaTheme="minorHAnsi"/>
          <w:noProof/>
        </w:rPr>
      </w:pPr>
      <w:r>
        <w:rPr>
          <w:noProof/>
        </w:rPr>
        <w:t>Инвестиция 1.9 — Предоставяне на техническа помощ и укрепване на изграждането на капацитет за изпълнението на италианския план за възстановяване и устойчивост</w:t>
      </w:r>
    </w:p>
    <w:p w14:paraId="375EBB12" w14:textId="77777777" w:rsidR="006054AA" w:rsidRDefault="001F7667">
      <w:pPr>
        <w:spacing w:before="120" w:after="120"/>
        <w:jc w:val="both"/>
        <w:rPr>
          <w:noProof/>
        </w:rPr>
      </w:pPr>
      <w:r>
        <w:rPr>
          <w:noProof/>
        </w:rPr>
        <w:t xml:space="preserve">Инвестицията се състои във временното набиране на резерв от експерти за предоставяне на техническа помощ на администрациите и укрепване на административния капацитет, по-специално на местно равнище, за изпълнението на конкретни проекти по ПВУ, които да бъдат разгърнати при необходимост. Тези инвестиции включват и програмите за обучение на държавни служители в рамките на укрепването на изграждането на капацитет. </w:t>
      </w:r>
    </w:p>
    <w:p w14:paraId="483B6A98" w14:textId="77777777" w:rsidR="006054AA" w:rsidRDefault="001F7667">
      <w:pPr>
        <w:pStyle w:val="Axistitle"/>
        <w:ind w:left="0"/>
        <w:rPr>
          <w:noProof/>
        </w:rPr>
      </w:pPr>
      <w:r>
        <w:rPr>
          <w:noProof/>
        </w:rPr>
        <w:t>Ос 4 — Обществени поръчки и плащания от публични администрации</w:t>
      </w:r>
    </w:p>
    <w:p w14:paraId="2A7526E1" w14:textId="3404BC80" w:rsidR="006054AA" w:rsidRDefault="001F7667">
      <w:pPr>
        <w:pStyle w:val="P68B1DB1-Normal2"/>
        <w:spacing w:before="240" w:after="120"/>
        <w:jc w:val="both"/>
        <w:rPr>
          <w:rFonts w:eastAsiaTheme="minorHAnsi"/>
          <w:noProof/>
        </w:rPr>
      </w:pPr>
      <w:r>
        <w:rPr>
          <w:noProof/>
        </w:rPr>
        <w:t>Реформа 1.10 — Реформа на законодателната рамка за обществените поръчки</w:t>
      </w:r>
    </w:p>
    <w:p w14:paraId="6B616186" w14:textId="77777777" w:rsidR="006054AA" w:rsidRDefault="001F7667">
      <w:pPr>
        <w:spacing w:before="120" w:after="120"/>
        <w:jc w:val="both"/>
        <w:rPr>
          <w:noProof/>
        </w:rPr>
      </w:pPr>
      <w:r>
        <w:rPr>
          <w:noProof/>
        </w:rPr>
        <w:t>Първата стъпка от тази реформа се състои в приемането до май 2021 г. на първия набор от спешни мерки за опростяване със законодателен декрет с цел: опростяване и цифровизиране на процедурите на централните органи за покупки; регистриране на договорите в базата данни за борба с корупцията на националния орган за борба с корупцията (ANAC); създаване на специализирани служби, отговарящи за процедурите за възлагане на обществени поръчки в министерствата, регионите и метрополните градове; определяне на цел за намаляване на времето между публикуването и възлагането на поръчката и между възлагането на поръчката и завършването на инфраструктурата; и стимулиране на механизми за алтернативно разрешаване на спорове на етапа на изпълнение на договорите. Преди края на 2021 г. единният координационен орган за политиката в областта на обществените поръчки разполага с достатъчно персонал и приема стратегия за професионализация, предоставяща обучения на различни равнища; динамичните системи за покупки се предоставят в съответствие с директивите за обществените поръчки; и ANAC завършва упражняването на квалификацията на възлагащите органи.</w:t>
      </w:r>
    </w:p>
    <w:p w14:paraId="11E73F14" w14:textId="77777777" w:rsidR="006054AA" w:rsidRDefault="001F7667">
      <w:pPr>
        <w:spacing w:before="120" w:after="120"/>
        <w:jc w:val="both"/>
        <w:rPr>
          <w:noProof/>
        </w:rPr>
      </w:pPr>
      <w:r>
        <w:rPr>
          <w:noProof/>
        </w:rPr>
        <w:t>Втората стъпка от тази реформа се състои от набор от изменения на Кодекса за обществените поръчки, които трябва да бъдат въведени до второто тримесечие на 2023 г., с действия, насочени към: намаляване на разпокъсаността на възлагащите органи; изискване за създаване на електронна платформа като основно изискване за участие в националната оценка на капацитета за възлагане на обществени поръчки; и оправомощаване на националния орган за борба с корупцията да преразглежда квалификацията на възлагащите органи. Обхватът на реформата е също така допълнително да се опростят и цифровизират процедурите на централните органи за покупки и да се определят изисквания за оперативна съвместимост и взаимосвързаност. Реформата също така ще намали ограниченията на възможността за възлагане на подизпълнители, които понастоящем се съдържат в Кодекса за обществените поръчки.</w:t>
      </w:r>
    </w:p>
    <w:p w14:paraId="6F6B9D3B" w14:textId="3607E315" w:rsidR="006054AA" w:rsidRDefault="001F7667">
      <w:pPr>
        <w:spacing w:before="120" w:after="120"/>
        <w:jc w:val="both"/>
        <w:rPr>
          <w:noProof/>
        </w:rPr>
      </w:pPr>
      <w:r>
        <w:rPr>
          <w:noProof/>
        </w:rPr>
        <w:t>Тази реформа се състои и в привеждане в действие на националната система за електронни обществени поръчки до края на 2023 г. и въвеждане на целенасочени действия, включително чрез приемане на първично и/или вторично законодателство, за допълнително повишаване на квалификацията и професионализацията на възлагащите органи и увеличаване на конкуренцията (напр. изменение на приложимите правила за финансиране на проекти).</w:t>
      </w:r>
    </w:p>
    <w:p w14:paraId="0E7BDEC4" w14:textId="659F5EF7" w:rsidR="006054AA" w:rsidRDefault="001F7667">
      <w:pPr>
        <w:pStyle w:val="P68B1DB1-Normal2"/>
        <w:spacing w:before="240" w:after="120"/>
        <w:jc w:val="both"/>
        <w:rPr>
          <w:rFonts w:eastAsiaTheme="minorEastAsia"/>
          <w:noProof/>
        </w:rPr>
      </w:pPr>
      <w:r>
        <w:rPr>
          <w:noProof/>
        </w:rPr>
        <w:t>Реформа 1.11 — Намаляване на просрочените плащания от страна на публичните администрации и здравните органи</w:t>
      </w:r>
    </w:p>
    <w:p w14:paraId="2BD7ADC0" w14:textId="3AC24DEE" w:rsidR="006054AA" w:rsidRDefault="001F7667">
      <w:pPr>
        <w:spacing w:before="240" w:after="120"/>
        <w:jc w:val="both"/>
        <w:rPr>
          <w:rFonts w:eastAsiaTheme="minorEastAsia"/>
          <w:b/>
          <w:noProof/>
        </w:rPr>
      </w:pPr>
      <w:r>
        <w:rPr>
          <w:noProof/>
        </w:rPr>
        <w:t>Целта на реформата е да се намалят забавените плащания и да има нулеви закъснения в плащанията от публичната администрация към предприятията. Реформата включва, считано от 2024 г., приемането на структурен пакет с действия както на централно, така и на местно равнище, включително влизането в сила на законодателство.</w:t>
      </w:r>
    </w:p>
    <w:p w14:paraId="411DC245" w14:textId="2CD75636" w:rsidR="006054AA" w:rsidRDefault="001F7667">
      <w:pPr>
        <w:ind w:firstLine="11"/>
        <w:jc w:val="both"/>
        <w:rPr>
          <w:noProof/>
        </w:rPr>
      </w:pPr>
      <w:r>
        <w:rPr>
          <w:noProof/>
        </w:rPr>
        <w:t>Тази реформа се състои в това да се гарантира, че до 2025 г. i) публичните администрации на централно, регионално и местно равнище плащат в рамките на 30 дни и ii) регионалните здравни органи плащат в рамките на 60 дни. За да се гарантира, че проблемът със забавените плащания е решен структурно, тази реформа се състои и в това да се гарантира, че през 2026 г. i) публичните администрации на централно, регионално и местно равнище ще продължат да плащат в рамките на 30 дни и ii) регионалните здравни органи ще продължат да плащат в рамките на 60 дни.</w:t>
      </w:r>
    </w:p>
    <w:p w14:paraId="2DB2AC55" w14:textId="77777777" w:rsidR="006054AA" w:rsidRDefault="001F7667">
      <w:pPr>
        <w:pStyle w:val="Axistitle"/>
        <w:ind w:left="0"/>
        <w:rPr>
          <w:noProof/>
        </w:rPr>
      </w:pPr>
      <w:r>
        <w:rPr>
          <w:noProof/>
        </w:rPr>
        <w:t>Ос 5 — структурни реформи във фискалната област (Данъчно облагане и публични разходи)</w:t>
      </w:r>
    </w:p>
    <w:p w14:paraId="3A89F57F" w14:textId="77777777" w:rsidR="006054AA" w:rsidRDefault="001F7667">
      <w:pPr>
        <w:pStyle w:val="P68B1DB1-Normal2"/>
        <w:spacing w:before="240" w:after="120"/>
        <w:jc w:val="both"/>
        <w:rPr>
          <w:rFonts w:eastAsiaTheme="minorHAnsi"/>
          <w:noProof/>
        </w:rPr>
      </w:pPr>
      <w:r>
        <w:rPr>
          <w:noProof/>
        </w:rPr>
        <w:t>Реформа 1.12 — Реформа на данъчната администрация</w:t>
      </w:r>
    </w:p>
    <w:p w14:paraId="599BE0F4" w14:textId="0247CC81" w:rsidR="006054AA" w:rsidRDefault="001F7667">
      <w:pPr>
        <w:jc w:val="both"/>
        <w:rPr>
          <w:noProof/>
        </w:rPr>
      </w:pPr>
      <w:r>
        <w:rPr>
          <w:noProof/>
        </w:rPr>
        <w:t>Приемат се няколко мерки за насърчаване на спазването на данъчното законодателство и подобряване на ефективността на насочването на одитите и проверките, включително: и) създаването на базата данни и специалната ИТ инфраструктура за публикуване на предварително попълнена справка-декларация за ДДС; II) подобряване на качеството на базата данни, използвана за „писма за съответствие“, също и с оглед намаляване на случаите на фалшиви положителни резултати, постепенно увеличаване на броя на съобщенията, изпращани на данъкоплатците; III) реформа на действащото законодателство, за да се гарантират ефективни административни санкции в случай на отказ на частни доставчици да приемат електронни плащания; IV) приключване на процеса на псевдонимизация на данните и анализ на големи информационни масиви с оглед повишаване на ефективността на анализа на риска, който е в основата на процеса на подбор за одити. За да се осъществят тези реформи и да се укрепи оперативният капацитет на Агенцията за приходите, нейният персонал се увеличава с 4113 звена в съответствие с плана за ефективност на Агенцията за периода 2021—2023 г. Освен това правителството ще предприеме преглед на възможните действия за намаляване на укриването на данъци от пропуснати фактури в най-изложените на риск сектори, включително чрез целенасочени стимули за потребителите, и ще предприеме ефективни действия въз основа на констатациите от прегледа, с амбициозен ангажимент за намаляване на склонността към избягване на данъци.</w:t>
      </w:r>
    </w:p>
    <w:p w14:paraId="4C11C5FC" w14:textId="77777777" w:rsidR="006054AA" w:rsidRDefault="001F7667">
      <w:pPr>
        <w:pStyle w:val="P68B1DB1-Normal2"/>
        <w:spacing w:before="240" w:after="120"/>
        <w:jc w:val="both"/>
        <w:rPr>
          <w:rFonts w:eastAsiaTheme="minorHAnsi"/>
          <w:noProof/>
        </w:rPr>
      </w:pPr>
      <w:r>
        <w:rPr>
          <w:noProof/>
        </w:rPr>
        <w:t>Реформа 1.13 — Реформа на рамката за преглед на разходите</w:t>
      </w:r>
    </w:p>
    <w:p w14:paraId="60E52A1D" w14:textId="74FA0FAB" w:rsidR="006054AA" w:rsidRDefault="001F7667">
      <w:pPr>
        <w:jc w:val="both"/>
        <w:rPr>
          <w:noProof/>
        </w:rPr>
      </w:pPr>
      <w:r>
        <w:rPr>
          <w:noProof/>
        </w:rPr>
        <w:t>Планът включва реформа на рамката за преглед на разходите, насочена към подобряване на нейната ефективност, включително чрез засилване на ролята на Министерството на финансите и процеса на последваща оценка, както и подобряване на практиката на екологосъобразно бюджетиране и бюджетиране, съобразено с равенството между половете. Планът включва и ангажимент да се предприемат, въз основа на съществуващата правна рамка, годишни прегледи на разходите за периода 2023—2025 г. за постигане на фискални икономии с цел подкрепа на устойчиви публични финанси и/или за финансиране на стимулиращи растежа реформи на данъците или публичните разходи.</w:t>
      </w:r>
    </w:p>
    <w:p w14:paraId="528D8502" w14:textId="77777777" w:rsidR="006054AA" w:rsidRDefault="001F7667">
      <w:pPr>
        <w:pStyle w:val="P68B1DB1-Normal2"/>
        <w:spacing w:before="240" w:after="120"/>
        <w:jc w:val="both"/>
        <w:rPr>
          <w:rFonts w:eastAsiaTheme="minorEastAsia"/>
          <w:noProof/>
        </w:rPr>
      </w:pPr>
      <w:r>
        <w:rPr>
          <w:noProof/>
        </w:rPr>
        <w:t>Реформа 1.14 — Реформа на поднационалната фискална рамка</w:t>
      </w:r>
    </w:p>
    <w:p w14:paraId="1A347BD7" w14:textId="77777777" w:rsidR="006054AA" w:rsidRDefault="001F7667">
      <w:pPr>
        <w:jc w:val="both"/>
        <w:rPr>
          <w:noProof/>
        </w:rPr>
      </w:pPr>
      <w:r>
        <w:rPr>
          <w:noProof/>
        </w:rPr>
        <w:t>Реформата се състои в завършването на „фискалния федерализъм“, както е предвидено в Закон 42/2009 за делегирането, с цел да се подобри прозрачността на фискалните отношения на различните равнища на управление, да се разпределят ресурси на поднационалните органи на управление въз основа на обективни критерии и да се насърчи ефективността на разходите на поднационално равнище. По-специално реформата определя съответните параметри и прилага фискалния федерализъм за регионите с обичаен статут, провинциите и метрополните градове.</w:t>
      </w:r>
    </w:p>
    <w:p w14:paraId="6A7F9FF9" w14:textId="77777777" w:rsidR="006054AA" w:rsidRDefault="001F7667">
      <w:pPr>
        <w:pStyle w:val="P68B1DB1-Normal2"/>
        <w:spacing w:before="240" w:after="120"/>
        <w:jc w:val="both"/>
        <w:rPr>
          <w:rFonts w:eastAsiaTheme="minorHAnsi"/>
          <w:noProof/>
        </w:rPr>
      </w:pPr>
      <w:r>
        <w:rPr>
          <w:noProof/>
        </w:rPr>
        <w:t>Реформа 1.15 — Реформа на счетоводните правила за публичния сектор</w:t>
      </w:r>
    </w:p>
    <w:p w14:paraId="3D290E7D" w14:textId="77777777" w:rsidR="006054AA" w:rsidRDefault="001F7667">
      <w:pPr>
        <w:jc w:val="both"/>
        <w:rPr>
          <w:rFonts w:eastAsiaTheme="minorHAnsi"/>
          <w:noProof/>
        </w:rPr>
      </w:pPr>
      <w:r>
        <w:rPr>
          <w:noProof/>
        </w:rPr>
        <w:t>Целта на реформата е да се преодолее несъответствието с европейските счетоводни стандарти чрез въвеждане на единна система за счетоводна отчетност на базата на текущо начисляване за публичния сектор. Реформата води до завършването на концептуалната рамка като отправна точка за системата за счетоводна отчетност на базата на текущо начисляване в съответствие с качествените характеристики, определени от Евростат, набора от стандарти за счетоводна отчетност на базата на текущо начисляване и многоизмерния сметкоплан. Реформата се допълва от първия кръг на обучение за прехода към новата система за счетоводна отчетност на базата на текущо начисляване за представители на 18,000 публични субекта.</w:t>
      </w:r>
    </w:p>
    <w:p w14:paraId="6B1DB4FD" w14:textId="1DA37C5D" w:rsidR="006054AA" w:rsidRDefault="001F7667">
      <w:pPr>
        <w:pStyle w:val="P68B1DB1-Normal2"/>
        <w:spacing w:before="120" w:after="120"/>
        <w:jc w:val="both"/>
        <w:rPr>
          <w:rFonts w:eastAsiaTheme="minorEastAsia"/>
          <w:noProof/>
        </w:rPr>
      </w:pPr>
      <w:r>
        <w:rPr>
          <w:noProof/>
        </w:rPr>
        <w:t xml:space="preserve">Инвестиция 1.10 — Подкрепа за квалификация и електронни обществени поръчки </w:t>
      </w:r>
    </w:p>
    <w:p w14:paraId="6DB5371B" w14:textId="77777777" w:rsidR="006054AA" w:rsidRDefault="001F7667">
      <w:pPr>
        <w:spacing w:before="120" w:after="120"/>
        <w:jc w:val="both"/>
        <w:rPr>
          <w:noProof/>
        </w:rPr>
      </w:pPr>
      <w:r>
        <w:rPr>
          <w:noProof/>
        </w:rPr>
        <w:t>С тази инвестиция, в рамките на Стратегията за професионализация на публичните купувачи, се създава функция в подкрепа на обществените поръчки, предназначена за възлагащите органи с цел изпълнение на изискванията на приложение II.4 към Кодекса за обществените поръчки и подпомагането им в процеса на електронни обществени поръчки, като се подкрепя придобиването на цифрови умения и се предоставя техническа подкрепа при приемането на цифровизацията на обществените поръчки, включително използването на динамични системи за покупки.</w:t>
      </w:r>
    </w:p>
    <w:p w14:paraId="5C1007E9" w14:textId="77777777" w:rsidR="006054AA" w:rsidRDefault="006054AA">
      <w:pPr>
        <w:spacing w:before="120" w:after="120"/>
        <w:jc w:val="both"/>
        <w:rPr>
          <w:rFonts w:eastAsiaTheme="minorHAnsi"/>
          <w:noProof/>
        </w:rPr>
        <w:sectPr w:rsidR="006054AA" w:rsidSect="00347549">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6E0C4E48" w14:textId="77777777" w:rsidR="006054AA" w:rsidRDefault="001F7667">
      <w:pPr>
        <w:pStyle w:val="Heading3"/>
        <w:numPr>
          <w:ilvl w:val="0"/>
          <w:numId w:val="0"/>
        </w:numPr>
        <w:ind w:left="850" w:hanging="850"/>
        <w:rPr>
          <w:b/>
          <w:i w:val="0"/>
          <w:noProof/>
          <w:u w:val="single"/>
        </w:rPr>
      </w:pPr>
      <w:r>
        <w:rPr>
          <w:b/>
          <w:i w:val="0"/>
          <w:noProof/>
          <w:u w:val="single"/>
        </w:rPr>
        <w:t xml:space="preserve">А.2.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tbl>
      <w:tblPr>
        <w:tblW w:w="15361"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276"/>
        <w:gridCol w:w="850"/>
        <w:gridCol w:w="709"/>
        <w:gridCol w:w="2835"/>
      </w:tblGrid>
      <w:tr w:rsidR="006054AA" w14:paraId="4246D432" w14:textId="77777777">
        <w:trPr>
          <w:trHeight w:val="765"/>
          <w:tblHeader/>
        </w:trPr>
        <w:tc>
          <w:tcPr>
            <w:tcW w:w="1253" w:type="dxa"/>
            <w:vMerge w:val="restart"/>
            <w:shd w:val="clear" w:color="auto" w:fill="BDD7EE"/>
            <w:vAlign w:val="center"/>
            <w:hideMark/>
          </w:tcPr>
          <w:p w14:paraId="69241BC9" w14:textId="77777777" w:rsidR="006054AA" w:rsidRDefault="001F7667">
            <w:pPr>
              <w:pStyle w:val="P68B1DB1-Normal3"/>
              <w:jc w:val="center"/>
              <w:rPr>
                <w:noProof/>
              </w:rPr>
            </w:pPr>
            <w:r>
              <w:rPr>
                <w:noProof/>
              </w:rPr>
              <w:t>Пореден номер</w:t>
            </w:r>
          </w:p>
        </w:tc>
        <w:tc>
          <w:tcPr>
            <w:tcW w:w="1568" w:type="dxa"/>
            <w:vMerge w:val="restart"/>
            <w:shd w:val="clear" w:color="auto" w:fill="BDD7EE"/>
            <w:vAlign w:val="center"/>
            <w:hideMark/>
          </w:tcPr>
          <w:p w14:paraId="294AE322" w14:textId="77777777" w:rsidR="006054AA" w:rsidRDefault="001F7667">
            <w:pPr>
              <w:pStyle w:val="P68B1DB1-Normal3"/>
              <w:jc w:val="center"/>
              <w:rPr>
                <w:noProof/>
              </w:rPr>
            </w:pPr>
            <w:r>
              <w:rPr>
                <w:noProof/>
              </w:rPr>
              <w:t>Свързана мярка (реформа или инвестиции)</w:t>
            </w:r>
          </w:p>
        </w:tc>
        <w:tc>
          <w:tcPr>
            <w:tcW w:w="1148" w:type="dxa"/>
            <w:vMerge w:val="restart"/>
            <w:shd w:val="clear" w:color="auto" w:fill="BDD7EE"/>
            <w:vAlign w:val="center"/>
            <w:hideMark/>
          </w:tcPr>
          <w:p w14:paraId="38F86585" w14:textId="77777777" w:rsidR="006054AA" w:rsidRDefault="001F7667">
            <w:pPr>
              <w:pStyle w:val="P68B1DB1-Normal3"/>
              <w:jc w:val="center"/>
              <w:rPr>
                <w:noProof/>
              </w:rPr>
            </w:pPr>
            <w:r>
              <w:rPr>
                <w:noProof/>
              </w:rPr>
              <w:t>Ключов етап</w:t>
            </w:r>
          </w:p>
          <w:p w14:paraId="2C5B74D0" w14:textId="77777777" w:rsidR="006054AA" w:rsidRDefault="001F7667">
            <w:pPr>
              <w:pStyle w:val="P68B1DB1-Normal3"/>
              <w:jc w:val="center"/>
              <w:rPr>
                <w:noProof/>
              </w:rPr>
            </w:pPr>
            <w:r>
              <w:rPr>
                <w:noProof/>
              </w:rPr>
              <w:t>/Цел</w:t>
            </w:r>
          </w:p>
        </w:tc>
        <w:tc>
          <w:tcPr>
            <w:tcW w:w="1470" w:type="dxa"/>
            <w:vMerge w:val="restart"/>
            <w:shd w:val="clear" w:color="auto" w:fill="BDD7EE"/>
            <w:vAlign w:val="center"/>
            <w:hideMark/>
          </w:tcPr>
          <w:p w14:paraId="4B9D0CB4" w14:textId="77777777" w:rsidR="006054AA" w:rsidRDefault="001F7667">
            <w:pPr>
              <w:pStyle w:val="P68B1DB1-Normal3"/>
              <w:jc w:val="center"/>
              <w:rPr>
                <w:noProof/>
              </w:rPr>
            </w:pPr>
            <w:r>
              <w:rPr>
                <w:noProof/>
              </w:rPr>
              <w:t>Име</w:t>
            </w:r>
          </w:p>
        </w:tc>
        <w:tc>
          <w:tcPr>
            <w:tcW w:w="1701" w:type="dxa"/>
            <w:vMerge w:val="restart"/>
            <w:shd w:val="clear" w:color="auto" w:fill="BDD7EE"/>
            <w:vAlign w:val="center"/>
            <w:hideMark/>
          </w:tcPr>
          <w:p w14:paraId="62FD379F" w14:textId="0B0A057D" w:rsidR="006054AA" w:rsidRDefault="001F7667">
            <w:pPr>
              <w:pStyle w:val="P68B1DB1-Normal4"/>
              <w:jc w:val="center"/>
              <w:rPr>
                <w:b/>
                <w:noProof/>
              </w:rPr>
            </w:pPr>
            <w:r>
              <w:rPr>
                <w:b/>
                <w:noProof/>
              </w:rPr>
              <w:t>Качествени индикатори</w:t>
            </w:r>
            <w:r>
              <w:rPr>
                <w:noProof/>
              </w:rPr>
              <w:t xml:space="preserve"> </w:t>
            </w:r>
            <w:r>
              <w:rPr>
                <w:noProof/>
              </w:rPr>
              <w:br/>
            </w:r>
            <w:r>
              <w:rPr>
                <w:b/>
                <w:noProof/>
              </w:rPr>
              <w:t>(за ключовите етапи)</w:t>
            </w:r>
          </w:p>
        </w:tc>
        <w:tc>
          <w:tcPr>
            <w:tcW w:w="3827" w:type="dxa"/>
            <w:gridSpan w:val="3"/>
            <w:shd w:val="clear" w:color="auto" w:fill="BDD7EE"/>
            <w:vAlign w:val="center"/>
            <w:hideMark/>
          </w:tcPr>
          <w:p w14:paraId="274BAD9F" w14:textId="1A814F53" w:rsidR="006054AA" w:rsidRDefault="001F7667">
            <w:pPr>
              <w:pStyle w:val="P68B1DB1-Normal4"/>
              <w:jc w:val="center"/>
              <w:rPr>
                <w:b/>
                <w:noProof/>
              </w:rPr>
            </w:pPr>
            <w:r>
              <w:rPr>
                <w:b/>
                <w:noProof/>
              </w:rPr>
              <w:t>Количествени индикатори</w:t>
            </w:r>
            <w:r>
              <w:rPr>
                <w:noProof/>
              </w:rPr>
              <w:t xml:space="preserve"> </w:t>
            </w:r>
            <w:r>
              <w:rPr>
                <w:noProof/>
              </w:rPr>
              <w:br/>
            </w:r>
            <w:r>
              <w:rPr>
                <w:b/>
                <w:noProof/>
              </w:rPr>
              <w:t>(за целите)</w:t>
            </w:r>
          </w:p>
        </w:tc>
        <w:tc>
          <w:tcPr>
            <w:tcW w:w="1559" w:type="dxa"/>
            <w:gridSpan w:val="2"/>
            <w:shd w:val="clear" w:color="auto" w:fill="BDD7EE"/>
            <w:vAlign w:val="center"/>
            <w:hideMark/>
          </w:tcPr>
          <w:p w14:paraId="1D5084F4" w14:textId="77777777" w:rsidR="006054AA" w:rsidRDefault="001F7667">
            <w:pPr>
              <w:pStyle w:val="P68B1DB1-Normal3"/>
              <w:jc w:val="center"/>
              <w:rPr>
                <w:noProof/>
              </w:rPr>
            </w:pPr>
            <w:r>
              <w:rPr>
                <w:noProof/>
              </w:rPr>
              <w:t>Примерен график за приключване</w:t>
            </w:r>
          </w:p>
        </w:tc>
        <w:tc>
          <w:tcPr>
            <w:tcW w:w="2835" w:type="dxa"/>
            <w:vMerge w:val="restart"/>
            <w:shd w:val="clear" w:color="auto" w:fill="BDD7EE"/>
            <w:vAlign w:val="center"/>
            <w:hideMark/>
          </w:tcPr>
          <w:p w14:paraId="35095677" w14:textId="77777777" w:rsidR="006054AA" w:rsidRDefault="001F7667">
            <w:pPr>
              <w:pStyle w:val="P68B1DB1-Normal3"/>
              <w:jc w:val="center"/>
              <w:rPr>
                <w:noProof/>
              </w:rPr>
            </w:pPr>
            <w:r>
              <w:rPr>
                <w:noProof/>
              </w:rPr>
              <w:t>Описание на всеки ключов етап и цел</w:t>
            </w:r>
          </w:p>
        </w:tc>
      </w:tr>
      <w:tr w:rsidR="006054AA" w14:paraId="07B44A1C" w14:textId="77777777">
        <w:trPr>
          <w:trHeight w:val="691"/>
          <w:tblHeader/>
        </w:trPr>
        <w:tc>
          <w:tcPr>
            <w:tcW w:w="1253" w:type="dxa"/>
            <w:vMerge/>
            <w:vAlign w:val="center"/>
            <w:hideMark/>
          </w:tcPr>
          <w:p w14:paraId="32474826" w14:textId="77777777" w:rsidR="006054AA" w:rsidRDefault="006054AA">
            <w:pPr>
              <w:jc w:val="center"/>
              <w:rPr>
                <w:rFonts w:ascii="Arial Narrow" w:hAnsi="Arial Narrow" w:cs="Arial"/>
                <w:b/>
                <w:noProof/>
                <w:sz w:val="20"/>
              </w:rPr>
            </w:pPr>
          </w:p>
        </w:tc>
        <w:tc>
          <w:tcPr>
            <w:tcW w:w="1568" w:type="dxa"/>
            <w:vMerge/>
            <w:vAlign w:val="center"/>
            <w:hideMark/>
          </w:tcPr>
          <w:p w14:paraId="73A7A64E" w14:textId="77777777" w:rsidR="006054AA" w:rsidRDefault="006054AA">
            <w:pPr>
              <w:jc w:val="center"/>
              <w:rPr>
                <w:rFonts w:ascii="Arial Narrow" w:hAnsi="Arial Narrow" w:cs="Arial"/>
                <w:b/>
                <w:noProof/>
                <w:sz w:val="20"/>
              </w:rPr>
            </w:pPr>
          </w:p>
        </w:tc>
        <w:tc>
          <w:tcPr>
            <w:tcW w:w="1148" w:type="dxa"/>
            <w:vMerge/>
            <w:vAlign w:val="center"/>
            <w:hideMark/>
          </w:tcPr>
          <w:p w14:paraId="01A3E9A3" w14:textId="77777777" w:rsidR="006054AA" w:rsidRDefault="006054AA">
            <w:pPr>
              <w:jc w:val="center"/>
              <w:rPr>
                <w:rFonts w:ascii="Arial Narrow" w:hAnsi="Arial Narrow" w:cs="Arial"/>
                <w:b/>
                <w:noProof/>
                <w:sz w:val="20"/>
              </w:rPr>
            </w:pPr>
          </w:p>
        </w:tc>
        <w:tc>
          <w:tcPr>
            <w:tcW w:w="1470" w:type="dxa"/>
            <w:vMerge/>
            <w:vAlign w:val="center"/>
            <w:hideMark/>
          </w:tcPr>
          <w:p w14:paraId="0846C9E4" w14:textId="77777777" w:rsidR="006054AA" w:rsidRDefault="006054AA">
            <w:pPr>
              <w:jc w:val="center"/>
              <w:rPr>
                <w:rFonts w:ascii="Arial Narrow" w:hAnsi="Arial Narrow" w:cs="Arial"/>
                <w:b/>
                <w:noProof/>
                <w:sz w:val="20"/>
              </w:rPr>
            </w:pPr>
          </w:p>
        </w:tc>
        <w:tc>
          <w:tcPr>
            <w:tcW w:w="1701" w:type="dxa"/>
            <w:vMerge/>
            <w:vAlign w:val="center"/>
            <w:hideMark/>
          </w:tcPr>
          <w:p w14:paraId="1EBBE1BC" w14:textId="77777777" w:rsidR="006054AA" w:rsidRDefault="006054AA">
            <w:pPr>
              <w:jc w:val="center"/>
              <w:rPr>
                <w:rFonts w:ascii="Arial Narrow" w:hAnsi="Arial Narrow" w:cs="Arial"/>
                <w:b/>
                <w:noProof/>
                <w:sz w:val="20"/>
              </w:rPr>
            </w:pPr>
          </w:p>
        </w:tc>
        <w:tc>
          <w:tcPr>
            <w:tcW w:w="1134" w:type="dxa"/>
            <w:shd w:val="clear" w:color="auto" w:fill="BDD7EE"/>
            <w:vAlign w:val="center"/>
            <w:hideMark/>
          </w:tcPr>
          <w:p w14:paraId="28CFA73A" w14:textId="77777777" w:rsidR="006054AA" w:rsidRDefault="001F7667">
            <w:pPr>
              <w:pStyle w:val="P68B1DB1-Normal3"/>
              <w:jc w:val="center"/>
              <w:rPr>
                <w:noProof/>
              </w:rPr>
            </w:pPr>
            <w:r>
              <w:rPr>
                <w:noProof/>
              </w:rPr>
              <w:t>Единица на</w:t>
            </w:r>
          </w:p>
          <w:p w14:paraId="414F2790" w14:textId="77777777" w:rsidR="006054AA" w:rsidRDefault="001F7667">
            <w:pPr>
              <w:pStyle w:val="P68B1DB1-Normal3"/>
              <w:jc w:val="center"/>
              <w:rPr>
                <w:noProof/>
              </w:rPr>
            </w:pPr>
            <w:r>
              <w:rPr>
                <w:noProof/>
              </w:rPr>
              <w:t>мярка</w:t>
            </w:r>
          </w:p>
        </w:tc>
        <w:tc>
          <w:tcPr>
            <w:tcW w:w="1417" w:type="dxa"/>
            <w:shd w:val="clear" w:color="auto" w:fill="BDD7EE"/>
            <w:vAlign w:val="center"/>
            <w:hideMark/>
          </w:tcPr>
          <w:p w14:paraId="14AD8616" w14:textId="77777777" w:rsidR="006054AA" w:rsidRDefault="001F7667">
            <w:pPr>
              <w:pStyle w:val="P68B1DB1-Normal3"/>
              <w:jc w:val="center"/>
              <w:rPr>
                <w:noProof/>
              </w:rPr>
            </w:pPr>
            <w:r>
              <w:rPr>
                <w:noProof/>
              </w:rPr>
              <w:t>Базова линия</w:t>
            </w:r>
          </w:p>
        </w:tc>
        <w:tc>
          <w:tcPr>
            <w:tcW w:w="1276" w:type="dxa"/>
            <w:shd w:val="clear" w:color="auto" w:fill="BDD7EE"/>
            <w:vAlign w:val="center"/>
            <w:hideMark/>
          </w:tcPr>
          <w:p w14:paraId="5FFDAFCA" w14:textId="77777777" w:rsidR="006054AA" w:rsidRDefault="001F7667">
            <w:pPr>
              <w:pStyle w:val="P68B1DB1-Normal3"/>
              <w:jc w:val="center"/>
              <w:rPr>
                <w:noProof/>
              </w:rPr>
            </w:pPr>
            <w:r>
              <w:rPr>
                <w:noProof/>
              </w:rPr>
              <w:t>Цел</w:t>
            </w:r>
          </w:p>
        </w:tc>
        <w:tc>
          <w:tcPr>
            <w:tcW w:w="850" w:type="dxa"/>
            <w:shd w:val="clear" w:color="auto" w:fill="BDD7EE"/>
            <w:vAlign w:val="center"/>
            <w:hideMark/>
          </w:tcPr>
          <w:p w14:paraId="224DC242" w14:textId="77777777" w:rsidR="006054AA" w:rsidRDefault="001F7667">
            <w:pPr>
              <w:pStyle w:val="P68B1DB1-Normal3"/>
              <w:jc w:val="center"/>
              <w:rPr>
                <w:noProof/>
              </w:rPr>
            </w:pPr>
            <w:r>
              <w:rPr>
                <w:noProof/>
              </w:rPr>
              <w:t>Тримесечие</w:t>
            </w:r>
          </w:p>
        </w:tc>
        <w:tc>
          <w:tcPr>
            <w:tcW w:w="709" w:type="dxa"/>
            <w:shd w:val="clear" w:color="auto" w:fill="BDD7EE"/>
            <w:vAlign w:val="center"/>
            <w:hideMark/>
          </w:tcPr>
          <w:p w14:paraId="1C222AB5" w14:textId="77777777" w:rsidR="006054AA" w:rsidRDefault="001F7667">
            <w:pPr>
              <w:pStyle w:val="P68B1DB1-Normal3"/>
              <w:jc w:val="center"/>
              <w:rPr>
                <w:noProof/>
              </w:rPr>
            </w:pPr>
            <w:r>
              <w:rPr>
                <w:noProof/>
              </w:rPr>
              <w:t>Година</w:t>
            </w:r>
          </w:p>
        </w:tc>
        <w:tc>
          <w:tcPr>
            <w:tcW w:w="2835" w:type="dxa"/>
            <w:vMerge/>
            <w:vAlign w:val="center"/>
            <w:hideMark/>
          </w:tcPr>
          <w:p w14:paraId="65CD153A" w14:textId="77777777" w:rsidR="006054AA" w:rsidRDefault="006054AA">
            <w:pPr>
              <w:jc w:val="center"/>
              <w:rPr>
                <w:rFonts w:ascii="Arial Narrow" w:hAnsi="Arial Narrow" w:cs="Arial"/>
                <w:b/>
                <w:noProof/>
                <w:sz w:val="20"/>
              </w:rPr>
            </w:pPr>
          </w:p>
        </w:tc>
      </w:tr>
      <w:tr w:rsidR="006054AA" w14:paraId="24140EB9" w14:textId="77777777">
        <w:trPr>
          <w:trHeight w:val="309"/>
        </w:trPr>
        <w:tc>
          <w:tcPr>
            <w:tcW w:w="1253" w:type="dxa"/>
            <w:shd w:val="clear" w:color="auto" w:fill="C6EFCE"/>
            <w:noWrap/>
            <w:vAlign w:val="center"/>
          </w:tcPr>
          <w:p w14:paraId="2A8BC733" w14:textId="77777777" w:rsidR="006054AA" w:rsidRDefault="001F7667">
            <w:pPr>
              <w:pStyle w:val="P68B1DB1-Normal5"/>
              <w:jc w:val="center"/>
              <w:rPr>
                <w:noProof/>
              </w:rPr>
            </w:pPr>
            <w:r>
              <w:rPr>
                <w:noProof/>
              </w:rPr>
              <w:t>M1C1—1</w:t>
            </w:r>
          </w:p>
        </w:tc>
        <w:tc>
          <w:tcPr>
            <w:tcW w:w="1568" w:type="dxa"/>
            <w:shd w:val="clear" w:color="auto" w:fill="C6EFCE"/>
            <w:noWrap/>
            <w:vAlign w:val="center"/>
          </w:tcPr>
          <w:p w14:paraId="4F65BDC0" w14:textId="77777777" w:rsidR="006054AA" w:rsidRDefault="001F7667">
            <w:pPr>
              <w:pStyle w:val="P68B1DB1-Normal5"/>
              <w:jc w:val="center"/>
              <w:rPr>
                <w:noProof/>
              </w:rPr>
            </w:pPr>
            <w:r>
              <w:rPr>
                <w:noProof/>
              </w:rPr>
              <w:t>Реформа 1.1: Обществени поръчки в областта на ИКТ</w:t>
            </w:r>
          </w:p>
        </w:tc>
        <w:tc>
          <w:tcPr>
            <w:tcW w:w="1148" w:type="dxa"/>
            <w:shd w:val="clear" w:color="auto" w:fill="C6EFCE"/>
            <w:noWrap/>
            <w:vAlign w:val="center"/>
          </w:tcPr>
          <w:p w14:paraId="0D2D60DF"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20E9F0A1" w14:textId="77777777" w:rsidR="006054AA" w:rsidRDefault="001F7667">
            <w:pPr>
              <w:pStyle w:val="P68B1DB1-Normal5"/>
              <w:jc w:val="center"/>
              <w:rPr>
                <w:noProof/>
              </w:rPr>
            </w:pPr>
            <w:r>
              <w:rPr>
                <w:noProof/>
              </w:rPr>
              <w:t>Влизане в сила на укази за реформа от 1.1 г. „Обществени поръчки в областта на ИКТ“</w:t>
            </w:r>
          </w:p>
        </w:tc>
        <w:tc>
          <w:tcPr>
            <w:tcW w:w="1701" w:type="dxa"/>
            <w:shd w:val="clear" w:color="auto" w:fill="C6EFCE"/>
            <w:noWrap/>
            <w:vAlign w:val="center"/>
          </w:tcPr>
          <w:p w14:paraId="49C10B02" w14:textId="77777777" w:rsidR="006054AA" w:rsidRDefault="001F7667">
            <w:pPr>
              <w:pStyle w:val="P68B1DB1-Normal5"/>
              <w:jc w:val="center"/>
              <w:rPr>
                <w:noProof/>
              </w:rPr>
            </w:pPr>
            <w:r>
              <w:rPr>
                <w:noProof/>
              </w:rPr>
              <w:t>Разпоредба в закона, указваща влизането в сила на указа за реформа на обществените поръчки в областта на ИКТ</w:t>
            </w:r>
          </w:p>
        </w:tc>
        <w:tc>
          <w:tcPr>
            <w:tcW w:w="1134" w:type="dxa"/>
            <w:shd w:val="clear" w:color="auto" w:fill="C6EFCE"/>
            <w:noWrap/>
            <w:vAlign w:val="center"/>
          </w:tcPr>
          <w:p w14:paraId="0DD02040"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0471E689"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20A5BA7D"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10F0010A"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626495E0" w14:textId="77777777" w:rsidR="006054AA" w:rsidRDefault="001F7667">
            <w:pPr>
              <w:pStyle w:val="P68B1DB1-Normal5"/>
              <w:jc w:val="center"/>
              <w:rPr>
                <w:noProof/>
              </w:rPr>
            </w:pPr>
            <w:r>
              <w:rPr>
                <w:noProof/>
              </w:rPr>
              <w:t>2021</w:t>
            </w:r>
          </w:p>
        </w:tc>
        <w:tc>
          <w:tcPr>
            <w:tcW w:w="2835" w:type="dxa"/>
            <w:shd w:val="clear" w:color="auto" w:fill="C6EFCE"/>
            <w:noWrap/>
            <w:vAlign w:val="center"/>
          </w:tcPr>
          <w:p w14:paraId="47D6A9E3" w14:textId="77777777" w:rsidR="006054AA" w:rsidRDefault="001F7667">
            <w:pPr>
              <w:pStyle w:val="P68B1DB1-Normal5"/>
              <w:spacing w:after="120"/>
              <w:rPr>
                <w:noProof/>
              </w:rPr>
            </w:pPr>
            <w:r>
              <w:rPr>
                <w:noProof/>
              </w:rPr>
              <w:t>Необходимите правни актове включват законодателна намеса в закона за опростяванията (Decreto Legge Semplificazioni). В тях се посочват:</w:t>
            </w:r>
          </w:p>
          <w:p w14:paraId="11403871" w14:textId="77777777" w:rsidR="006054AA" w:rsidRDefault="001F7667">
            <w:pPr>
              <w:pStyle w:val="P68B1DB1-ListParagraph6"/>
              <w:spacing w:before="0"/>
              <w:ind w:left="0"/>
              <w:contextualSpacing w:val="0"/>
              <w:jc w:val="left"/>
              <w:rPr>
                <w:noProof/>
              </w:rPr>
            </w:pPr>
            <w:r>
              <w:rPr>
                <w:noProof/>
              </w:rPr>
              <w:t>I) Възможността за използване на процедурата, посочена в член 48, параграф 3 от Кодекса за обществените поръчки, също и за поръчки над праговете, посочени в член 35 от Кодекса за обществените поръчки, за покупки, свързани със закупуването на компютърни стоки и услуги, по-специално въз основа на технология за изчисления в облак, както и услуги за свързаност, финансирани изцяло или частично с ресурсите, предвидени за изпълнението на проекти за PNRR;</w:t>
            </w:r>
          </w:p>
          <w:p w14:paraId="67C20BC2" w14:textId="77777777" w:rsidR="006054AA" w:rsidRDefault="001F7667">
            <w:pPr>
              <w:pStyle w:val="P68B1DB1-ListParagraph6"/>
              <w:spacing w:before="0"/>
              <w:ind w:left="0"/>
              <w:contextualSpacing w:val="0"/>
              <w:jc w:val="left"/>
              <w:rPr>
                <w:noProof/>
              </w:rPr>
            </w:pPr>
            <w:r>
              <w:rPr>
                <w:noProof/>
              </w:rPr>
              <w:t>II) Оперативна съвместимост между различните бази данни, управлявани от сертифициращите органи, участващи в процеса на проверка на изискванията, посочени в член 80 от Кодекса за обществените поръчки;</w:t>
            </w:r>
          </w:p>
          <w:p w14:paraId="1A4A00F9" w14:textId="77777777" w:rsidR="006054AA" w:rsidRDefault="001F7667">
            <w:pPr>
              <w:pStyle w:val="P68B1DB1-ListParagraph6"/>
              <w:spacing w:before="0"/>
              <w:ind w:left="0"/>
              <w:jc w:val="left"/>
              <w:rPr>
                <w:noProof/>
              </w:rPr>
            </w:pPr>
            <w:r>
              <w:rPr>
                <w:noProof/>
              </w:rPr>
              <w:t>III) Създаването на виртуален файл на икономическите оператори, в който са представени данните за проверка на липсата на основания за изключване, посочени в член 80, което дава възможност за определяне на бял списък на икономическите оператори, за които вече е извършена проверка.</w:t>
            </w:r>
          </w:p>
        </w:tc>
      </w:tr>
      <w:tr w:rsidR="006054AA" w14:paraId="3C18F06E" w14:textId="77777777">
        <w:trPr>
          <w:trHeight w:val="789"/>
        </w:trPr>
        <w:tc>
          <w:tcPr>
            <w:tcW w:w="1253" w:type="dxa"/>
            <w:shd w:val="clear" w:color="auto" w:fill="C6EFCE"/>
            <w:noWrap/>
            <w:vAlign w:val="center"/>
          </w:tcPr>
          <w:p w14:paraId="3085A6E0" w14:textId="77777777" w:rsidR="006054AA" w:rsidRDefault="001F7667">
            <w:pPr>
              <w:pStyle w:val="P68B1DB1-Normal5"/>
              <w:jc w:val="center"/>
              <w:rPr>
                <w:noProof/>
              </w:rPr>
            </w:pPr>
            <w:r>
              <w:rPr>
                <w:noProof/>
              </w:rPr>
              <w:t>M1C1—2</w:t>
            </w:r>
          </w:p>
        </w:tc>
        <w:tc>
          <w:tcPr>
            <w:tcW w:w="1568" w:type="dxa"/>
            <w:shd w:val="clear" w:color="auto" w:fill="C6EFCE"/>
            <w:noWrap/>
            <w:vAlign w:val="center"/>
          </w:tcPr>
          <w:p w14:paraId="125FA6C9" w14:textId="77777777" w:rsidR="006054AA" w:rsidRDefault="001F7667">
            <w:pPr>
              <w:pStyle w:val="P68B1DB1-Normal5"/>
              <w:jc w:val="center"/>
              <w:rPr>
                <w:noProof/>
              </w:rPr>
            </w:pPr>
            <w:r>
              <w:rPr>
                <w:noProof/>
              </w:rPr>
              <w:t>Реформа 1.3: Компютърни услуги „в облак първо“ и оперативна съвместимост</w:t>
            </w:r>
          </w:p>
        </w:tc>
        <w:tc>
          <w:tcPr>
            <w:tcW w:w="1148" w:type="dxa"/>
            <w:shd w:val="clear" w:color="auto" w:fill="C6EFCE"/>
            <w:noWrap/>
            <w:vAlign w:val="center"/>
          </w:tcPr>
          <w:p w14:paraId="7A8E2477"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3A19D2F4" w14:textId="77777777" w:rsidR="006054AA" w:rsidRDefault="001F7667">
            <w:pPr>
              <w:pStyle w:val="P68B1DB1-Normal5"/>
              <w:jc w:val="center"/>
              <w:rPr>
                <w:noProof/>
              </w:rPr>
            </w:pPr>
            <w:r>
              <w:rPr>
                <w:noProof/>
              </w:rPr>
              <w:t>Влизане в сила на укази за реформа от 1.3 г. „Първо за компютърни услуги в облак и оперативна съвместимост“</w:t>
            </w:r>
          </w:p>
        </w:tc>
        <w:tc>
          <w:tcPr>
            <w:tcW w:w="1701" w:type="dxa"/>
            <w:shd w:val="clear" w:color="auto" w:fill="C6EFCE"/>
            <w:noWrap/>
            <w:vAlign w:val="center"/>
          </w:tcPr>
          <w:p w14:paraId="0BBEBFDF" w14:textId="77777777" w:rsidR="006054AA" w:rsidRDefault="001F7667">
            <w:pPr>
              <w:pStyle w:val="P68B1DB1-Normal5"/>
              <w:jc w:val="center"/>
              <w:rPr>
                <w:noProof/>
              </w:rPr>
            </w:pPr>
            <w:r>
              <w:rPr>
                <w:noProof/>
              </w:rPr>
              <w:t>Законова разпоредба, указваща влизането в сила на законова наредба за реформа на първо място в облак и за реформа на оперативната съвместимост</w:t>
            </w:r>
          </w:p>
        </w:tc>
        <w:tc>
          <w:tcPr>
            <w:tcW w:w="1134" w:type="dxa"/>
            <w:shd w:val="clear" w:color="auto" w:fill="C6EFCE"/>
            <w:noWrap/>
            <w:vAlign w:val="center"/>
          </w:tcPr>
          <w:p w14:paraId="2FD390B3"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6262EFD4"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089778D4"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36030434"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2CC518A8" w14:textId="77777777" w:rsidR="006054AA" w:rsidRDefault="001F7667">
            <w:pPr>
              <w:pStyle w:val="P68B1DB1-Normal5"/>
              <w:jc w:val="center"/>
              <w:rPr>
                <w:noProof/>
              </w:rPr>
            </w:pPr>
            <w:r>
              <w:rPr>
                <w:noProof/>
              </w:rPr>
              <w:t>2021</w:t>
            </w:r>
          </w:p>
        </w:tc>
        <w:tc>
          <w:tcPr>
            <w:tcW w:w="2835" w:type="dxa"/>
            <w:shd w:val="clear" w:color="auto" w:fill="C6EFCE"/>
            <w:noWrap/>
            <w:vAlign w:val="center"/>
          </w:tcPr>
          <w:p w14:paraId="204FAFBD" w14:textId="77777777" w:rsidR="006054AA" w:rsidRDefault="001F7667">
            <w:pPr>
              <w:pStyle w:val="P68B1DB1-Normal5"/>
              <w:spacing w:after="120"/>
              <w:rPr>
                <w:noProof/>
              </w:rPr>
            </w:pPr>
            <w:r>
              <w:rPr>
                <w:noProof/>
              </w:rPr>
              <w:t>Необходимите правни актове включват:</w:t>
            </w:r>
          </w:p>
          <w:p w14:paraId="2C159CCF" w14:textId="77777777" w:rsidR="006054AA" w:rsidRDefault="001F7667">
            <w:pPr>
              <w:pStyle w:val="P68B1DB1-Normal5"/>
              <w:spacing w:after="120"/>
              <w:rPr>
                <w:noProof/>
              </w:rPr>
            </w:pPr>
            <w:r>
              <w:rPr>
                <w:noProof/>
              </w:rPr>
              <w:t>Регулаторни актове за изпълнение, отнасящи се по-специално до i) наредбата на Agenzia per l’Italia digitale (AgID) относно Polo Strategico Nazionale (PSN) (предвидена в член 33 septies от Декрет-закон 179/212) и ii) Насоките на AgID относно оперативната съвместимост (предвидени в членове 50 и 50 ter от Codice dell’Amministrazione Digitale (CAD).</w:t>
            </w:r>
          </w:p>
          <w:p w14:paraId="542D7F0C" w14:textId="77777777" w:rsidR="006054AA" w:rsidRDefault="001F7667">
            <w:pPr>
              <w:pStyle w:val="P68B1DB1-Normal5"/>
              <w:spacing w:after="120"/>
              <w:rPr>
                <w:noProof/>
              </w:rPr>
            </w:pPr>
            <w:r>
              <w:rPr>
                <w:noProof/>
              </w:rPr>
              <w:t>Изменения на член 50 от ДХА:</w:t>
            </w:r>
          </w:p>
          <w:p w14:paraId="706FE4FF" w14:textId="77777777" w:rsidR="006054AA" w:rsidRDefault="001F7667">
            <w:pPr>
              <w:pStyle w:val="P68B1DB1-Normal5"/>
              <w:spacing w:after="120"/>
              <w:rPr>
                <w:noProof/>
              </w:rPr>
            </w:pPr>
            <w:r>
              <w:rPr>
                <w:noProof/>
              </w:rPr>
              <w:t>и) премахване на задължението за сключване на рамкови споразумения за администрациите, които имат достъп до националната платформа за цифрови данни;</w:t>
            </w:r>
          </w:p>
          <w:p w14:paraId="0FB0EB39" w14:textId="77777777" w:rsidR="006054AA" w:rsidRDefault="001F7667">
            <w:pPr>
              <w:pStyle w:val="P68B1DB1-Normal5"/>
              <w:spacing w:after="120"/>
              <w:rPr>
                <w:noProof/>
              </w:rPr>
            </w:pPr>
            <w:r>
              <w:rPr>
                <w:noProof/>
              </w:rPr>
              <w:t>II) разяснения по въпроса за неприкосновеността на личния живот: прехвърлянето на данни от една информационна система към друга не променя собствеността върху данните и обработването, без да се засягат отговорностите на публичните администрации, които получават и обработват данните като автономни администратори на данни.</w:t>
            </w:r>
          </w:p>
          <w:p w14:paraId="113CA26E" w14:textId="77777777" w:rsidR="006054AA" w:rsidRDefault="001F7667">
            <w:pPr>
              <w:pStyle w:val="P68B1DB1-Normal5"/>
              <w:spacing w:after="120"/>
              <w:rPr>
                <w:noProof/>
              </w:rPr>
            </w:pPr>
            <w:r>
              <w:rPr>
                <w:noProof/>
              </w:rPr>
              <w:t>Изменения на Decreto del Presidente della Repubblica (DPR) 445/2000 относно достъпа до данни:</w:t>
            </w:r>
          </w:p>
          <w:p w14:paraId="5E301CB1" w14:textId="77777777" w:rsidR="006054AA" w:rsidRDefault="001F7667">
            <w:pPr>
              <w:pStyle w:val="P68B1DB1-Normal5"/>
              <w:spacing w:after="120"/>
              <w:rPr>
                <w:noProof/>
              </w:rPr>
            </w:pPr>
            <w:r>
              <w:rPr>
                <w:noProof/>
              </w:rPr>
              <w:t>и) отмяна на разрешението, необходимо за пряк достъп до данни;</w:t>
            </w:r>
          </w:p>
          <w:p w14:paraId="76C99E1F" w14:textId="77777777" w:rsidR="006054AA" w:rsidRDefault="001F7667">
            <w:pPr>
              <w:pStyle w:val="P68B1DB1-Normal5"/>
              <w:spacing w:after="120"/>
              <w:rPr>
                <w:noProof/>
              </w:rPr>
            </w:pPr>
            <w:r>
              <w:rPr>
                <w:noProof/>
              </w:rPr>
              <w:t>II) премахване на позоваването на рамкови споразумения в член 72.</w:t>
            </w:r>
          </w:p>
          <w:p w14:paraId="2FC3F3B7" w14:textId="77777777" w:rsidR="006054AA" w:rsidRDefault="001F7667">
            <w:pPr>
              <w:pStyle w:val="P68B1DB1-Normal5"/>
              <w:spacing w:after="120"/>
              <w:rPr>
                <w:noProof/>
              </w:rPr>
            </w:pPr>
            <w:r>
              <w:rPr>
                <w:noProof/>
              </w:rPr>
              <w:t>Изменения на член 33, параграф от Декрет-закон № 179/2012:</w:t>
            </w:r>
          </w:p>
          <w:p w14:paraId="0B696F0D" w14:textId="77777777" w:rsidR="006054AA" w:rsidRDefault="001F7667">
            <w:pPr>
              <w:pStyle w:val="P68B1DB1-Normal5"/>
              <w:spacing w:after="120"/>
              <w:rPr>
                <w:noProof/>
              </w:rPr>
            </w:pPr>
            <w:r>
              <w:rPr>
                <w:noProof/>
              </w:rPr>
              <w:t>I) въвеждане на възможността AgID да регулира с разпоредбите на Centri Elaborazione Dati (CED) и на изчисленията в облак условията и методите, с които публичните администрации трябва да извършват миграция на CED;</w:t>
            </w:r>
          </w:p>
          <w:p w14:paraId="66D608B5" w14:textId="77777777" w:rsidR="006054AA" w:rsidRDefault="001F7667">
            <w:pPr>
              <w:pStyle w:val="P68B1DB1-Normal5"/>
              <w:spacing w:after="120"/>
              <w:rPr>
                <w:noProof/>
              </w:rPr>
            </w:pPr>
            <w:r>
              <w:rPr>
                <w:noProof/>
              </w:rPr>
              <w:t>II) въвеждане на санкции за неспазване на задълженията за мигриране към облака.</w:t>
            </w:r>
          </w:p>
        </w:tc>
      </w:tr>
      <w:tr w:rsidR="006054AA" w14:paraId="43811911" w14:textId="77777777">
        <w:trPr>
          <w:trHeight w:val="309"/>
        </w:trPr>
        <w:tc>
          <w:tcPr>
            <w:tcW w:w="1253" w:type="dxa"/>
            <w:shd w:val="clear" w:color="auto" w:fill="C6EFCE"/>
            <w:noWrap/>
            <w:vAlign w:val="center"/>
            <w:hideMark/>
          </w:tcPr>
          <w:p w14:paraId="23CC7C49" w14:textId="77777777" w:rsidR="006054AA" w:rsidRDefault="001F7667">
            <w:pPr>
              <w:pStyle w:val="P68B1DB1-Normal5"/>
              <w:jc w:val="center"/>
              <w:rPr>
                <w:noProof/>
              </w:rPr>
            </w:pPr>
            <w:r>
              <w:rPr>
                <w:noProof/>
              </w:rPr>
              <w:t>M1C1—3</w:t>
            </w:r>
          </w:p>
        </w:tc>
        <w:tc>
          <w:tcPr>
            <w:tcW w:w="1568" w:type="dxa"/>
            <w:shd w:val="clear" w:color="auto" w:fill="C6EFCE"/>
            <w:noWrap/>
            <w:vAlign w:val="center"/>
            <w:hideMark/>
          </w:tcPr>
          <w:p w14:paraId="76C8CB91" w14:textId="77777777" w:rsidR="006054AA" w:rsidRDefault="001F7667">
            <w:pPr>
              <w:pStyle w:val="P68B1DB1-Normal5"/>
              <w:jc w:val="center"/>
              <w:rPr>
                <w:noProof/>
              </w:rPr>
            </w:pPr>
            <w:r>
              <w:rPr>
                <w:noProof/>
              </w:rPr>
              <w:t>Инвестиция 1.1: Цифрова инфраструктура</w:t>
            </w:r>
          </w:p>
        </w:tc>
        <w:tc>
          <w:tcPr>
            <w:tcW w:w="1148" w:type="dxa"/>
            <w:shd w:val="clear" w:color="auto" w:fill="C6EFCE"/>
            <w:noWrap/>
            <w:vAlign w:val="center"/>
            <w:hideMark/>
          </w:tcPr>
          <w:p w14:paraId="10366BB8"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hideMark/>
          </w:tcPr>
          <w:p w14:paraId="12CF3701" w14:textId="77777777" w:rsidR="006054AA" w:rsidRDefault="001F7667">
            <w:pPr>
              <w:pStyle w:val="P68B1DB1-Normal5"/>
              <w:jc w:val="center"/>
              <w:rPr>
                <w:noProof/>
              </w:rPr>
            </w:pPr>
            <w:r>
              <w:rPr>
                <w:noProof/>
              </w:rPr>
              <w:t>Приключване на Polo Strategico Nazionale (PSN)</w:t>
            </w:r>
          </w:p>
        </w:tc>
        <w:tc>
          <w:tcPr>
            <w:tcW w:w="1701" w:type="dxa"/>
            <w:shd w:val="clear" w:color="auto" w:fill="C6EFCE"/>
            <w:noWrap/>
            <w:vAlign w:val="center"/>
            <w:hideMark/>
          </w:tcPr>
          <w:p w14:paraId="327DEDF1" w14:textId="77777777" w:rsidR="006054AA" w:rsidRDefault="001F7667">
            <w:pPr>
              <w:pStyle w:val="P68B1DB1-Normal5"/>
              <w:jc w:val="center"/>
              <w:rPr>
                <w:noProof/>
              </w:rPr>
            </w:pPr>
            <w:r>
              <w:rPr>
                <w:noProof/>
              </w:rPr>
              <w:t>Доклад относно внедряването в облак, изготвен от Министерството на технологичните иновации и цифровия преход (MITD)</w:t>
            </w:r>
          </w:p>
        </w:tc>
        <w:tc>
          <w:tcPr>
            <w:tcW w:w="1134" w:type="dxa"/>
            <w:shd w:val="clear" w:color="auto" w:fill="C6EFCE"/>
            <w:noWrap/>
            <w:vAlign w:val="center"/>
          </w:tcPr>
          <w:p w14:paraId="241E0275"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2E50F60E"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72FC4FB9" w14:textId="77777777" w:rsidR="006054AA" w:rsidRDefault="001F7667">
            <w:pPr>
              <w:pStyle w:val="P68B1DB1-Normal5"/>
              <w:jc w:val="center"/>
              <w:rPr>
                <w:noProof/>
              </w:rPr>
            </w:pPr>
            <w:r>
              <w:rPr>
                <w:noProof/>
              </w:rPr>
              <w:t>НЯМА</w:t>
            </w:r>
          </w:p>
        </w:tc>
        <w:tc>
          <w:tcPr>
            <w:tcW w:w="850" w:type="dxa"/>
            <w:shd w:val="clear" w:color="auto" w:fill="C6EFCE"/>
            <w:noWrap/>
            <w:vAlign w:val="center"/>
            <w:hideMark/>
          </w:tcPr>
          <w:p w14:paraId="548B67D6" w14:textId="77777777" w:rsidR="006054AA" w:rsidRDefault="001F7667">
            <w:pPr>
              <w:pStyle w:val="P68B1DB1-Normal5"/>
              <w:jc w:val="center"/>
              <w:rPr>
                <w:noProof/>
              </w:rPr>
            </w:pPr>
            <w:r>
              <w:rPr>
                <w:noProof/>
              </w:rPr>
              <w:t>Т4 Г.</w:t>
            </w:r>
          </w:p>
        </w:tc>
        <w:tc>
          <w:tcPr>
            <w:tcW w:w="709" w:type="dxa"/>
            <w:shd w:val="clear" w:color="auto" w:fill="C6EFCE"/>
            <w:noWrap/>
            <w:vAlign w:val="center"/>
            <w:hideMark/>
          </w:tcPr>
          <w:p w14:paraId="031B71DC" w14:textId="77777777" w:rsidR="006054AA" w:rsidRDefault="001F7667">
            <w:pPr>
              <w:pStyle w:val="P68B1DB1-Normal5"/>
              <w:jc w:val="center"/>
              <w:rPr>
                <w:noProof/>
              </w:rPr>
            </w:pPr>
            <w:r>
              <w:rPr>
                <w:noProof/>
              </w:rPr>
              <w:t>2022</w:t>
            </w:r>
          </w:p>
        </w:tc>
        <w:tc>
          <w:tcPr>
            <w:tcW w:w="2835" w:type="dxa"/>
            <w:shd w:val="clear" w:color="auto" w:fill="C6EFCE"/>
            <w:noWrap/>
            <w:vAlign w:val="center"/>
            <w:hideMark/>
          </w:tcPr>
          <w:p w14:paraId="4EEBB4BA" w14:textId="0C21C4D6" w:rsidR="006054AA" w:rsidRDefault="001F7667">
            <w:pPr>
              <w:pStyle w:val="P68B1DB1-Normal5"/>
              <w:spacing w:after="120"/>
              <w:rPr>
                <w:noProof/>
              </w:rPr>
            </w:pPr>
            <w:r>
              <w:rPr>
                <w:noProof/>
              </w:rPr>
              <w:t>Пълното завършване на цялостния проект се постига, когато всички целеви публични администрации са завършили преместването на идентифицираните рафтове към Polo Strategico Nazionale (PSN) и изпитването на четири центъра за данни приключи успешно, което дава възможност за започване на процеса на миграция на наборите от данни и приложенията на целевите публични администрации към PSN.</w:t>
            </w:r>
          </w:p>
        </w:tc>
      </w:tr>
      <w:tr w:rsidR="006054AA" w14:paraId="4944586E" w14:textId="77777777">
        <w:trPr>
          <w:trHeight w:val="309"/>
        </w:trPr>
        <w:tc>
          <w:tcPr>
            <w:tcW w:w="1253" w:type="dxa"/>
            <w:shd w:val="clear" w:color="auto" w:fill="C6EFCE"/>
            <w:noWrap/>
            <w:vAlign w:val="center"/>
          </w:tcPr>
          <w:p w14:paraId="4AAB7552" w14:textId="77777777" w:rsidR="006054AA" w:rsidRDefault="001F7667">
            <w:pPr>
              <w:pStyle w:val="P68B1DB1-Normal5"/>
              <w:jc w:val="center"/>
              <w:rPr>
                <w:noProof/>
              </w:rPr>
            </w:pPr>
            <w:r>
              <w:rPr>
                <w:noProof/>
              </w:rPr>
              <w:t>M1C1—4</w:t>
            </w:r>
          </w:p>
        </w:tc>
        <w:tc>
          <w:tcPr>
            <w:tcW w:w="1568" w:type="dxa"/>
            <w:shd w:val="clear" w:color="auto" w:fill="C6EFCE"/>
            <w:noWrap/>
            <w:vAlign w:val="center"/>
          </w:tcPr>
          <w:p w14:paraId="2EC0A3F5" w14:textId="77777777" w:rsidR="006054AA" w:rsidRDefault="001F7667">
            <w:pPr>
              <w:pStyle w:val="P68B1DB1-Normal5"/>
              <w:jc w:val="center"/>
              <w:rPr>
                <w:noProof/>
              </w:rPr>
            </w:pPr>
            <w:r>
              <w:rPr>
                <w:noProof/>
              </w:rPr>
              <w:t>Инвестиция 1.3.1: Национална платформа за цифрови данни</w:t>
            </w:r>
          </w:p>
        </w:tc>
        <w:tc>
          <w:tcPr>
            <w:tcW w:w="1148" w:type="dxa"/>
            <w:shd w:val="clear" w:color="auto" w:fill="C6EFCE"/>
            <w:noWrap/>
            <w:vAlign w:val="center"/>
          </w:tcPr>
          <w:p w14:paraId="2F5EA753"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5D45F344" w14:textId="77777777" w:rsidR="006054AA" w:rsidRDefault="001F7667">
            <w:pPr>
              <w:pStyle w:val="P68B1DB1-Normal5"/>
              <w:jc w:val="center"/>
              <w:rPr>
                <w:noProof/>
              </w:rPr>
            </w:pPr>
            <w:r>
              <w:rPr>
                <w:noProof/>
              </w:rPr>
              <w:t>Функционираща национална платформа за цифрови данни</w:t>
            </w:r>
          </w:p>
        </w:tc>
        <w:tc>
          <w:tcPr>
            <w:tcW w:w="1701" w:type="dxa"/>
            <w:shd w:val="clear" w:color="auto" w:fill="C6EFCE"/>
            <w:noWrap/>
            <w:vAlign w:val="center"/>
          </w:tcPr>
          <w:p w14:paraId="5F9268EB" w14:textId="77777777" w:rsidR="006054AA" w:rsidRDefault="001F7667">
            <w:pPr>
              <w:pStyle w:val="P68B1DB1-Normal5"/>
              <w:jc w:val="center"/>
              <w:rPr>
                <w:noProof/>
              </w:rPr>
            </w:pPr>
            <w:r>
              <w:rPr>
                <w:noProof/>
              </w:rPr>
              <w:t>Доклад на Министерството на технологичните иновации и цифровия преход (MITD), показващ стартирането на националната платформа за цифрови данни</w:t>
            </w:r>
          </w:p>
        </w:tc>
        <w:tc>
          <w:tcPr>
            <w:tcW w:w="1134" w:type="dxa"/>
            <w:shd w:val="clear" w:color="auto" w:fill="C6EFCE"/>
            <w:noWrap/>
            <w:vAlign w:val="center"/>
          </w:tcPr>
          <w:p w14:paraId="0ECFEAD2"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59703FE5"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42502A94"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187E494F"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3FCF1180" w14:textId="77777777" w:rsidR="006054AA" w:rsidRDefault="001F7667">
            <w:pPr>
              <w:pStyle w:val="P68B1DB1-Normal5"/>
              <w:jc w:val="center"/>
              <w:rPr>
                <w:noProof/>
              </w:rPr>
            </w:pPr>
            <w:r>
              <w:rPr>
                <w:noProof/>
              </w:rPr>
              <w:t>2022</w:t>
            </w:r>
          </w:p>
        </w:tc>
        <w:tc>
          <w:tcPr>
            <w:tcW w:w="2835" w:type="dxa"/>
            <w:shd w:val="clear" w:color="auto" w:fill="C6EFCE"/>
            <w:noWrap/>
            <w:vAlign w:val="center"/>
          </w:tcPr>
          <w:p w14:paraId="05DF1F04" w14:textId="77777777" w:rsidR="006054AA" w:rsidRDefault="001F7667">
            <w:pPr>
              <w:pStyle w:val="P68B1DB1-Normal5"/>
              <w:spacing w:after="120"/>
              <w:rPr>
                <w:noProof/>
              </w:rPr>
            </w:pPr>
            <w:r>
              <w:rPr>
                <w:noProof/>
              </w:rPr>
              <w:t>Платформата позволява на агенциите:</w:t>
            </w:r>
          </w:p>
          <w:p w14:paraId="5BB582D1" w14:textId="77777777" w:rsidR="006054AA" w:rsidRDefault="001F7667">
            <w:pPr>
              <w:pStyle w:val="P68B1DB1-Normal5"/>
              <w:spacing w:after="120"/>
              <w:rPr>
                <w:noProof/>
              </w:rPr>
            </w:pPr>
            <w:r>
              <w:rPr>
                <w:noProof/>
              </w:rPr>
              <w:t>— публикуват своите приложно-програмни интерфейси (ППИ) в каталога на API на платформата;</w:t>
            </w:r>
          </w:p>
          <w:p w14:paraId="5D6865C3" w14:textId="77777777" w:rsidR="006054AA" w:rsidRDefault="001F7667">
            <w:pPr>
              <w:pStyle w:val="P68B1DB1-Normal5"/>
              <w:spacing w:after="120"/>
              <w:rPr>
                <w:noProof/>
              </w:rPr>
            </w:pPr>
            <w:r>
              <w:rPr>
                <w:noProof/>
              </w:rPr>
              <w:t>създаване и подписване на споразумения за цифрова оперативна съвместимост чрез платформата;</w:t>
            </w:r>
          </w:p>
          <w:p w14:paraId="0914E1E1" w14:textId="77777777" w:rsidR="006054AA" w:rsidRDefault="001F7667">
            <w:pPr>
              <w:pStyle w:val="P68B1DB1-Normal5"/>
              <w:spacing w:after="120"/>
              <w:rPr>
                <w:noProof/>
              </w:rPr>
            </w:pPr>
            <w:r>
              <w:rPr>
                <w:noProof/>
              </w:rPr>
              <w:t>удостоверяване на автентичността и разрешаване на достъпа до приложно-програмни интерфейси, като се използват функционалните възможности на платформата;</w:t>
            </w:r>
          </w:p>
          <w:p w14:paraId="012A27C5" w14:textId="77777777" w:rsidR="006054AA" w:rsidRDefault="001F7667">
            <w:pPr>
              <w:pStyle w:val="P68B1DB1-Normal5"/>
              <w:spacing w:after="120"/>
              <w:rPr>
                <w:noProof/>
              </w:rPr>
            </w:pPr>
            <w:r>
              <w:rPr>
                <w:noProof/>
              </w:rPr>
              <w:t>— валидиране и оценка на съответствието с националната рамка за оперативна съвместимост.</w:t>
            </w:r>
          </w:p>
        </w:tc>
      </w:tr>
      <w:tr w:rsidR="006054AA" w14:paraId="4BD1BEDE" w14:textId="77777777">
        <w:trPr>
          <w:trHeight w:val="309"/>
        </w:trPr>
        <w:tc>
          <w:tcPr>
            <w:tcW w:w="1253" w:type="dxa"/>
            <w:shd w:val="clear" w:color="auto" w:fill="C6EFCE"/>
            <w:noWrap/>
            <w:vAlign w:val="center"/>
          </w:tcPr>
          <w:p w14:paraId="5E013FB7" w14:textId="77777777" w:rsidR="006054AA" w:rsidRDefault="001F7667">
            <w:pPr>
              <w:pStyle w:val="P68B1DB1-Normal5"/>
              <w:jc w:val="center"/>
              <w:rPr>
                <w:noProof/>
              </w:rPr>
            </w:pPr>
            <w:r>
              <w:rPr>
                <w:noProof/>
              </w:rPr>
              <w:t>M1C1—5</w:t>
            </w:r>
          </w:p>
        </w:tc>
        <w:tc>
          <w:tcPr>
            <w:tcW w:w="1568" w:type="dxa"/>
            <w:shd w:val="clear" w:color="auto" w:fill="C6EFCE"/>
            <w:noWrap/>
            <w:vAlign w:val="center"/>
          </w:tcPr>
          <w:p w14:paraId="70F626EB"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2E40049A"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68FD4BE7" w14:textId="77777777" w:rsidR="006054AA" w:rsidRDefault="001F7667">
            <w:pPr>
              <w:pStyle w:val="P68B1DB1-Normal5"/>
              <w:jc w:val="center"/>
              <w:rPr>
                <w:noProof/>
              </w:rPr>
            </w:pPr>
            <w:r>
              <w:rPr>
                <w:noProof/>
              </w:rPr>
              <w:t>Създаване на новата Национална агенция за киберсигурност</w:t>
            </w:r>
          </w:p>
        </w:tc>
        <w:tc>
          <w:tcPr>
            <w:tcW w:w="1701" w:type="dxa"/>
            <w:shd w:val="clear" w:color="auto" w:fill="C6EFCE"/>
            <w:noWrap/>
            <w:vAlign w:val="center"/>
          </w:tcPr>
          <w:p w14:paraId="5855D374" w14:textId="77777777" w:rsidR="006054AA" w:rsidRDefault="001F7667">
            <w:pPr>
              <w:pStyle w:val="P68B1DB1-Normal5"/>
              <w:jc w:val="center"/>
              <w:rPr>
                <w:noProof/>
              </w:rPr>
            </w:pPr>
            <w:r>
              <w:rPr>
                <w:noProof/>
              </w:rPr>
              <w:t>Административен учредителен акт</w:t>
            </w:r>
          </w:p>
        </w:tc>
        <w:tc>
          <w:tcPr>
            <w:tcW w:w="1134" w:type="dxa"/>
            <w:shd w:val="clear" w:color="auto" w:fill="C6EFCE"/>
            <w:noWrap/>
            <w:vAlign w:val="center"/>
          </w:tcPr>
          <w:p w14:paraId="6F9DF09D"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1924B152"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2FB35B0D"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0EB8C769"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61C6B7C5" w14:textId="77777777" w:rsidR="006054AA" w:rsidRDefault="001F7667">
            <w:pPr>
              <w:pStyle w:val="P68B1DB1-Normal5"/>
              <w:jc w:val="center"/>
              <w:rPr>
                <w:noProof/>
              </w:rPr>
            </w:pPr>
            <w:r>
              <w:rPr>
                <w:noProof/>
              </w:rPr>
              <w:t>2022</w:t>
            </w:r>
          </w:p>
        </w:tc>
        <w:tc>
          <w:tcPr>
            <w:tcW w:w="2835" w:type="dxa"/>
            <w:shd w:val="clear" w:color="auto" w:fill="C6EFCE"/>
            <w:noWrap/>
            <w:vAlign w:val="center"/>
          </w:tcPr>
          <w:p w14:paraId="1F84FC5A" w14:textId="77777777" w:rsidR="006054AA" w:rsidRDefault="001F7667">
            <w:pPr>
              <w:pStyle w:val="P68B1DB1-Normal5"/>
              <w:spacing w:after="120"/>
              <w:rPr>
                <w:noProof/>
              </w:rPr>
            </w:pPr>
            <w:r>
              <w:rPr>
                <w:noProof/>
              </w:rPr>
              <w:t>Ключовият етап се постига с (1) преобразуването в закон на Декрет-закона, представляващ Националната агенция за киберсигурност, който понастоящем е в процес на финализиране; (2) публикуването в Официален вестник на Постановлението на министър-председателя (Decreto del Presidente del Consiglio dei Ministri, DPCM), съдържащо вътрешната нормативна уредба на Националната агенция за киберсигурност.</w:t>
            </w:r>
          </w:p>
        </w:tc>
      </w:tr>
      <w:tr w:rsidR="006054AA" w14:paraId="07177E78" w14:textId="77777777">
        <w:trPr>
          <w:trHeight w:val="309"/>
        </w:trPr>
        <w:tc>
          <w:tcPr>
            <w:tcW w:w="1253" w:type="dxa"/>
            <w:shd w:val="clear" w:color="auto" w:fill="C6EFCE"/>
            <w:noWrap/>
            <w:vAlign w:val="center"/>
          </w:tcPr>
          <w:p w14:paraId="48943100" w14:textId="77777777" w:rsidR="006054AA" w:rsidRDefault="001F7667">
            <w:pPr>
              <w:pStyle w:val="P68B1DB1-Normal5"/>
              <w:jc w:val="center"/>
              <w:rPr>
                <w:noProof/>
              </w:rPr>
            </w:pPr>
            <w:r>
              <w:rPr>
                <w:noProof/>
              </w:rPr>
              <w:t>M1C1—6</w:t>
            </w:r>
          </w:p>
        </w:tc>
        <w:tc>
          <w:tcPr>
            <w:tcW w:w="1568" w:type="dxa"/>
            <w:shd w:val="clear" w:color="auto" w:fill="C6EFCE"/>
            <w:noWrap/>
            <w:vAlign w:val="center"/>
          </w:tcPr>
          <w:p w14:paraId="7828AB7B"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4B478FC2"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1362EBE8" w14:textId="77777777" w:rsidR="006054AA" w:rsidRDefault="001F7667">
            <w:pPr>
              <w:pStyle w:val="P68B1DB1-Normal5"/>
              <w:jc w:val="center"/>
              <w:rPr>
                <w:noProof/>
              </w:rPr>
            </w:pPr>
            <w:r>
              <w:rPr>
                <w:noProof/>
              </w:rPr>
              <w:t>Първоначално внедряване на националните услуги в областта на киберсигурността</w:t>
            </w:r>
          </w:p>
        </w:tc>
        <w:tc>
          <w:tcPr>
            <w:tcW w:w="1701" w:type="dxa"/>
            <w:shd w:val="clear" w:color="auto" w:fill="C6EFCE"/>
            <w:noWrap/>
            <w:vAlign w:val="center"/>
          </w:tcPr>
          <w:p w14:paraId="5500E25F" w14:textId="77777777" w:rsidR="006054AA" w:rsidRDefault="001F7667">
            <w:pPr>
              <w:pStyle w:val="P68B1DB1-Normal5"/>
              <w:jc w:val="center"/>
              <w:rPr>
                <w:noProof/>
              </w:rPr>
            </w:pPr>
            <w:r>
              <w:rPr>
                <w:noProof/>
              </w:rPr>
              <w:t>Доклад, показващ пълната архитектура на националните услуги в областта на киберсигурността</w:t>
            </w:r>
          </w:p>
        </w:tc>
        <w:tc>
          <w:tcPr>
            <w:tcW w:w="1134" w:type="dxa"/>
            <w:shd w:val="clear" w:color="auto" w:fill="C6EFCE"/>
            <w:noWrap/>
            <w:vAlign w:val="center"/>
          </w:tcPr>
          <w:p w14:paraId="1DF92E1B"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7B6A823E"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40138CD1"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490E175A"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3CA2A0FA" w14:textId="77777777" w:rsidR="006054AA" w:rsidRDefault="001F7667">
            <w:pPr>
              <w:pStyle w:val="P68B1DB1-Normal5"/>
              <w:jc w:val="center"/>
              <w:rPr>
                <w:noProof/>
              </w:rPr>
            </w:pPr>
            <w:r>
              <w:rPr>
                <w:noProof/>
              </w:rPr>
              <w:t>2022</w:t>
            </w:r>
          </w:p>
        </w:tc>
        <w:tc>
          <w:tcPr>
            <w:tcW w:w="2835" w:type="dxa"/>
            <w:shd w:val="clear" w:color="auto" w:fill="C6EFCE"/>
            <w:noWrap/>
            <w:vAlign w:val="center"/>
          </w:tcPr>
          <w:p w14:paraId="7E11AC9A" w14:textId="49D5CBA5" w:rsidR="006054AA" w:rsidRDefault="001F7667">
            <w:pPr>
              <w:pStyle w:val="P68B1DB1-Normal5"/>
              <w:spacing w:after="120"/>
              <w:rPr>
                <w:noProof/>
              </w:rPr>
            </w:pPr>
            <w:r>
              <w:rPr>
                <w:noProof/>
              </w:rPr>
              <w:t>Ключовият етап се постига с определянето на подробната архитектура на цялата екосистема на националната архитектура за киберсигурност (т.е. национален център за обмен и анализ на информация (ISAC), мрежа от екипи за незабавно реагиране при компютърни инциденти (CERT), национален HyperSOC, високопроизводителните изчислителни технологии, интегрирани с инструментите на изкуствения интелект/машинното самообучение (AI/ML) за анализ на инциденти, свързани с киберсигурността на национално равнище).</w:t>
            </w:r>
          </w:p>
        </w:tc>
      </w:tr>
      <w:tr w:rsidR="006054AA" w14:paraId="70B34137" w14:textId="77777777">
        <w:trPr>
          <w:trHeight w:val="309"/>
        </w:trPr>
        <w:tc>
          <w:tcPr>
            <w:tcW w:w="1253" w:type="dxa"/>
            <w:shd w:val="clear" w:color="auto" w:fill="C6EFCE"/>
            <w:noWrap/>
            <w:vAlign w:val="center"/>
          </w:tcPr>
          <w:p w14:paraId="2B5B7213" w14:textId="77777777" w:rsidR="006054AA" w:rsidRDefault="001F7667">
            <w:pPr>
              <w:pStyle w:val="P68B1DB1-Normal5"/>
              <w:jc w:val="center"/>
              <w:rPr>
                <w:noProof/>
              </w:rPr>
            </w:pPr>
            <w:r>
              <w:rPr>
                <w:noProof/>
              </w:rPr>
              <w:t>M1C1—7</w:t>
            </w:r>
          </w:p>
        </w:tc>
        <w:tc>
          <w:tcPr>
            <w:tcW w:w="1568" w:type="dxa"/>
            <w:shd w:val="clear" w:color="auto" w:fill="C6EFCE"/>
            <w:noWrap/>
            <w:vAlign w:val="center"/>
          </w:tcPr>
          <w:p w14:paraId="6E340A62"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5D7F3661"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74560CEA" w14:textId="77777777" w:rsidR="006054AA" w:rsidRDefault="001F7667">
            <w:pPr>
              <w:pStyle w:val="P68B1DB1-Normal5"/>
              <w:jc w:val="center"/>
              <w:rPr>
                <w:noProof/>
              </w:rPr>
            </w:pPr>
            <w:r>
              <w:rPr>
                <w:noProof/>
              </w:rPr>
              <w:t>Стартиране на мрежата от лаборатории за скрининг и сертифициране на киберсигурността</w:t>
            </w:r>
          </w:p>
        </w:tc>
        <w:tc>
          <w:tcPr>
            <w:tcW w:w="1701" w:type="dxa"/>
            <w:shd w:val="clear" w:color="auto" w:fill="C6EFCE"/>
            <w:noWrap/>
            <w:vAlign w:val="center"/>
          </w:tcPr>
          <w:p w14:paraId="243A5982" w14:textId="0094057E" w:rsidR="006054AA" w:rsidRDefault="001F7667">
            <w:pPr>
              <w:pStyle w:val="P68B1DB1-Normal5"/>
              <w:jc w:val="center"/>
              <w:rPr>
                <w:noProof/>
              </w:rPr>
            </w:pPr>
            <w:r>
              <w:rPr>
                <w:noProof/>
              </w:rPr>
              <w:t>Предоставена документация, показваща установените процеси и процедури, които трябва да бъдат споделени между лабораториите, и предоставена информация, доказваща активирането на поне една лаборатория</w:t>
            </w:r>
          </w:p>
        </w:tc>
        <w:tc>
          <w:tcPr>
            <w:tcW w:w="1134" w:type="dxa"/>
            <w:shd w:val="clear" w:color="auto" w:fill="C6EFCE"/>
            <w:noWrap/>
            <w:vAlign w:val="center"/>
          </w:tcPr>
          <w:p w14:paraId="6D88844D"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29486108"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58BF287A"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3880AF7B"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3BD8CF63" w14:textId="77777777" w:rsidR="006054AA" w:rsidRDefault="001F7667">
            <w:pPr>
              <w:pStyle w:val="P68B1DB1-Normal5"/>
              <w:jc w:val="center"/>
              <w:rPr>
                <w:noProof/>
              </w:rPr>
            </w:pPr>
            <w:r>
              <w:rPr>
                <w:noProof/>
              </w:rPr>
              <w:t>2022</w:t>
            </w:r>
          </w:p>
        </w:tc>
        <w:tc>
          <w:tcPr>
            <w:tcW w:w="2835" w:type="dxa"/>
            <w:shd w:val="clear" w:color="auto" w:fill="C6EFCE"/>
            <w:noWrap/>
            <w:vAlign w:val="center"/>
          </w:tcPr>
          <w:p w14:paraId="0798CA4E" w14:textId="77777777" w:rsidR="006054AA" w:rsidRDefault="001F7667">
            <w:pPr>
              <w:pStyle w:val="P68B1DB1-Normal5"/>
              <w:spacing w:after="120"/>
              <w:rPr>
                <w:noProof/>
              </w:rPr>
            </w:pPr>
            <w:r>
              <w:rPr>
                <w:noProof/>
              </w:rPr>
              <w:t>Ключовият етап се постига с:</w:t>
            </w:r>
          </w:p>
          <w:p w14:paraId="0B95D4CD" w14:textId="4F875202" w:rsidR="006054AA" w:rsidRDefault="001F7667">
            <w:pPr>
              <w:pStyle w:val="P68B1DB1-Normal5"/>
              <w:rPr>
                <w:noProof/>
              </w:rPr>
            </w:pPr>
            <w:r>
              <w:rPr>
                <w:noProof/>
              </w:rPr>
              <w:t>I) Определяне от страна на националната агенция за киберсигурност къде ще бъдат създадени лабораториите и центровете за проверка и сертифициране, профилите на експертите, които ще бъдат наети, пълното определяне на процесите и процедурите, които да бъдат споделени между лабораториите.</w:t>
            </w:r>
          </w:p>
          <w:p w14:paraId="0E11745F" w14:textId="77777777" w:rsidR="006054AA" w:rsidRDefault="001F7667">
            <w:pPr>
              <w:pStyle w:val="P68B1DB1-Normal5"/>
              <w:spacing w:before="120" w:after="120"/>
              <w:rPr>
                <w:noProof/>
              </w:rPr>
            </w:pPr>
            <w:r>
              <w:rPr>
                <w:noProof/>
              </w:rPr>
              <w:t>II) Активиране на една лаборатория.</w:t>
            </w:r>
          </w:p>
          <w:p w14:paraId="4EAA2752" w14:textId="77777777" w:rsidR="006054AA" w:rsidRDefault="001F7667">
            <w:pPr>
              <w:pStyle w:val="P68B1DB1-Normal5"/>
              <w:spacing w:after="120"/>
              <w:rPr>
                <w:noProof/>
                <w:color w:val="FF0000"/>
              </w:rPr>
            </w:pPr>
            <w:r>
              <w:rPr>
                <w:noProof/>
              </w:rPr>
              <w:t>Дейностите, създадени за създаването и активирането на контролните лаборатории, се контролират от Ministero dello Sviluppo Economico (MISE) с CVCN (Национална лаборатория за проверка и сертифициране на киберсигурността) и се интегрират в Центъра за оценка (CV) от Министерството на вътрешните работи и Министерството на отбраната.</w:t>
            </w:r>
          </w:p>
        </w:tc>
      </w:tr>
      <w:tr w:rsidR="006054AA" w14:paraId="4B50FB60" w14:textId="77777777">
        <w:trPr>
          <w:trHeight w:val="309"/>
        </w:trPr>
        <w:tc>
          <w:tcPr>
            <w:tcW w:w="1253" w:type="dxa"/>
            <w:shd w:val="clear" w:color="auto" w:fill="C6EFCE"/>
            <w:noWrap/>
            <w:vAlign w:val="center"/>
          </w:tcPr>
          <w:p w14:paraId="27D9BF50" w14:textId="77777777" w:rsidR="006054AA" w:rsidRDefault="001F7667">
            <w:pPr>
              <w:pStyle w:val="P68B1DB1-Normal5"/>
              <w:jc w:val="center"/>
              <w:rPr>
                <w:noProof/>
              </w:rPr>
            </w:pPr>
            <w:r>
              <w:rPr>
                <w:noProof/>
              </w:rPr>
              <w:t>M1C1—8</w:t>
            </w:r>
          </w:p>
        </w:tc>
        <w:tc>
          <w:tcPr>
            <w:tcW w:w="1568" w:type="dxa"/>
            <w:shd w:val="clear" w:color="auto" w:fill="C6EFCE"/>
            <w:noWrap/>
            <w:vAlign w:val="center"/>
          </w:tcPr>
          <w:p w14:paraId="678D1BEE"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2B755852"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4FCA19FB" w14:textId="77777777" w:rsidR="006054AA" w:rsidRDefault="001F7667">
            <w:pPr>
              <w:pStyle w:val="P68B1DB1-Normal5"/>
              <w:jc w:val="center"/>
              <w:rPr>
                <w:noProof/>
              </w:rPr>
            </w:pPr>
            <w:r>
              <w:rPr>
                <w:noProof/>
              </w:rPr>
              <w:t>Активиране на Централно звено за одит на мерките за сигурност PSNC -NIS</w:t>
            </w:r>
          </w:p>
        </w:tc>
        <w:tc>
          <w:tcPr>
            <w:tcW w:w="1701" w:type="dxa"/>
            <w:shd w:val="clear" w:color="auto" w:fill="C6EFCE"/>
            <w:noWrap/>
            <w:vAlign w:val="center"/>
          </w:tcPr>
          <w:p w14:paraId="17538402" w14:textId="77777777" w:rsidR="006054AA" w:rsidRDefault="001F7667">
            <w:pPr>
              <w:pStyle w:val="P68B1DB1-Normal5"/>
              <w:jc w:val="center"/>
              <w:rPr>
                <w:noProof/>
              </w:rPr>
            </w:pPr>
            <w:r>
              <w:rPr>
                <w:noProof/>
              </w:rPr>
              <w:t>Предоставени доклади, доказващи стартирането на Централното звено за одит</w:t>
            </w:r>
          </w:p>
        </w:tc>
        <w:tc>
          <w:tcPr>
            <w:tcW w:w="1134" w:type="dxa"/>
            <w:shd w:val="clear" w:color="auto" w:fill="C6EFCE"/>
            <w:noWrap/>
            <w:vAlign w:val="center"/>
          </w:tcPr>
          <w:p w14:paraId="79FC01B0"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53D9A948"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6040222B"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176BC4DC"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1C6BDB5B" w14:textId="77777777" w:rsidR="006054AA" w:rsidRDefault="001F7667">
            <w:pPr>
              <w:pStyle w:val="P68B1DB1-Normal5"/>
              <w:jc w:val="center"/>
              <w:rPr>
                <w:noProof/>
              </w:rPr>
            </w:pPr>
            <w:r>
              <w:rPr>
                <w:noProof/>
              </w:rPr>
              <w:t>2022</w:t>
            </w:r>
          </w:p>
        </w:tc>
        <w:tc>
          <w:tcPr>
            <w:tcW w:w="2835" w:type="dxa"/>
            <w:shd w:val="clear" w:color="auto" w:fill="C6EFCE"/>
            <w:noWrap/>
            <w:vAlign w:val="center"/>
          </w:tcPr>
          <w:p w14:paraId="70CAE4B5" w14:textId="77777777" w:rsidR="006054AA" w:rsidRDefault="001F7667">
            <w:pPr>
              <w:pStyle w:val="P68B1DB1-Normal5"/>
              <w:spacing w:after="120"/>
              <w:rPr>
                <w:noProof/>
              </w:rPr>
            </w:pPr>
            <w:r>
              <w:rPr>
                <w:noProof/>
              </w:rPr>
              <w:t>В рамките на Националната агенция за киберсигурност се назначава вътрешно звено с мандат за изпълнение на дейностите на централното звено за одит, което ще отговаря за мерките за сигурност на PSNC.</w:t>
            </w:r>
          </w:p>
          <w:p w14:paraId="32B4EBDD" w14:textId="77777777" w:rsidR="006054AA" w:rsidRDefault="001F7667">
            <w:pPr>
              <w:pStyle w:val="P68B1DB1-Normal5"/>
              <w:spacing w:after="120"/>
              <w:rPr>
                <w:noProof/>
              </w:rPr>
            </w:pPr>
            <w:r>
              <w:rPr>
                <w:noProof/>
              </w:rPr>
              <w:t>Процесите, логистиката и договореностите за експлоатация се формализират в подходяща документация със специален акцент върху оперативните процеси, т.е. правилата за ангажиране, одит и процедури за докладване.</w:t>
            </w:r>
          </w:p>
          <w:p w14:paraId="61C95DB7" w14:textId="77777777" w:rsidR="006054AA" w:rsidRDefault="001F7667">
            <w:pPr>
              <w:pStyle w:val="P68B1DB1-Normal5"/>
              <w:spacing w:after="120"/>
              <w:rPr>
                <w:noProof/>
              </w:rPr>
            </w:pPr>
            <w:r>
              <w:rPr>
                <w:noProof/>
              </w:rPr>
              <w:t>ИТ инструментите събират, управляват и анализират одитните данни и се разработват и използват от одитния отдел.</w:t>
            </w:r>
          </w:p>
          <w:p w14:paraId="051D2CEC" w14:textId="77777777" w:rsidR="006054AA" w:rsidRDefault="001F7667">
            <w:pPr>
              <w:pStyle w:val="P68B1DB1-Normal5"/>
              <w:spacing w:after="120"/>
              <w:rPr>
                <w:noProof/>
              </w:rPr>
            </w:pPr>
            <w:r>
              <w:rPr>
                <w:noProof/>
              </w:rPr>
              <w:t>Предоставя се документация, в която се посочва приключването на разработването на инструментите.</w:t>
            </w:r>
          </w:p>
        </w:tc>
      </w:tr>
      <w:tr w:rsidR="006054AA" w14:paraId="0D01BA26" w14:textId="77777777">
        <w:trPr>
          <w:trHeight w:val="309"/>
        </w:trPr>
        <w:tc>
          <w:tcPr>
            <w:tcW w:w="1253" w:type="dxa"/>
            <w:shd w:val="clear" w:color="auto" w:fill="C6EFCE"/>
            <w:noWrap/>
            <w:vAlign w:val="center"/>
          </w:tcPr>
          <w:p w14:paraId="7CC88111" w14:textId="77777777" w:rsidR="006054AA" w:rsidRDefault="001F7667">
            <w:pPr>
              <w:pStyle w:val="P68B1DB1-Normal5"/>
              <w:jc w:val="center"/>
              <w:rPr>
                <w:noProof/>
              </w:rPr>
            </w:pPr>
            <w:r>
              <w:rPr>
                <w:noProof/>
              </w:rPr>
              <w:t>M1C1—9</w:t>
            </w:r>
          </w:p>
        </w:tc>
        <w:tc>
          <w:tcPr>
            <w:tcW w:w="1568" w:type="dxa"/>
            <w:shd w:val="clear" w:color="auto" w:fill="C6EFCE"/>
            <w:noWrap/>
            <w:vAlign w:val="center"/>
          </w:tcPr>
          <w:p w14:paraId="330C584C"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7BA41D78"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620B77D5" w14:textId="77777777" w:rsidR="006054AA" w:rsidRDefault="001F7667">
            <w:pPr>
              <w:pStyle w:val="P68B1DB1-Normal5"/>
              <w:jc w:val="center"/>
              <w:rPr>
                <w:noProof/>
              </w:rPr>
            </w:pPr>
            <w:r>
              <w:rPr>
                <w:noProof/>
              </w:rPr>
              <w:t>Подкрепа за модернизирането на структурите за сигурност T1</w:t>
            </w:r>
          </w:p>
        </w:tc>
        <w:tc>
          <w:tcPr>
            <w:tcW w:w="1701" w:type="dxa"/>
            <w:shd w:val="clear" w:color="auto" w:fill="C6EFCE"/>
            <w:noWrap/>
            <w:vAlign w:val="center"/>
          </w:tcPr>
          <w:p w14:paraId="6D010E4D"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5C8E9DB3"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6644D46F" w14:textId="77777777" w:rsidR="006054AA" w:rsidRDefault="001F7667">
            <w:pPr>
              <w:pStyle w:val="P68B1DB1-Normal5"/>
              <w:jc w:val="center"/>
              <w:rPr>
                <w:noProof/>
              </w:rPr>
            </w:pPr>
            <w:r>
              <w:rPr>
                <w:noProof/>
              </w:rPr>
              <w:t>0</w:t>
            </w:r>
          </w:p>
        </w:tc>
        <w:tc>
          <w:tcPr>
            <w:tcW w:w="1276" w:type="dxa"/>
            <w:shd w:val="clear" w:color="auto" w:fill="C6EFCE"/>
            <w:noWrap/>
            <w:vAlign w:val="center"/>
          </w:tcPr>
          <w:p w14:paraId="7996A28D" w14:textId="77777777" w:rsidR="006054AA" w:rsidRDefault="001F7667">
            <w:pPr>
              <w:pStyle w:val="P68B1DB1-Normal5"/>
              <w:jc w:val="center"/>
              <w:rPr>
                <w:noProof/>
              </w:rPr>
            </w:pPr>
            <w:r>
              <w:rPr>
                <w:noProof/>
              </w:rPr>
              <w:t>5</w:t>
            </w:r>
          </w:p>
        </w:tc>
        <w:tc>
          <w:tcPr>
            <w:tcW w:w="850" w:type="dxa"/>
            <w:shd w:val="clear" w:color="auto" w:fill="C6EFCE"/>
            <w:noWrap/>
            <w:vAlign w:val="center"/>
          </w:tcPr>
          <w:p w14:paraId="22E70192"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13340BBE" w14:textId="77777777" w:rsidR="006054AA" w:rsidRDefault="001F7667">
            <w:pPr>
              <w:pStyle w:val="P68B1DB1-Normal5"/>
              <w:jc w:val="center"/>
              <w:rPr>
                <w:noProof/>
              </w:rPr>
            </w:pPr>
            <w:r>
              <w:rPr>
                <w:noProof/>
              </w:rPr>
              <w:t>2022</w:t>
            </w:r>
          </w:p>
        </w:tc>
        <w:tc>
          <w:tcPr>
            <w:tcW w:w="2835" w:type="dxa"/>
            <w:shd w:val="clear" w:color="auto" w:fill="C6EFCE"/>
            <w:noWrap/>
            <w:vAlign w:val="center"/>
          </w:tcPr>
          <w:p w14:paraId="4EB3395C" w14:textId="77777777" w:rsidR="006054AA" w:rsidRDefault="001F7667">
            <w:pPr>
              <w:pStyle w:val="P68B1DB1-Normal5"/>
              <w:spacing w:after="120"/>
              <w:rPr>
                <w:noProof/>
              </w:rPr>
            </w:pPr>
            <w:r>
              <w:rPr>
                <w:noProof/>
              </w:rPr>
              <w:t>Най-малко пет засилени интервенции за модернизиране на структурите за сигурност, завършени в Националния периметър за сигурност за секторите на киберсигурността (PSNC) и мрежите и информационните системи (МИС).</w:t>
            </w:r>
          </w:p>
          <w:p w14:paraId="4CAC673F" w14:textId="77777777" w:rsidR="006054AA" w:rsidRDefault="001F7667">
            <w:pPr>
              <w:pStyle w:val="P68B1DB1-Normal5"/>
              <w:spacing w:after="120"/>
              <w:rPr>
                <w:noProof/>
              </w:rPr>
            </w:pPr>
            <w:r>
              <w:rPr>
                <w:noProof/>
              </w:rPr>
              <w:t>Видовете интервенции включват модернизиране на оперативните центрове за сигурност (ЦОС), подобряване на защитата на границите на киберпространството и способности за вътрешен мониторинг и контрол. Интервенциите са насочени към секторите на здравеопазването, енергетиката и околната среда (водоснабдяване с питейна вода).</w:t>
            </w:r>
          </w:p>
        </w:tc>
      </w:tr>
      <w:tr w:rsidR="006054AA" w14:paraId="36A10D0E" w14:textId="77777777">
        <w:trPr>
          <w:trHeight w:val="309"/>
        </w:trPr>
        <w:tc>
          <w:tcPr>
            <w:tcW w:w="1253" w:type="dxa"/>
            <w:shd w:val="clear" w:color="auto" w:fill="C6EFCE"/>
            <w:noWrap/>
            <w:vAlign w:val="center"/>
          </w:tcPr>
          <w:p w14:paraId="164F0A9D" w14:textId="77777777" w:rsidR="006054AA" w:rsidRDefault="001F7667">
            <w:pPr>
              <w:pStyle w:val="P68B1DB1-Normal5"/>
              <w:jc w:val="center"/>
              <w:rPr>
                <w:noProof/>
              </w:rPr>
            </w:pPr>
            <w:r>
              <w:rPr>
                <w:noProof/>
              </w:rPr>
              <w:t>M1C1—10</w:t>
            </w:r>
          </w:p>
        </w:tc>
        <w:tc>
          <w:tcPr>
            <w:tcW w:w="1568" w:type="dxa"/>
            <w:shd w:val="clear" w:color="auto" w:fill="C6EFCE"/>
            <w:noWrap/>
            <w:vAlign w:val="center"/>
          </w:tcPr>
          <w:p w14:paraId="7156F576" w14:textId="77777777" w:rsidR="006054AA" w:rsidRDefault="001F7667">
            <w:pPr>
              <w:pStyle w:val="P68B1DB1-Normal5"/>
              <w:jc w:val="center"/>
              <w:rPr>
                <w:noProof/>
              </w:rPr>
            </w:pPr>
            <w:r>
              <w:rPr>
                <w:noProof/>
              </w:rPr>
              <w:t>Реформа 1.2: Подкрепа за трансформацията</w:t>
            </w:r>
          </w:p>
        </w:tc>
        <w:tc>
          <w:tcPr>
            <w:tcW w:w="1148" w:type="dxa"/>
            <w:shd w:val="clear" w:color="auto" w:fill="C6EFCE"/>
            <w:noWrap/>
            <w:vAlign w:val="center"/>
          </w:tcPr>
          <w:p w14:paraId="30139433"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7A292464" w14:textId="77777777" w:rsidR="006054AA" w:rsidRDefault="001F7667">
            <w:pPr>
              <w:pStyle w:val="P68B1DB1-Normal5"/>
              <w:jc w:val="center"/>
              <w:rPr>
                <w:noProof/>
              </w:rPr>
            </w:pPr>
            <w:r>
              <w:rPr>
                <w:noProof/>
              </w:rPr>
              <w:t>Влизане в сила на създаването на Transformation Team и NewCo</w:t>
            </w:r>
          </w:p>
        </w:tc>
        <w:tc>
          <w:tcPr>
            <w:tcW w:w="1701" w:type="dxa"/>
            <w:shd w:val="clear" w:color="auto" w:fill="C6EFCE"/>
            <w:noWrap/>
            <w:vAlign w:val="center"/>
          </w:tcPr>
          <w:p w14:paraId="1766158E" w14:textId="77777777" w:rsidR="006054AA" w:rsidRDefault="001F7667">
            <w:pPr>
              <w:pStyle w:val="P68B1DB1-Normal5"/>
              <w:jc w:val="center"/>
              <w:rPr>
                <w:noProof/>
              </w:rPr>
            </w:pPr>
            <w:r>
              <w:rPr>
                <w:noProof/>
              </w:rPr>
              <w:t>Разпоредба в правния акт, указваща влизането в сила на правен акт за създаване на Служба по преобразуване и влизането в сила на правен акт за създаване на NewCo</w:t>
            </w:r>
          </w:p>
        </w:tc>
        <w:tc>
          <w:tcPr>
            <w:tcW w:w="1134" w:type="dxa"/>
            <w:shd w:val="clear" w:color="auto" w:fill="C6EFCE"/>
            <w:noWrap/>
            <w:vAlign w:val="center"/>
          </w:tcPr>
          <w:p w14:paraId="42559A90"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69176612"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41B39FA0"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22FF83DC"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3F725461" w14:textId="77777777" w:rsidR="006054AA" w:rsidRDefault="001F7667">
            <w:pPr>
              <w:pStyle w:val="P68B1DB1-Normal5"/>
              <w:jc w:val="center"/>
              <w:rPr>
                <w:noProof/>
              </w:rPr>
            </w:pPr>
            <w:r>
              <w:rPr>
                <w:noProof/>
              </w:rPr>
              <w:t>2022</w:t>
            </w:r>
          </w:p>
        </w:tc>
        <w:tc>
          <w:tcPr>
            <w:tcW w:w="2835" w:type="dxa"/>
            <w:shd w:val="clear" w:color="auto" w:fill="C6EFCE"/>
            <w:noWrap/>
            <w:vAlign w:val="center"/>
          </w:tcPr>
          <w:p w14:paraId="201BF5B1" w14:textId="77777777" w:rsidR="006054AA" w:rsidRDefault="001F7667">
            <w:pPr>
              <w:pStyle w:val="P68B1DB1-Normal4"/>
              <w:spacing w:after="120"/>
              <w:rPr>
                <w:noProof/>
                <w:color w:val="006100"/>
              </w:rPr>
            </w:pPr>
            <w:r>
              <w:rPr>
                <w:noProof/>
                <w:color w:val="006100"/>
              </w:rPr>
              <w:t>За създаването на службата по</w:t>
            </w:r>
            <w:r>
              <w:rPr>
                <w:noProof/>
              </w:rPr>
              <w:t xml:space="preserve"> </w:t>
            </w:r>
            <w:r>
              <w:rPr>
                <w:noProof/>
                <w:color w:val="006100"/>
              </w:rPr>
              <w:t>преобразуване необходимите правни актове включват:</w:t>
            </w:r>
          </w:p>
          <w:p w14:paraId="6BAD42B7" w14:textId="77777777" w:rsidR="006054AA" w:rsidRDefault="001F7667">
            <w:pPr>
              <w:pStyle w:val="P68B1DB1-ListParagraph6"/>
              <w:numPr>
                <w:ilvl w:val="0"/>
                <w:numId w:val="85"/>
              </w:numPr>
              <w:ind w:left="314" w:hanging="232"/>
              <w:jc w:val="left"/>
              <w:rPr>
                <w:noProof/>
              </w:rPr>
            </w:pPr>
            <w:r>
              <w:rPr>
                <w:noProof/>
              </w:rPr>
              <w:t>Публикуването на Декрет-закон „reclutamento „(вече одобрено от Министерския съвет № 22 от 4 юни 2021 г.</w:t>
            </w:r>
            <w:r>
              <w:rPr>
                <w:noProof/>
                <w:vertAlign w:val="superscript"/>
              </w:rPr>
              <w:t>и</w:t>
            </w:r>
            <w:r>
              <w:rPr>
                <w:noProof/>
              </w:rPr>
              <w:t xml:space="preserve"> публикувано в Официален вестник („Gazzetta Ufficiale“) на 10 юни</w:t>
            </w:r>
            <w:r>
              <w:rPr>
                <w:noProof/>
                <w:vertAlign w:val="superscript"/>
              </w:rPr>
              <w:t>2021</w:t>
            </w:r>
            <w:r>
              <w:rPr>
                <w:noProof/>
              </w:rPr>
              <w:t xml:space="preserve"> г.);</w:t>
            </w:r>
          </w:p>
          <w:p w14:paraId="70E56841" w14:textId="77777777" w:rsidR="006054AA" w:rsidRDefault="001F7667">
            <w:pPr>
              <w:pStyle w:val="P68B1DB1-ListParagraph6"/>
              <w:numPr>
                <w:ilvl w:val="0"/>
                <w:numId w:val="85"/>
              </w:numPr>
              <w:ind w:left="314" w:hanging="232"/>
              <w:jc w:val="left"/>
              <w:rPr>
                <w:noProof/>
              </w:rPr>
            </w:pPr>
            <w:r>
              <w:rPr>
                <w:noProof/>
              </w:rPr>
              <w:t>Публикуването на покана за изразяване на интерес;</w:t>
            </w:r>
          </w:p>
          <w:p w14:paraId="2BDD7688" w14:textId="77777777" w:rsidR="006054AA" w:rsidRDefault="001F7667">
            <w:pPr>
              <w:pStyle w:val="P68B1DB1-ListParagraph6"/>
              <w:numPr>
                <w:ilvl w:val="0"/>
                <w:numId w:val="85"/>
              </w:numPr>
              <w:ind w:left="314" w:hanging="232"/>
              <w:jc w:val="left"/>
              <w:rPr>
                <w:noProof/>
              </w:rPr>
            </w:pPr>
            <w:r>
              <w:rPr>
                <w:noProof/>
              </w:rPr>
              <w:t>Подбора и възлагането на задачата на експертите (временно за срока на действие на МВУ).</w:t>
            </w:r>
          </w:p>
          <w:p w14:paraId="6A190F0E" w14:textId="77777777" w:rsidR="006054AA" w:rsidRDefault="001F7667">
            <w:pPr>
              <w:pStyle w:val="P68B1DB1-Normal5"/>
              <w:spacing w:after="120"/>
              <w:rPr>
                <w:noProof/>
              </w:rPr>
            </w:pPr>
            <w:r>
              <w:rPr>
                <w:noProof/>
              </w:rPr>
              <w:t>За NewCo ключовите стъпки, които се изискват, включват:</w:t>
            </w:r>
          </w:p>
          <w:p w14:paraId="5E636925" w14:textId="77777777" w:rsidR="006054AA" w:rsidRDefault="001F7667">
            <w:pPr>
              <w:pStyle w:val="P68B1DB1-ListParagraph6"/>
              <w:numPr>
                <w:ilvl w:val="0"/>
                <w:numId w:val="85"/>
              </w:numPr>
              <w:ind w:left="314" w:hanging="232"/>
              <w:jc w:val="left"/>
              <w:rPr>
                <w:noProof/>
              </w:rPr>
            </w:pPr>
            <w:r>
              <w:rPr>
                <w:noProof/>
              </w:rPr>
              <w:t>Законодателно разрешение;</w:t>
            </w:r>
          </w:p>
          <w:p w14:paraId="26C5A136" w14:textId="77777777" w:rsidR="006054AA" w:rsidRDefault="001F7667">
            <w:pPr>
              <w:pStyle w:val="P68B1DB1-ListParagraph6"/>
              <w:numPr>
                <w:ilvl w:val="0"/>
                <w:numId w:val="85"/>
              </w:numPr>
              <w:ind w:left="314" w:hanging="232"/>
              <w:jc w:val="left"/>
              <w:rPr>
                <w:noProof/>
              </w:rPr>
            </w:pPr>
            <w:r>
              <w:rPr>
                <w:noProof/>
              </w:rPr>
              <w:t>Decreto del Presidente del Consiglio dei Ministri (DPCM), с който се разрешава учредяването на дружеството и се определят целите, акционерният капитал, продължителността и управителите на дружеството;</w:t>
            </w:r>
          </w:p>
          <w:p w14:paraId="06C65642" w14:textId="77777777" w:rsidR="006054AA" w:rsidRDefault="001F7667">
            <w:pPr>
              <w:pStyle w:val="P68B1DB1-ListParagraph6"/>
              <w:numPr>
                <w:ilvl w:val="0"/>
                <w:numId w:val="85"/>
              </w:numPr>
              <w:ind w:left="314" w:hanging="232"/>
              <w:jc w:val="left"/>
              <w:rPr>
                <w:noProof/>
              </w:rPr>
            </w:pPr>
            <w:r>
              <w:rPr>
                <w:noProof/>
              </w:rPr>
              <w:t>Институция на дружеството с нотариален акт;</w:t>
            </w:r>
          </w:p>
          <w:p w14:paraId="01E7D9F4" w14:textId="77777777" w:rsidR="006054AA" w:rsidRDefault="001F7667">
            <w:pPr>
              <w:pStyle w:val="P68B1DB1-ListParagraph6"/>
              <w:numPr>
                <w:ilvl w:val="0"/>
                <w:numId w:val="85"/>
              </w:numPr>
              <w:ind w:left="314" w:hanging="232"/>
              <w:jc w:val="left"/>
              <w:rPr>
                <w:noProof/>
              </w:rPr>
            </w:pPr>
            <w:r>
              <w:rPr>
                <w:noProof/>
              </w:rPr>
              <w:t>Актове, необходими за осигуряване на функционирането на дружеството — устав и различни нормативни актове.</w:t>
            </w:r>
          </w:p>
        </w:tc>
      </w:tr>
      <w:tr w:rsidR="006054AA" w14:paraId="4DA45C40" w14:textId="77777777">
        <w:trPr>
          <w:trHeight w:val="309"/>
        </w:trPr>
        <w:tc>
          <w:tcPr>
            <w:tcW w:w="1253" w:type="dxa"/>
            <w:shd w:val="clear" w:color="auto" w:fill="C6EFCE"/>
            <w:noWrap/>
            <w:vAlign w:val="center"/>
          </w:tcPr>
          <w:p w14:paraId="5B7E9A65" w14:textId="77777777" w:rsidR="006054AA" w:rsidRDefault="001F7667">
            <w:pPr>
              <w:pStyle w:val="P68B1DB1-Normal5"/>
              <w:jc w:val="center"/>
              <w:rPr>
                <w:noProof/>
              </w:rPr>
            </w:pPr>
            <w:r>
              <w:rPr>
                <w:noProof/>
              </w:rPr>
              <w:t>M1C1—11</w:t>
            </w:r>
          </w:p>
        </w:tc>
        <w:tc>
          <w:tcPr>
            <w:tcW w:w="1568" w:type="dxa"/>
            <w:shd w:val="clear" w:color="auto" w:fill="C6EFCE"/>
            <w:noWrap/>
            <w:vAlign w:val="center"/>
          </w:tcPr>
          <w:p w14:paraId="22F5EA09" w14:textId="58211B0B" w:rsidR="006054AA" w:rsidRDefault="001F7667">
            <w:pPr>
              <w:pStyle w:val="P68B1DB1-Normal5"/>
              <w:jc w:val="center"/>
              <w:rPr>
                <w:noProof/>
              </w:rPr>
            </w:pPr>
            <w:r>
              <w:rPr>
                <w:noProof/>
              </w:rPr>
              <w:t>Инвестиция 1.6.6: Цифровизация на финансовата полиция</w:t>
            </w:r>
          </w:p>
        </w:tc>
        <w:tc>
          <w:tcPr>
            <w:tcW w:w="1148" w:type="dxa"/>
            <w:shd w:val="clear" w:color="auto" w:fill="C6EFCE"/>
            <w:noWrap/>
            <w:vAlign w:val="center"/>
          </w:tcPr>
          <w:p w14:paraId="4F2030D6"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20FE6C38" w14:textId="77777777" w:rsidR="006054AA" w:rsidRDefault="001F7667">
            <w:pPr>
              <w:pStyle w:val="P68B1DB1-Normal5"/>
              <w:jc w:val="center"/>
              <w:rPr>
                <w:noProof/>
              </w:rPr>
            </w:pPr>
            <w:r>
              <w:rPr>
                <w:noProof/>
              </w:rPr>
              <w:t>Финансова полиция — закупуване на професионални услуги в областта на науката за данните T1</w:t>
            </w:r>
          </w:p>
        </w:tc>
        <w:tc>
          <w:tcPr>
            <w:tcW w:w="1701" w:type="dxa"/>
            <w:shd w:val="clear" w:color="auto" w:fill="C6EFCE"/>
            <w:noWrap/>
            <w:vAlign w:val="center"/>
          </w:tcPr>
          <w:p w14:paraId="5B8A5817"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65624996"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06ADFA87" w14:textId="77777777" w:rsidR="006054AA" w:rsidRDefault="001F7667">
            <w:pPr>
              <w:pStyle w:val="P68B1DB1-Normal5"/>
              <w:jc w:val="center"/>
              <w:rPr>
                <w:noProof/>
              </w:rPr>
            </w:pPr>
            <w:r>
              <w:rPr>
                <w:noProof/>
              </w:rPr>
              <w:t>0</w:t>
            </w:r>
          </w:p>
        </w:tc>
        <w:tc>
          <w:tcPr>
            <w:tcW w:w="1276" w:type="dxa"/>
            <w:shd w:val="clear" w:color="auto" w:fill="C6EFCE"/>
            <w:noWrap/>
            <w:vAlign w:val="center"/>
          </w:tcPr>
          <w:p w14:paraId="5B70CA42" w14:textId="77777777" w:rsidR="006054AA" w:rsidRDefault="001F7667">
            <w:pPr>
              <w:pStyle w:val="P68B1DB1-Normal5"/>
              <w:jc w:val="center"/>
              <w:rPr>
                <w:noProof/>
              </w:rPr>
            </w:pPr>
            <w:r>
              <w:rPr>
                <w:noProof/>
              </w:rPr>
              <w:t>5</w:t>
            </w:r>
          </w:p>
        </w:tc>
        <w:tc>
          <w:tcPr>
            <w:tcW w:w="850" w:type="dxa"/>
            <w:shd w:val="clear" w:color="auto" w:fill="C6EFCE"/>
            <w:noWrap/>
            <w:vAlign w:val="center"/>
          </w:tcPr>
          <w:p w14:paraId="110C2F2E" w14:textId="77777777" w:rsidR="006054AA" w:rsidRDefault="001F7667">
            <w:pPr>
              <w:pStyle w:val="P68B1DB1-Normal5"/>
              <w:jc w:val="center"/>
              <w:rPr>
                <w:noProof/>
              </w:rPr>
            </w:pPr>
            <w:r>
              <w:rPr>
                <w:noProof/>
              </w:rPr>
              <w:t>Т1 Г.</w:t>
            </w:r>
          </w:p>
        </w:tc>
        <w:tc>
          <w:tcPr>
            <w:tcW w:w="709" w:type="dxa"/>
            <w:shd w:val="clear" w:color="auto" w:fill="C6EFCE"/>
            <w:noWrap/>
            <w:vAlign w:val="center"/>
          </w:tcPr>
          <w:p w14:paraId="1B7AAC17" w14:textId="77777777" w:rsidR="006054AA" w:rsidRDefault="001F7667">
            <w:pPr>
              <w:pStyle w:val="P68B1DB1-Normal5"/>
              <w:jc w:val="center"/>
              <w:rPr>
                <w:noProof/>
              </w:rPr>
            </w:pPr>
            <w:r>
              <w:rPr>
                <w:noProof/>
              </w:rPr>
              <w:t>2023</w:t>
            </w:r>
          </w:p>
        </w:tc>
        <w:tc>
          <w:tcPr>
            <w:tcW w:w="2835" w:type="dxa"/>
            <w:shd w:val="clear" w:color="auto" w:fill="C6EFCE"/>
            <w:noWrap/>
            <w:vAlign w:val="center"/>
          </w:tcPr>
          <w:p w14:paraId="4C28A08F" w14:textId="77777777" w:rsidR="006054AA" w:rsidRDefault="001F7667">
            <w:pPr>
              <w:pStyle w:val="P68B1DB1-Normal5"/>
              <w:spacing w:after="120"/>
              <w:rPr>
                <w:noProof/>
              </w:rPr>
            </w:pPr>
            <w:r>
              <w:rPr>
                <w:noProof/>
              </w:rPr>
              <w:t>Закупуване на професионални услуги в областта на науката за данните чрез сключване на договор с доставчик на консултантски услуги, включващ общо пет човешки ресурси, отговарящи както за проектирането на архитектурата на данните, така и за изготвянето на алгоритмите на отдела за анализ на големи информационни масиви. Публикуване на възложен договор за закупуване на услуги в областта на науката за данните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 както и публикуване в национален мащаб на нови инструменти за първия модул за анализ (ИТ основа).</w:t>
            </w:r>
          </w:p>
        </w:tc>
      </w:tr>
      <w:tr w:rsidR="006054AA" w14:paraId="54449D44" w14:textId="77777777">
        <w:trPr>
          <w:trHeight w:val="309"/>
        </w:trPr>
        <w:tc>
          <w:tcPr>
            <w:tcW w:w="1253" w:type="dxa"/>
            <w:shd w:val="clear" w:color="auto" w:fill="C6EFCE"/>
            <w:noWrap/>
            <w:vAlign w:val="center"/>
          </w:tcPr>
          <w:p w14:paraId="3573D5F9" w14:textId="77777777" w:rsidR="006054AA" w:rsidRDefault="001F7667">
            <w:pPr>
              <w:pStyle w:val="P68B1DB1-Normal5"/>
              <w:jc w:val="center"/>
              <w:rPr>
                <w:noProof/>
              </w:rPr>
            </w:pPr>
            <w:r>
              <w:rPr>
                <w:noProof/>
              </w:rPr>
              <w:t>M1C1—12</w:t>
            </w:r>
          </w:p>
        </w:tc>
        <w:tc>
          <w:tcPr>
            <w:tcW w:w="1568" w:type="dxa"/>
            <w:shd w:val="clear" w:color="auto" w:fill="C6EFCE"/>
            <w:noWrap/>
            <w:vAlign w:val="center"/>
          </w:tcPr>
          <w:p w14:paraId="530ED352" w14:textId="7EFF5E3B" w:rsidR="006054AA" w:rsidRDefault="001F7667">
            <w:pPr>
              <w:pStyle w:val="P68B1DB1-Normal5"/>
              <w:jc w:val="center"/>
              <w:rPr>
                <w:noProof/>
              </w:rPr>
            </w:pPr>
            <w:r>
              <w:rPr>
                <w:noProof/>
              </w:rPr>
              <w:t>Инвестиция 1.3.2: Единен цифров портал</w:t>
            </w:r>
          </w:p>
        </w:tc>
        <w:tc>
          <w:tcPr>
            <w:tcW w:w="1148" w:type="dxa"/>
            <w:shd w:val="clear" w:color="auto" w:fill="C6EFCE"/>
            <w:noWrap/>
            <w:vAlign w:val="center"/>
          </w:tcPr>
          <w:p w14:paraId="7ACDC1C9"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4290236C" w14:textId="77777777" w:rsidR="006054AA" w:rsidRDefault="001F7667">
            <w:pPr>
              <w:pStyle w:val="P68B1DB1-Normal5"/>
              <w:jc w:val="center"/>
              <w:rPr>
                <w:noProof/>
              </w:rPr>
            </w:pPr>
            <w:r>
              <w:rPr>
                <w:noProof/>
              </w:rPr>
              <w:t>Единен цифров портал</w:t>
            </w:r>
          </w:p>
        </w:tc>
        <w:tc>
          <w:tcPr>
            <w:tcW w:w="1701" w:type="dxa"/>
            <w:shd w:val="clear" w:color="auto" w:fill="C6EFCE"/>
            <w:noWrap/>
            <w:vAlign w:val="center"/>
          </w:tcPr>
          <w:p w14:paraId="2EABB330"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0C0600D2"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5D5A3D99" w14:textId="77777777" w:rsidR="006054AA" w:rsidRDefault="001F7667">
            <w:pPr>
              <w:pStyle w:val="P68B1DB1-Normal5"/>
              <w:jc w:val="center"/>
              <w:rPr>
                <w:noProof/>
              </w:rPr>
            </w:pPr>
            <w:r>
              <w:rPr>
                <w:noProof/>
              </w:rPr>
              <w:t>0</w:t>
            </w:r>
          </w:p>
        </w:tc>
        <w:tc>
          <w:tcPr>
            <w:tcW w:w="1276" w:type="dxa"/>
            <w:shd w:val="clear" w:color="auto" w:fill="C6EFCE"/>
            <w:noWrap/>
            <w:vAlign w:val="center"/>
          </w:tcPr>
          <w:p w14:paraId="69F9F118" w14:textId="77777777" w:rsidR="006054AA" w:rsidRDefault="001F7667">
            <w:pPr>
              <w:pStyle w:val="P68B1DB1-Normal5"/>
              <w:jc w:val="center"/>
              <w:rPr>
                <w:noProof/>
              </w:rPr>
            </w:pPr>
            <w:r>
              <w:rPr>
                <w:noProof/>
              </w:rPr>
              <w:t>19</w:t>
            </w:r>
          </w:p>
        </w:tc>
        <w:tc>
          <w:tcPr>
            <w:tcW w:w="850" w:type="dxa"/>
            <w:shd w:val="clear" w:color="auto" w:fill="C6EFCE"/>
            <w:noWrap/>
            <w:vAlign w:val="center"/>
          </w:tcPr>
          <w:p w14:paraId="34A30FBE"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6E9FC6AF" w14:textId="77777777" w:rsidR="006054AA" w:rsidRDefault="001F7667">
            <w:pPr>
              <w:pStyle w:val="P68B1DB1-Normal5"/>
              <w:jc w:val="center"/>
              <w:rPr>
                <w:noProof/>
              </w:rPr>
            </w:pPr>
            <w:r>
              <w:rPr>
                <w:noProof/>
              </w:rPr>
              <w:t>2023</w:t>
            </w:r>
          </w:p>
        </w:tc>
        <w:tc>
          <w:tcPr>
            <w:tcW w:w="2835" w:type="dxa"/>
            <w:shd w:val="clear" w:color="auto" w:fill="C6EFCE"/>
            <w:noWrap/>
            <w:vAlign w:val="center"/>
          </w:tcPr>
          <w:p w14:paraId="02961F8A" w14:textId="53CB5BBF" w:rsidR="006054AA" w:rsidRDefault="001F7667">
            <w:pPr>
              <w:pStyle w:val="P68B1DB1-Normal5"/>
              <w:spacing w:after="120"/>
              <w:rPr>
                <w:noProof/>
              </w:rPr>
            </w:pPr>
            <w:r>
              <w:rPr>
                <w:noProof/>
              </w:rPr>
              <w:t>19-те приоритетни административни процедури, приложими в Италия от общо 21, определени в Регламент (ЕС) 2018/1724, са в пълно съответствие с изискванията, определени в член 6 от Регламент (ЕС) 2018/1724. По специално: а) идентификацията на потребителите, предоставянето на информация и подкрепящи доказателства, подписването и окончателното подаване се извършват по електронен път от разстояние чрез сервизен канал, който дава възможност на потребителите да изпълнят изискванията, свързани с процедурата, по лесен за ползване и структуриран начин; б) на потребителите се предоставя автоматично потвърждение за получаване, освен ако резултатът от процедурата не бъде предоставен незабавно; в) резултатът от процедурата се доставя по електронен път или, когато е необходимо, за да се спази приложимото право на Съюза или национално право, се предоставя чрез физически средства; г) на потребителите се предоставя електронно уведомление за приключване на процедурата.</w:t>
            </w:r>
          </w:p>
        </w:tc>
      </w:tr>
      <w:tr w:rsidR="006054AA" w14:paraId="7E6299EB" w14:textId="77777777">
        <w:trPr>
          <w:trHeight w:val="309"/>
        </w:trPr>
        <w:tc>
          <w:tcPr>
            <w:tcW w:w="1253" w:type="dxa"/>
            <w:shd w:val="clear" w:color="auto" w:fill="C6EFCE"/>
            <w:noWrap/>
            <w:vAlign w:val="center"/>
          </w:tcPr>
          <w:p w14:paraId="67521305" w14:textId="77777777" w:rsidR="006054AA" w:rsidRDefault="001F7667">
            <w:pPr>
              <w:pStyle w:val="P68B1DB1-Normal5"/>
              <w:jc w:val="center"/>
              <w:rPr>
                <w:noProof/>
              </w:rPr>
            </w:pPr>
            <w:r>
              <w:rPr>
                <w:noProof/>
              </w:rPr>
              <w:t>M1C1—13</w:t>
            </w:r>
          </w:p>
        </w:tc>
        <w:tc>
          <w:tcPr>
            <w:tcW w:w="1568" w:type="dxa"/>
            <w:shd w:val="clear" w:color="auto" w:fill="C6EFCE"/>
            <w:noWrap/>
            <w:vAlign w:val="center"/>
          </w:tcPr>
          <w:p w14:paraId="52B08513" w14:textId="77777777" w:rsidR="006054AA" w:rsidRDefault="001F7667">
            <w:pPr>
              <w:pStyle w:val="P68B1DB1-Normal5"/>
              <w:jc w:val="center"/>
              <w:rPr>
                <w:noProof/>
              </w:rPr>
            </w:pPr>
            <w:r>
              <w:rPr>
                <w:noProof/>
              </w:rPr>
              <w:t>Инвестиция 1.4.6:</w:t>
            </w:r>
          </w:p>
          <w:p w14:paraId="58EE1712" w14:textId="77777777" w:rsidR="006054AA" w:rsidRDefault="001F7667">
            <w:pPr>
              <w:pStyle w:val="P68B1DB1-Normal5"/>
              <w:jc w:val="center"/>
              <w:rPr>
                <w:noProof/>
              </w:rPr>
            </w:pPr>
            <w:r>
              <w:rPr>
                <w:noProof/>
              </w:rPr>
              <w:t>Мобилността като услуга за Италия</w:t>
            </w:r>
          </w:p>
        </w:tc>
        <w:tc>
          <w:tcPr>
            <w:tcW w:w="1148" w:type="dxa"/>
            <w:shd w:val="clear" w:color="auto" w:fill="C6EFCE"/>
            <w:noWrap/>
            <w:vAlign w:val="center"/>
          </w:tcPr>
          <w:p w14:paraId="40F80054"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05317AD9" w14:textId="77777777" w:rsidR="006054AA" w:rsidRDefault="001F7667">
            <w:pPr>
              <w:pStyle w:val="P68B1DB1-Normal5"/>
              <w:jc w:val="center"/>
              <w:rPr>
                <w:noProof/>
              </w:rPr>
            </w:pPr>
            <w:r>
              <w:rPr>
                <w:noProof/>
              </w:rPr>
              <w:t>Мобилността като решения за обслужване M1</w:t>
            </w:r>
          </w:p>
        </w:tc>
        <w:tc>
          <w:tcPr>
            <w:tcW w:w="1701" w:type="dxa"/>
            <w:shd w:val="clear" w:color="auto" w:fill="C6EFCE"/>
            <w:noWrap/>
            <w:vAlign w:val="center"/>
          </w:tcPr>
          <w:p w14:paraId="564292A0" w14:textId="2EFEB7C6" w:rsidR="006054AA" w:rsidRDefault="001F7667">
            <w:pPr>
              <w:pStyle w:val="P68B1DB1-Normal5"/>
              <w:jc w:val="center"/>
              <w:rPr>
                <w:noProof/>
              </w:rPr>
            </w:pPr>
            <w:r>
              <w:rPr>
                <w:noProof/>
              </w:rPr>
              <w:t>Доклад на Ministero delle Infrastrutture e della Mobilità Sostenibili (MIMS) в сътрудничество с университети, в който се описва изпълнението и се оценяват резултатите от трите пилотни проекта</w:t>
            </w:r>
          </w:p>
        </w:tc>
        <w:tc>
          <w:tcPr>
            <w:tcW w:w="1134" w:type="dxa"/>
            <w:shd w:val="clear" w:color="auto" w:fill="C6EFCE"/>
            <w:noWrap/>
            <w:vAlign w:val="center"/>
          </w:tcPr>
          <w:p w14:paraId="52FFDC04"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3CA861C4"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22BB6DA7"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0B6A6428"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0B9106C3" w14:textId="77777777" w:rsidR="006054AA" w:rsidRDefault="001F7667">
            <w:pPr>
              <w:pStyle w:val="P68B1DB1-Normal5"/>
              <w:jc w:val="center"/>
              <w:rPr>
                <w:noProof/>
              </w:rPr>
            </w:pPr>
            <w:r>
              <w:rPr>
                <w:noProof/>
              </w:rPr>
              <w:t>2023</w:t>
            </w:r>
          </w:p>
        </w:tc>
        <w:tc>
          <w:tcPr>
            <w:tcW w:w="2835" w:type="dxa"/>
            <w:shd w:val="clear" w:color="auto" w:fill="C6EFCE"/>
            <w:noWrap/>
            <w:vAlign w:val="center"/>
          </w:tcPr>
          <w:p w14:paraId="55BD0B1B" w14:textId="77777777" w:rsidR="006054AA" w:rsidRDefault="001F7667">
            <w:pPr>
              <w:pStyle w:val="P68B1DB1-Normal5"/>
              <w:spacing w:after="120"/>
              <w:rPr>
                <w:noProof/>
              </w:rPr>
            </w:pPr>
            <w:r>
              <w:rPr>
                <w:noProof/>
              </w:rPr>
              <w:t>Изпълнени са три пилотни проекта, насочени към изпитване на мобилността като решения за услуги в технологично напреднали метрополни градове.</w:t>
            </w:r>
          </w:p>
          <w:p w14:paraId="505FE15A" w14:textId="77777777" w:rsidR="006054AA" w:rsidRDefault="001F7667">
            <w:pPr>
              <w:pStyle w:val="P68B1DB1-Normal5"/>
              <w:spacing w:after="120"/>
              <w:rPr>
                <w:noProof/>
              </w:rPr>
            </w:pPr>
            <w:r>
              <w:rPr>
                <w:noProof/>
              </w:rPr>
              <w:t>Всеки разтвор е бил използван от най-малко 1 000 потребители по време на пилотния период.</w:t>
            </w:r>
          </w:p>
          <w:p w14:paraId="09550BAC" w14:textId="77777777" w:rsidR="006054AA" w:rsidRDefault="001F7667">
            <w:pPr>
              <w:pStyle w:val="P68B1DB1-Normal5"/>
              <w:spacing w:after="120"/>
              <w:rPr>
                <w:noProof/>
              </w:rPr>
            </w:pPr>
            <w:r>
              <w:rPr>
                <w:noProof/>
              </w:rPr>
              <w:t>Всеки пилотен проект е отворен за минимум 1000 ползватели, които имат достъп до него на доброволна основа и за своя сметка и предоставят индивидуална оценка, с възможност за избор и закупуване на услуги за мобилност измежду тези, които са на разположение на платформата.</w:t>
            </w:r>
          </w:p>
          <w:p w14:paraId="1EAD6E06" w14:textId="77777777" w:rsidR="006054AA" w:rsidRDefault="001F7667">
            <w:pPr>
              <w:pStyle w:val="P68B1DB1-Normal5"/>
              <w:spacing w:after="120"/>
              <w:rPr>
                <w:noProof/>
              </w:rPr>
            </w:pPr>
            <w:r>
              <w:rPr>
                <w:noProof/>
              </w:rPr>
              <w:t>Чрез единна технологична платформа услугата MaaS предлага на гражданина потребител най-доброто решение за пътуване въз основа на неговите нужди, като използва интеграцията между различните налични възможности за мобилност (местен обществен транспорт, споделяне, кабина, отдаване на автомобили под наем), за да оптимизира пътуването както по отношение на планирането (интермодално планиране на маршрути и информация в реално време за времето и разстоянията), така и по отношение на използването (резервация и плащане на услуги).</w:t>
            </w:r>
          </w:p>
        </w:tc>
      </w:tr>
      <w:tr w:rsidR="006054AA" w14:paraId="3B0462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1DAA6A" w14:textId="1FC22312" w:rsidR="006054AA" w:rsidRDefault="001F7667">
            <w:pPr>
              <w:pStyle w:val="P68B1DB1-Normal5"/>
              <w:jc w:val="center"/>
              <w:rPr>
                <w:noProof/>
              </w:rPr>
            </w:pPr>
            <w:r>
              <w:rPr>
                <w:noProof/>
              </w:rPr>
              <w:t>M1C1—14bis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F46F9" w14:textId="2D54A1CE" w:rsidR="006054AA" w:rsidRDefault="001F7667">
            <w:pPr>
              <w:pStyle w:val="P68B1DB1-Normal5"/>
              <w:jc w:val="center"/>
              <w:rPr>
                <w:noProof/>
              </w:rPr>
            </w:pPr>
            <w:r>
              <w:rPr>
                <w:noProof/>
              </w:rPr>
              <w:t>Реформа 1.9.1: Реформа за ускоряване на прилагането на политиката на сближаване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F2AD93" w14:textId="77777777" w:rsidR="006054AA" w:rsidRDefault="001F7667">
            <w:pPr>
              <w:pStyle w:val="P68B1DB1-Normal5"/>
              <w:jc w:val="center"/>
              <w:rPr>
                <w:noProof/>
              </w:rPr>
            </w:pPr>
            <w:r>
              <w:rPr>
                <w:noProof/>
              </w:rPr>
              <w:t xml:space="preserve">Ключов етап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9C8A1" w14:textId="33266AA7" w:rsidR="006054AA" w:rsidRDefault="001F7667">
            <w:pPr>
              <w:pStyle w:val="P68B1DB1-Normal5"/>
              <w:jc w:val="center"/>
              <w:rPr>
                <w:noProof/>
              </w:rPr>
            </w:pPr>
            <w:r>
              <w:rPr>
                <w:noProof/>
              </w:rPr>
              <w:t>Влизане в сила на националното законодателство за ускоряване на прилагането на политиката на сближаване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2955E" w14:textId="1561F2AD" w:rsidR="006054AA" w:rsidRDefault="001F7667">
            <w:pPr>
              <w:pStyle w:val="P68B1DB1-Normal5"/>
              <w:jc w:val="center"/>
              <w:rPr>
                <w:noProof/>
              </w:rPr>
            </w:pPr>
            <w:r>
              <w:rPr>
                <w:noProof/>
              </w:rPr>
              <w:t xml:space="preserve">Законова разпоредба, указваща влизането в сила на националното законодателство за ускоряване на прилагането на политиката на сближаване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78F891" w14:textId="38AB563E"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475BD" w14:textId="20185FF8"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5D429" w14:textId="62265F98"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91671" w14:textId="48F301EE"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4EB61C" w14:textId="0EBEF448"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1A2B" w14:textId="77777777" w:rsidR="006054AA" w:rsidRDefault="001F7667">
            <w:pPr>
              <w:pStyle w:val="P68B1DB1-Normal5"/>
              <w:spacing w:after="120"/>
              <w:rPr>
                <w:noProof/>
              </w:rPr>
            </w:pPr>
            <w:r>
              <w:rPr>
                <w:noProof/>
              </w:rPr>
              <w:t xml:space="preserve">Влизане в сила на национално законодателство, което определя, в рамките на споразумението за партньорство и за всички текущи програми, необходимите мерки за ускоряване и подобряване на изпълнението на политиката на сближаване. </w:t>
            </w:r>
          </w:p>
          <w:p w14:paraId="7B8C6599" w14:textId="77777777" w:rsidR="006054AA" w:rsidRDefault="001F7667">
            <w:pPr>
              <w:pStyle w:val="P68B1DB1-Normal5"/>
              <w:spacing w:after="120"/>
              <w:rPr>
                <w:noProof/>
              </w:rPr>
            </w:pPr>
            <w:r>
              <w:rPr>
                <w:noProof/>
              </w:rPr>
              <w:t>За да се осигури институционален диалог и сътрудничество, както и общо разбиране за необходимите действия, до 31 декември 2023 г. правителството създава техническа работна група с управляващите органи на всички регионални и национални програми в рамките на Cabina di regia PNRR, без да се засяга националното законодателство относно единната конференция.</w:t>
            </w:r>
          </w:p>
          <w:p w14:paraId="50EA39FB" w14:textId="77777777" w:rsidR="006054AA" w:rsidRDefault="001F7667">
            <w:pPr>
              <w:pStyle w:val="P68B1DB1-Normal5"/>
              <w:spacing w:after="120"/>
              <w:rPr>
                <w:noProof/>
              </w:rPr>
            </w:pPr>
            <w:r>
              <w:rPr>
                <w:noProof/>
              </w:rPr>
              <w:t>В законодателството се определят договореностите, необходими за приоритизиране на интервенциите в следните стратегически сектори, в строго съответствие с документите за планиране, определени за съответните благоприятстващи условия, и за конкретното им изпълнение, включително намеса специално за укрепване на административния капацитет в тези сектори:</w:t>
            </w:r>
          </w:p>
          <w:p w14:paraId="44BF3F21" w14:textId="77777777" w:rsidR="006054AA" w:rsidRDefault="001F7667">
            <w:pPr>
              <w:pStyle w:val="P68B1DB1-Normal5"/>
              <w:spacing w:after="120"/>
              <w:rPr>
                <w:noProof/>
              </w:rPr>
            </w:pPr>
            <w:r>
              <w:rPr>
                <w:noProof/>
              </w:rPr>
              <w:t>—</w:t>
            </w:r>
            <w:r>
              <w:rPr>
                <w:noProof/>
              </w:rPr>
              <w:tab/>
              <w:t>Вода;</w:t>
            </w:r>
          </w:p>
          <w:p w14:paraId="77E5B2DF" w14:textId="77777777" w:rsidR="006054AA" w:rsidRDefault="001F7667">
            <w:pPr>
              <w:pStyle w:val="P68B1DB1-Normal5"/>
              <w:spacing w:after="120"/>
              <w:rPr>
                <w:noProof/>
              </w:rPr>
            </w:pPr>
            <w:r>
              <w:rPr>
                <w:noProof/>
              </w:rPr>
              <w:t>—</w:t>
            </w:r>
            <w:r>
              <w:rPr>
                <w:noProof/>
              </w:rPr>
              <w:tab/>
              <w:t>инфраструктури за хидрогеоложки риск и опазване на околната среда;</w:t>
            </w:r>
          </w:p>
          <w:p w14:paraId="420C05B4" w14:textId="77777777" w:rsidR="006054AA" w:rsidRDefault="001F7667">
            <w:pPr>
              <w:pStyle w:val="P68B1DB1-Normal5"/>
              <w:spacing w:after="120"/>
              <w:rPr>
                <w:noProof/>
              </w:rPr>
            </w:pPr>
            <w:r>
              <w:rPr>
                <w:noProof/>
              </w:rPr>
              <w:t>—</w:t>
            </w:r>
            <w:r>
              <w:rPr>
                <w:noProof/>
              </w:rPr>
              <w:tab/>
              <w:t>Отпадъци;</w:t>
            </w:r>
          </w:p>
          <w:p w14:paraId="6243AB6C" w14:textId="77777777" w:rsidR="006054AA" w:rsidRDefault="001F7667">
            <w:pPr>
              <w:pStyle w:val="P68B1DB1-Normal5"/>
              <w:spacing w:after="120"/>
              <w:rPr>
                <w:noProof/>
              </w:rPr>
            </w:pPr>
            <w:r>
              <w:rPr>
                <w:noProof/>
              </w:rPr>
              <w:t>—</w:t>
            </w:r>
            <w:r>
              <w:rPr>
                <w:noProof/>
              </w:rPr>
              <w:tab/>
              <w:t>Транспорт и устойчива мобилност;</w:t>
            </w:r>
          </w:p>
          <w:p w14:paraId="591430B0" w14:textId="77777777" w:rsidR="006054AA" w:rsidRDefault="001F7667">
            <w:pPr>
              <w:pStyle w:val="P68B1DB1-Normal5"/>
              <w:spacing w:after="120"/>
              <w:rPr>
                <w:noProof/>
              </w:rPr>
            </w:pPr>
            <w:r>
              <w:rPr>
                <w:noProof/>
              </w:rPr>
              <w:t>—</w:t>
            </w:r>
            <w:r>
              <w:rPr>
                <w:noProof/>
              </w:rPr>
              <w:tab/>
              <w:t>Енергия;</w:t>
            </w:r>
          </w:p>
          <w:p w14:paraId="5AAD0778" w14:textId="40038E60" w:rsidR="006054AA" w:rsidRDefault="001F7667">
            <w:pPr>
              <w:pStyle w:val="P68B1DB1-Normal5"/>
              <w:spacing w:after="120"/>
              <w:rPr>
                <w:noProof/>
              </w:rPr>
            </w:pPr>
            <w:r>
              <w:rPr>
                <w:noProof/>
              </w:rPr>
              <w:t>—</w:t>
            </w:r>
            <w:r>
              <w:rPr>
                <w:noProof/>
              </w:rPr>
              <w:tab/>
              <w:t>Подкрепа за развитието и привлекателността на бизнеса, включително за цифровия и екологичния преход.</w:t>
            </w:r>
          </w:p>
        </w:tc>
      </w:tr>
      <w:tr w:rsidR="006054AA" w14:paraId="290A25BD" w14:textId="77777777">
        <w:trPr>
          <w:trHeight w:val="309"/>
        </w:trPr>
        <w:tc>
          <w:tcPr>
            <w:tcW w:w="1253" w:type="dxa"/>
            <w:shd w:val="clear" w:color="auto" w:fill="C6EFCE"/>
            <w:noWrap/>
            <w:vAlign w:val="center"/>
          </w:tcPr>
          <w:p w14:paraId="6D6B08E3" w14:textId="77777777" w:rsidR="006054AA" w:rsidRDefault="001F7667">
            <w:pPr>
              <w:pStyle w:val="P68B1DB1-Normal5"/>
              <w:jc w:val="center"/>
              <w:rPr>
                <w:noProof/>
              </w:rPr>
            </w:pPr>
            <w:r>
              <w:rPr>
                <w:noProof/>
              </w:rPr>
              <w:t>M1C1—15</w:t>
            </w:r>
          </w:p>
        </w:tc>
        <w:tc>
          <w:tcPr>
            <w:tcW w:w="1568" w:type="dxa"/>
            <w:shd w:val="clear" w:color="auto" w:fill="C6EFCE"/>
            <w:noWrap/>
            <w:vAlign w:val="center"/>
          </w:tcPr>
          <w:p w14:paraId="3E40E3FA" w14:textId="610C98D2" w:rsidR="006054AA" w:rsidRDefault="001F7667">
            <w:pPr>
              <w:pStyle w:val="P68B1DB1-Normal5"/>
              <w:jc w:val="center"/>
              <w:rPr>
                <w:noProof/>
              </w:rPr>
            </w:pPr>
            <w:r>
              <w:rPr>
                <w:noProof/>
              </w:rPr>
              <w:t>Инвестиция 1.6.6: Цифровизация на финансовата полиция</w:t>
            </w:r>
          </w:p>
        </w:tc>
        <w:tc>
          <w:tcPr>
            <w:tcW w:w="1148" w:type="dxa"/>
            <w:shd w:val="clear" w:color="auto" w:fill="C6EFCE"/>
            <w:noWrap/>
            <w:vAlign w:val="center"/>
          </w:tcPr>
          <w:p w14:paraId="5A76BCDE"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183882B1" w14:textId="77777777" w:rsidR="006054AA" w:rsidRDefault="001F7667">
            <w:pPr>
              <w:pStyle w:val="P68B1DB1-Normal5"/>
              <w:jc w:val="center"/>
              <w:rPr>
                <w:noProof/>
              </w:rPr>
            </w:pPr>
            <w:r>
              <w:rPr>
                <w:noProof/>
              </w:rPr>
              <w:t>Финансова полиция — закупуване на професионални услуги в областта на науката за данните T2</w:t>
            </w:r>
          </w:p>
        </w:tc>
        <w:tc>
          <w:tcPr>
            <w:tcW w:w="1701" w:type="dxa"/>
            <w:shd w:val="clear" w:color="auto" w:fill="C6EFCE"/>
            <w:noWrap/>
            <w:vAlign w:val="center"/>
          </w:tcPr>
          <w:p w14:paraId="4AFA854F"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07D90CB5"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2CC92989" w14:textId="77777777" w:rsidR="006054AA" w:rsidRDefault="001F7667">
            <w:pPr>
              <w:pStyle w:val="P68B1DB1-Normal5"/>
              <w:jc w:val="center"/>
              <w:rPr>
                <w:noProof/>
              </w:rPr>
            </w:pPr>
            <w:r>
              <w:rPr>
                <w:noProof/>
              </w:rPr>
              <w:t>5</w:t>
            </w:r>
          </w:p>
        </w:tc>
        <w:tc>
          <w:tcPr>
            <w:tcW w:w="1276" w:type="dxa"/>
            <w:shd w:val="clear" w:color="auto" w:fill="C6EFCE"/>
            <w:noWrap/>
            <w:vAlign w:val="center"/>
          </w:tcPr>
          <w:p w14:paraId="3C4B45EF" w14:textId="77777777" w:rsidR="006054AA" w:rsidRDefault="001F7667">
            <w:pPr>
              <w:pStyle w:val="P68B1DB1-Normal5"/>
              <w:jc w:val="center"/>
              <w:rPr>
                <w:noProof/>
              </w:rPr>
            </w:pPr>
            <w:r>
              <w:rPr>
                <w:noProof/>
              </w:rPr>
              <w:t>10</w:t>
            </w:r>
          </w:p>
        </w:tc>
        <w:tc>
          <w:tcPr>
            <w:tcW w:w="850" w:type="dxa"/>
            <w:shd w:val="clear" w:color="auto" w:fill="C6EFCE"/>
            <w:noWrap/>
            <w:vAlign w:val="center"/>
          </w:tcPr>
          <w:p w14:paraId="2EC6C182" w14:textId="77777777" w:rsidR="006054AA" w:rsidRDefault="001F7667">
            <w:pPr>
              <w:pStyle w:val="P68B1DB1-Normal5"/>
              <w:jc w:val="center"/>
              <w:rPr>
                <w:noProof/>
              </w:rPr>
            </w:pPr>
            <w:r>
              <w:rPr>
                <w:noProof/>
              </w:rPr>
              <w:t>Т1 Г.</w:t>
            </w:r>
          </w:p>
        </w:tc>
        <w:tc>
          <w:tcPr>
            <w:tcW w:w="709" w:type="dxa"/>
            <w:shd w:val="clear" w:color="auto" w:fill="C6EFCE"/>
            <w:noWrap/>
            <w:vAlign w:val="center"/>
          </w:tcPr>
          <w:p w14:paraId="19FA7058" w14:textId="77777777" w:rsidR="006054AA" w:rsidRDefault="001F7667">
            <w:pPr>
              <w:pStyle w:val="P68B1DB1-Normal5"/>
              <w:jc w:val="center"/>
              <w:rPr>
                <w:noProof/>
              </w:rPr>
            </w:pPr>
            <w:r>
              <w:rPr>
                <w:noProof/>
              </w:rPr>
              <w:t>2024</w:t>
            </w:r>
          </w:p>
        </w:tc>
        <w:tc>
          <w:tcPr>
            <w:tcW w:w="2835" w:type="dxa"/>
            <w:shd w:val="clear" w:color="auto" w:fill="C6EFCE"/>
            <w:noWrap/>
            <w:vAlign w:val="center"/>
          </w:tcPr>
          <w:p w14:paraId="37B4AAD3" w14:textId="77777777" w:rsidR="006054AA" w:rsidRDefault="001F7667">
            <w:pPr>
              <w:pStyle w:val="P68B1DB1-Normal5"/>
              <w:spacing w:after="120"/>
              <w:rPr>
                <w:noProof/>
              </w:rPr>
            </w:pPr>
            <w:r>
              <w:rPr>
                <w:noProof/>
              </w:rPr>
              <w:t>Закупуване на професионални услуги в областта на науката за данните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 чрез сключване на договор с доставчик на консултантски услуги, включващ пет допълнителни човешки ресурси (общо десет), отговарящи както за проектирането на архитектурата на данните, така и за изготвянето на алгоритмите на отдела за анализ на големи информационни масиви. Публикуване на възложен договор за закупуване на услуги в областта на науката за данните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 както и публикуване в национален мащаб на нови инструменти за първия модул за анализ (ИТ основа).</w:t>
            </w:r>
          </w:p>
        </w:tc>
      </w:tr>
      <w:tr w:rsidR="006054AA" w14:paraId="5A20E9ED" w14:textId="77777777">
        <w:trPr>
          <w:trHeight w:val="309"/>
        </w:trPr>
        <w:tc>
          <w:tcPr>
            <w:tcW w:w="1253" w:type="dxa"/>
            <w:shd w:val="clear" w:color="auto" w:fill="C6EFCE"/>
            <w:noWrap/>
            <w:vAlign w:val="center"/>
            <w:hideMark/>
          </w:tcPr>
          <w:p w14:paraId="2490D023" w14:textId="77777777" w:rsidR="006054AA" w:rsidRDefault="001F7667">
            <w:pPr>
              <w:pStyle w:val="P68B1DB1-Normal5"/>
              <w:jc w:val="center"/>
              <w:rPr>
                <w:noProof/>
              </w:rPr>
            </w:pPr>
            <w:r>
              <w:rPr>
                <w:noProof/>
              </w:rPr>
              <w:t>M1C1—17</w:t>
            </w:r>
          </w:p>
        </w:tc>
        <w:tc>
          <w:tcPr>
            <w:tcW w:w="1568" w:type="dxa"/>
            <w:shd w:val="clear" w:color="auto" w:fill="C6EFCE"/>
            <w:noWrap/>
            <w:vAlign w:val="center"/>
            <w:hideMark/>
          </w:tcPr>
          <w:p w14:paraId="628D894F" w14:textId="77777777" w:rsidR="006054AA" w:rsidRDefault="001F7667">
            <w:pPr>
              <w:pStyle w:val="P68B1DB1-Normal5"/>
              <w:jc w:val="center"/>
              <w:rPr>
                <w:noProof/>
              </w:rPr>
            </w:pPr>
            <w:r>
              <w:rPr>
                <w:noProof/>
              </w:rPr>
              <w:t>Инвестиция 1.1: Цифрова инфраструктура</w:t>
            </w:r>
          </w:p>
        </w:tc>
        <w:tc>
          <w:tcPr>
            <w:tcW w:w="1148" w:type="dxa"/>
            <w:shd w:val="clear" w:color="auto" w:fill="C6EFCE"/>
            <w:noWrap/>
            <w:vAlign w:val="center"/>
            <w:hideMark/>
          </w:tcPr>
          <w:p w14:paraId="6AD9772F" w14:textId="77777777" w:rsidR="006054AA" w:rsidRDefault="001F7667">
            <w:pPr>
              <w:pStyle w:val="P68B1DB1-Normal5"/>
              <w:jc w:val="center"/>
              <w:rPr>
                <w:noProof/>
              </w:rPr>
            </w:pPr>
            <w:r>
              <w:rPr>
                <w:noProof/>
              </w:rPr>
              <w:t>Целеви</w:t>
            </w:r>
          </w:p>
        </w:tc>
        <w:tc>
          <w:tcPr>
            <w:tcW w:w="1470" w:type="dxa"/>
            <w:shd w:val="clear" w:color="auto" w:fill="C6EFCE"/>
            <w:noWrap/>
            <w:vAlign w:val="center"/>
            <w:hideMark/>
          </w:tcPr>
          <w:p w14:paraId="33BE3DF6" w14:textId="77777777" w:rsidR="006054AA" w:rsidRDefault="001F7667">
            <w:pPr>
              <w:pStyle w:val="P68B1DB1-Normal5"/>
              <w:jc w:val="center"/>
              <w:rPr>
                <w:noProof/>
              </w:rPr>
            </w:pPr>
            <w:r>
              <w:rPr>
                <w:noProof/>
              </w:rPr>
              <w:t>Миграция към Polo Strategico Nazionale T1</w:t>
            </w:r>
          </w:p>
        </w:tc>
        <w:tc>
          <w:tcPr>
            <w:tcW w:w="1701" w:type="dxa"/>
            <w:shd w:val="clear" w:color="auto" w:fill="C6EFCE"/>
            <w:noWrap/>
            <w:vAlign w:val="center"/>
          </w:tcPr>
          <w:p w14:paraId="245BD1D2" w14:textId="77777777" w:rsidR="006054AA" w:rsidRDefault="001F7667">
            <w:pPr>
              <w:pStyle w:val="P68B1DB1-Normal5"/>
              <w:jc w:val="center"/>
              <w:rPr>
                <w:noProof/>
              </w:rPr>
            </w:pPr>
            <w:r>
              <w:rPr>
                <w:noProof/>
              </w:rPr>
              <w:t>НЯМА</w:t>
            </w:r>
          </w:p>
        </w:tc>
        <w:tc>
          <w:tcPr>
            <w:tcW w:w="1134" w:type="dxa"/>
            <w:shd w:val="clear" w:color="auto" w:fill="C6EFCE"/>
            <w:noWrap/>
            <w:vAlign w:val="center"/>
            <w:hideMark/>
          </w:tcPr>
          <w:p w14:paraId="718D3BC1" w14:textId="77777777" w:rsidR="006054AA" w:rsidRDefault="001F7667">
            <w:pPr>
              <w:pStyle w:val="P68B1DB1-Normal5"/>
              <w:jc w:val="center"/>
              <w:rPr>
                <w:noProof/>
              </w:rPr>
            </w:pPr>
            <w:r>
              <w:rPr>
                <w:noProof/>
              </w:rPr>
              <w:t>Брой</w:t>
            </w:r>
          </w:p>
        </w:tc>
        <w:tc>
          <w:tcPr>
            <w:tcW w:w="1417" w:type="dxa"/>
            <w:shd w:val="clear" w:color="auto" w:fill="C6EFCE"/>
            <w:noWrap/>
            <w:vAlign w:val="center"/>
            <w:hideMark/>
          </w:tcPr>
          <w:p w14:paraId="523A4C7B" w14:textId="77777777" w:rsidR="006054AA" w:rsidRDefault="001F7667">
            <w:pPr>
              <w:pStyle w:val="P68B1DB1-Normal5"/>
              <w:jc w:val="center"/>
              <w:rPr>
                <w:noProof/>
              </w:rPr>
            </w:pPr>
            <w:r>
              <w:rPr>
                <w:noProof/>
              </w:rPr>
              <w:t>0</w:t>
            </w:r>
          </w:p>
        </w:tc>
        <w:tc>
          <w:tcPr>
            <w:tcW w:w="1276" w:type="dxa"/>
            <w:shd w:val="clear" w:color="auto" w:fill="C6EFCE"/>
            <w:noWrap/>
            <w:vAlign w:val="center"/>
            <w:hideMark/>
          </w:tcPr>
          <w:p w14:paraId="2194DDC8" w14:textId="77777777" w:rsidR="006054AA" w:rsidRDefault="001F7667">
            <w:pPr>
              <w:pStyle w:val="P68B1DB1-Normal5"/>
              <w:jc w:val="center"/>
              <w:rPr>
                <w:noProof/>
              </w:rPr>
            </w:pPr>
            <w:r>
              <w:rPr>
                <w:noProof/>
              </w:rPr>
              <w:t>100</w:t>
            </w:r>
          </w:p>
        </w:tc>
        <w:tc>
          <w:tcPr>
            <w:tcW w:w="850" w:type="dxa"/>
            <w:shd w:val="clear" w:color="auto" w:fill="C6EFCE"/>
            <w:noWrap/>
            <w:vAlign w:val="center"/>
            <w:hideMark/>
          </w:tcPr>
          <w:p w14:paraId="670D05FD" w14:textId="77777777" w:rsidR="006054AA" w:rsidRDefault="001F7667">
            <w:pPr>
              <w:pStyle w:val="P68B1DB1-Normal5"/>
              <w:jc w:val="center"/>
              <w:rPr>
                <w:noProof/>
              </w:rPr>
            </w:pPr>
            <w:r>
              <w:rPr>
                <w:noProof/>
              </w:rPr>
              <w:t>Т3 Г.</w:t>
            </w:r>
          </w:p>
        </w:tc>
        <w:tc>
          <w:tcPr>
            <w:tcW w:w="709" w:type="dxa"/>
            <w:shd w:val="clear" w:color="auto" w:fill="C6EFCE"/>
            <w:noWrap/>
            <w:vAlign w:val="center"/>
            <w:hideMark/>
          </w:tcPr>
          <w:p w14:paraId="79ABADEC" w14:textId="77777777" w:rsidR="006054AA" w:rsidRDefault="001F7667">
            <w:pPr>
              <w:pStyle w:val="P68B1DB1-Normal5"/>
              <w:jc w:val="center"/>
              <w:rPr>
                <w:noProof/>
              </w:rPr>
            </w:pPr>
            <w:r>
              <w:rPr>
                <w:noProof/>
              </w:rPr>
              <w:t>2024</w:t>
            </w:r>
          </w:p>
        </w:tc>
        <w:tc>
          <w:tcPr>
            <w:tcW w:w="2835" w:type="dxa"/>
            <w:shd w:val="clear" w:color="auto" w:fill="C6EFCE"/>
            <w:noWrap/>
            <w:vAlign w:val="center"/>
            <w:hideMark/>
          </w:tcPr>
          <w:p w14:paraId="4A3C2FF8" w14:textId="77777777" w:rsidR="006054AA" w:rsidRDefault="001F7667">
            <w:pPr>
              <w:pStyle w:val="P68B1DB1-Normal5"/>
              <w:spacing w:after="120"/>
              <w:rPr>
                <w:noProof/>
              </w:rPr>
            </w:pPr>
            <w:r>
              <w:rPr>
                <w:noProof/>
              </w:rPr>
              <w:t>Най-малко 100 централни публични администрации и местни здравни органи (Aziende Sanitarie Locali) изцяло мигрират поне една служба на администрацията (включително системи, набори от данни и приложения) към инфраструктурата (Polo Strategico Nazionale). Напълно мигрирането може да предполага за всяка институция комбинация от: не са готови за използване в облак при чист хостинг, миграция на асансьори и смяна, модернизиране до инфраструктура като услуга (IaaS), платформа като услуга (Paas) или Software-as-a-Service (SaaS). Миграцията към Polo Strategico Nazionale може да се осъществи по различни начини в съответствие със съвременното технологично равнище на ИТ архитектурата на софтуера в помещенията, собственост на всяка мигрираща публична администрация. Тези стратегии могат да варират от чисто хостинг и прехвърляне на софтуер, който не е готов за използване в облак, до миграция към IaaS, PaaS или SaaS за софтуер, готов за използване в облак. PSN предлага на всяка мигрираща публична администрация всички миграционни стратегии, които са допустими, за да се вземе предвид постигнатата цел „миграция към Polo Strategico Nazionale“.</w:t>
            </w:r>
          </w:p>
          <w:p w14:paraId="0209130A" w14:textId="77777777" w:rsidR="006054AA" w:rsidRDefault="001F7667">
            <w:pPr>
              <w:pStyle w:val="P68B1DB1-Normal5"/>
              <w:rPr>
                <w:noProof/>
              </w:rPr>
            </w:pPr>
            <w:r>
              <w:rPr>
                <w:noProof/>
              </w:rPr>
              <w:t>Общият брой на публичните администрации „в обхвата“ включва:</w:t>
            </w:r>
          </w:p>
          <w:p w14:paraId="312C2739" w14:textId="77777777" w:rsidR="006054AA" w:rsidRDefault="001F7667">
            <w:pPr>
              <w:pStyle w:val="P68B1DB1-Normal5"/>
              <w:rPr>
                <w:noProof/>
              </w:rPr>
            </w:pPr>
            <w:r>
              <w:rPr>
                <w:noProof/>
              </w:rPr>
              <w:t>• Централните публични администрации, на които се пада най-големият дял от разходите за информационни и комуникационни технологии (ИКТ) (като Националния институт за социална сигурност и Министерството на правосъдието);</w:t>
            </w:r>
          </w:p>
          <w:p w14:paraId="05E97F38" w14:textId="77777777" w:rsidR="006054AA" w:rsidRDefault="001F7667">
            <w:pPr>
              <w:pStyle w:val="P68B1DB1-Normal5"/>
              <w:rPr>
                <w:noProof/>
              </w:rPr>
            </w:pPr>
            <w:r>
              <w:rPr>
                <w:noProof/>
              </w:rPr>
              <w:t>• Централните публични администрации, които хостват данни в остарели центрове за данни съгласно наскоро проведено проучване относно „подготвеността в облак“;</w:t>
            </w:r>
          </w:p>
          <w:p w14:paraId="69C232BA" w14:textId="77777777" w:rsidR="006054AA" w:rsidRDefault="001F7667">
            <w:pPr>
              <w:pStyle w:val="P68B1DB1-Normal5"/>
              <w:rPr>
                <w:noProof/>
              </w:rPr>
            </w:pPr>
            <w:r>
              <w:rPr>
                <w:noProof/>
              </w:rPr>
              <w:t>• Местните здравни органи (Aziende Sanitarie Locali), разположени основно в Централна и Южна Италия, които не разполагат с подходяща инфраструктура за гарантиране на сигурността на данните.</w:t>
            </w:r>
          </w:p>
        </w:tc>
      </w:tr>
      <w:tr w:rsidR="006054AA" w14:paraId="23674724" w14:textId="77777777">
        <w:trPr>
          <w:trHeight w:val="309"/>
        </w:trPr>
        <w:tc>
          <w:tcPr>
            <w:tcW w:w="1253" w:type="dxa"/>
            <w:shd w:val="clear" w:color="auto" w:fill="C6EFCE"/>
            <w:noWrap/>
            <w:vAlign w:val="center"/>
          </w:tcPr>
          <w:p w14:paraId="3BBB1991" w14:textId="77777777" w:rsidR="006054AA" w:rsidRDefault="001F7667">
            <w:pPr>
              <w:pStyle w:val="P68B1DB1-Normal5"/>
              <w:jc w:val="center"/>
              <w:rPr>
                <w:noProof/>
              </w:rPr>
            </w:pPr>
            <w:r>
              <w:rPr>
                <w:noProof/>
              </w:rPr>
              <w:t>M1C1—18</w:t>
            </w:r>
          </w:p>
        </w:tc>
        <w:tc>
          <w:tcPr>
            <w:tcW w:w="1568" w:type="dxa"/>
            <w:shd w:val="clear" w:color="auto" w:fill="C6EFCE"/>
            <w:noWrap/>
            <w:vAlign w:val="center"/>
          </w:tcPr>
          <w:p w14:paraId="44F5F64B" w14:textId="7D40CDBF" w:rsidR="006054AA" w:rsidRDefault="001F7667">
            <w:pPr>
              <w:pStyle w:val="P68B1DB1-Normal5"/>
              <w:jc w:val="center"/>
              <w:rPr>
                <w:noProof/>
              </w:rPr>
            </w:pPr>
            <w:r>
              <w:rPr>
                <w:noProof/>
              </w:rPr>
              <w:t>Инвестиция 1.3.1: Национална платформа за цифрови данни</w:t>
            </w:r>
          </w:p>
        </w:tc>
        <w:tc>
          <w:tcPr>
            <w:tcW w:w="1148" w:type="dxa"/>
            <w:shd w:val="clear" w:color="auto" w:fill="C6EFCE"/>
            <w:noWrap/>
            <w:vAlign w:val="center"/>
          </w:tcPr>
          <w:p w14:paraId="2AF66786"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49EE5612" w14:textId="77777777" w:rsidR="006054AA" w:rsidRDefault="001F7667">
            <w:pPr>
              <w:pStyle w:val="P68B1DB1-Normal5"/>
              <w:jc w:val="center"/>
              <w:rPr>
                <w:noProof/>
              </w:rPr>
            </w:pPr>
            <w:r>
              <w:rPr>
                <w:noProof/>
              </w:rPr>
              <w:t>Приложно-програмни интерфейси в националната платформа за цифрови данни T1</w:t>
            </w:r>
          </w:p>
        </w:tc>
        <w:tc>
          <w:tcPr>
            <w:tcW w:w="1701" w:type="dxa"/>
            <w:shd w:val="clear" w:color="auto" w:fill="C6EFCE"/>
            <w:noWrap/>
            <w:vAlign w:val="center"/>
          </w:tcPr>
          <w:p w14:paraId="5768DAF0"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6CA40054"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6AAD79DE" w14:textId="77777777" w:rsidR="006054AA" w:rsidRDefault="001F7667">
            <w:pPr>
              <w:pStyle w:val="P68B1DB1-Normal5"/>
              <w:jc w:val="center"/>
              <w:rPr>
                <w:noProof/>
              </w:rPr>
            </w:pPr>
            <w:r>
              <w:rPr>
                <w:noProof/>
              </w:rPr>
              <w:t>0</w:t>
            </w:r>
          </w:p>
        </w:tc>
        <w:tc>
          <w:tcPr>
            <w:tcW w:w="1276" w:type="dxa"/>
            <w:shd w:val="clear" w:color="auto" w:fill="C6EFCE"/>
            <w:noWrap/>
            <w:vAlign w:val="center"/>
          </w:tcPr>
          <w:p w14:paraId="1C293475" w14:textId="77777777" w:rsidR="006054AA" w:rsidRDefault="001F7667">
            <w:pPr>
              <w:pStyle w:val="P68B1DB1-Normal5"/>
              <w:jc w:val="center"/>
              <w:rPr>
                <w:noProof/>
              </w:rPr>
            </w:pPr>
            <w:r>
              <w:rPr>
                <w:noProof/>
              </w:rPr>
              <w:t>400</w:t>
            </w:r>
          </w:p>
        </w:tc>
        <w:tc>
          <w:tcPr>
            <w:tcW w:w="850" w:type="dxa"/>
            <w:shd w:val="clear" w:color="auto" w:fill="C6EFCE"/>
            <w:noWrap/>
            <w:vAlign w:val="center"/>
          </w:tcPr>
          <w:p w14:paraId="73CE3B2D"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49C122E9" w14:textId="77777777" w:rsidR="006054AA" w:rsidRDefault="001F7667">
            <w:pPr>
              <w:pStyle w:val="P68B1DB1-Normal5"/>
              <w:jc w:val="center"/>
              <w:rPr>
                <w:noProof/>
              </w:rPr>
            </w:pPr>
            <w:r>
              <w:rPr>
                <w:noProof/>
              </w:rPr>
              <w:t>2024</w:t>
            </w:r>
          </w:p>
        </w:tc>
        <w:tc>
          <w:tcPr>
            <w:tcW w:w="2835" w:type="dxa"/>
            <w:shd w:val="clear" w:color="auto" w:fill="C6EFCE"/>
            <w:noWrap/>
            <w:vAlign w:val="center"/>
          </w:tcPr>
          <w:p w14:paraId="11651E56" w14:textId="55A2F1EF" w:rsidR="006054AA" w:rsidRDefault="001F7667">
            <w:pPr>
              <w:pStyle w:val="P68B1DB1-Normal5"/>
              <w:spacing w:after="120"/>
              <w:rPr>
                <w:noProof/>
              </w:rPr>
            </w:pPr>
            <w:r>
              <w:rPr>
                <w:noProof/>
              </w:rPr>
              <w:t>Тази цел се състои в постигането на поне 400 приложно-програмни интерфейса (ППИ), внедрени от агенциите, публикувани в каталога на API и интегрирани с националната платформа за цифрови данни. Приложните приложно-програмни интерфейси вече са картографирани. Публикуваните ППИ оказват въздействие върху следните области:</w:t>
            </w:r>
          </w:p>
          <w:p w14:paraId="6F498CFA" w14:textId="77777777" w:rsidR="006054AA" w:rsidRDefault="001F7667">
            <w:pPr>
              <w:pStyle w:val="P68B1DB1-Normal5"/>
              <w:spacing w:after="120"/>
              <w:rPr>
                <w:noProof/>
              </w:rPr>
            </w:pPr>
            <w:r>
              <w:rPr>
                <w:noProof/>
              </w:rPr>
              <w:t>I) В края на 31 декември 2023 г.: приоритетни услуги за социална сигурност и спазване на данъчното законодателство, включително основни национални регистри (като например регистър на населението и регистър на публичната администрация);</w:t>
            </w:r>
          </w:p>
          <w:p w14:paraId="73B23473" w14:textId="77777777" w:rsidR="006054AA" w:rsidRDefault="001F7667">
            <w:pPr>
              <w:pStyle w:val="P68B1DB1-Normal5"/>
              <w:spacing w:after="120"/>
              <w:rPr>
                <w:noProof/>
              </w:rPr>
            </w:pPr>
            <w:r>
              <w:rPr>
                <w:noProof/>
              </w:rPr>
              <w:t>II) В края на 31 декември 2024 г.: оставащи услуги за социална сигурност и спазване на данъчното законодателство.</w:t>
            </w:r>
          </w:p>
          <w:p w14:paraId="169313B2" w14:textId="77777777" w:rsidR="006054AA" w:rsidRDefault="001F7667">
            <w:pPr>
              <w:pStyle w:val="P68B1DB1-Normal5"/>
              <w:spacing w:after="120"/>
              <w:rPr>
                <w:noProof/>
              </w:rPr>
            </w:pPr>
            <w:r>
              <w:rPr>
                <w:noProof/>
              </w:rPr>
              <w:t>Всяко внедряване на API и документация трябва да съответства на националните стандарти за оперативна съвместимост и да подпомага рамката на националната платформа за цифрови данни; горепосочената платформа предоставя функционални възможности за оценка на това съответствие.</w:t>
            </w:r>
          </w:p>
        </w:tc>
      </w:tr>
      <w:tr w:rsidR="006054AA" w14:paraId="1AD65AE2" w14:textId="77777777">
        <w:trPr>
          <w:trHeight w:val="309"/>
        </w:trPr>
        <w:tc>
          <w:tcPr>
            <w:tcW w:w="1253" w:type="dxa"/>
            <w:shd w:val="clear" w:color="auto" w:fill="C6EFCE"/>
            <w:noWrap/>
            <w:vAlign w:val="center"/>
          </w:tcPr>
          <w:p w14:paraId="4C2101C0" w14:textId="77777777" w:rsidR="006054AA" w:rsidRDefault="001F7667">
            <w:pPr>
              <w:pStyle w:val="P68B1DB1-Normal5"/>
              <w:jc w:val="center"/>
              <w:rPr>
                <w:noProof/>
              </w:rPr>
            </w:pPr>
            <w:r>
              <w:rPr>
                <w:noProof/>
              </w:rPr>
              <w:t>M1C1—19</w:t>
            </w:r>
          </w:p>
        </w:tc>
        <w:tc>
          <w:tcPr>
            <w:tcW w:w="1568" w:type="dxa"/>
            <w:shd w:val="clear" w:color="auto" w:fill="C6EFCE"/>
            <w:noWrap/>
            <w:vAlign w:val="center"/>
          </w:tcPr>
          <w:p w14:paraId="294CFC24"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0971BF4F"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6BC4DF16" w14:textId="77777777" w:rsidR="006054AA" w:rsidRDefault="001F7667">
            <w:pPr>
              <w:pStyle w:val="P68B1DB1-Normal5"/>
              <w:jc w:val="center"/>
              <w:rPr>
                <w:noProof/>
              </w:rPr>
            </w:pPr>
            <w:r>
              <w:rPr>
                <w:noProof/>
              </w:rPr>
              <w:t>Подкрепа за модернизирането на структурите за сигурност T2</w:t>
            </w:r>
          </w:p>
        </w:tc>
        <w:tc>
          <w:tcPr>
            <w:tcW w:w="1701" w:type="dxa"/>
            <w:shd w:val="clear" w:color="auto" w:fill="C6EFCE"/>
            <w:noWrap/>
            <w:vAlign w:val="center"/>
          </w:tcPr>
          <w:p w14:paraId="7AAF4154"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306A3AEA"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7662DF2C" w14:textId="77777777" w:rsidR="006054AA" w:rsidRDefault="001F7667">
            <w:pPr>
              <w:pStyle w:val="P68B1DB1-Normal5"/>
              <w:jc w:val="center"/>
              <w:rPr>
                <w:noProof/>
              </w:rPr>
            </w:pPr>
            <w:r>
              <w:rPr>
                <w:noProof/>
              </w:rPr>
              <w:t>5</w:t>
            </w:r>
          </w:p>
        </w:tc>
        <w:tc>
          <w:tcPr>
            <w:tcW w:w="1276" w:type="dxa"/>
            <w:shd w:val="clear" w:color="auto" w:fill="C6EFCE"/>
            <w:noWrap/>
            <w:vAlign w:val="center"/>
          </w:tcPr>
          <w:p w14:paraId="4A1895B7" w14:textId="77777777" w:rsidR="006054AA" w:rsidRDefault="001F7667">
            <w:pPr>
              <w:pStyle w:val="P68B1DB1-Normal5"/>
              <w:jc w:val="center"/>
              <w:rPr>
                <w:noProof/>
              </w:rPr>
            </w:pPr>
            <w:r>
              <w:rPr>
                <w:noProof/>
              </w:rPr>
              <w:t>50</w:t>
            </w:r>
          </w:p>
        </w:tc>
        <w:tc>
          <w:tcPr>
            <w:tcW w:w="850" w:type="dxa"/>
            <w:shd w:val="clear" w:color="auto" w:fill="C6EFCE"/>
            <w:noWrap/>
            <w:vAlign w:val="center"/>
          </w:tcPr>
          <w:p w14:paraId="2C347BB4"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747A6348" w14:textId="77777777" w:rsidR="006054AA" w:rsidRDefault="001F7667">
            <w:pPr>
              <w:pStyle w:val="P68B1DB1-Normal5"/>
              <w:jc w:val="center"/>
              <w:rPr>
                <w:noProof/>
              </w:rPr>
            </w:pPr>
            <w:r>
              <w:rPr>
                <w:noProof/>
              </w:rPr>
              <w:t>2024</w:t>
            </w:r>
          </w:p>
        </w:tc>
        <w:tc>
          <w:tcPr>
            <w:tcW w:w="2835" w:type="dxa"/>
            <w:shd w:val="clear" w:color="auto" w:fill="C6EFCE"/>
            <w:noWrap/>
            <w:vAlign w:val="center"/>
          </w:tcPr>
          <w:p w14:paraId="163FB885" w14:textId="77777777" w:rsidR="006054AA" w:rsidRDefault="001F7667">
            <w:pPr>
              <w:pStyle w:val="P68B1DB1-Normal5"/>
              <w:spacing w:after="120"/>
              <w:rPr>
                <w:noProof/>
              </w:rPr>
            </w:pPr>
            <w:r>
              <w:rPr>
                <w:noProof/>
              </w:rPr>
              <w:t>Най-малко 50 мерки за укрепване, завършени в Националния периметър за сигурност за секторите на киберсигурността (PSNC) и мрежите и информационните системи (МИС).</w:t>
            </w:r>
          </w:p>
          <w:p w14:paraId="2596876E" w14:textId="76C21AA0" w:rsidR="006054AA" w:rsidRDefault="001F7667">
            <w:pPr>
              <w:pStyle w:val="P68B1DB1-Normal5"/>
              <w:spacing w:after="120"/>
              <w:rPr>
                <w:noProof/>
              </w:rPr>
            </w:pPr>
            <w:r>
              <w:rPr>
                <w:noProof/>
              </w:rPr>
              <w:t>Видовете интервенции включват например оперативни центрове за сигурност (ЦОС), подобрения в отбраната на границите на киберпространството и способности за вътрешен мониторинг и контрол в съответствие с изискванията за МИС и PSNC. Интервенциите в секторите на МИС поставят особен акцент върху секторите на здравеопазването, енергетиката и околната среда (водоснабдяване с питейна вода и управление на отпадъците).</w:t>
            </w:r>
          </w:p>
        </w:tc>
      </w:tr>
      <w:tr w:rsidR="006054AA" w14:paraId="585B1AD5" w14:textId="77777777">
        <w:trPr>
          <w:trHeight w:val="309"/>
        </w:trPr>
        <w:tc>
          <w:tcPr>
            <w:tcW w:w="1253" w:type="dxa"/>
            <w:shd w:val="clear" w:color="auto" w:fill="C6EFCE"/>
            <w:noWrap/>
            <w:vAlign w:val="center"/>
          </w:tcPr>
          <w:p w14:paraId="2C69545D" w14:textId="77777777" w:rsidR="006054AA" w:rsidRDefault="001F7667">
            <w:pPr>
              <w:pStyle w:val="P68B1DB1-Normal5"/>
              <w:jc w:val="center"/>
              <w:rPr>
                <w:noProof/>
              </w:rPr>
            </w:pPr>
            <w:r>
              <w:rPr>
                <w:noProof/>
              </w:rPr>
              <w:t>M1C1—20</w:t>
            </w:r>
          </w:p>
        </w:tc>
        <w:tc>
          <w:tcPr>
            <w:tcW w:w="1568" w:type="dxa"/>
            <w:shd w:val="clear" w:color="auto" w:fill="C6EFCE"/>
            <w:noWrap/>
            <w:vAlign w:val="center"/>
          </w:tcPr>
          <w:p w14:paraId="5FD63978"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38678796"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76C95AE8" w14:textId="77777777" w:rsidR="006054AA" w:rsidRDefault="001F7667">
            <w:pPr>
              <w:pStyle w:val="P68B1DB1-Normal5"/>
              <w:jc w:val="center"/>
              <w:rPr>
                <w:noProof/>
              </w:rPr>
            </w:pPr>
            <w:r>
              <w:rPr>
                <w:noProof/>
              </w:rPr>
              <w:t>Пълно внедряване на националните услуги в областта на киберсигурността</w:t>
            </w:r>
          </w:p>
        </w:tc>
        <w:tc>
          <w:tcPr>
            <w:tcW w:w="1701" w:type="dxa"/>
            <w:shd w:val="clear" w:color="auto" w:fill="C6EFCE"/>
            <w:noWrap/>
            <w:vAlign w:val="center"/>
          </w:tcPr>
          <w:p w14:paraId="25B1792F" w14:textId="77777777" w:rsidR="006054AA" w:rsidRDefault="001F7667">
            <w:pPr>
              <w:pStyle w:val="P68B1DB1-Normal5"/>
              <w:jc w:val="center"/>
              <w:rPr>
                <w:noProof/>
              </w:rPr>
            </w:pPr>
            <w:r>
              <w:rPr>
                <w:noProof/>
              </w:rPr>
              <w:t>Доклад, доказващ пълното активиране на националните услуги за киберсигурност</w:t>
            </w:r>
          </w:p>
        </w:tc>
        <w:tc>
          <w:tcPr>
            <w:tcW w:w="1134" w:type="dxa"/>
            <w:shd w:val="clear" w:color="auto" w:fill="C6EFCE"/>
            <w:noWrap/>
            <w:vAlign w:val="center"/>
          </w:tcPr>
          <w:p w14:paraId="2482C024"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4711E42B"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146B1D37"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6C4C876B"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4EF3F5CD" w14:textId="77777777" w:rsidR="006054AA" w:rsidRDefault="001F7667">
            <w:pPr>
              <w:pStyle w:val="P68B1DB1-Normal5"/>
              <w:jc w:val="center"/>
              <w:rPr>
                <w:noProof/>
              </w:rPr>
            </w:pPr>
            <w:r>
              <w:rPr>
                <w:noProof/>
              </w:rPr>
              <w:t>2024</w:t>
            </w:r>
          </w:p>
        </w:tc>
        <w:tc>
          <w:tcPr>
            <w:tcW w:w="2835" w:type="dxa"/>
            <w:shd w:val="clear" w:color="auto" w:fill="C6EFCE"/>
            <w:noWrap/>
            <w:vAlign w:val="center"/>
          </w:tcPr>
          <w:p w14:paraId="0029A2E7" w14:textId="77777777" w:rsidR="006054AA" w:rsidRDefault="001F7667">
            <w:pPr>
              <w:pStyle w:val="P68B1DB1-Normal5"/>
              <w:spacing w:after="120"/>
              <w:rPr>
                <w:noProof/>
              </w:rPr>
            </w:pPr>
            <w:r>
              <w:rPr>
                <w:noProof/>
              </w:rPr>
              <w:t>Този ключов етап се завършва с активирането на секторните екипи за незабавно реагиране при компютърни инциденти (CERT), тяхната взаимносвързаност с италианския екип за реагиране при инциденти с компютърната сигурност (ЕРИКС) и Центъра за обмен и анализ на информация (ISAC), интегрирането на най-малко 5 оперативни центъра за сигурност (ЦОС) с националния HyperSOC, пълното функциониране на услугите за управление на риска в областта на киберсигурността, включително тези за анализ на веригата на доставки и услуги за застраховане на киберрискове.</w:t>
            </w:r>
          </w:p>
        </w:tc>
      </w:tr>
      <w:tr w:rsidR="006054AA" w14:paraId="311CE42B" w14:textId="77777777">
        <w:trPr>
          <w:trHeight w:val="309"/>
        </w:trPr>
        <w:tc>
          <w:tcPr>
            <w:tcW w:w="1253" w:type="dxa"/>
            <w:shd w:val="clear" w:color="auto" w:fill="C6EFCE"/>
            <w:noWrap/>
            <w:vAlign w:val="center"/>
          </w:tcPr>
          <w:p w14:paraId="3A214FF2" w14:textId="77777777" w:rsidR="006054AA" w:rsidRDefault="001F7667">
            <w:pPr>
              <w:pStyle w:val="P68B1DB1-Normal5"/>
              <w:jc w:val="center"/>
              <w:rPr>
                <w:noProof/>
              </w:rPr>
            </w:pPr>
            <w:r>
              <w:rPr>
                <w:noProof/>
              </w:rPr>
              <w:t>M1C1—21</w:t>
            </w:r>
          </w:p>
        </w:tc>
        <w:tc>
          <w:tcPr>
            <w:tcW w:w="1568" w:type="dxa"/>
            <w:shd w:val="clear" w:color="auto" w:fill="C6EFCE"/>
            <w:noWrap/>
            <w:vAlign w:val="center"/>
          </w:tcPr>
          <w:p w14:paraId="2B04D4BA"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7361A6EE"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044DDD9E" w14:textId="77777777" w:rsidR="006054AA" w:rsidRDefault="001F7667">
            <w:pPr>
              <w:pStyle w:val="P68B1DB1-Normal5"/>
              <w:jc w:val="center"/>
              <w:rPr>
                <w:noProof/>
              </w:rPr>
            </w:pPr>
            <w:r>
              <w:rPr>
                <w:noProof/>
              </w:rPr>
              <w:t>Завършване на мрежата от лаборатории за проверка и сертифициране на киберсигурността, центрове за оценка</w:t>
            </w:r>
          </w:p>
        </w:tc>
        <w:tc>
          <w:tcPr>
            <w:tcW w:w="1701" w:type="dxa"/>
            <w:shd w:val="clear" w:color="auto" w:fill="C6EFCE"/>
            <w:noWrap/>
            <w:vAlign w:val="center"/>
          </w:tcPr>
          <w:p w14:paraId="3A3BB244" w14:textId="082E2461" w:rsidR="006054AA" w:rsidRDefault="001F7667">
            <w:pPr>
              <w:pStyle w:val="P68B1DB1-Normal5"/>
              <w:jc w:val="center"/>
              <w:rPr>
                <w:noProof/>
              </w:rPr>
            </w:pPr>
            <w:r>
              <w:rPr>
                <w:noProof/>
              </w:rPr>
              <w:t>Предоставени доклади, доказващи пълното активиране на най-малко 10 лаборатории и на 2 центъра за оценка (CV)</w:t>
            </w:r>
          </w:p>
        </w:tc>
        <w:tc>
          <w:tcPr>
            <w:tcW w:w="1134" w:type="dxa"/>
            <w:shd w:val="clear" w:color="auto" w:fill="C6EFCE"/>
            <w:noWrap/>
            <w:vAlign w:val="center"/>
          </w:tcPr>
          <w:p w14:paraId="1F32B991"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7805A180"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0B11A3B0"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3EC157E7"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1A55FEE7" w14:textId="77777777" w:rsidR="006054AA" w:rsidRDefault="001F7667">
            <w:pPr>
              <w:pStyle w:val="P68B1DB1-Normal5"/>
              <w:jc w:val="center"/>
              <w:rPr>
                <w:noProof/>
              </w:rPr>
            </w:pPr>
            <w:r>
              <w:rPr>
                <w:noProof/>
              </w:rPr>
              <w:t>2024</w:t>
            </w:r>
          </w:p>
        </w:tc>
        <w:tc>
          <w:tcPr>
            <w:tcW w:w="2835" w:type="dxa"/>
            <w:shd w:val="clear" w:color="auto" w:fill="C6EFCE"/>
            <w:noWrap/>
            <w:vAlign w:val="center"/>
          </w:tcPr>
          <w:p w14:paraId="7020B06B" w14:textId="2DFF78C0" w:rsidR="006054AA" w:rsidRDefault="001F7667">
            <w:pPr>
              <w:pStyle w:val="P68B1DB1-Normal5"/>
              <w:spacing w:after="120"/>
              <w:rPr>
                <w:noProof/>
              </w:rPr>
            </w:pPr>
            <w:r>
              <w:rPr>
                <w:noProof/>
              </w:rPr>
              <w:t>Активиране на най-малко 10 лаборатории за скрининг и сертифициране и на 2 центъра за оценка (CV).</w:t>
            </w:r>
          </w:p>
        </w:tc>
      </w:tr>
      <w:tr w:rsidR="006054AA" w14:paraId="2DB38B2D" w14:textId="77777777">
        <w:trPr>
          <w:trHeight w:val="309"/>
        </w:trPr>
        <w:tc>
          <w:tcPr>
            <w:tcW w:w="1253" w:type="dxa"/>
            <w:shd w:val="clear" w:color="auto" w:fill="C6EFCE"/>
            <w:noWrap/>
            <w:vAlign w:val="center"/>
          </w:tcPr>
          <w:p w14:paraId="3C6A23A8" w14:textId="77777777" w:rsidR="006054AA" w:rsidRDefault="001F7667">
            <w:pPr>
              <w:pStyle w:val="P68B1DB1-Normal5"/>
              <w:jc w:val="center"/>
              <w:rPr>
                <w:noProof/>
              </w:rPr>
            </w:pPr>
            <w:r>
              <w:rPr>
                <w:noProof/>
              </w:rPr>
              <w:t>M1C1—22</w:t>
            </w:r>
          </w:p>
        </w:tc>
        <w:tc>
          <w:tcPr>
            <w:tcW w:w="1568" w:type="dxa"/>
            <w:shd w:val="clear" w:color="auto" w:fill="C6EFCE"/>
            <w:noWrap/>
            <w:vAlign w:val="center"/>
          </w:tcPr>
          <w:p w14:paraId="4EE6BC4C" w14:textId="77777777" w:rsidR="006054AA" w:rsidRDefault="001F7667">
            <w:pPr>
              <w:pStyle w:val="P68B1DB1-Normal5"/>
              <w:jc w:val="center"/>
              <w:rPr>
                <w:noProof/>
              </w:rPr>
            </w:pPr>
            <w:r>
              <w:rPr>
                <w:noProof/>
              </w:rPr>
              <w:t>Инвестиция 1.5: Киберсигурността</w:t>
            </w:r>
          </w:p>
        </w:tc>
        <w:tc>
          <w:tcPr>
            <w:tcW w:w="1148" w:type="dxa"/>
            <w:shd w:val="clear" w:color="auto" w:fill="C6EFCE"/>
            <w:noWrap/>
            <w:vAlign w:val="center"/>
          </w:tcPr>
          <w:p w14:paraId="04D28867"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1BC79443" w14:textId="77777777" w:rsidR="006054AA" w:rsidRDefault="001F7667">
            <w:pPr>
              <w:pStyle w:val="P68B1DB1-Normal5"/>
              <w:jc w:val="center"/>
              <w:rPr>
                <w:noProof/>
              </w:rPr>
            </w:pPr>
            <w:r>
              <w:rPr>
                <w:noProof/>
              </w:rPr>
              <w:t>Пълно функциониране на Централното звено за одит на мерките за сигурност PSNC -NIS с най-малко 30 приключени инспекции</w:t>
            </w:r>
          </w:p>
        </w:tc>
        <w:tc>
          <w:tcPr>
            <w:tcW w:w="1701" w:type="dxa"/>
            <w:shd w:val="clear" w:color="auto" w:fill="C6EFCE"/>
            <w:noWrap/>
            <w:vAlign w:val="center"/>
          </w:tcPr>
          <w:p w14:paraId="528F94B2" w14:textId="77777777" w:rsidR="006054AA" w:rsidRDefault="001F7667">
            <w:pPr>
              <w:pStyle w:val="P68B1DB1-Normal5"/>
              <w:jc w:val="center"/>
              <w:rPr>
                <w:noProof/>
              </w:rPr>
            </w:pPr>
            <w:r>
              <w:rPr>
                <w:noProof/>
              </w:rPr>
              <w:t>Предоставени доклади, доклади от инспекции</w:t>
            </w:r>
          </w:p>
        </w:tc>
        <w:tc>
          <w:tcPr>
            <w:tcW w:w="1134" w:type="dxa"/>
            <w:shd w:val="clear" w:color="auto" w:fill="C6EFCE"/>
            <w:noWrap/>
            <w:vAlign w:val="center"/>
          </w:tcPr>
          <w:p w14:paraId="69486001"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1898036C"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1AC7FFC8"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05AC6251"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41447BEB" w14:textId="77777777" w:rsidR="006054AA" w:rsidRDefault="001F7667">
            <w:pPr>
              <w:pStyle w:val="P68B1DB1-Normal5"/>
              <w:jc w:val="center"/>
              <w:rPr>
                <w:noProof/>
              </w:rPr>
            </w:pPr>
            <w:r>
              <w:rPr>
                <w:noProof/>
              </w:rPr>
              <w:t>2024</w:t>
            </w:r>
          </w:p>
        </w:tc>
        <w:tc>
          <w:tcPr>
            <w:tcW w:w="2835" w:type="dxa"/>
            <w:shd w:val="clear" w:color="auto" w:fill="C6EFCE"/>
            <w:noWrap/>
            <w:vAlign w:val="center"/>
          </w:tcPr>
          <w:p w14:paraId="7B52AC93" w14:textId="77777777" w:rsidR="006054AA" w:rsidRDefault="001F7667">
            <w:pPr>
              <w:pStyle w:val="P68B1DB1-Normal5"/>
              <w:spacing w:after="120"/>
              <w:rPr>
                <w:noProof/>
              </w:rPr>
            </w:pPr>
            <w:r>
              <w:rPr>
                <w:noProof/>
              </w:rPr>
              <w:t>Пълно функциониране на Централното одитно звено с най-малко 30 завършени инспекции.</w:t>
            </w:r>
          </w:p>
        </w:tc>
      </w:tr>
      <w:tr w:rsidR="006054AA" w14:paraId="066AAB12" w14:textId="77777777">
        <w:trPr>
          <w:trHeight w:val="309"/>
        </w:trPr>
        <w:tc>
          <w:tcPr>
            <w:tcW w:w="1253" w:type="dxa"/>
            <w:shd w:val="clear" w:color="auto" w:fill="C6EFCE"/>
            <w:noWrap/>
            <w:vAlign w:val="center"/>
          </w:tcPr>
          <w:p w14:paraId="5BEEF5EB" w14:textId="77777777" w:rsidR="006054AA" w:rsidRDefault="001F7667">
            <w:pPr>
              <w:pStyle w:val="P68B1DB1-Normal5"/>
              <w:jc w:val="center"/>
              <w:rPr>
                <w:noProof/>
              </w:rPr>
            </w:pPr>
            <w:r>
              <w:rPr>
                <w:noProof/>
              </w:rPr>
              <w:t>M1C1—23</w:t>
            </w:r>
          </w:p>
        </w:tc>
        <w:tc>
          <w:tcPr>
            <w:tcW w:w="1568" w:type="dxa"/>
            <w:shd w:val="clear" w:color="auto" w:fill="C6EFCE"/>
            <w:noWrap/>
            <w:vAlign w:val="center"/>
          </w:tcPr>
          <w:p w14:paraId="035C8A1C" w14:textId="1B5E4D4C" w:rsidR="006054AA" w:rsidRDefault="001F7667">
            <w:pPr>
              <w:pStyle w:val="P68B1DB1-Normal5"/>
              <w:jc w:val="center"/>
              <w:rPr>
                <w:noProof/>
              </w:rPr>
            </w:pPr>
            <w:r>
              <w:rPr>
                <w:noProof/>
              </w:rPr>
              <w:t>Инвестиция 1.4.6: Мобилността като услуга за Италия</w:t>
            </w:r>
          </w:p>
        </w:tc>
        <w:tc>
          <w:tcPr>
            <w:tcW w:w="1148" w:type="dxa"/>
            <w:shd w:val="clear" w:color="auto" w:fill="C6EFCE"/>
            <w:noWrap/>
            <w:vAlign w:val="center"/>
          </w:tcPr>
          <w:p w14:paraId="102B1596"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5FE7E4EC" w14:textId="77777777" w:rsidR="006054AA" w:rsidRDefault="001F7667">
            <w:pPr>
              <w:pStyle w:val="P68B1DB1-Normal5"/>
              <w:jc w:val="center"/>
              <w:rPr>
                <w:noProof/>
              </w:rPr>
            </w:pPr>
            <w:r>
              <w:rPr>
                <w:noProof/>
              </w:rPr>
              <w:t>Мобилността като решения за обслужване M2</w:t>
            </w:r>
          </w:p>
        </w:tc>
        <w:tc>
          <w:tcPr>
            <w:tcW w:w="1701" w:type="dxa"/>
            <w:shd w:val="clear" w:color="auto" w:fill="C6EFCE"/>
            <w:noWrap/>
            <w:vAlign w:val="center"/>
          </w:tcPr>
          <w:p w14:paraId="5E460BDF" w14:textId="01EB0E82" w:rsidR="006054AA" w:rsidRDefault="001F7667">
            <w:pPr>
              <w:pStyle w:val="P68B1DB1-Normal5"/>
              <w:jc w:val="center"/>
              <w:rPr>
                <w:noProof/>
              </w:rPr>
            </w:pPr>
            <w:r>
              <w:rPr>
                <w:noProof/>
              </w:rPr>
              <w:t>Пилотни резултати, оценени от Ministero delle Infrastrutture e della Mobilità Sostenibili (MIMS) в сътрудничество с университети</w:t>
            </w:r>
          </w:p>
        </w:tc>
        <w:tc>
          <w:tcPr>
            <w:tcW w:w="1134" w:type="dxa"/>
            <w:shd w:val="clear" w:color="auto" w:fill="C6EFCE"/>
            <w:noWrap/>
            <w:vAlign w:val="center"/>
          </w:tcPr>
          <w:p w14:paraId="4042578F"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4C25D1DB"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61F08E48"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648F442F" w14:textId="77777777" w:rsidR="006054AA" w:rsidRDefault="001F7667">
            <w:pPr>
              <w:pStyle w:val="P68B1DB1-Normal5"/>
              <w:jc w:val="center"/>
              <w:rPr>
                <w:noProof/>
              </w:rPr>
            </w:pPr>
            <w:r>
              <w:rPr>
                <w:noProof/>
              </w:rPr>
              <w:t>Т1 Г.</w:t>
            </w:r>
          </w:p>
        </w:tc>
        <w:tc>
          <w:tcPr>
            <w:tcW w:w="709" w:type="dxa"/>
            <w:shd w:val="clear" w:color="auto" w:fill="C6EFCE"/>
            <w:noWrap/>
            <w:vAlign w:val="center"/>
          </w:tcPr>
          <w:p w14:paraId="6737ABB8" w14:textId="77777777" w:rsidR="006054AA" w:rsidRDefault="001F7667">
            <w:pPr>
              <w:pStyle w:val="P68B1DB1-Normal5"/>
              <w:jc w:val="center"/>
              <w:rPr>
                <w:noProof/>
              </w:rPr>
            </w:pPr>
            <w:r>
              <w:rPr>
                <w:noProof/>
              </w:rPr>
              <w:t>2025</w:t>
            </w:r>
          </w:p>
        </w:tc>
        <w:tc>
          <w:tcPr>
            <w:tcW w:w="2835" w:type="dxa"/>
            <w:shd w:val="clear" w:color="auto" w:fill="C6EFCE"/>
            <w:noWrap/>
            <w:vAlign w:val="center"/>
          </w:tcPr>
          <w:p w14:paraId="5DC39A38" w14:textId="77777777" w:rsidR="006054AA" w:rsidRDefault="001F7667">
            <w:pPr>
              <w:pStyle w:val="P68B1DB1-Normal5"/>
              <w:spacing w:after="120"/>
              <w:rPr>
                <w:noProof/>
              </w:rPr>
            </w:pPr>
            <w:r>
              <w:rPr>
                <w:noProof/>
              </w:rPr>
              <w:t>Ключовият етап се отнася до изпълнението на втората вълна от седем пилотни проекта, насочени към изпитване на мобилността като решения за услуги в „последващите“ области.</w:t>
            </w:r>
          </w:p>
          <w:p w14:paraId="34003128" w14:textId="77777777" w:rsidR="006054AA" w:rsidRDefault="001F7667">
            <w:pPr>
              <w:pStyle w:val="P68B1DB1-Normal5"/>
              <w:spacing w:after="120"/>
              <w:rPr>
                <w:noProof/>
              </w:rPr>
            </w:pPr>
            <w:r>
              <w:rPr>
                <w:noProof/>
              </w:rPr>
              <w:t>Очаква се общините да се възползват от опита на метрополните градове, подготвени за цифрови технологии, избрани в рамките на първата вълна. 40 % от пилотните проекти се осъществяват на юг.</w:t>
            </w:r>
          </w:p>
        </w:tc>
      </w:tr>
      <w:tr w:rsidR="006054AA" w14:paraId="478D9BCD" w14:textId="77777777">
        <w:trPr>
          <w:trHeight w:val="309"/>
        </w:trPr>
        <w:tc>
          <w:tcPr>
            <w:tcW w:w="1253" w:type="dxa"/>
            <w:shd w:val="clear" w:color="auto" w:fill="C6EFCE"/>
            <w:noWrap/>
            <w:vAlign w:val="center"/>
          </w:tcPr>
          <w:p w14:paraId="4531755B" w14:textId="77777777" w:rsidR="006054AA" w:rsidRDefault="001F7667">
            <w:pPr>
              <w:pStyle w:val="P68B1DB1-Normal5"/>
              <w:jc w:val="center"/>
              <w:rPr>
                <w:noProof/>
              </w:rPr>
            </w:pPr>
            <w:r>
              <w:rPr>
                <w:noProof/>
              </w:rPr>
              <w:t>M1C1—24</w:t>
            </w:r>
          </w:p>
        </w:tc>
        <w:tc>
          <w:tcPr>
            <w:tcW w:w="1568" w:type="dxa"/>
            <w:shd w:val="clear" w:color="auto" w:fill="C6EFCE"/>
            <w:noWrap/>
            <w:vAlign w:val="center"/>
          </w:tcPr>
          <w:p w14:paraId="03697DDF" w14:textId="7CDC1D1D" w:rsidR="006054AA" w:rsidRDefault="001F7667">
            <w:pPr>
              <w:pStyle w:val="P68B1DB1-Normal5"/>
              <w:jc w:val="center"/>
              <w:rPr>
                <w:noProof/>
              </w:rPr>
            </w:pPr>
            <w:r>
              <w:rPr>
                <w:noProof/>
              </w:rPr>
              <w:t>Инвестиция 1.7.1: Цифрова публична служба</w:t>
            </w:r>
          </w:p>
        </w:tc>
        <w:tc>
          <w:tcPr>
            <w:tcW w:w="1148" w:type="dxa"/>
            <w:shd w:val="clear" w:color="auto" w:fill="C6EFCE"/>
            <w:noWrap/>
            <w:vAlign w:val="center"/>
          </w:tcPr>
          <w:p w14:paraId="010E7A4E"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2376AED8" w14:textId="360A3DB3" w:rsidR="006054AA" w:rsidRDefault="001F7667">
            <w:pPr>
              <w:pStyle w:val="P68B1DB1-Normal5"/>
              <w:jc w:val="center"/>
              <w:rPr>
                <w:noProof/>
              </w:rPr>
            </w:pPr>
            <w:r>
              <w:rPr>
                <w:noProof/>
              </w:rPr>
              <w:t xml:space="preserve">Граждани, участващи в цифрово образование и/или инициативи за улесняване, предоставяни от организации, регистрирани в националния регистър на организациите за универсална публична служба </w:t>
            </w:r>
          </w:p>
        </w:tc>
        <w:tc>
          <w:tcPr>
            <w:tcW w:w="1701" w:type="dxa"/>
            <w:shd w:val="clear" w:color="auto" w:fill="C6EFCE"/>
            <w:noWrap/>
            <w:vAlign w:val="center"/>
          </w:tcPr>
          <w:p w14:paraId="1B1E6A44"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78DF70DA"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2EF961F5" w14:textId="77777777" w:rsidR="006054AA" w:rsidRDefault="001F7667">
            <w:pPr>
              <w:pStyle w:val="P68B1DB1-Normal5"/>
              <w:jc w:val="center"/>
              <w:rPr>
                <w:noProof/>
              </w:rPr>
            </w:pPr>
            <w:r>
              <w:rPr>
                <w:noProof/>
              </w:rPr>
              <w:t>0</w:t>
            </w:r>
          </w:p>
        </w:tc>
        <w:tc>
          <w:tcPr>
            <w:tcW w:w="1276" w:type="dxa"/>
            <w:shd w:val="clear" w:color="auto" w:fill="C6EFCE"/>
            <w:noWrap/>
            <w:vAlign w:val="center"/>
          </w:tcPr>
          <w:p w14:paraId="302FAE86" w14:textId="77777777" w:rsidR="006054AA" w:rsidRDefault="001F7667">
            <w:pPr>
              <w:pStyle w:val="P68B1DB1-Normal5"/>
              <w:jc w:val="center"/>
              <w:rPr>
                <w:noProof/>
              </w:rPr>
            </w:pPr>
            <w:r>
              <w:rPr>
                <w:noProof/>
              </w:rPr>
              <w:t>700 000</w:t>
            </w:r>
          </w:p>
        </w:tc>
        <w:tc>
          <w:tcPr>
            <w:tcW w:w="850" w:type="dxa"/>
            <w:shd w:val="clear" w:color="auto" w:fill="C6EFCE"/>
            <w:noWrap/>
            <w:vAlign w:val="center"/>
          </w:tcPr>
          <w:p w14:paraId="30471F33" w14:textId="77777777" w:rsidR="006054AA" w:rsidRDefault="001F7667">
            <w:pPr>
              <w:pStyle w:val="P68B1DB1-Normal5"/>
              <w:jc w:val="center"/>
              <w:rPr>
                <w:noProof/>
              </w:rPr>
            </w:pPr>
            <w:r>
              <w:rPr>
                <w:noProof/>
              </w:rPr>
              <w:t>Т4 Г.</w:t>
            </w:r>
          </w:p>
        </w:tc>
        <w:tc>
          <w:tcPr>
            <w:tcW w:w="709" w:type="dxa"/>
            <w:shd w:val="clear" w:color="auto" w:fill="C6EFCE"/>
            <w:noWrap/>
            <w:vAlign w:val="center"/>
          </w:tcPr>
          <w:p w14:paraId="3384BD2C" w14:textId="77777777" w:rsidR="006054AA" w:rsidRDefault="001F7667">
            <w:pPr>
              <w:pStyle w:val="P68B1DB1-Normal5"/>
              <w:jc w:val="center"/>
              <w:rPr>
                <w:noProof/>
              </w:rPr>
            </w:pPr>
            <w:r>
              <w:rPr>
                <w:noProof/>
              </w:rPr>
              <w:t>2025</w:t>
            </w:r>
          </w:p>
        </w:tc>
        <w:tc>
          <w:tcPr>
            <w:tcW w:w="2835" w:type="dxa"/>
            <w:shd w:val="clear" w:color="auto" w:fill="C6EFCE"/>
            <w:noWrap/>
            <w:vAlign w:val="center"/>
          </w:tcPr>
          <w:p w14:paraId="065A0C11" w14:textId="2F52883A" w:rsidR="006054AA" w:rsidRDefault="001F7667">
            <w:pPr>
              <w:pStyle w:val="P68B1DB1-Normal5"/>
              <w:rPr>
                <w:noProof/>
              </w:rPr>
            </w:pPr>
            <w:r>
              <w:rPr>
                <w:noProof/>
              </w:rPr>
              <w:t>Най-малко 700 000 инициативи за цифрово образование и/или улесняване с участието на граждани, предоставени от организации, регистрирани в националния регистър на организациите за универсална публична служба.</w:t>
            </w:r>
          </w:p>
        </w:tc>
      </w:tr>
      <w:tr w:rsidR="006054AA" w14:paraId="35F80035" w14:textId="77777777">
        <w:trPr>
          <w:trHeight w:val="309"/>
        </w:trPr>
        <w:tc>
          <w:tcPr>
            <w:tcW w:w="1253" w:type="dxa"/>
            <w:shd w:val="clear" w:color="auto" w:fill="C6EFCE"/>
            <w:noWrap/>
            <w:vAlign w:val="center"/>
          </w:tcPr>
          <w:p w14:paraId="1E9EE715" w14:textId="77777777" w:rsidR="006054AA" w:rsidRDefault="001F7667">
            <w:pPr>
              <w:pStyle w:val="P68B1DB1-Normal5"/>
              <w:jc w:val="center"/>
              <w:rPr>
                <w:noProof/>
              </w:rPr>
            </w:pPr>
            <w:r>
              <w:rPr>
                <w:noProof/>
              </w:rPr>
              <w:t>M1C1—25</w:t>
            </w:r>
          </w:p>
        </w:tc>
        <w:tc>
          <w:tcPr>
            <w:tcW w:w="1568" w:type="dxa"/>
            <w:shd w:val="clear" w:color="auto" w:fill="C6EFCE"/>
            <w:noWrap/>
            <w:vAlign w:val="center"/>
          </w:tcPr>
          <w:p w14:paraId="5113E1C7" w14:textId="77777777" w:rsidR="006054AA" w:rsidRDefault="001F7667">
            <w:pPr>
              <w:pStyle w:val="P68B1DB1-Normal5"/>
              <w:jc w:val="center"/>
              <w:rPr>
                <w:noProof/>
              </w:rPr>
            </w:pPr>
            <w:r>
              <w:rPr>
                <w:noProof/>
              </w:rPr>
              <w:t>Инвестиция 1.6.6: Цифровизация на финансовата полиция</w:t>
            </w:r>
          </w:p>
        </w:tc>
        <w:tc>
          <w:tcPr>
            <w:tcW w:w="1148" w:type="dxa"/>
            <w:shd w:val="clear" w:color="auto" w:fill="C6EFCE"/>
            <w:noWrap/>
            <w:vAlign w:val="center"/>
          </w:tcPr>
          <w:p w14:paraId="02C95E45" w14:textId="77777777" w:rsidR="006054AA" w:rsidRDefault="001F7667">
            <w:pPr>
              <w:pStyle w:val="P68B1DB1-Normal5"/>
              <w:jc w:val="center"/>
              <w:rPr>
                <w:noProof/>
              </w:rPr>
            </w:pPr>
            <w:r>
              <w:rPr>
                <w:noProof/>
              </w:rPr>
              <w:t>Ключов етап</w:t>
            </w:r>
          </w:p>
        </w:tc>
        <w:tc>
          <w:tcPr>
            <w:tcW w:w="1470" w:type="dxa"/>
            <w:shd w:val="clear" w:color="auto" w:fill="C6EFCE"/>
            <w:noWrap/>
            <w:vAlign w:val="center"/>
          </w:tcPr>
          <w:p w14:paraId="023241C8" w14:textId="77777777" w:rsidR="006054AA" w:rsidRDefault="001F7667">
            <w:pPr>
              <w:pStyle w:val="P68B1DB1-Normal5"/>
              <w:jc w:val="center"/>
              <w:rPr>
                <w:noProof/>
              </w:rPr>
            </w:pPr>
            <w:r>
              <w:rPr>
                <w:noProof/>
              </w:rPr>
              <w:t>Развиване на оперативните информационни системи, използвани за борба с икономическата престъпност</w:t>
            </w:r>
          </w:p>
        </w:tc>
        <w:tc>
          <w:tcPr>
            <w:tcW w:w="1701" w:type="dxa"/>
            <w:shd w:val="clear" w:color="auto" w:fill="C6EFCE"/>
            <w:noWrap/>
            <w:vAlign w:val="center"/>
          </w:tcPr>
          <w:p w14:paraId="5D12386D" w14:textId="77777777" w:rsidR="006054AA" w:rsidRDefault="001F7667">
            <w:pPr>
              <w:pStyle w:val="P68B1DB1-Normal5"/>
              <w:jc w:val="center"/>
              <w:rPr>
                <w:noProof/>
              </w:rPr>
            </w:pPr>
            <w:r>
              <w:rPr>
                <w:noProof/>
              </w:rPr>
              <w:t>Подобряване на ИТ системите по отношение на новите функционални възможности, работата и опита на потребителите</w:t>
            </w:r>
          </w:p>
        </w:tc>
        <w:tc>
          <w:tcPr>
            <w:tcW w:w="1134" w:type="dxa"/>
            <w:shd w:val="clear" w:color="auto" w:fill="C6EFCE"/>
            <w:noWrap/>
            <w:vAlign w:val="center"/>
          </w:tcPr>
          <w:p w14:paraId="1F0B82DD" w14:textId="77777777" w:rsidR="006054AA" w:rsidRDefault="001F7667">
            <w:pPr>
              <w:pStyle w:val="P68B1DB1-Normal5"/>
              <w:jc w:val="center"/>
              <w:rPr>
                <w:noProof/>
              </w:rPr>
            </w:pPr>
            <w:r>
              <w:rPr>
                <w:noProof/>
              </w:rPr>
              <w:t>НЯМА</w:t>
            </w:r>
          </w:p>
        </w:tc>
        <w:tc>
          <w:tcPr>
            <w:tcW w:w="1417" w:type="dxa"/>
            <w:shd w:val="clear" w:color="auto" w:fill="C6EFCE"/>
            <w:noWrap/>
            <w:vAlign w:val="center"/>
          </w:tcPr>
          <w:p w14:paraId="17A81F3F" w14:textId="77777777" w:rsidR="006054AA" w:rsidRDefault="001F7667">
            <w:pPr>
              <w:pStyle w:val="P68B1DB1-Normal5"/>
              <w:jc w:val="center"/>
              <w:rPr>
                <w:noProof/>
              </w:rPr>
            </w:pPr>
            <w:r>
              <w:rPr>
                <w:noProof/>
              </w:rPr>
              <w:t>НЯМА</w:t>
            </w:r>
          </w:p>
        </w:tc>
        <w:tc>
          <w:tcPr>
            <w:tcW w:w="1276" w:type="dxa"/>
            <w:shd w:val="clear" w:color="auto" w:fill="C6EFCE"/>
            <w:noWrap/>
            <w:vAlign w:val="center"/>
          </w:tcPr>
          <w:p w14:paraId="27C367E4" w14:textId="77777777" w:rsidR="006054AA" w:rsidRDefault="001F7667">
            <w:pPr>
              <w:pStyle w:val="P68B1DB1-Normal5"/>
              <w:jc w:val="center"/>
              <w:rPr>
                <w:noProof/>
              </w:rPr>
            </w:pPr>
            <w:r>
              <w:rPr>
                <w:noProof/>
              </w:rPr>
              <w:t>НЯМА</w:t>
            </w:r>
          </w:p>
        </w:tc>
        <w:tc>
          <w:tcPr>
            <w:tcW w:w="850" w:type="dxa"/>
            <w:shd w:val="clear" w:color="auto" w:fill="C6EFCE"/>
            <w:noWrap/>
            <w:vAlign w:val="center"/>
          </w:tcPr>
          <w:p w14:paraId="0E754B8E" w14:textId="77777777" w:rsidR="006054AA" w:rsidRDefault="001F7667">
            <w:pPr>
              <w:pStyle w:val="P68B1DB1-Normal5"/>
              <w:jc w:val="center"/>
              <w:rPr>
                <w:noProof/>
              </w:rPr>
            </w:pPr>
            <w:r>
              <w:rPr>
                <w:noProof/>
              </w:rPr>
              <w:t>Т2 Г.</w:t>
            </w:r>
          </w:p>
        </w:tc>
        <w:tc>
          <w:tcPr>
            <w:tcW w:w="709" w:type="dxa"/>
            <w:shd w:val="clear" w:color="auto" w:fill="C6EFCE"/>
            <w:noWrap/>
            <w:vAlign w:val="center"/>
          </w:tcPr>
          <w:p w14:paraId="44E04321" w14:textId="77777777" w:rsidR="006054AA" w:rsidRDefault="001F7667">
            <w:pPr>
              <w:pStyle w:val="P68B1DB1-Normal5"/>
              <w:jc w:val="center"/>
              <w:rPr>
                <w:noProof/>
              </w:rPr>
            </w:pPr>
            <w:r>
              <w:rPr>
                <w:noProof/>
              </w:rPr>
              <w:t>2025</w:t>
            </w:r>
          </w:p>
        </w:tc>
        <w:tc>
          <w:tcPr>
            <w:tcW w:w="2835" w:type="dxa"/>
            <w:shd w:val="clear" w:color="auto" w:fill="C6EFCE"/>
            <w:noWrap/>
            <w:vAlign w:val="center"/>
          </w:tcPr>
          <w:p w14:paraId="6A7C19D5" w14:textId="77777777" w:rsidR="006054AA" w:rsidRDefault="001F7667">
            <w:pPr>
              <w:pStyle w:val="P68B1DB1-Normal5"/>
              <w:rPr>
                <w:noProof/>
              </w:rPr>
            </w:pPr>
            <w:r>
              <w:rPr>
                <w:noProof/>
              </w:rPr>
              <w:t>Постепенно предоставяне (на годишна основа) на нови функционалности на оперативните информационни системи, за да се гарантира тяхната актуалност в съответствие с бързо променящите се законодателни сценарии, също свързани с пандемичната ситуация.</w:t>
            </w:r>
          </w:p>
        </w:tc>
      </w:tr>
      <w:tr w:rsidR="006054AA" w14:paraId="0A2F7A5B" w14:textId="77777777">
        <w:trPr>
          <w:trHeight w:val="309"/>
        </w:trPr>
        <w:tc>
          <w:tcPr>
            <w:tcW w:w="1253" w:type="dxa"/>
            <w:shd w:val="clear" w:color="auto" w:fill="C6EFCE"/>
            <w:noWrap/>
            <w:vAlign w:val="center"/>
            <w:hideMark/>
          </w:tcPr>
          <w:p w14:paraId="062CC674" w14:textId="77777777" w:rsidR="006054AA" w:rsidRDefault="001F7667">
            <w:pPr>
              <w:pStyle w:val="P68B1DB1-Normal5"/>
              <w:jc w:val="center"/>
              <w:rPr>
                <w:noProof/>
              </w:rPr>
            </w:pPr>
            <w:r>
              <w:rPr>
                <w:noProof/>
              </w:rPr>
              <w:t>M1C1—26</w:t>
            </w:r>
          </w:p>
        </w:tc>
        <w:tc>
          <w:tcPr>
            <w:tcW w:w="1568" w:type="dxa"/>
            <w:shd w:val="clear" w:color="auto" w:fill="C6EFCE"/>
            <w:noWrap/>
            <w:vAlign w:val="center"/>
            <w:hideMark/>
          </w:tcPr>
          <w:p w14:paraId="7EC5F168" w14:textId="77777777" w:rsidR="006054AA" w:rsidRDefault="001F7667">
            <w:pPr>
              <w:pStyle w:val="P68B1DB1-Normal5"/>
              <w:jc w:val="center"/>
              <w:rPr>
                <w:noProof/>
              </w:rPr>
            </w:pPr>
            <w:r>
              <w:rPr>
                <w:noProof/>
              </w:rPr>
              <w:t>Инвестиция 1.1: Цифрова инфраструктура</w:t>
            </w:r>
          </w:p>
        </w:tc>
        <w:tc>
          <w:tcPr>
            <w:tcW w:w="1148" w:type="dxa"/>
            <w:shd w:val="clear" w:color="auto" w:fill="C6EFCE"/>
            <w:noWrap/>
            <w:vAlign w:val="center"/>
            <w:hideMark/>
          </w:tcPr>
          <w:p w14:paraId="0ACB1580" w14:textId="77777777" w:rsidR="006054AA" w:rsidRDefault="001F7667">
            <w:pPr>
              <w:pStyle w:val="P68B1DB1-Normal5"/>
              <w:jc w:val="center"/>
              <w:rPr>
                <w:noProof/>
              </w:rPr>
            </w:pPr>
            <w:r>
              <w:rPr>
                <w:noProof/>
              </w:rPr>
              <w:t>Целеви</w:t>
            </w:r>
          </w:p>
        </w:tc>
        <w:tc>
          <w:tcPr>
            <w:tcW w:w="1470" w:type="dxa"/>
            <w:shd w:val="clear" w:color="auto" w:fill="C6EFCE"/>
            <w:noWrap/>
            <w:vAlign w:val="center"/>
            <w:hideMark/>
          </w:tcPr>
          <w:p w14:paraId="2C048693" w14:textId="77777777" w:rsidR="006054AA" w:rsidRDefault="001F7667">
            <w:pPr>
              <w:pStyle w:val="P68B1DB1-Normal5"/>
              <w:jc w:val="center"/>
              <w:rPr>
                <w:noProof/>
              </w:rPr>
            </w:pPr>
            <w:r>
              <w:rPr>
                <w:noProof/>
              </w:rPr>
              <w:t>Миграция към Polo Strategico Nazionale T2</w:t>
            </w:r>
          </w:p>
        </w:tc>
        <w:tc>
          <w:tcPr>
            <w:tcW w:w="1701" w:type="dxa"/>
            <w:shd w:val="clear" w:color="auto" w:fill="C6EFCE"/>
            <w:noWrap/>
            <w:vAlign w:val="center"/>
            <w:hideMark/>
          </w:tcPr>
          <w:p w14:paraId="44AB7C49" w14:textId="77777777" w:rsidR="006054AA" w:rsidRDefault="001F7667">
            <w:pPr>
              <w:pStyle w:val="P68B1DB1-Normal5"/>
              <w:jc w:val="center"/>
              <w:rPr>
                <w:noProof/>
              </w:rPr>
            </w:pPr>
            <w:r>
              <w:rPr>
                <w:noProof/>
              </w:rPr>
              <w:t>НЯМА</w:t>
            </w:r>
          </w:p>
        </w:tc>
        <w:tc>
          <w:tcPr>
            <w:tcW w:w="1134" w:type="dxa"/>
            <w:shd w:val="clear" w:color="auto" w:fill="C6EFCE"/>
            <w:noWrap/>
            <w:vAlign w:val="center"/>
            <w:hideMark/>
          </w:tcPr>
          <w:p w14:paraId="01CBCFEB" w14:textId="77777777" w:rsidR="006054AA" w:rsidRDefault="001F7667">
            <w:pPr>
              <w:pStyle w:val="P68B1DB1-Normal5"/>
              <w:jc w:val="center"/>
              <w:rPr>
                <w:noProof/>
              </w:rPr>
            </w:pPr>
            <w:r>
              <w:rPr>
                <w:noProof/>
              </w:rPr>
              <w:t>Брой</w:t>
            </w:r>
          </w:p>
        </w:tc>
        <w:tc>
          <w:tcPr>
            <w:tcW w:w="1417" w:type="dxa"/>
            <w:shd w:val="clear" w:color="auto" w:fill="C6EFCE"/>
            <w:noWrap/>
            <w:vAlign w:val="center"/>
            <w:hideMark/>
          </w:tcPr>
          <w:p w14:paraId="02F42438" w14:textId="77777777" w:rsidR="006054AA" w:rsidRDefault="001F7667">
            <w:pPr>
              <w:pStyle w:val="P68B1DB1-Normal5"/>
              <w:jc w:val="center"/>
              <w:rPr>
                <w:noProof/>
              </w:rPr>
            </w:pPr>
            <w:r>
              <w:rPr>
                <w:noProof/>
              </w:rPr>
              <w:t>100</w:t>
            </w:r>
          </w:p>
        </w:tc>
        <w:tc>
          <w:tcPr>
            <w:tcW w:w="1276" w:type="dxa"/>
            <w:shd w:val="clear" w:color="auto" w:fill="C6EFCE"/>
            <w:noWrap/>
            <w:vAlign w:val="center"/>
            <w:hideMark/>
          </w:tcPr>
          <w:p w14:paraId="6B1E3483" w14:textId="77777777" w:rsidR="006054AA" w:rsidRDefault="001F7667">
            <w:pPr>
              <w:pStyle w:val="P68B1DB1-Normal5"/>
              <w:jc w:val="center"/>
              <w:rPr>
                <w:noProof/>
              </w:rPr>
            </w:pPr>
            <w:r>
              <w:rPr>
                <w:noProof/>
              </w:rPr>
              <w:t>280</w:t>
            </w:r>
          </w:p>
        </w:tc>
        <w:tc>
          <w:tcPr>
            <w:tcW w:w="850" w:type="dxa"/>
            <w:shd w:val="clear" w:color="auto" w:fill="C6EFCE"/>
            <w:noWrap/>
            <w:vAlign w:val="center"/>
            <w:hideMark/>
          </w:tcPr>
          <w:p w14:paraId="00D170F6" w14:textId="77777777" w:rsidR="006054AA" w:rsidRDefault="001F7667">
            <w:pPr>
              <w:pStyle w:val="P68B1DB1-Normal5"/>
              <w:jc w:val="center"/>
              <w:rPr>
                <w:noProof/>
              </w:rPr>
            </w:pPr>
            <w:r>
              <w:rPr>
                <w:noProof/>
              </w:rPr>
              <w:t>Т2 Г.</w:t>
            </w:r>
          </w:p>
        </w:tc>
        <w:tc>
          <w:tcPr>
            <w:tcW w:w="709" w:type="dxa"/>
            <w:shd w:val="clear" w:color="auto" w:fill="C6EFCE"/>
            <w:noWrap/>
            <w:vAlign w:val="center"/>
            <w:hideMark/>
          </w:tcPr>
          <w:p w14:paraId="7DE74470" w14:textId="77777777" w:rsidR="006054AA" w:rsidRDefault="001F7667">
            <w:pPr>
              <w:pStyle w:val="P68B1DB1-Normal5"/>
              <w:jc w:val="center"/>
              <w:rPr>
                <w:noProof/>
              </w:rPr>
            </w:pPr>
            <w:r>
              <w:rPr>
                <w:noProof/>
              </w:rPr>
              <w:t>2026</w:t>
            </w:r>
          </w:p>
        </w:tc>
        <w:tc>
          <w:tcPr>
            <w:tcW w:w="2835" w:type="dxa"/>
            <w:shd w:val="clear" w:color="auto" w:fill="C6EFCE"/>
            <w:noWrap/>
            <w:vAlign w:val="center"/>
            <w:hideMark/>
          </w:tcPr>
          <w:p w14:paraId="37D8573F" w14:textId="77777777" w:rsidR="006054AA" w:rsidRDefault="001F7667">
            <w:pPr>
              <w:pStyle w:val="P68B1DB1-Normal4"/>
              <w:spacing w:after="120"/>
              <w:rPr>
                <w:noProof/>
                <w:color w:val="006100"/>
              </w:rPr>
            </w:pPr>
            <w:r>
              <w:rPr>
                <w:noProof/>
                <w:color w:val="006100"/>
              </w:rPr>
              <w:t>Най-малко 280 централни публични администрации и местни здравни органи (Aziende Sanitarie Locali) са мигрирали към „Polo Strategico Nazionale“</w:t>
            </w:r>
            <w:r>
              <w:rPr>
                <w:noProof/>
              </w:rPr>
              <w:t xml:space="preserve"> </w:t>
            </w:r>
            <w:r>
              <w:rPr>
                <w:noProof/>
                <w:color w:val="006100"/>
              </w:rPr>
              <w:t xml:space="preserve">съгласно плана за миграция, одобрен от Министерството на цифровата трансформация. </w:t>
            </w:r>
          </w:p>
          <w:p w14:paraId="3B80004E" w14:textId="77777777" w:rsidR="006054AA" w:rsidRDefault="001F7667">
            <w:pPr>
              <w:pStyle w:val="P68B1DB1-Normal5"/>
              <w:spacing w:after="120"/>
              <w:rPr>
                <w:noProof/>
              </w:rPr>
            </w:pPr>
            <w:r>
              <w:rPr>
                <w:noProof/>
              </w:rPr>
              <w:t xml:space="preserve">Миграцията към Polo Strategico Nazionale може да се осъществи по различни начини в съответствие със съвременното технологично равнище на ИТ архитектурата на софтуера в помещенията, собственост на всяка мигрираща публична администрация. </w:t>
            </w:r>
          </w:p>
          <w:p w14:paraId="2C3969F0" w14:textId="0197E6DB" w:rsidR="006054AA" w:rsidRDefault="001F7667">
            <w:pPr>
              <w:pStyle w:val="P68B1DB1-Normal5"/>
              <w:spacing w:after="120"/>
              <w:rPr>
                <w:noProof/>
              </w:rPr>
            </w:pPr>
            <w:r>
              <w:rPr>
                <w:noProof/>
              </w:rPr>
              <w:t xml:space="preserve">Тези стратегии могат да варират от чисто хостинг и прехвърляне на софтуер, който не е готов за използване в облак, до миграция към инфраструктура като услуга (IaaS), платформа като услуга (PaaS) или Software-as-a-Service (SaaS) за софтуер, готов за използване в облак. </w:t>
            </w:r>
          </w:p>
          <w:p w14:paraId="31A1D4C2" w14:textId="6A21A4C7" w:rsidR="006054AA" w:rsidRDefault="001F7667">
            <w:pPr>
              <w:pStyle w:val="P68B1DB1-Normal5"/>
              <w:spacing w:after="120"/>
              <w:rPr>
                <w:noProof/>
              </w:rPr>
            </w:pPr>
            <w:r>
              <w:rPr>
                <w:noProof/>
              </w:rPr>
              <w:t>Най-малко 40 % от мигриращите услуги се осъществяват чрез решения IaaS, PaaS или SaaS.</w:t>
            </w:r>
          </w:p>
          <w:p w14:paraId="286BF5A3" w14:textId="77777777" w:rsidR="006054AA" w:rsidRDefault="001F7667">
            <w:pPr>
              <w:pStyle w:val="P68B1DB1-Normal5"/>
              <w:spacing w:after="120"/>
              <w:rPr>
                <w:noProof/>
              </w:rPr>
            </w:pPr>
            <w:r>
              <w:rPr>
                <w:noProof/>
              </w:rPr>
              <w:t>PSN предлага на всяка мигрираща публична администрация всички миграционни стратегии, които са допустими, за да се вземе предвид постигнатата цел „миграция към Polo Strategico Nazionale“.</w:t>
            </w:r>
          </w:p>
          <w:p w14:paraId="50BB3BEA" w14:textId="77777777" w:rsidR="006054AA" w:rsidRDefault="001F7667">
            <w:pPr>
              <w:pStyle w:val="P68B1DB1-Normal5"/>
              <w:spacing w:after="120"/>
              <w:rPr>
                <w:noProof/>
              </w:rPr>
            </w:pPr>
            <w:r>
              <w:rPr>
                <w:noProof/>
              </w:rPr>
              <w:t>Общият брой на публичните администрации „в обхвата“ включва:</w:t>
            </w:r>
          </w:p>
          <w:p w14:paraId="39F667B6" w14:textId="77777777" w:rsidR="006054AA" w:rsidRDefault="001F7667">
            <w:pPr>
              <w:pStyle w:val="P68B1DB1-Normal5"/>
              <w:spacing w:after="120"/>
              <w:rPr>
                <w:noProof/>
              </w:rPr>
            </w:pPr>
            <w:r>
              <w:rPr>
                <w:noProof/>
              </w:rPr>
              <w:t>• Централните публични администрации, на които се пада най-големият дял от разходите за информационни и комуникационни технологии (ИКТ) (като Националния институт за социална сигурност, Министерството на правосъдието);</w:t>
            </w:r>
          </w:p>
          <w:p w14:paraId="3CF57394" w14:textId="77777777" w:rsidR="006054AA" w:rsidRDefault="001F7667">
            <w:pPr>
              <w:pStyle w:val="P68B1DB1-Normal5"/>
              <w:spacing w:after="120"/>
              <w:rPr>
                <w:noProof/>
              </w:rPr>
            </w:pPr>
            <w:r>
              <w:rPr>
                <w:noProof/>
              </w:rPr>
              <w:t>• Централните публични администрации, които хостват данни в остарели центрове за данни съгласно наскоро проведено проучване относно „подготвеността в облак“;</w:t>
            </w:r>
          </w:p>
          <w:p w14:paraId="2F5FD307" w14:textId="77777777" w:rsidR="006054AA" w:rsidRDefault="001F7667">
            <w:pPr>
              <w:pStyle w:val="P68B1DB1-Normal5"/>
              <w:spacing w:after="120"/>
              <w:rPr>
                <w:noProof/>
              </w:rPr>
            </w:pPr>
            <w:r>
              <w:rPr>
                <w:noProof/>
              </w:rPr>
              <w:t>• Местните здравни органи (Aziende Sanitarie Locali), разположени основно в Централна и Южна Италия, които не разполагат с подходяща инфраструктура за гарантиране на сигурността на данните.</w:t>
            </w:r>
          </w:p>
        </w:tc>
      </w:tr>
      <w:tr w:rsidR="006054AA" w14:paraId="281E3311" w14:textId="77777777">
        <w:trPr>
          <w:trHeight w:val="309"/>
        </w:trPr>
        <w:tc>
          <w:tcPr>
            <w:tcW w:w="1253" w:type="dxa"/>
            <w:shd w:val="clear" w:color="auto" w:fill="C6EFCE"/>
            <w:noWrap/>
            <w:vAlign w:val="center"/>
          </w:tcPr>
          <w:p w14:paraId="5A759B1F" w14:textId="77777777" w:rsidR="006054AA" w:rsidRDefault="001F7667">
            <w:pPr>
              <w:pStyle w:val="P68B1DB1-Normal5"/>
              <w:jc w:val="center"/>
              <w:rPr>
                <w:noProof/>
              </w:rPr>
            </w:pPr>
            <w:r>
              <w:rPr>
                <w:noProof/>
              </w:rPr>
              <w:t>M1C1—27</w:t>
            </w:r>
          </w:p>
        </w:tc>
        <w:tc>
          <w:tcPr>
            <w:tcW w:w="1568" w:type="dxa"/>
            <w:shd w:val="clear" w:color="auto" w:fill="C6EFCE"/>
            <w:noWrap/>
            <w:vAlign w:val="center"/>
          </w:tcPr>
          <w:p w14:paraId="099DFB04" w14:textId="1151DE24" w:rsidR="006054AA" w:rsidRDefault="001F7667">
            <w:pPr>
              <w:pStyle w:val="P68B1DB1-Normal5"/>
              <w:jc w:val="center"/>
              <w:rPr>
                <w:noProof/>
              </w:rPr>
            </w:pPr>
            <w:r>
              <w:rPr>
                <w:noProof/>
              </w:rPr>
              <w:t>Инвестиция 1.3.1: Национална платформа за цифрови данни</w:t>
            </w:r>
          </w:p>
        </w:tc>
        <w:tc>
          <w:tcPr>
            <w:tcW w:w="1148" w:type="dxa"/>
            <w:shd w:val="clear" w:color="auto" w:fill="C6EFCE"/>
            <w:noWrap/>
            <w:vAlign w:val="center"/>
          </w:tcPr>
          <w:p w14:paraId="0CB37A22"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5C612E3C" w14:textId="77777777" w:rsidR="006054AA" w:rsidRDefault="001F7667">
            <w:pPr>
              <w:pStyle w:val="P68B1DB1-Normal5"/>
              <w:jc w:val="center"/>
              <w:rPr>
                <w:noProof/>
              </w:rPr>
            </w:pPr>
            <w:r>
              <w:rPr>
                <w:noProof/>
              </w:rPr>
              <w:t>Приложно-програмни интерфейси в националната платформа за цифрови данни T2</w:t>
            </w:r>
          </w:p>
        </w:tc>
        <w:tc>
          <w:tcPr>
            <w:tcW w:w="1701" w:type="dxa"/>
            <w:shd w:val="clear" w:color="auto" w:fill="C6EFCE"/>
            <w:noWrap/>
            <w:vAlign w:val="center"/>
          </w:tcPr>
          <w:p w14:paraId="1737A35E"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4C831262"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5B650D25" w14:textId="77777777" w:rsidR="006054AA" w:rsidRDefault="001F7667">
            <w:pPr>
              <w:pStyle w:val="P68B1DB1-Normal5"/>
              <w:jc w:val="center"/>
              <w:rPr>
                <w:noProof/>
              </w:rPr>
            </w:pPr>
            <w:r>
              <w:rPr>
                <w:noProof/>
              </w:rPr>
              <w:t>400</w:t>
            </w:r>
          </w:p>
        </w:tc>
        <w:tc>
          <w:tcPr>
            <w:tcW w:w="1276" w:type="dxa"/>
            <w:shd w:val="clear" w:color="auto" w:fill="C6EFCE"/>
            <w:noWrap/>
            <w:vAlign w:val="center"/>
          </w:tcPr>
          <w:p w14:paraId="4EB63296" w14:textId="77777777" w:rsidR="006054AA" w:rsidRDefault="001F7667">
            <w:pPr>
              <w:pStyle w:val="P68B1DB1-Normal5"/>
              <w:jc w:val="center"/>
              <w:rPr>
                <w:noProof/>
              </w:rPr>
            </w:pPr>
            <w:r>
              <w:rPr>
                <w:noProof/>
              </w:rPr>
              <w:t>1 000</w:t>
            </w:r>
          </w:p>
        </w:tc>
        <w:tc>
          <w:tcPr>
            <w:tcW w:w="850" w:type="dxa"/>
            <w:shd w:val="clear" w:color="auto" w:fill="C6EFCE"/>
            <w:noWrap/>
            <w:vAlign w:val="center"/>
          </w:tcPr>
          <w:p w14:paraId="3EBF7EC8" w14:textId="77777777" w:rsidR="006054AA" w:rsidRDefault="001F7667">
            <w:pPr>
              <w:pStyle w:val="P68B1DB1-Normal5"/>
              <w:jc w:val="center"/>
              <w:rPr>
                <w:noProof/>
              </w:rPr>
            </w:pPr>
            <w:r>
              <w:rPr>
                <w:noProof/>
              </w:rPr>
              <w:t>Т2 Г.</w:t>
            </w:r>
          </w:p>
        </w:tc>
        <w:tc>
          <w:tcPr>
            <w:tcW w:w="709" w:type="dxa"/>
            <w:shd w:val="clear" w:color="auto" w:fill="C6EFCE"/>
            <w:noWrap/>
            <w:vAlign w:val="center"/>
          </w:tcPr>
          <w:p w14:paraId="536F93C6" w14:textId="77777777" w:rsidR="006054AA" w:rsidRDefault="001F7667">
            <w:pPr>
              <w:pStyle w:val="P68B1DB1-Normal5"/>
              <w:jc w:val="center"/>
              <w:rPr>
                <w:noProof/>
              </w:rPr>
            </w:pPr>
            <w:r>
              <w:rPr>
                <w:noProof/>
              </w:rPr>
              <w:t>2026</w:t>
            </w:r>
          </w:p>
        </w:tc>
        <w:tc>
          <w:tcPr>
            <w:tcW w:w="2835" w:type="dxa"/>
            <w:shd w:val="clear" w:color="auto" w:fill="C6EFCE"/>
            <w:noWrap/>
            <w:vAlign w:val="center"/>
          </w:tcPr>
          <w:p w14:paraId="7A84F9F4" w14:textId="75CDB062" w:rsidR="006054AA" w:rsidRDefault="001F7667">
            <w:pPr>
              <w:pStyle w:val="P68B1DB1-Normal5"/>
              <w:spacing w:after="120"/>
              <w:rPr>
                <w:noProof/>
              </w:rPr>
            </w:pPr>
            <w:r>
              <w:rPr>
                <w:noProof/>
              </w:rPr>
              <w:t>Тази цел се състои в постигането на поне 600 допълнителни приложно-програмни интерфейса (ППИ), публикувани в каталога (общо 1 000).</w:t>
            </w:r>
          </w:p>
          <w:p w14:paraId="5A75FC7A" w14:textId="77777777" w:rsidR="006054AA" w:rsidRDefault="001F7667">
            <w:pPr>
              <w:pStyle w:val="P68B1DB1-Normal5"/>
              <w:spacing w:after="120"/>
              <w:rPr>
                <w:noProof/>
              </w:rPr>
            </w:pPr>
            <w:r>
              <w:rPr>
                <w:noProof/>
              </w:rPr>
              <w:t>Публикуваните ППИ оказват въздействие върху следните области:</w:t>
            </w:r>
          </w:p>
          <w:p w14:paraId="7B63B174" w14:textId="77777777" w:rsidR="006054AA" w:rsidRDefault="001F7667">
            <w:pPr>
              <w:pStyle w:val="P68B1DB1-Normal5"/>
              <w:spacing w:after="120"/>
              <w:ind w:right="-62"/>
              <w:rPr>
                <w:noProof/>
              </w:rPr>
            </w:pPr>
            <w:r>
              <w:rPr>
                <w:noProof/>
              </w:rPr>
              <w:t>и) до 31 декември 2025 г.: публични процедури като набиране на персонал, пенсиониране, записване в училище и университет (като Национален студентски регистър и регистър на лицензите за автомобили);</w:t>
            </w:r>
          </w:p>
          <w:p w14:paraId="3A9BA6E0" w14:textId="77777777" w:rsidR="006054AA" w:rsidRDefault="001F7667">
            <w:pPr>
              <w:pStyle w:val="P68B1DB1-Normal5"/>
              <w:spacing w:after="120"/>
              <w:ind w:right="-62"/>
              <w:rPr>
                <w:noProof/>
              </w:rPr>
            </w:pPr>
            <w:r>
              <w:rPr>
                <w:noProof/>
              </w:rPr>
              <w:t>II) до 30 юни 2026 г.: социални грижи, управление на услуги за обществени поръчки, национална информационна система за медицински данни и спешни санитарни ситуации — като например регистри на пациентите и лекарите.</w:t>
            </w:r>
          </w:p>
          <w:p w14:paraId="005DC369" w14:textId="77777777" w:rsidR="006054AA" w:rsidRDefault="001F7667">
            <w:pPr>
              <w:pStyle w:val="P68B1DB1-Normal5"/>
              <w:spacing w:after="120"/>
              <w:ind w:right="-62"/>
              <w:rPr>
                <w:noProof/>
              </w:rPr>
            </w:pPr>
            <w:r>
              <w:rPr>
                <w:noProof/>
              </w:rPr>
              <w:t>Всяко внедряване на API и документация трябва да съответства на националните стандарти за оперативна съвместимост и да подпомага рамката на националната платформа за цифрови данни; горепосочената платформа предоставя функционални възможности за оценка на това съответствие.</w:t>
            </w:r>
          </w:p>
        </w:tc>
      </w:tr>
      <w:tr w:rsidR="006054AA" w14:paraId="5B532FE4" w14:textId="77777777">
        <w:trPr>
          <w:trHeight w:val="309"/>
        </w:trPr>
        <w:tc>
          <w:tcPr>
            <w:tcW w:w="1253" w:type="dxa"/>
            <w:shd w:val="clear" w:color="auto" w:fill="C6EFCE"/>
            <w:noWrap/>
            <w:vAlign w:val="center"/>
          </w:tcPr>
          <w:p w14:paraId="2999D531" w14:textId="77777777" w:rsidR="006054AA" w:rsidRDefault="001F7667">
            <w:pPr>
              <w:pStyle w:val="P68B1DB1-Normal5"/>
              <w:jc w:val="center"/>
              <w:rPr>
                <w:noProof/>
              </w:rPr>
            </w:pPr>
            <w:r>
              <w:rPr>
                <w:noProof/>
              </w:rPr>
              <w:t>M1C1—28</w:t>
            </w:r>
          </w:p>
        </w:tc>
        <w:tc>
          <w:tcPr>
            <w:tcW w:w="1568" w:type="dxa"/>
            <w:shd w:val="clear" w:color="auto" w:fill="C6EFCE"/>
            <w:noWrap/>
            <w:vAlign w:val="center"/>
          </w:tcPr>
          <w:p w14:paraId="1457F6F5" w14:textId="799FB2ED" w:rsidR="006054AA" w:rsidRDefault="001F7667">
            <w:pPr>
              <w:pStyle w:val="P68B1DB1-Normal5"/>
              <w:jc w:val="center"/>
              <w:rPr>
                <w:noProof/>
              </w:rPr>
            </w:pPr>
            <w:r>
              <w:rPr>
                <w:noProof/>
              </w:rPr>
              <w:t>Инвестиция 1.7.2: Мрежа от цифрови услуги за улесняване</w:t>
            </w:r>
          </w:p>
        </w:tc>
        <w:tc>
          <w:tcPr>
            <w:tcW w:w="1148" w:type="dxa"/>
            <w:shd w:val="clear" w:color="auto" w:fill="C6EFCE"/>
            <w:noWrap/>
            <w:vAlign w:val="center"/>
          </w:tcPr>
          <w:p w14:paraId="0DA9C736" w14:textId="77777777" w:rsidR="006054AA" w:rsidRDefault="001F7667">
            <w:pPr>
              <w:pStyle w:val="P68B1DB1-Normal5"/>
              <w:jc w:val="center"/>
              <w:rPr>
                <w:noProof/>
              </w:rPr>
            </w:pPr>
            <w:r>
              <w:rPr>
                <w:noProof/>
              </w:rPr>
              <w:t>Целеви</w:t>
            </w:r>
          </w:p>
        </w:tc>
        <w:tc>
          <w:tcPr>
            <w:tcW w:w="1470" w:type="dxa"/>
            <w:shd w:val="clear" w:color="auto" w:fill="C6EFCE"/>
            <w:noWrap/>
            <w:vAlign w:val="center"/>
          </w:tcPr>
          <w:p w14:paraId="454C0A8E" w14:textId="77777777" w:rsidR="006054AA" w:rsidRDefault="001F7667">
            <w:pPr>
              <w:pStyle w:val="P68B1DB1-Normal5"/>
              <w:jc w:val="center"/>
              <w:rPr>
                <w:noProof/>
              </w:rPr>
            </w:pPr>
            <w:r>
              <w:rPr>
                <w:noProof/>
              </w:rPr>
              <w:t>Брой на гражданите, участващи в нови инициативи за цифрово образование и/или улесняване, осигурени от центровете за цифрово подпомагане</w:t>
            </w:r>
          </w:p>
        </w:tc>
        <w:tc>
          <w:tcPr>
            <w:tcW w:w="1701" w:type="dxa"/>
            <w:shd w:val="clear" w:color="auto" w:fill="C6EFCE"/>
            <w:noWrap/>
            <w:vAlign w:val="center"/>
          </w:tcPr>
          <w:p w14:paraId="113DBC4F" w14:textId="77777777" w:rsidR="006054AA" w:rsidRDefault="001F7667">
            <w:pPr>
              <w:pStyle w:val="P68B1DB1-Normal5"/>
              <w:jc w:val="center"/>
              <w:rPr>
                <w:noProof/>
              </w:rPr>
            </w:pPr>
            <w:r>
              <w:rPr>
                <w:noProof/>
              </w:rPr>
              <w:t>НЯМА</w:t>
            </w:r>
          </w:p>
        </w:tc>
        <w:tc>
          <w:tcPr>
            <w:tcW w:w="1134" w:type="dxa"/>
            <w:shd w:val="clear" w:color="auto" w:fill="C6EFCE"/>
            <w:noWrap/>
            <w:vAlign w:val="center"/>
          </w:tcPr>
          <w:p w14:paraId="086DEA8F" w14:textId="77777777" w:rsidR="006054AA" w:rsidRDefault="001F7667">
            <w:pPr>
              <w:pStyle w:val="P68B1DB1-Normal5"/>
              <w:jc w:val="center"/>
              <w:rPr>
                <w:noProof/>
              </w:rPr>
            </w:pPr>
            <w:r>
              <w:rPr>
                <w:noProof/>
              </w:rPr>
              <w:t>Брой</w:t>
            </w:r>
          </w:p>
        </w:tc>
        <w:tc>
          <w:tcPr>
            <w:tcW w:w="1417" w:type="dxa"/>
            <w:shd w:val="clear" w:color="auto" w:fill="C6EFCE"/>
            <w:noWrap/>
            <w:vAlign w:val="center"/>
          </w:tcPr>
          <w:p w14:paraId="7BCC2AD7" w14:textId="77777777" w:rsidR="006054AA" w:rsidRDefault="001F7667">
            <w:pPr>
              <w:pStyle w:val="P68B1DB1-Normal5"/>
              <w:jc w:val="center"/>
              <w:rPr>
                <w:noProof/>
              </w:rPr>
            </w:pPr>
            <w:r>
              <w:rPr>
                <w:noProof/>
              </w:rPr>
              <w:t>0</w:t>
            </w:r>
          </w:p>
        </w:tc>
        <w:tc>
          <w:tcPr>
            <w:tcW w:w="1276" w:type="dxa"/>
            <w:shd w:val="clear" w:color="auto" w:fill="C6EFCE"/>
            <w:noWrap/>
            <w:vAlign w:val="center"/>
          </w:tcPr>
          <w:p w14:paraId="62947177" w14:textId="77777777" w:rsidR="006054AA" w:rsidRDefault="001F7667">
            <w:pPr>
              <w:pStyle w:val="P68B1DB1-Normal5"/>
              <w:jc w:val="center"/>
              <w:rPr>
                <w:noProof/>
              </w:rPr>
            </w:pPr>
            <w:r>
              <w:rPr>
                <w:noProof/>
              </w:rPr>
              <w:t>2 000 000</w:t>
            </w:r>
          </w:p>
        </w:tc>
        <w:tc>
          <w:tcPr>
            <w:tcW w:w="850" w:type="dxa"/>
            <w:shd w:val="clear" w:color="auto" w:fill="C6EFCE"/>
            <w:noWrap/>
            <w:vAlign w:val="center"/>
          </w:tcPr>
          <w:p w14:paraId="73D1C9B4" w14:textId="77777777" w:rsidR="006054AA" w:rsidRDefault="001F7667">
            <w:pPr>
              <w:pStyle w:val="P68B1DB1-Normal5"/>
              <w:jc w:val="center"/>
              <w:rPr>
                <w:noProof/>
              </w:rPr>
            </w:pPr>
            <w:r>
              <w:rPr>
                <w:noProof/>
              </w:rPr>
              <w:t>Т2 Г.</w:t>
            </w:r>
          </w:p>
        </w:tc>
        <w:tc>
          <w:tcPr>
            <w:tcW w:w="709" w:type="dxa"/>
            <w:shd w:val="clear" w:color="auto" w:fill="C6EFCE"/>
            <w:noWrap/>
            <w:vAlign w:val="center"/>
          </w:tcPr>
          <w:p w14:paraId="5233F8AC" w14:textId="77777777" w:rsidR="006054AA" w:rsidRDefault="001F7667">
            <w:pPr>
              <w:pStyle w:val="P68B1DB1-Normal5"/>
              <w:jc w:val="center"/>
              <w:rPr>
                <w:noProof/>
              </w:rPr>
            </w:pPr>
            <w:r>
              <w:rPr>
                <w:noProof/>
              </w:rPr>
              <w:t>2026</w:t>
            </w:r>
          </w:p>
        </w:tc>
        <w:tc>
          <w:tcPr>
            <w:tcW w:w="2835" w:type="dxa"/>
            <w:shd w:val="clear" w:color="auto" w:fill="C6EFCE"/>
            <w:noWrap/>
            <w:vAlign w:val="center"/>
          </w:tcPr>
          <w:p w14:paraId="2ED7C91C" w14:textId="42B7A39B" w:rsidR="006054AA" w:rsidRDefault="001F7667">
            <w:pPr>
              <w:pStyle w:val="P68B1DB1-Normal5"/>
              <w:spacing w:after="120"/>
              <w:rPr>
                <w:noProof/>
              </w:rPr>
            </w:pPr>
            <w:r>
              <w:rPr>
                <w:noProof/>
              </w:rPr>
              <w:t>Най-малко 2 000 000 граждани, участващи в цифрово образование и/или инициативи за улесняване, предоставяни от центрове за цифрово улесняване.</w:t>
            </w:r>
          </w:p>
          <w:p w14:paraId="274AFCDB" w14:textId="77777777" w:rsidR="006054AA" w:rsidRDefault="001F7667">
            <w:pPr>
              <w:pStyle w:val="P68B1DB1-Normal5"/>
              <w:spacing w:after="120"/>
              <w:rPr>
                <w:noProof/>
              </w:rPr>
            </w:pPr>
            <w:r>
              <w:rPr>
                <w:noProof/>
              </w:rPr>
              <w:t>Дейностите по обучение, за които се счита, че постигат целта, са следните:</w:t>
            </w:r>
          </w:p>
          <w:p w14:paraId="02D3348E" w14:textId="77777777" w:rsidR="006054AA" w:rsidRDefault="001F7667">
            <w:pPr>
              <w:pStyle w:val="P68B1DB1-Normal5"/>
              <w:rPr>
                <w:noProof/>
              </w:rPr>
            </w:pPr>
            <w:r>
              <w:rPr>
                <w:noProof/>
              </w:rPr>
              <w:t>а) персонализирани инициативи за индивидуално цифрово образование и/или улесняване, предоставяни чрез цифрови методи за улесняване, които обикновено се извършват въз основа на резервацията на услугата и се записват в системата за наблюдение;</w:t>
            </w:r>
          </w:p>
          <w:p w14:paraId="7B93DAA3" w14:textId="77777777" w:rsidR="006054AA" w:rsidRDefault="001F7667">
            <w:pPr>
              <w:pStyle w:val="P68B1DB1-Normal5"/>
              <w:rPr>
                <w:noProof/>
              </w:rPr>
            </w:pPr>
            <w:r>
              <w:rPr>
                <w:noProof/>
              </w:rPr>
              <w:t>б) инициативи за пряко и онлайн цифрово образование и/или улесняване, насочени към развиване на цифровите умения на гражданите, осъществявани синхронно от центровете за цифрови улеснения и регистрирани в системата за наблюдение;</w:t>
            </w:r>
          </w:p>
          <w:p w14:paraId="7237A21D" w14:textId="7BA7D955" w:rsidR="006054AA" w:rsidRDefault="001F7667">
            <w:pPr>
              <w:pStyle w:val="P68B1DB1-Normal5"/>
              <w:spacing w:after="120"/>
              <w:rPr>
                <w:noProof/>
              </w:rPr>
            </w:pPr>
            <w:r>
              <w:rPr>
                <w:noProof/>
              </w:rPr>
              <w:t>в) онлайн инициативи за цифрово образование и/или улесняване, насочени към развиване на цифровите умения на гражданите, включително в самообучение и асинхронен режим, но задължително с регистрация, докладвана в системата за наблюдение, извършвана като част от каталога за обучение, изготвен от мрежата от цифрови услуги за улесняване и достъпен от прилаганата система за управление на знанията.</w:t>
            </w:r>
          </w:p>
        </w:tc>
      </w:tr>
      <w:tr w:rsidR="006054AA" w14:paraId="0915F4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11353" w14:textId="77777777" w:rsidR="006054AA" w:rsidRDefault="001F7667">
            <w:pPr>
              <w:pStyle w:val="P68B1DB1-Normal5"/>
              <w:jc w:val="center"/>
              <w:rPr>
                <w:noProof/>
              </w:rPr>
            </w:pPr>
            <w:r>
              <w:rPr>
                <w:noProof/>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F144C" w14:textId="77777777" w:rsidR="006054AA" w:rsidRDefault="001F7667">
            <w:pPr>
              <w:pStyle w:val="P68B1DB1-Normal5"/>
              <w:jc w:val="center"/>
              <w:rPr>
                <w:noProof/>
              </w:rPr>
            </w:pPr>
            <w:r>
              <w:rPr>
                <w:noProof/>
              </w:rPr>
              <w:t>Реформа 1.4: Реформа на гражданското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2A637A"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371E2F" w14:textId="77777777" w:rsidR="006054AA" w:rsidRDefault="001F7667">
            <w:pPr>
              <w:pStyle w:val="P68B1DB1-Normal5"/>
              <w:jc w:val="center"/>
              <w:rPr>
                <w:noProof/>
              </w:rPr>
            </w:pPr>
            <w:r>
              <w:rPr>
                <w:noProof/>
              </w:rPr>
              <w:t>Влизане в сила на законодателство, даващо възможност за реформа на гражданското правосъдие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DA2E7" w14:textId="77777777" w:rsidR="006054AA" w:rsidRDefault="001F7667">
            <w:pPr>
              <w:pStyle w:val="P68B1DB1-Normal5"/>
              <w:jc w:val="center"/>
              <w:rPr>
                <w:noProof/>
              </w:rPr>
            </w:pPr>
            <w:r>
              <w:rPr>
                <w:noProof/>
              </w:rPr>
              <w:t>Законова разпоредба, указваща влизането в сила на оправомощаващото законодателство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F49BE"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CBEFC"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B5E5"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9DED8"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66D757"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FFA65" w14:textId="77777777" w:rsidR="006054AA" w:rsidRDefault="001F7667">
            <w:pPr>
              <w:pStyle w:val="P68B1DB1-Normal5"/>
              <w:rPr>
                <w:noProof/>
              </w:rPr>
            </w:pPr>
            <w:r>
              <w:rPr>
                <w:noProof/>
              </w:rPr>
              <w:t>Оправомощаващото законодателство включва най-малко следните мерки: въвеждане на опростена процедура на първа инстанция/съдебно производство и засилване на прилагането на „процедури за филтриране“ на ниво обжалване, включително разширеното използване на опростени процедури и обхвата на делата, в които едноличен състав е компетентен да се произнася; осигуряване на действителното прилагане на задължителни срокове за процедурите и график за събиране на доказателства и електронно подаване на всички съответни актове и документи; III) да реформира използването на медиация и алтернативно разрешаване на спорове заедно с подпомаганата медиация, арбитража и всяка друга възможна алтернатива за повишаване на ефективността на тези институти за намаляване на натиска върху системата на гражданското правосъдие, включително чрез стимули; реформиране на процедурата за принудително изпълнение, за да се намали съществуващото средно време, включително по-бързо и по-евтино принудително изпълнение на обявените за дължими суми; реформиране на настоящата система за количествено определяне и възстановяване на съдебните такси с цел намаляване на неоснователните съдебни спорове; въвеждане на система за мониторинг на равнището на съдилищата и увеличаване на производителността на гражданските съдилища чрез стимули за гарантиране на разумна продължителност на производствата и еднакви резултати в съдилищата.</w:t>
            </w:r>
          </w:p>
        </w:tc>
      </w:tr>
      <w:tr w:rsidR="006054AA" w14:paraId="68B70FF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1284A" w14:textId="77777777" w:rsidR="006054AA" w:rsidRDefault="001F7667">
            <w:pPr>
              <w:pStyle w:val="P68B1DB1-Normal5"/>
              <w:jc w:val="center"/>
              <w:rPr>
                <w:noProof/>
              </w:rPr>
            </w:pPr>
            <w:r>
              <w:rPr>
                <w:noProof/>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358E1" w14:textId="77777777" w:rsidR="006054AA" w:rsidRDefault="001F7667">
            <w:pPr>
              <w:pStyle w:val="P68B1DB1-Normal5"/>
              <w:jc w:val="center"/>
              <w:rPr>
                <w:noProof/>
              </w:rPr>
            </w:pPr>
            <w:r>
              <w:rPr>
                <w:noProof/>
              </w:rPr>
              <w:t>Реформа 1.5: Реформа на наказателното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6579D8"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01F99" w14:textId="77777777" w:rsidR="006054AA" w:rsidRDefault="001F7667">
            <w:pPr>
              <w:pStyle w:val="P68B1DB1-Normal5"/>
              <w:jc w:val="center"/>
              <w:rPr>
                <w:noProof/>
              </w:rPr>
            </w:pPr>
            <w:r>
              <w:rPr>
                <w:noProof/>
              </w:rPr>
              <w:t>Влизане в сила на законодателство, даващо възможност за реформа на наказателното правосъдие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C8F909" w14:textId="77777777" w:rsidR="006054AA" w:rsidRDefault="001F7667">
            <w:pPr>
              <w:pStyle w:val="P68B1DB1-Normal5"/>
              <w:jc w:val="center"/>
              <w:rPr>
                <w:noProof/>
              </w:rPr>
            </w:pPr>
            <w:r>
              <w:rPr>
                <w:noProof/>
              </w:rPr>
              <w:t>Законова разпоредба, указваща влизането в сила на оправомощаващото законодателство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6C0E9"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38109"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A20AA"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41743"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DD48C5"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D88D5" w14:textId="77777777" w:rsidR="006054AA" w:rsidRDefault="001F7667">
            <w:pPr>
              <w:pStyle w:val="P68B1DB1-Normal5"/>
              <w:spacing w:after="120"/>
              <w:rPr>
                <w:noProof/>
              </w:rPr>
            </w:pPr>
            <w:r>
              <w:rPr>
                <w:noProof/>
              </w:rPr>
              <w:t>Оправомощаващо законодателство, което включва най-малко следните мерки: I) преразгледана система за уведомяване, ii) по-широко използване на опростени процедури, iii) по-широко използване на електронно подаване на документи, iv) опростени правила относно доказателствата, v) определяне на срокове за продължителността на предварителното разследване и мерки за избягване на стагнация във фазата на разследване, vi) разширяване на възможността за погасяване на престъплението, ако обезщетението е било изплатено, vii) въвеждане на система за наблюдение на равнището на съдилищата и увеличаване на производителността на наказателните съдилища чрез стимули за гарантиране на разумна продължителност на производствата и еднакви резултати в съдилищата.</w:t>
            </w:r>
          </w:p>
        </w:tc>
      </w:tr>
      <w:tr w:rsidR="006054AA" w14:paraId="233531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D8174" w14:textId="77777777" w:rsidR="006054AA" w:rsidRDefault="001F7667">
            <w:pPr>
              <w:pStyle w:val="P68B1DB1-Normal5"/>
              <w:jc w:val="center"/>
              <w:rPr>
                <w:noProof/>
              </w:rPr>
            </w:pPr>
            <w:r>
              <w:rPr>
                <w:noProof/>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C147C" w14:textId="77777777" w:rsidR="006054AA" w:rsidRDefault="001F7667">
            <w:pPr>
              <w:pStyle w:val="P68B1DB1-Normal5"/>
              <w:jc w:val="center"/>
              <w:rPr>
                <w:noProof/>
              </w:rPr>
            </w:pPr>
            <w:r>
              <w:rPr>
                <w:noProof/>
              </w:rPr>
              <w:t>Реформа 1.6: Реформа на нормативната уредба в областта на несъстоятелността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FAAE9D"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09A782" w14:textId="77777777" w:rsidR="006054AA" w:rsidRDefault="001F7667">
            <w:pPr>
              <w:pStyle w:val="P68B1DB1-Normal5"/>
              <w:jc w:val="center"/>
              <w:rPr>
                <w:noProof/>
              </w:rPr>
            </w:pPr>
            <w:r>
              <w:rPr>
                <w:noProof/>
              </w:rPr>
              <w:t>Влизане в сила на законодателство, даващо възможност за създаване на рамка за реформа в областта на несъстоятелността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C0455" w14:textId="77777777" w:rsidR="006054AA" w:rsidRDefault="001F7667">
            <w:pPr>
              <w:pStyle w:val="P68B1DB1-Normal5"/>
              <w:jc w:val="center"/>
              <w:rPr>
                <w:noProof/>
              </w:rPr>
            </w:pPr>
            <w:r>
              <w:rPr>
                <w:noProof/>
              </w:rPr>
              <w:t>Законова разпоредба, указваща влизането в сила на оправомощаващото законодателство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EF367A"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9BB11"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A3F5C"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3D9180"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3B69D"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17A15" w14:textId="77777777" w:rsidR="006054AA" w:rsidRDefault="001F7667">
            <w:pPr>
              <w:pStyle w:val="P68B1DB1-Normal5"/>
              <w:spacing w:after="120"/>
              <w:rPr>
                <w:noProof/>
              </w:rPr>
            </w:pPr>
            <w:r>
              <w:rPr>
                <w:noProof/>
              </w:rPr>
              <w:t>Реформата в областта на несъстоятелността включва най-малко следните мерки: преглед на механизмите за извънсъдебно уреждане на спорове, за да се определят областите, в които може да са необходими допълнителни подобрения, за да се стимулират засегнатите страни да се възползват в по-голяма степен от тези производства; въвеждане на механизми за ранно предупреждение и достъп до информация преди етапа на несъстоятелност; III) преминаване към специализация на съдилищата (търговско право, отделение по несъстоятелност/камара), както и предсъдебни институции за управление на производствата по несъстоятелност; разрешаване на първо плащане на обезпечените кредитори (преди данъчните вземания и вземанията на служителите); да се позволи на предприятията да предоставят право на сигурност без владение. В допълнение към реформата в областта на несъстоятелността се осигуряват обучение и специализация за членовете на съдебните и административните органи, занимаващи се с производства по преструктуриране, както и цялостната цифровизация на производствата по преструктуриране и несъстоятелност и създаването на онлайн платформа за извънсъдебно решаване на спорове, особено на етапа, предшестващ производството по несъстоятелност, чието използване се стимулира за намаляване на тежестта на съдебната власт (молби за преструктуриране преди производството по несъстоятелност, насърчаване на многостранни преструктурирания и даване на възможност за предварително одобрени автоматизирани процедури за преструктуриране и решения за дела с ниска стойност). Тази онлайн платформа също така гарантира оперативна съвместимост с информационните системи на банките, както и с други публични органи и бази данни, за да се гарантира бърз електронен обмен на документи и данни между длъжниците и кредиторите. За тази цел заявителят (длъжникът) би дал съгласие за обмен на личните му данни в съответствие с ОРЗД и тази разпоредба следва да бъде включена в закона. С реформата се създава регистър на обезпеченията.</w:t>
            </w:r>
          </w:p>
        </w:tc>
      </w:tr>
      <w:tr w:rsidR="006054AA" w14:paraId="43A2BDC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211BF" w14:textId="77777777" w:rsidR="006054AA" w:rsidRDefault="001F7667">
            <w:pPr>
              <w:pStyle w:val="P68B1DB1-Normal5"/>
              <w:jc w:val="center"/>
              <w:rPr>
                <w:noProof/>
              </w:rPr>
            </w:pPr>
            <w:r>
              <w:rPr>
                <w:noProof/>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FA900" w14:textId="77777777" w:rsidR="006054AA" w:rsidRDefault="001F7667">
            <w:pPr>
              <w:pStyle w:val="P68B1DB1-Normal5"/>
              <w:jc w:val="center"/>
              <w:rPr>
                <w:noProof/>
              </w:rPr>
            </w:pPr>
            <w:r>
              <w:rPr>
                <w:noProof/>
              </w:rPr>
              <w:t>Инвестиция 1.8: Процедури за назначаване в граждански, наказателни и административни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32BF4"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1A305E" w14:textId="77777777" w:rsidR="006054AA" w:rsidRDefault="001F7667">
            <w:pPr>
              <w:pStyle w:val="P68B1DB1-Normal5"/>
              <w:jc w:val="center"/>
              <w:rPr>
                <w:noProof/>
              </w:rPr>
            </w:pPr>
            <w:r>
              <w:rPr>
                <w:noProof/>
              </w:rPr>
              <w:t>Влизане в сила на специално законодателство, уреждащо набирането на персонал по националния план за възстановяване и устойчивост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E6263" w14:textId="77777777" w:rsidR="006054AA" w:rsidRDefault="001F7667">
            <w:pPr>
              <w:pStyle w:val="P68B1DB1-Normal5"/>
              <w:jc w:val="center"/>
              <w:rPr>
                <w:noProof/>
              </w:rPr>
            </w:pPr>
            <w:r>
              <w:rPr>
                <w:noProof/>
              </w:rPr>
              <w:t>Разпоредба в закона, указваща влизането в сила на специалното законодателство, уреждащо набирането на персонал по националния план за възстановяване и устойчивост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13A72"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F005"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3CA08"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A630E"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FB3B"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0FCE6" w14:textId="77777777" w:rsidR="006054AA" w:rsidRDefault="001F7667">
            <w:pPr>
              <w:pStyle w:val="P68B1DB1-Normal5"/>
              <w:spacing w:after="120"/>
              <w:rPr>
                <w:noProof/>
              </w:rPr>
            </w:pPr>
            <w:r>
              <w:rPr>
                <w:noProof/>
              </w:rPr>
              <w:t>Одобрява специално законодателство, уреждащо набирането на персонал по националния план за възстановяване и устойчивост, с разрешение за рекламиране и набиране на персонал.</w:t>
            </w:r>
          </w:p>
        </w:tc>
      </w:tr>
      <w:tr w:rsidR="006054AA" w14:paraId="67E6CCA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33F1" w14:textId="77777777" w:rsidR="006054AA" w:rsidRDefault="001F7667">
            <w:pPr>
              <w:pStyle w:val="P68B1DB1-Normal5"/>
              <w:jc w:val="center"/>
              <w:rPr>
                <w:noProof/>
              </w:rPr>
            </w:pPr>
            <w:r>
              <w:rPr>
                <w:noProof/>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07B52" w14:textId="77777777" w:rsidR="006054AA" w:rsidRDefault="001F7667">
            <w:pPr>
              <w:pStyle w:val="P68B1DB1-Normal5"/>
              <w:jc w:val="center"/>
              <w:rPr>
                <w:noProof/>
              </w:rPr>
            </w:pPr>
            <w:r>
              <w:rPr>
                <w:noProof/>
              </w:rPr>
              <w:t>Инвестиция 1.8: Процедури за набиране на персонал в административните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7B94E"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CA7E0" w14:textId="77777777" w:rsidR="006054AA" w:rsidRDefault="001F7667">
            <w:pPr>
              <w:pStyle w:val="P68B1DB1-Normal5"/>
              <w:jc w:val="center"/>
              <w:rPr>
                <w:noProof/>
              </w:rPr>
            </w:pPr>
            <w:r>
              <w:rPr>
                <w:noProof/>
              </w:rPr>
              <w:t>Начало на процедурите за набиране на персонал в административните съдилища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0FB3D"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C33C36"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9B06C"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1D9AF" w14:textId="77777777" w:rsidR="006054AA" w:rsidRDefault="001F7667">
            <w:pPr>
              <w:pStyle w:val="P68B1DB1-Normal5"/>
              <w:jc w:val="center"/>
              <w:rPr>
                <w:noProof/>
              </w:rPr>
            </w:pPr>
            <w:r>
              <w:rPr>
                <w:noProof/>
              </w:rPr>
              <w:t>168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8B5C3"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1D39A"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FAC03" w14:textId="77777777" w:rsidR="006054AA" w:rsidRDefault="001F7667">
            <w:pPr>
              <w:pStyle w:val="P68B1DB1-Normal5"/>
              <w:spacing w:after="120"/>
              <w:rPr>
                <w:noProof/>
              </w:rPr>
            </w:pPr>
            <w:r>
              <w:rPr>
                <w:noProof/>
              </w:rPr>
              <w:t>Започване на процедури за набиране на най-малко 168 отдела персонал за службата за съдебни производства и административните съдилища и поставяне на отделите в експлоатация. Базовата стойност е броят на персонала, който е на служба към 31 декември 2021 г.</w:t>
            </w:r>
          </w:p>
        </w:tc>
      </w:tr>
      <w:tr w:rsidR="006054AA" w14:paraId="5AC49E8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46DDAB" w14:textId="77777777" w:rsidR="006054AA" w:rsidRDefault="001F7667">
            <w:pPr>
              <w:pStyle w:val="P68B1DB1-Normal5"/>
              <w:jc w:val="center"/>
              <w:rPr>
                <w:noProof/>
              </w:rPr>
            </w:pPr>
            <w:r>
              <w:rPr>
                <w:noProof/>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2B446" w14:textId="77777777" w:rsidR="006054AA" w:rsidRDefault="001F7667">
            <w:pPr>
              <w:pStyle w:val="P68B1DB1-Normal5"/>
              <w:jc w:val="center"/>
              <w:rPr>
                <w:noProof/>
              </w:rPr>
            </w:pPr>
            <w:r>
              <w:rPr>
                <w:noProof/>
              </w:rPr>
              <w:t>Инвестиция 1.8: Процедури за назначаване на съдебна служба в гражданските и наказателните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AC264"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02B73" w14:textId="77777777" w:rsidR="006054AA" w:rsidRDefault="001F7667">
            <w:pPr>
              <w:pStyle w:val="P68B1DB1-Normal5"/>
              <w:jc w:val="center"/>
              <w:rPr>
                <w:noProof/>
              </w:rPr>
            </w:pPr>
            <w:r>
              <w:rPr>
                <w:noProof/>
              </w:rPr>
              <w:t>Начало на процедурите за набиране на персонал в гражданските и наказателните съдилища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4FD2AA"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18F35"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EFE115"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AD3FE" w14:textId="24DBFD2D" w:rsidR="006054AA" w:rsidRDefault="001F7667">
            <w:pPr>
              <w:pStyle w:val="P68B1DB1-Normal5"/>
              <w:jc w:val="center"/>
              <w:rPr>
                <w:noProof/>
              </w:rPr>
            </w:pPr>
            <w:r>
              <w:rPr>
                <w:noProof/>
              </w:rPr>
              <w:t>8 764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B0A8"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D00C3"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099C" w14:textId="748A5F88" w:rsidR="006054AA" w:rsidRDefault="001F7667">
            <w:pPr>
              <w:pStyle w:val="P68B1DB1-Normal5"/>
              <w:spacing w:after="120"/>
              <w:rPr>
                <w:noProof/>
              </w:rPr>
            </w:pPr>
            <w:r>
              <w:rPr>
                <w:noProof/>
              </w:rPr>
              <w:t>Започване на процедури за набиране на най-малко 8 764 единици персонал за съдебната служба за гражданските и наказателните съдилища и поставяне на отделите на работа. Базовата стойност е броят на персонала в края на 2021 г.</w:t>
            </w:r>
          </w:p>
        </w:tc>
      </w:tr>
      <w:tr w:rsidR="006054AA" w14:paraId="0981C51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2A0B9" w14:textId="77777777" w:rsidR="006054AA" w:rsidRDefault="001F7667">
            <w:pPr>
              <w:pStyle w:val="P68B1DB1-Normal5"/>
              <w:jc w:val="center"/>
              <w:rPr>
                <w:noProof/>
              </w:rPr>
            </w:pPr>
            <w:r>
              <w:rPr>
                <w:noProof/>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CA077" w14:textId="77777777" w:rsidR="006054AA" w:rsidRDefault="001F7667">
            <w:pPr>
              <w:pStyle w:val="P68B1DB1-Normal5"/>
              <w:jc w:val="center"/>
              <w:rPr>
                <w:noProof/>
              </w:rPr>
            </w:pPr>
            <w:r>
              <w:rPr>
                <w:noProof/>
              </w:rPr>
              <w:t>Реформа 1.7: Реформа на данъчните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4C51B"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0A6868" w14:textId="77777777" w:rsidR="006054AA" w:rsidRDefault="001F7667">
            <w:pPr>
              <w:pStyle w:val="P68B1DB1-Normal5"/>
              <w:jc w:val="center"/>
              <w:rPr>
                <w:noProof/>
              </w:rPr>
            </w:pPr>
            <w:r>
              <w:rPr>
                <w:noProof/>
              </w:rPr>
              <w:t>Цялостна реформа на данъчните съдилища от първа и втора инстанция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4688D" w14:textId="77777777" w:rsidR="006054AA" w:rsidRDefault="001F7667">
            <w:pPr>
              <w:pStyle w:val="P68B1DB1-Normal5"/>
              <w:jc w:val="center"/>
              <w:rPr>
                <w:noProof/>
              </w:rPr>
            </w:pPr>
            <w:r>
              <w:rPr>
                <w:noProof/>
              </w:rPr>
              <w:t>Законова разпоредба, указваща влизането в сила на преразгледаната правна рамка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BABFB"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1B652"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C1E1C"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C0C75"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16E11C"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C6CBB5" w14:textId="77777777" w:rsidR="006054AA" w:rsidRDefault="001F7667">
            <w:pPr>
              <w:pStyle w:val="P68B1DB1-Normal5"/>
              <w:spacing w:after="120"/>
              <w:rPr>
                <w:noProof/>
              </w:rPr>
            </w:pPr>
            <w:r>
              <w:rPr>
                <w:noProof/>
              </w:rPr>
              <w:t>Преразгледаната правна рамка ще направи прилагането на данъчното законодателство по-ефективно и ще намали големия брой жалби пред Касационния съд.</w:t>
            </w:r>
          </w:p>
        </w:tc>
      </w:tr>
      <w:tr w:rsidR="006054AA" w14:paraId="0DA5A98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37B71" w14:textId="77777777" w:rsidR="006054AA" w:rsidRDefault="001F7667">
            <w:pPr>
              <w:pStyle w:val="P68B1DB1-Normal5"/>
              <w:jc w:val="center"/>
              <w:rPr>
                <w:noProof/>
              </w:rPr>
            </w:pPr>
            <w:r>
              <w:rPr>
                <w:noProof/>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387B3" w14:textId="77777777" w:rsidR="006054AA" w:rsidRDefault="001F7667">
            <w:pPr>
              <w:pStyle w:val="P68B1DB1-Normal5"/>
              <w:jc w:val="center"/>
              <w:rPr>
                <w:noProof/>
              </w:rPr>
            </w:pPr>
            <w:r>
              <w:rPr>
                <w:noProof/>
              </w:rPr>
              <w:t>Реформи 1.4, 1.5 и 1.6: Реформа на гражданското и наказателното правосъдие и реформа в областта на несъстоятелността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9BC37"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649D3" w14:textId="77777777" w:rsidR="006054AA" w:rsidRDefault="001F7667">
            <w:pPr>
              <w:pStyle w:val="P68B1DB1-Normal5"/>
              <w:jc w:val="center"/>
              <w:rPr>
                <w:noProof/>
              </w:rPr>
            </w:pPr>
            <w:r>
              <w:rPr>
                <w:noProof/>
              </w:rPr>
              <w:t>Влизане в сила на делегирани актове за реформите на гражданското и наказателното правосъдие и на реформата в областта на несъстоятелността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CDD6" w14:textId="77777777" w:rsidR="006054AA" w:rsidRDefault="001F7667">
            <w:pPr>
              <w:pStyle w:val="P68B1DB1-Normal5"/>
              <w:jc w:val="center"/>
              <w:rPr>
                <w:noProof/>
              </w:rPr>
            </w:pPr>
            <w:r>
              <w:rPr>
                <w:noProof/>
              </w:rPr>
              <w:t>Разпоредба в делегираните актове, указваща влизането в сила на делегираните актове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76EB2"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E8858"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15E19"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3E5E3"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F23C"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7A730" w14:textId="77777777" w:rsidR="006054AA" w:rsidRDefault="001F7667">
            <w:pPr>
              <w:pStyle w:val="P68B1DB1-Normal5"/>
              <w:spacing w:after="120"/>
              <w:rPr>
                <w:noProof/>
              </w:rPr>
            </w:pPr>
            <w:r>
              <w:rPr>
                <w:noProof/>
              </w:rPr>
              <w:t>Влизане в сила на всички делегирани актове, чието съдържание е посочено в законодателството, даващо възможност за реформи на гражданското и наказателното правосъдие и за реформа в областта на несъстоятелността.</w:t>
            </w:r>
          </w:p>
        </w:tc>
      </w:tr>
      <w:tr w:rsidR="006054AA" w14:paraId="75A3D8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5F4F4" w14:textId="77777777" w:rsidR="006054AA" w:rsidRDefault="001F7667">
            <w:pPr>
              <w:pStyle w:val="P68B1DB1-Normal5"/>
              <w:jc w:val="center"/>
              <w:rPr>
                <w:noProof/>
              </w:rPr>
            </w:pPr>
            <w:r>
              <w:rPr>
                <w:noProof/>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005C" w14:textId="77777777" w:rsidR="006054AA" w:rsidRDefault="001F7667">
            <w:pPr>
              <w:pStyle w:val="P68B1DB1-Normal5"/>
              <w:jc w:val="center"/>
              <w:rPr>
                <w:noProof/>
              </w:rPr>
            </w:pPr>
            <w:r>
              <w:rPr>
                <w:noProof/>
              </w:rPr>
              <w:t>Реформи 1.4 и 1.5: Реформа на гражданското и наказателното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E17EBD"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7C20F" w14:textId="77777777" w:rsidR="006054AA" w:rsidRDefault="001F7667">
            <w:pPr>
              <w:pStyle w:val="P68B1DB1-Normal5"/>
              <w:jc w:val="center"/>
              <w:rPr>
                <w:noProof/>
              </w:rPr>
            </w:pPr>
            <w:r>
              <w:rPr>
                <w:noProof/>
              </w:rPr>
              <w:t>Влизане в сила на реформата на гражданското и наказателното правосъдие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C8DC9" w14:textId="77777777" w:rsidR="006054AA" w:rsidRDefault="001F7667">
            <w:pPr>
              <w:pStyle w:val="P68B1DB1-Normal5"/>
              <w:jc w:val="center"/>
              <w:rPr>
                <w:noProof/>
              </w:rPr>
            </w:pPr>
            <w:r>
              <w:rPr>
                <w:noProof/>
              </w:rPr>
              <w:t>Разпоредба във вторичните актове, указваща влизането в сила на вторичните актове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0906"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CEFD15"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C734"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19CEB0"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B03A4"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76BEB" w14:textId="77777777" w:rsidR="006054AA" w:rsidRDefault="001F7667">
            <w:pPr>
              <w:pStyle w:val="P68B1DB1-Normal5"/>
              <w:spacing w:after="120"/>
              <w:rPr>
                <w:noProof/>
              </w:rPr>
            </w:pPr>
            <w:r>
              <w:rPr>
                <w:noProof/>
              </w:rPr>
              <w:t>Завършване на приемането на всички регламенти и вторични източници на законодателство, необходими за ефективното прилагане на законите, даващи възможност за реформи в съдебната система.</w:t>
            </w:r>
          </w:p>
        </w:tc>
      </w:tr>
      <w:tr w:rsidR="006054AA" w14:paraId="34AB677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241A4" w14:textId="77777777" w:rsidR="006054AA" w:rsidRDefault="001F7667">
            <w:pPr>
              <w:pStyle w:val="P68B1DB1-Normal5"/>
              <w:jc w:val="center"/>
              <w:rPr>
                <w:noProof/>
              </w:rPr>
            </w:pPr>
            <w:r>
              <w:rPr>
                <w:noProof/>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CF78A" w14:textId="77777777" w:rsidR="006054AA" w:rsidRDefault="001F7667">
            <w:pPr>
              <w:pStyle w:val="P68B1DB1-Normal5"/>
              <w:jc w:val="center"/>
              <w:rPr>
                <w:noProof/>
              </w:rPr>
            </w:pPr>
            <w:r>
              <w:rPr>
                <w:noProof/>
              </w:rPr>
              <w:t>Реформа 1.8: Цифровизация на правосъдието</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11D22"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177D71" w14:textId="77777777" w:rsidR="006054AA" w:rsidRDefault="001F7667">
            <w:pPr>
              <w:pStyle w:val="P68B1DB1-Normal5"/>
              <w:jc w:val="center"/>
              <w:rPr>
                <w:noProof/>
              </w:rPr>
            </w:pPr>
            <w:r>
              <w:rPr>
                <w:noProof/>
              </w:rPr>
              <w:t>Цифровизация на правосъдната система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41497" w14:textId="77777777" w:rsidR="006054AA" w:rsidRDefault="001F7667">
            <w:pPr>
              <w:pStyle w:val="P68B1DB1-Normal5"/>
              <w:jc w:val="center"/>
              <w:rPr>
                <w:noProof/>
              </w:rPr>
            </w:pPr>
            <w:r>
              <w:rPr>
                <w:noProof/>
              </w:rPr>
              <w:t>Разпоредба в първичните и вторичните актове, указваща влизането в сила на съответните актове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06DC11"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1B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8CB5A5"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13E9A"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6B749B"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55644" w14:textId="77777777" w:rsidR="006054AA" w:rsidRDefault="001F7667">
            <w:pPr>
              <w:pStyle w:val="P68B1DB1-Normal5"/>
              <w:spacing w:after="120"/>
              <w:rPr>
                <w:noProof/>
              </w:rPr>
            </w:pPr>
            <w:r>
              <w:rPr>
                <w:noProof/>
              </w:rPr>
              <w:t>Установява се задължително електронно подаване на всички документи и пълен електронен работен процес за гражданските производства. Цифровизирани първоинстанционни наказателни производства (с изключение на службата за предварително изслушване). Създаване на безплатна, напълно достъпна и позволяваща търсене база данни за граждански решения в съответствие със законодателството.</w:t>
            </w:r>
          </w:p>
        </w:tc>
      </w:tr>
      <w:tr w:rsidR="006054AA" w14:paraId="098518E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DF8C2" w14:textId="77777777" w:rsidR="006054AA" w:rsidRDefault="001F7667">
            <w:pPr>
              <w:pStyle w:val="P68B1DB1-Normal5"/>
              <w:jc w:val="center"/>
              <w:rPr>
                <w:noProof/>
              </w:rPr>
            </w:pPr>
            <w:r>
              <w:rPr>
                <w:noProof/>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2CF5DA" w14:textId="77777777" w:rsidR="006054AA" w:rsidRDefault="001F7667">
            <w:pPr>
              <w:pStyle w:val="P68B1DB1-Normal5"/>
              <w:jc w:val="center"/>
              <w:rPr>
                <w:noProof/>
              </w:rPr>
            </w:pPr>
            <w:r>
              <w:rPr>
                <w:noProof/>
              </w:rPr>
              <w:t>Инвестиция 1.8: Процедури за набиране на персонал в граждански и наказателни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0A20F"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B5E893" w14:textId="77777777" w:rsidR="006054AA" w:rsidRDefault="001F7667">
            <w:pPr>
              <w:pStyle w:val="P68B1DB1-Normal5"/>
              <w:jc w:val="center"/>
              <w:rPr>
                <w:noProof/>
              </w:rPr>
            </w:pPr>
            <w:r>
              <w:rPr>
                <w:noProof/>
              </w:rPr>
              <w:t>Приключване на процедурите за набиране на персонал в гражданските и наказателните съдилища и териториалните и централните служби на Министерството на правосъдието, отговарящи за изпълнението на ПВУ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8220C"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0D9D"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9FF0D"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6658" w14:textId="77777777" w:rsidR="006054AA" w:rsidRDefault="001F7667">
            <w:pPr>
              <w:pStyle w:val="P68B1DB1-Normal5"/>
              <w:jc w:val="center"/>
              <w:rPr>
                <w:noProof/>
              </w:rPr>
            </w:pPr>
            <w:r>
              <w:rPr>
                <w:noProof/>
              </w:rPr>
              <w:t>10 000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53746"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7BA1"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01AB6C" w14:textId="27485AC8" w:rsidR="006054AA" w:rsidRDefault="001F7667">
            <w:pPr>
              <w:pStyle w:val="P68B1DB1-Normal5"/>
              <w:spacing w:after="120"/>
              <w:rPr>
                <w:noProof/>
              </w:rPr>
            </w:pPr>
            <w:r>
              <w:rPr>
                <w:noProof/>
              </w:rPr>
              <w:t>Да завършат процедурите по набиране или разширяване на най-малко 10 000 отдела персонал за изпитната служба и техническия административен персонал и да ги поставят на работа.</w:t>
            </w:r>
          </w:p>
          <w:p w14:paraId="161A4992" w14:textId="0EC4A00E" w:rsidR="006054AA" w:rsidRDefault="001F7667">
            <w:pPr>
              <w:pStyle w:val="P68B1DB1-Normal5"/>
              <w:spacing w:after="120"/>
              <w:rPr>
                <w:noProof/>
              </w:rPr>
            </w:pPr>
            <w:r>
              <w:rPr>
                <w:noProof/>
              </w:rPr>
              <w:t xml:space="preserve">Базовата стойност е броят на персонала в края на 2021 г. </w:t>
            </w:r>
          </w:p>
        </w:tc>
      </w:tr>
      <w:tr w:rsidR="006054AA" w14:paraId="62F9F8F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9AFA9" w14:textId="77777777" w:rsidR="006054AA" w:rsidRDefault="001F7667">
            <w:pPr>
              <w:pStyle w:val="P68B1DB1-Normal5"/>
              <w:jc w:val="center"/>
              <w:rPr>
                <w:noProof/>
              </w:rPr>
            </w:pPr>
            <w:r>
              <w:rPr>
                <w:noProof/>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4BA64" w14:textId="77777777" w:rsidR="006054AA" w:rsidRDefault="001F7667">
            <w:pPr>
              <w:pStyle w:val="P68B1DB1-Normal5"/>
              <w:jc w:val="center"/>
              <w:rPr>
                <w:noProof/>
              </w:rPr>
            </w:pPr>
            <w:r>
              <w:rPr>
                <w:noProof/>
              </w:rPr>
              <w:t>Инвестиция 1.8: Процедури за набиране на персонал в административните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F598F"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B8484" w14:textId="77777777" w:rsidR="006054AA" w:rsidRDefault="001F7667">
            <w:pPr>
              <w:pStyle w:val="P68B1DB1-Normal5"/>
              <w:jc w:val="center"/>
              <w:rPr>
                <w:noProof/>
              </w:rPr>
            </w:pPr>
            <w:r>
              <w:rPr>
                <w:noProof/>
              </w:rPr>
              <w:t>Приключване на процедурите за набиране на персонал в административните съдилища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76CF6"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BC4E6"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3D99D9" w14:textId="77777777" w:rsidR="006054AA" w:rsidRDefault="001F7667">
            <w:pPr>
              <w:pStyle w:val="P68B1DB1-Normal5"/>
              <w:jc w:val="center"/>
              <w:rPr>
                <w:noProof/>
              </w:rPr>
            </w:pPr>
            <w:r>
              <w:rPr>
                <w:noProof/>
              </w:rPr>
              <w:t>168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44020E" w14:textId="77777777" w:rsidR="006054AA" w:rsidRDefault="001F7667">
            <w:pPr>
              <w:pStyle w:val="P68B1DB1-Normal5"/>
              <w:jc w:val="center"/>
              <w:rPr>
                <w:noProof/>
              </w:rPr>
            </w:pPr>
            <w:r>
              <w:rPr>
                <w:noProof/>
              </w:rPr>
              <w:t>326</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FC653"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45ED"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F84E4" w14:textId="77777777" w:rsidR="006054AA" w:rsidRDefault="001F7667">
            <w:pPr>
              <w:pStyle w:val="P68B1DB1-Normal5"/>
              <w:spacing w:after="120"/>
              <w:rPr>
                <w:noProof/>
              </w:rPr>
            </w:pPr>
            <w:r>
              <w:rPr>
                <w:noProof/>
              </w:rPr>
              <w:t>Приключване на процедурите за набиране на най-малко 326 отдела персонал за службата за съдебни производства и административните съдилища и поставяне на отделите в експлоатация. Базовият брой на персонала към Q2 е 2022.</w:t>
            </w:r>
          </w:p>
        </w:tc>
      </w:tr>
      <w:tr w:rsidR="006054AA" w14:paraId="14ED400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10947" w14:textId="77777777" w:rsidR="006054AA" w:rsidRDefault="001F7667">
            <w:pPr>
              <w:pStyle w:val="P68B1DB1-Normal5"/>
              <w:jc w:val="center"/>
              <w:rPr>
                <w:noProof/>
              </w:rPr>
            </w:pPr>
            <w:r>
              <w:rPr>
                <w:noProof/>
              </w:rPr>
              <w:t>M1C1—41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5DB1B3" w14:textId="77777777" w:rsidR="006054AA" w:rsidRDefault="001F7667">
            <w:pPr>
              <w:pStyle w:val="P68B1DB1-Normal5"/>
              <w:jc w:val="center"/>
              <w:rPr>
                <w:noProof/>
              </w:rPr>
            </w:pPr>
            <w:r>
              <w:rPr>
                <w:noProof/>
              </w:rPr>
              <w:t>Инвестиция 1.8: Процедури за набиране на персонал в административните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6EFC1"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87CC8" w14:textId="77777777" w:rsidR="006054AA" w:rsidRDefault="001F7667">
            <w:pPr>
              <w:pStyle w:val="P68B1DB1-Normal5"/>
              <w:jc w:val="center"/>
              <w:rPr>
                <w:noProof/>
              </w:rPr>
            </w:pPr>
            <w:r>
              <w:rPr>
                <w:noProof/>
              </w:rPr>
              <w:t>Намаляване на броя на висящите дела за районните административни съдилища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7CAF1"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14190"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D0C21"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70729" w14:textId="77777777" w:rsidR="006054AA" w:rsidRDefault="001F7667">
            <w:pPr>
              <w:pStyle w:val="P68B1DB1-Normal5"/>
              <w:jc w:val="center"/>
              <w:rPr>
                <w:noProof/>
              </w:rPr>
            </w:pPr>
            <w:r>
              <w:rPr>
                <w:noProof/>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DA7A13"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8A0980"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9B4685" w14:textId="74F9206A" w:rsidR="006054AA" w:rsidRDefault="001F7667">
            <w:pPr>
              <w:pStyle w:val="P68B1DB1-Normal5"/>
              <w:spacing w:after="120"/>
              <w:rPr>
                <w:noProof/>
              </w:rPr>
            </w:pPr>
            <w:r>
              <w:rPr>
                <w:noProof/>
              </w:rPr>
              <w:t>Намаляване с 25 % на броя на висящите дела през 2019 г. (109 029) в окръжните административни съдилища (административни съдилища от първа инстанция).</w:t>
            </w:r>
          </w:p>
        </w:tc>
      </w:tr>
      <w:tr w:rsidR="006054AA" w14:paraId="300604C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EDD21" w14:textId="77777777" w:rsidR="006054AA" w:rsidRDefault="001F7667">
            <w:pPr>
              <w:pStyle w:val="P68B1DB1-Normal5"/>
              <w:jc w:val="center"/>
              <w:rPr>
                <w:noProof/>
              </w:rPr>
            </w:pPr>
            <w:r>
              <w:rPr>
                <w:noProof/>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633D8" w14:textId="77777777" w:rsidR="006054AA" w:rsidRDefault="001F7667">
            <w:pPr>
              <w:pStyle w:val="P68B1DB1-Normal5"/>
              <w:jc w:val="center"/>
              <w:rPr>
                <w:noProof/>
              </w:rPr>
            </w:pPr>
            <w:r>
              <w:rPr>
                <w:noProof/>
              </w:rPr>
              <w:t>Инвестиция 1.8: Процедури за набиране на персонал в административните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6FE539"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98A02" w14:textId="77777777" w:rsidR="006054AA" w:rsidRDefault="001F7667">
            <w:pPr>
              <w:pStyle w:val="P68B1DB1-Normal5"/>
              <w:jc w:val="center"/>
              <w:rPr>
                <w:noProof/>
              </w:rPr>
            </w:pPr>
            <w:r>
              <w:rPr>
                <w:noProof/>
              </w:rPr>
              <w:t>Намаляване на броя на висящите дела за Държавния съвет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F04173"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BA0A2"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1E481B"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12B2B" w14:textId="77777777" w:rsidR="006054AA" w:rsidRDefault="001F7667">
            <w:pPr>
              <w:pStyle w:val="P68B1DB1-Normal5"/>
              <w:jc w:val="center"/>
              <w:rPr>
                <w:noProof/>
              </w:rPr>
            </w:pPr>
            <w:r>
              <w:rPr>
                <w:noProof/>
              </w:rPr>
              <w:t>65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1F819"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7AB00"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09A0" w14:textId="5E6CFFE7" w:rsidR="006054AA" w:rsidRDefault="001F7667">
            <w:pPr>
              <w:pStyle w:val="P68B1DB1-Normal5"/>
              <w:spacing w:after="120"/>
              <w:rPr>
                <w:noProof/>
              </w:rPr>
            </w:pPr>
            <w:r>
              <w:rPr>
                <w:noProof/>
              </w:rPr>
              <w:t>Намаляване с 35 % на броя на висящите дела през 2019 г. (24 010) в Държавния съвет (втора инстанция).</w:t>
            </w:r>
          </w:p>
        </w:tc>
      </w:tr>
      <w:tr w:rsidR="006054AA" w14:paraId="7FF8BE5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35030" w14:textId="77777777" w:rsidR="006054AA" w:rsidRDefault="001F7667">
            <w:pPr>
              <w:pStyle w:val="P68B1DB1-Normal5"/>
              <w:jc w:val="center"/>
              <w:rPr>
                <w:noProof/>
              </w:rPr>
            </w:pPr>
            <w:r>
              <w:rPr>
                <w:noProof/>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83D39" w14:textId="77777777" w:rsidR="006054AA" w:rsidRDefault="001F7667">
            <w:pPr>
              <w:pStyle w:val="P68B1DB1-Normal5"/>
              <w:jc w:val="center"/>
              <w:rPr>
                <w:noProof/>
              </w:rPr>
            </w:pPr>
            <w:r>
              <w:rPr>
                <w:noProof/>
              </w:rPr>
              <w:t>Реформа 1.4: Реформа на гражданското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169E2"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7C318" w14:textId="77777777" w:rsidR="006054AA" w:rsidRDefault="001F7667">
            <w:pPr>
              <w:pStyle w:val="P68B1DB1-Normal5"/>
              <w:jc w:val="center"/>
              <w:rPr>
                <w:noProof/>
              </w:rPr>
            </w:pPr>
            <w:r>
              <w:rPr>
                <w:noProof/>
              </w:rPr>
              <w:t>Намаляване на броя на висящите дела за гражданските общи съдилища (първа инстанция)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C427D6"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93ED1"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BBE5A"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326826" w14:textId="77777777" w:rsidR="006054AA" w:rsidRDefault="001F7667">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25165"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9767F"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A1B5" w14:textId="77777777" w:rsidR="006054AA" w:rsidRDefault="001F7667">
            <w:pPr>
              <w:pStyle w:val="P68B1DB1-Normal5"/>
              <w:spacing w:after="120"/>
              <w:rPr>
                <w:noProof/>
              </w:rPr>
            </w:pPr>
            <w:r>
              <w:rPr>
                <w:noProof/>
              </w:rPr>
              <w:t>Намаляване с 95 % на броя на висящите дела през 2019 г. (337 740) в гражданските общи съдилища (първа инстанция).</w:t>
            </w:r>
          </w:p>
          <w:p w14:paraId="41AF5FBD" w14:textId="7D995099" w:rsidR="006054AA" w:rsidRDefault="001F7667">
            <w:pPr>
              <w:pStyle w:val="P68B1DB1-Normal5"/>
              <w:spacing w:after="120"/>
              <w:rPr>
                <w:noProof/>
              </w:rPr>
            </w:pPr>
            <w:r>
              <w:rPr>
                <w:noProof/>
              </w:rPr>
              <w:t>Базовият сценарий е броят на висящите дела в продължение на повече от три години пред гражданските общи съдилища (през 2019 г.).</w:t>
            </w:r>
          </w:p>
        </w:tc>
      </w:tr>
      <w:tr w:rsidR="006054AA" w14:paraId="1CD181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AB992" w14:textId="77777777" w:rsidR="006054AA" w:rsidRDefault="001F7667">
            <w:pPr>
              <w:pStyle w:val="P68B1DB1-Normal5"/>
              <w:jc w:val="center"/>
              <w:rPr>
                <w:noProof/>
              </w:rPr>
            </w:pPr>
            <w:r>
              <w:rPr>
                <w:noProof/>
              </w:rPr>
              <w:t>M1C1—44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DBEBA" w14:textId="77777777" w:rsidR="006054AA" w:rsidRDefault="001F7667">
            <w:pPr>
              <w:pStyle w:val="P68B1DB1-Normal5"/>
              <w:jc w:val="center"/>
              <w:rPr>
                <w:noProof/>
              </w:rPr>
            </w:pPr>
            <w:r>
              <w:rPr>
                <w:noProof/>
              </w:rPr>
              <w:t>Реформа 1.4: Реформа на гражданското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AAB13F"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5EA941" w14:textId="77777777" w:rsidR="006054AA" w:rsidRDefault="001F7667">
            <w:pPr>
              <w:pStyle w:val="P68B1DB1-Normal5"/>
              <w:jc w:val="center"/>
              <w:rPr>
                <w:noProof/>
              </w:rPr>
            </w:pPr>
            <w:r>
              <w:rPr>
                <w:noProof/>
              </w:rPr>
              <w:t>Намаляване на броя на висящите дела за Апелативния граждански съд (втора инстанция)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02DFB"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40CA55"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ED1AE"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EDFE6" w14:textId="77777777" w:rsidR="006054AA" w:rsidRDefault="001F7667">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02C4F"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09D8D"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915AC" w14:textId="6647DADC" w:rsidR="006054AA" w:rsidRDefault="001F7667">
            <w:pPr>
              <w:pStyle w:val="P68B1DB1-Normal5"/>
              <w:spacing w:after="120"/>
              <w:rPr>
                <w:noProof/>
              </w:rPr>
            </w:pPr>
            <w:r>
              <w:rPr>
                <w:noProof/>
              </w:rPr>
              <w:t xml:space="preserve">Намаляване с 95 % на броя на висящите дела през 2019 г. (98 371) в гражданските апелативни съдилища (втора инстанция). </w:t>
            </w:r>
          </w:p>
          <w:p w14:paraId="1D212D3F" w14:textId="77777777" w:rsidR="006054AA" w:rsidRDefault="001F7667">
            <w:pPr>
              <w:pStyle w:val="P68B1DB1-Normal5"/>
              <w:spacing w:after="120"/>
              <w:rPr>
                <w:noProof/>
              </w:rPr>
            </w:pPr>
            <w:r>
              <w:rPr>
                <w:noProof/>
              </w:rPr>
              <w:t>Базовият сценарий е броят на висящите дела в продължение на повече от две години пред гражданските апелативни съдилища (през 2019 г.).</w:t>
            </w:r>
          </w:p>
        </w:tc>
      </w:tr>
      <w:tr w:rsidR="006054AA" w14:paraId="066869F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14358" w14:textId="3BA09B55" w:rsidR="006054AA" w:rsidRDefault="001F7667">
            <w:pPr>
              <w:pStyle w:val="P68B1DB1-Normal5"/>
              <w:jc w:val="center"/>
              <w:rPr>
                <w:noProof/>
              </w:rPr>
            </w:pPr>
            <w:r>
              <w:rPr>
                <w:noProof/>
              </w:rPr>
              <w:t>M1C1—37bis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6163E2" w14:textId="77777777" w:rsidR="006054AA" w:rsidRDefault="001F7667">
            <w:pPr>
              <w:pStyle w:val="P68B1DB1-Normal5"/>
              <w:jc w:val="center"/>
              <w:rPr>
                <w:noProof/>
              </w:rPr>
            </w:pPr>
            <w:r>
              <w:rPr>
                <w:noProof/>
              </w:rPr>
              <w:t>Реформа 1.4: Реформа на гражданското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19191"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BB01B" w14:textId="77777777" w:rsidR="006054AA" w:rsidRDefault="001F7667">
            <w:pPr>
              <w:pStyle w:val="P68B1DB1-Normal5"/>
              <w:jc w:val="center"/>
              <w:rPr>
                <w:noProof/>
              </w:rPr>
            </w:pPr>
            <w:r>
              <w:rPr>
                <w:noProof/>
              </w:rPr>
              <w:t>Влизане в сила на мерки, насочени към намаляване на изоставането</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FDEA3" w14:textId="77777777" w:rsidR="006054AA" w:rsidRDefault="001F7667">
            <w:pPr>
              <w:pStyle w:val="P68B1DB1-Normal5"/>
              <w:jc w:val="center"/>
              <w:rPr>
                <w:noProof/>
              </w:rPr>
            </w:pPr>
            <w:r>
              <w:rPr>
                <w:noProof/>
              </w:rPr>
              <w:t>Разпоредба в закона, указваща влизането в сила на първичното законодателство и подзаконовите актове, за намаляване на изоставането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D0374" w14:textId="77777777" w:rsidR="006054AA" w:rsidRDefault="006054AA">
            <w:pPr>
              <w:jc w:val="center"/>
              <w:rPr>
                <w:rFonts w:ascii="Arial Narrow" w:hAnsi="Arial Narrow" w:cs="Arial"/>
                <w:noProof/>
                <w:color w:val="006100"/>
                <w:sz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7D17" w14:textId="77777777" w:rsidR="006054AA" w:rsidRDefault="006054AA">
            <w:pPr>
              <w:jc w:val="center"/>
              <w:rPr>
                <w:rFonts w:ascii="Arial Narrow" w:hAnsi="Arial Narrow" w:cs="Arial"/>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DB041" w14:textId="77777777" w:rsidR="006054AA" w:rsidRDefault="006054AA">
            <w:pPr>
              <w:jc w:val="center"/>
              <w:rPr>
                <w:rFonts w:ascii="Arial Narrow" w:hAnsi="Arial Narrow" w:cs="Arial"/>
                <w:noProof/>
                <w:color w:val="0061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3F595E"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546E58"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A2844" w14:textId="69BE131A" w:rsidR="006054AA" w:rsidRDefault="001F7667">
            <w:pPr>
              <w:pStyle w:val="P68B1DB1-Normal5"/>
              <w:rPr>
                <w:noProof/>
              </w:rPr>
            </w:pPr>
            <w:r>
              <w:rPr>
                <w:noProof/>
              </w:rPr>
              <w:t>Влизане в сила на първичното законодателство и вторичните източници на законодателството, за да се даде възможност за:</w:t>
            </w:r>
          </w:p>
          <w:p w14:paraId="6F87B41C" w14:textId="77777777" w:rsidR="006054AA" w:rsidRDefault="001F7667">
            <w:pPr>
              <w:pStyle w:val="P68B1DB1-ListParagraph6"/>
              <w:numPr>
                <w:ilvl w:val="0"/>
                <w:numId w:val="113"/>
              </w:numPr>
              <w:ind w:left="304" w:hanging="142"/>
              <w:jc w:val="left"/>
              <w:rPr>
                <w:noProof/>
              </w:rPr>
            </w:pPr>
            <w:r>
              <w:rPr>
                <w:noProof/>
              </w:rPr>
              <w:t>Укрепване на службите за съдебни процеси, включително чрез стимули, за привличане и задържане на частите от персонала, нает въз основа на схемата за набиране на персонал за националния план за възстановяване и устойчивост;</w:t>
            </w:r>
          </w:p>
          <w:p w14:paraId="4415764E" w14:textId="49D383CF" w:rsidR="006054AA" w:rsidRDefault="001F7667">
            <w:pPr>
              <w:pStyle w:val="P68B1DB1-ListParagraph6"/>
              <w:numPr>
                <w:ilvl w:val="0"/>
                <w:numId w:val="113"/>
              </w:numPr>
              <w:ind w:left="304" w:hanging="142"/>
              <w:jc w:val="left"/>
              <w:rPr>
                <w:noProof/>
              </w:rPr>
            </w:pPr>
            <w:r>
              <w:rPr>
                <w:noProof/>
              </w:rPr>
              <w:t>Създаване на стимули за: (1) подкрепа за по-малко ефективните съдилища за намаляване на натрупаните висящи дела в гражданското правосъдие; (2) възнаграждаване на съдебните служби, които постигат специфичните годишни цели за намаляване на броя на висящите дела в системата на гражданското правосъдие.</w:t>
            </w:r>
          </w:p>
        </w:tc>
      </w:tr>
      <w:tr w:rsidR="006054AA" w14:paraId="7DC4B2D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654EA" w14:textId="77777777" w:rsidR="006054AA" w:rsidRDefault="001F7667">
            <w:pPr>
              <w:pStyle w:val="P68B1DB1-Normal5"/>
              <w:jc w:val="center"/>
              <w:rPr>
                <w:noProof/>
              </w:rPr>
            </w:pPr>
            <w:r>
              <w:rPr>
                <w:noProof/>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E47E94" w14:textId="77777777" w:rsidR="006054AA" w:rsidRDefault="001F7667">
            <w:pPr>
              <w:pStyle w:val="P68B1DB1-Normal5"/>
              <w:jc w:val="center"/>
              <w:rPr>
                <w:noProof/>
              </w:rPr>
            </w:pPr>
            <w:r>
              <w:rPr>
                <w:noProof/>
              </w:rPr>
              <w:t>Реформи 1.4 и 1.5: Реформа на гражданското и наказателното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8F16B"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B28729" w14:textId="77777777" w:rsidR="006054AA" w:rsidRDefault="001F7667">
            <w:pPr>
              <w:pStyle w:val="P68B1DB1-Normal5"/>
              <w:jc w:val="center"/>
              <w:rPr>
                <w:noProof/>
              </w:rPr>
            </w:pPr>
            <w:r>
              <w:rPr>
                <w:noProof/>
              </w:rPr>
              <w:t>Намаляване на продължителността на гражданските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224F"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9188D"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FA9C5"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0CE85" w14:textId="77777777" w:rsidR="006054AA" w:rsidRDefault="001F7667">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FAA25"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F2183"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570C9" w14:textId="77777777" w:rsidR="006054AA" w:rsidRDefault="001F7667">
            <w:pPr>
              <w:pStyle w:val="P68B1DB1-Normal5"/>
              <w:spacing w:after="120"/>
              <w:rPr>
                <w:noProof/>
              </w:rPr>
            </w:pPr>
            <w:r>
              <w:rPr>
                <w:noProof/>
              </w:rPr>
              <w:t xml:space="preserve">Намаляване на времето за разглеждане на висящите дела с 40 % от всички съдебни инстанции по граждански и търговски дела в сравнение с 2019 г. </w:t>
            </w:r>
          </w:p>
        </w:tc>
      </w:tr>
      <w:tr w:rsidR="006054AA" w14:paraId="2C4C4A5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D2064" w14:textId="77777777" w:rsidR="006054AA" w:rsidRDefault="001F7667">
            <w:pPr>
              <w:pStyle w:val="P68B1DB1-Normal5"/>
              <w:jc w:val="center"/>
              <w:rPr>
                <w:noProof/>
              </w:rPr>
            </w:pPr>
            <w:r>
              <w:rPr>
                <w:noProof/>
              </w:rPr>
              <w:t>M1C1—46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09124" w14:textId="77777777" w:rsidR="006054AA" w:rsidRDefault="001F7667">
            <w:pPr>
              <w:pStyle w:val="P68B1DB1-Normal5"/>
              <w:jc w:val="center"/>
              <w:rPr>
                <w:noProof/>
              </w:rPr>
            </w:pPr>
            <w:r>
              <w:rPr>
                <w:noProof/>
              </w:rPr>
              <w:t>Реформи 1.4 и 1.5: Реформа на гражданското и наказателното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CF2D0"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BDC24" w14:textId="77777777" w:rsidR="006054AA" w:rsidRDefault="001F7667">
            <w:pPr>
              <w:pStyle w:val="P68B1DB1-Normal5"/>
              <w:jc w:val="center"/>
              <w:rPr>
                <w:noProof/>
              </w:rPr>
            </w:pPr>
            <w:r>
              <w:rPr>
                <w:noProof/>
              </w:rPr>
              <w:t>Намаляване на продължителността на наказателните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95553"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B41EB"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CBC5F"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366D9" w14:textId="77777777" w:rsidR="006054AA" w:rsidRDefault="001F7667">
            <w:pPr>
              <w:pStyle w:val="P68B1DB1-Normal5"/>
              <w:jc w:val="center"/>
              <w:rPr>
                <w:noProof/>
              </w:rPr>
            </w:pPr>
            <w:r>
              <w:rPr>
                <w:noProof/>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D609C"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F008FA"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4386" w14:textId="77777777" w:rsidR="006054AA" w:rsidRDefault="001F7667">
            <w:pPr>
              <w:pStyle w:val="P68B1DB1-Normal5"/>
              <w:spacing w:after="120"/>
              <w:rPr>
                <w:noProof/>
              </w:rPr>
            </w:pPr>
            <w:r>
              <w:rPr>
                <w:noProof/>
              </w:rPr>
              <w:t xml:space="preserve">Намаляване на времето за разглеждане на висящите дела с 25 % от всички случаи на наказателни дела в сравнение с 2019 г. </w:t>
            </w:r>
          </w:p>
        </w:tc>
      </w:tr>
      <w:tr w:rsidR="006054AA" w14:paraId="54A8C64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BC8B7" w14:textId="77777777" w:rsidR="006054AA" w:rsidRDefault="001F7667">
            <w:pPr>
              <w:pStyle w:val="P68B1DB1-Normal5"/>
              <w:jc w:val="center"/>
              <w:rPr>
                <w:noProof/>
              </w:rPr>
            </w:pPr>
            <w:r>
              <w:rPr>
                <w:noProof/>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FCC4D" w14:textId="77777777" w:rsidR="006054AA" w:rsidRDefault="001F7667">
            <w:pPr>
              <w:pStyle w:val="P68B1DB1-Normal5"/>
              <w:jc w:val="center"/>
              <w:rPr>
                <w:noProof/>
              </w:rPr>
            </w:pPr>
            <w:r>
              <w:rPr>
                <w:noProof/>
              </w:rPr>
              <w:t>Реформа 1.4: Реформа на гражданското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D8C2D"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76AE6" w14:textId="77777777" w:rsidR="006054AA" w:rsidRDefault="001F7667">
            <w:pPr>
              <w:pStyle w:val="P68B1DB1-Normal5"/>
              <w:jc w:val="center"/>
              <w:rPr>
                <w:noProof/>
              </w:rPr>
            </w:pPr>
            <w:r>
              <w:rPr>
                <w:noProof/>
              </w:rPr>
              <w:t>Намаляване на броя на висящите дела за гражданските общи съдилища (първа инстанция)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FCB726"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AEC1E"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765"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213F23" w14:textId="77777777" w:rsidR="006054AA" w:rsidRDefault="001F7667">
            <w:pPr>
              <w:pStyle w:val="P68B1DB1-Normal5"/>
              <w:jc w:val="center"/>
              <w:rPr>
                <w:noProof/>
              </w:rPr>
            </w:pPr>
            <w:r>
              <w:rPr>
                <w:noProof/>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FD557"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84A37"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40821" w14:textId="4DBB2A8F" w:rsidR="006054AA" w:rsidRDefault="001F7667">
            <w:pPr>
              <w:pStyle w:val="P68B1DB1-Normal5"/>
              <w:spacing w:after="120"/>
              <w:rPr>
                <w:noProof/>
              </w:rPr>
            </w:pPr>
            <w:r>
              <w:rPr>
                <w:noProof/>
              </w:rPr>
              <w:t xml:space="preserve">Намаляване с 90 % на броя на висящите дела, образувани между 1 януари 2017 г. и 31 декември 2022 г. и все още неприключени към 31 декември 2022 г. (1 197 786) в гражданските общи съдилища (първа инстанция). </w:t>
            </w:r>
          </w:p>
        </w:tc>
      </w:tr>
      <w:tr w:rsidR="006054AA" w14:paraId="53B3C8E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BDDF" w14:textId="77777777" w:rsidR="006054AA" w:rsidRDefault="001F7667">
            <w:pPr>
              <w:pStyle w:val="P68B1DB1-Normal5"/>
              <w:jc w:val="center"/>
              <w:rPr>
                <w:noProof/>
              </w:rPr>
            </w:pPr>
            <w:r>
              <w:rPr>
                <w:noProof/>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036F" w14:textId="77777777" w:rsidR="006054AA" w:rsidRDefault="001F7667">
            <w:pPr>
              <w:pStyle w:val="P68B1DB1-Normal5"/>
              <w:jc w:val="center"/>
              <w:rPr>
                <w:noProof/>
              </w:rPr>
            </w:pPr>
            <w:r>
              <w:rPr>
                <w:noProof/>
              </w:rPr>
              <w:t>Реформа 1.4: Реформа на гражданското правосъдие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70A0"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785F8D" w14:textId="77777777" w:rsidR="006054AA" w:rsidRDefault="001F7667">
            <w:pPr>
              <w:pStyle w:val="P68B1DB1-Normal5"/>
              <w:jc w:val="center"/>
              <w:rPr>
                <w:noProof/>
              </w:rPr>
            </w:pPr>
            <w:r>
              <w:rPr>
                <w:noProof/>
              </w:rPr>
              <w:t>Намаляване на броя на висящите дела за Апелативния граждански съд (втора инстанция)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F66B41"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7D7DF2"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5584E1"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78F05" w14:textId="77777777" w:rsidR="006054AA" w:rsidRDefault="001F7667">
            <w:pPr>
              <w:pStyle w:val="P68B1DB1-Normal5"/>
              <w:jc w:val="center"/>
              <w:rPr>
                <w:noProof/>
              </w:rPr>
            </w:pPr>
            <w:r>
              <w:rPr>
                <w:noProof/>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68024"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BED04D"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9F11D" w14:textId="1C6ED5E8" w:rsidR="006054AA" w:rsidRDefault="001F7667">
            <w:pPr>
              <w:pStyle w:val="P68B1DB1-Normal5"/>
              <w:spacing w:after="120"/>
              <w:rPr>
                <w:noProof/>
              </w:rPr>
            </w:pPr>
            <w:r>
              <w:rPr>
                <w:noProof/>
              </w:rPr>
              <w:t xml:space="preserve">Намаляване с 90 % на броя на висящите дела, образувани между 1 януари 2018 г. и 31 декември 2022 г. и все още неприключени към 31 декември 2022 г. (179 306) в гражданските апелативни съдилища (втора инстанция). </w:t>
            </w:r>
          </w:p>
        </w:tc>
      </w:tr>
      <w:tr w:rsidR="006054AA" w14:paraId="0DC211C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EA746" w14:textId="77777777" w:rsidR="006054AA" w:rsidRDefault="001F7667">
            <w:pPr>
              <w:pStyle w:val="P68B1DB1-Normal5"/>
              <w:jc w:val="center"/>
              <w:rPr>
                <w:noProof/>
              </w:rPr>
            </w:pPr>
            <w:r>
              <w:rPr>
                <w:noProof/>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3F71B" w14:textId="77777777" w:rsidR="006054AA" w:rsidRDefault="001F7667">
            <w:pPr>
              <w:pStyle w:val="P68B1DB1-Normal5"/>
              <w:jc w:val="center"/>
              <w:rPr>
                <w:noProof/>
              </w:rPr>
            </w:pPr>
            <w:r>
              <w:rPr>
                <w:noProof/>
              </w:rPr>
              <w:t>Инвестиция 1.8: Процедури за набиране на персонал в административните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B9603"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6A458" w14:textId="3CBA1AA0" w:rsidR="006054AA" w:rsidRDefault="001F7667">
            <w:pPr>
              <w:pStyle w:val="P68B1DB1-Normal5"/>
              <w:jc w:val="center"/>
              <w:rPr>
                <w:noProof/>
              </w:rPr>
            </w:pPr>
            <w:r>
              <w:rPr>
                <w:noProof/>
              </w:rPr>
              <w:t>Намаляване на броя на висящите дела за районните административни съдилища (първа инстанция)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8B80BC"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920C"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DC9D2"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47A0C" w14:textId="77777777" w:rsidR="006054AA" w:rsidRDefault="001F7667">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6AE278"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EF3B4"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581FA0" w14:textId="1A10285D" w:rsidR="006054AA" w:rsidRDefault="001F7667">
            <w:pPr>
              <w:pStyle w:val="P68B1DB1-Normal5"/>
              <w:spacing w:after="120"/>
              <w:rPr>
                <w:noProof/>
              </w:rPr>
            </w:pPr>
            <w:r>
              <w:rPr>
                <w:noProof/>
              </w:rPr>
              <w:t>Намаляване с 70 % на броя на висящите дела (109 029) през 2019 г. в окръжните административни съдилища (административни съдилища от първа инстанция).</w:t>
            </w:r>
          </w:p>
        </w:tc>
      </w:tr>
      <w:tr w:rsidR="006054AA" w14:paraId="60C7F04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317C53" w14:textId="77777777" w:rsidR="006054AA" w:rsidRDefault="001F7667">
            <w:pPr>
              <w:pStyle w:val="P68B1DB1-Normal5"/>
              <w:jc w:val="center"/>
              <w:rPr>
                <w:noProof/>
              </w:rPr>
            </w:pPr>
            <w:r>
              <w:rPr>
                <w:noProof/>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7B655A" w14:textId="77777777" w:rsidR="006054AA" w:rsidRDefault="001F7667">
            <w:pPr>
              <w:pStyle w:val="P68B1DB1-Normal5"/>
              <w:jc w:val="center"/>
              <w:rPr>
                <w:noProof/>
              </w:rPr>
            </w:pPr>
            <w:r>
              <w:rPr>
                <w:noProof/>
              </w:rPr>
              <w:t>Инвестиция 1.8: Процедури за набиране на персонал в административните съдилища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C086F"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C62E4" w14:textId="77777777" w:rsidR="006054AA" w:rsidRDefault="001F7667">
            <w:pPr>
              <w:pStyle w:val="P68B1DB1-Normal5"/>
              <w:jc w:val="center"/>
              <w:rPr>
                <w:noProof/>
              </w:rPr>
            </w:pPr>
            <w:r>
              <w:rPr>
                <w:noProof/>
              </w:rPr>
              <w:t>Намаляване на броя на висящите дела за Държавния съвет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A9320"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B2BB5"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8ACFA"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0ADB7" w14:textId="77777777" w:rsidR="006054AA" w:rsidRDefault="001F7667">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5167B"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C2DB8"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2DF29" w14:textId="275AF66A" w:rsidR="006054AA" w:rsidRDefault="001F7667">
            <w:pPr>
              <w:pStyle w:val="P68B1DB1-Normal5"/>
              <w:spacing w:after="120"/>
              <w:rPr>
                <w:noProof/>
              </w:rPr>
            </w:pPr>
            <w:r>
              <w:rPr>
                <w:noProof/>
              </w:rPr>
              <w:t>Намаляване с 70 % на броя на висящите дела (24 010) през 2019 г. в Държавния съвет (втора инстанция).</w:t>
            </w:r>
          </w:p>
        </w:tc>
      </w:tr>
      <w:tr w:rsidR="006054AA" w14:paraId="79CD914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599919" w14:textId="77777777" w:rsidR="006054AA" w:rsidRDefault="001F7667">
            <w:pPr>
              <w:pStyle w:val="P68B1DB1-Normal5"/>
              <w:jc w:val="center"/>
              <w:rPr>
                <w:noProof/>
              </w:rPr>
            </w:pPr>
            <w:r>
              <w:rPr>
                <w:noProof/>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354F6"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EF2507"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C5835" w14:textId="77777777" w:rsidR="006054AA" w:rsidRDefault="001F7667">
            <w:pPr>
              <w:pStyle w:val="P68B1DB1-Normal5"/>
              <w:jc w:val="center"/>
              <w:rPr>
                <w:noProof/>
              </w:rPr>
            </w:pPr>
            <w:r>
              <w:rPr>
                <w:noProof/>
              </w:rPr>
              <w:t>Влизане в сила на първичното законодателство относно управлението на италианския план за възстановяване и устойчивост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0BAD9" w14:textId="77777777" w:rsidR="006054AA" w:rsidRDefault="001F7667">
            <w:pPr>
              <w:pStyle w:val="P68B1DB1-Normal5"/>
              <w:jc w:val="center"/>
              <w:rPr>
                <w:noProof/>
              </w:rPr>
            </w:pPr>
            <w:r>
              <w:rPr>
                <w:noProof/>
              </w:rPr>
              <w:t>Законова разпоредба, указваща влизането в сила на закона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8D0F9E"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9CF2BF"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1954C4"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D5B2B4"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57284"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70499" w14:textId="77777777" w:rsidR="006054AA" w:rsidRDefault="001F7667">
            <w:pPr>
              <w:pStyle w:val="P68B1DB1-Normal5"/>
              <w:spacing w:after="120"/>
              <w:rPr>
                <w:noProof/>
              </w:rPr>
            </w:pPr>
            <w:r>
              <w:rPr>
                <w:noProof/>
              </w:rPr>
              <w:t>Първичното законодателство се отнася най-малко до:</w:t>
            </w:r>
          </w:p>
          <w:p w14:paraId="4FF848D5" w14:textId="77777777" w:rsidR="006054AA" w:rsidRDefault="001F7667">
            <w:pPr>
              <w:pStyle w:val="P68B1DB1-Normal5"/>
              <w:spacing w:after="120"/>
              <w:rPr>
                <w:noProof/>
              </w:rPr>
            </w:pPr>
            <w:r>
              <w:rPr>
                <w:noProof/>
              </w:rPr>
              <w:t>1) координация и мониторинг на проектите по италианския план за възстановяване и устойчивост на централно равнище;</w:t>
            </w:r>
          </w:p>
          <w:p w14:paraId="030EF8E9" w14:textId="77777777" w:rsidR="006054AA" w:rsidRDefault="001F7667">
            <w:pPr>
              <w:pStyle w:val="P68B1DB1-Normal5"/>
              <w:spacing w:after="120"/>
              <w:rPr>
                <w:noProof/>
              </w:rPr>
            </w:pPr>
            <w:r>
              <w:rPr>
                <w:noProof/>
              </w:rPr>
              <w:t>2) определяне и разделяне на компетентностите и одобряване на съответните мандати на различните органи и администрации, участващи в координацията, мониторинга и изпълнението на италианския план за възстановяване и устойчивост;</w:t>
            </w:r>
          </w:p>
          <w:p w14:paraId="706FBAD7" w14:textId="77777777" w:rsidR="006054AA" w:rsidRDefault="001F7667">
            <w:pPr>
              <w:pStyle w:val="P68B1DB1-Normal5"/>
              <w:spacing w:after="120"/>
              <w:rPr>
                <w:noProof/>
              </w:rPr>
            </w:pPr>
            <w:r>
              <w:rPr>
                <w:noProof/>
              </w:rPr>
              <w:t>3) определяне на система за ранно откриване на проблеми, свързани с прилагането;</w:t>
            </w:r>
          </w:p>
          <w:p w14:paraId="095FACCB" w14:textId="77777777" w:rsidR="006054AA" w:rsidRDefault="001F7667">
            <w:pPr>
              <w:pStyle w:val="P68B1DB1-Normal5"/>
              <w:spacing w:after="120"/>
              <w:rPr>
                <w:noProof/>
              </w:rPr>
            </w:pPr>
            <w:r>
              <w:rPr>
                <w:noProof/>
              </w:rPr>
              <w:t>4) предварително определяне на механизъм за правоприлагане с цел разрешаване на проблеми с изпълнението и избягване на забавяния, по-специално по отношение на различните равнища на администрациите;</w:t>
            </w:r>
          </w:p>
          <w:p w14:paraId="36749454" w14:textId="77777777" w:rsidR="006054AA" w:rsidRDefault="001F7667">
            <w:pPr>
              <w:pStyle w:val="P68B1DB1-Normal5"/>
              <w:spacing w:after="120"/>
              <w:rPr>
                <w:noProof/>
              </w:rPr>
            </w:pPr>
            <w:r>
              <w:rPr>
                <w:noProof/>
              </w:rPr>
              <w:t>5) определяне на персонала (брой и експертен опит), предназначен за координирането, мониторинга и изпълнението на италианския план за възстановяване и устойчивост в участващите администрации;</w:t>
            </w:r>
          </w:p>
          <w:p w14:paraId="316B3747" w14:textId="77777777" w:rsidR="006054AA" w:rsidRDefault="001F7667">
            <w:pPr>
              <w:pStyle w:val="P68B1DB1-Normal5"/>
              <w:spacing w:after="120"/>
              <w:rPr>
                <w:noProof/>
              </w:rPr>
            </w:pPr>
            <w:r>
              <w:rPr>
                <w:noProof/>
              </w:rPr>
              <w:t>6) определяне на техническата помощ, предоставяна на администрациите, участващи в изпълнението на италианския план за възстановяване и устойчивост, по-специално на местно равнище, като се гарантира изграждането на административен капацитет в рамките на публичната администрация;</w:t>
            </w:r>
          </w:p>
          <w:p w14:paraId="793473AF" w14:textId="77777777" w:rsidR="006054AA" w:rsidRDefault="001F7667">
            <w:pPr>
              <w:pStyle w:val="P68B1DB1-Normal5"/>
              <w:spacing w:after="120"/>
              <w:rPr>
                <w:noProof/>
              </w:rPr>
            </w:pPr>
            <w:r>
              <w:rPr>
                <w:noProof/>
              </w:rPr>
              <w:t>7) определяне на „ускорени“ процедури за изпълнението на италианския план за възстановяване и устойчивост и навременното усвояване на средствата;</w:t>
            </w:r>
          </w:p>
          <w:p w14:paraId="6C46F90E" w14:textId="77777777" w:rsidR="006054AA" w:rsidRDefault="001F7667">
            <w:pPr>
              <w:pStyle w:val="P68B1DB1-Normal5"/>
              <w:spacing w:after="120"/>
              <w:rPr>
                <w:noProof/>
              </w:rPr>
            </w:pPr>
            <w:r>
              <w:rPr>
                <w:noProof/>
              </w:rPr>
              <w:t>8) организация и процедури за одит и контрол на италианския план за възстановяване и устойчивост.</w:t>
            </w:r>
          </w:p>
        </w:tc>
      </w:tr>
      <w:tr w:rsidR="006054AA" w14:paraId="7EF912A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4B7974" w14:textId="77777777" w:rsidR="006054AA" w:rsidRDefault="001F7667">
            <w:pPr>
              <w:pStyle w:val="P68B1DB1-Normal5"/>
              <w:jc w:val="center"/>
              <w:rPr>
                <w:noProof/>
              </w:rPr>
            </w:pPr>
            <w:r>
              <w:rPr>
                <w:noProof/>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F528D"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EA4EA"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99FF8" w14:textId="77777777" w:rsidR="006054AA" w:rsidRDefault="001F7667">
            <w:pPr>
              <w:pStyle w:val="P68B1DB1-Normal5"/>
              <w:jc w:val="center"/>
              <w:rPr>
                <w:noProof/>
              </w:rPr>
            </w:pPr>
            <w:r>
              <w:rPr>
                <w:noProof/>
              </w:rPr>
              <w:t>Влизане в сила на първичното законодателство за опростяване на административните процедури за изпълнението на италианския план за възстановяване и устойчивост.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5AA36A" w14:textId="77777777" w:rsidR="006054AA" w:rsidRDefault="001F7667">
            <w:pPr>
              <w:pStyle w:val="P68B1DB1-Normal5"/>
              <w:jc w:val="center"/>
              <w:rPr>
                <w:noProof/>
              </w:rPr>
            </w:pPr>
            <w:r>
              <w:rPr>
                <w:noProof/>
              </w:rPr>
              <w:t>Законова разпоредба, указваща влизането в сила на закона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C0DCD"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A215A"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E5628"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C32EC"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A3AE8"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2D8CE" w14:textId="77777777" w:rsidR="006054AA" w:rsidRDefault="001F7667">
            <w:pPr>
              <w:pStyle w:val="P68B1DB1-Normal5"/>
              <w:spacing w:after="120"/>
              <w:rPr>
                <w:noProof/>
              </w:rPr>
            </w:pPr>
            <w:r>
              <w:rPr>
                <w:noProof/>
              </w:rPr>
              <w:t>Тези мерки включват:</w:t>
            </w:r>
          </w:p>
          <w:p w14:paraId="37C440DC" w14:textId="1FA8C72A" w:rsidR="006054AA" w:rsidRDefault="001F7667">
            <w:pPr>
              <w:pStyle w:val="P68B1DB1-Normal5"/>
              <w:spacing w:after="120"/>
              <w:rPr>
                <w:noProof/>
              </w:rPr>
            </w:pPr>
            <w:r>
              <w:rPr>
                <w:noProof/>
              </w:rPr>
              <w:t>1) премахване на критичните затруднения, по-специално по отношение на държавната и регионалната оценка на въздействието върху околната среда, разрешаването на нови инсталации за рециклиране на отпадъци, процедурите за издаване на разрешения за енергия от възобновяеми източници и тези, необходими за постигане на енергийна ефективност на сградите (т.нар. Super Bonus) и обновяването на градската среда. Специфични действия са посветени на опростяването на процедурите в рамките на „Conferenza di servizi“ (официално споразумение между две или повече публични администрации).</w:t>
            </w:r>
          </w:p>
        </w:tc>
      </w:tr>
      <w:tr w:rsidR="006054AA" w14:paraId="6F9FA6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DB5F6" w14:textId="77777777" w:rsidR="006054AA" w:rsidRDefault="001F7667">
            <w:pPr>
              <w:pStyle w:val="P68B1DB1-Normal5"/>
              <w:jc w:val="center"/>
              <w:rPr>
                <w:noProof/>
              </w:rPr>
            </w:pPr>
            <w:r>
              <w:rPr>
                <w:noProof/>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A6CD2" w14:textId="77777777" w:rsidR="006054AA" w:rsidRDefault="001F7667">
            <w:pPr>
              <w:pStyle w:val="P68B1DB1-Normal5"/>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D6E95"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8301C" w14:textId="77777777" w:rsidR="006054AA" w:rsidRDefault="001F7667">
            <w:pPr>
              <w:pStyle w:val="P68B1DB1-Normal5"/>
              <w:jc w:val="center"/>
              <w:rPr>
                <w:noProof/>
              </w:rPr>
            </w:pPr>
            <w:r>
              <w:rPr>
                <w:noProof/>
              </w:rPr>
              <w:t>Влизане в сила на първичното законодателство за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A5DD0" w14:textId="77777777" w:rsidR="006054AA" w:rsidRDefault="001F7667">
            <w:pPr>
              <w:pStyle w:val="P68B1DB1-Normal5"/>
              <w:jc w:val="center"/>
              <w:rPr>
                <w:noProof/>
              </w:rPr>
            </w:pPr>
            <w:r>
              <w:rPr>
                <w:noProof/>
              </w:rPr>
              <w:t>Законова разпоредба, указваща влизането в сила на закона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1DE4E1"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E2704B"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FABDF1"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5B871"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91A47C"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0164A" w14:textId="77777777" w:rsidR="006054AA" w:rsidRDefault="001F7667">
            <w:pPr>
              <w:pStyle w:val="P68B1DB1-Normal5"/>
              <w:spacing w:after="120"/>
              <w:rPr>
                <w:noProof/>
              </w:rPr>
            </w:pPr>
            <w:r>
              <w:rPr>
                <w:noProof/>
              </w:rPr>
              <w:t>Мерките включват разпоредба, позволяваща временно наемане на:</w:t>
            </w:r>
          </w:p>
          <w:p w14:paraId="6B440EA4" w14:textId="4E1FF529" w:rsidR="006054AA" w:rsidRDefault="001F7667">
            <w:pPr>
              <w:pStyle w:val="P68B1DB1-Normal5"/>
              <w:spacing w:after="120"/>
              <w:rPr>
                <w:noProof/>
              </w:rPr>
            </w:pPr>
            <w:r>
              <w:rPr>
                <w:noProof/>
              </w:rPr>
              <w:t>I) 2 800 технически данни за укрепване на публичните администрации на Юга, заплащани от националния бюджет;</w:t>
            </w:r>
          </w:p>
          <w:p w14:paraId="2CF289DD" w14:textId="77777777" w:rsidR="006054AA" w:rsidRDefault="001F7667">
            <w:pPr>
              <w:pStyle w:val="P68B1DB1-Normal5"/>
              <w:spacing w:after="120"/>
              <w:rPr>
                <w:noProof/>
              </w:rPr>
            </w:pPr>
            <w:r>
              <w:rPr>
                <w:noProof/>
              </w:rPr>
              <w:t>II) резерв от 1 000 експерти, които да бъдат разположени в продължение на три години в подкрепа на администрациите при управлението на новите процедури за предоставяне на техническа помощ.</w:t>
            </w:r>
          </w:p>
        </w:tc>
      </w:tr>
      <w:tr w:rsidR="006054AA" w14:paraId="3D57D1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C32D5A" w14:textId="77777777" w:rsidR="006054AA" w:rsidRDefault="001F7667">
            <w:pPr>
              <w:pStyle w:val="P68B1DB1-Normal5"/>
              <w:jc w:val="center"/>
              <w:rPr>
                <w:noProof/>
              </w:rPr>
            </w:pPr>
            <w:r>
              <w:rPr>
                <w:noProof/>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AFC006" w14:textId="77777777" w:rsidR="006054AA" w:rsidRDefault="001F7667">
            <w:pPr>
              <w:pStyle w:val="P68B1DB1-Normal5"/>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64FFD"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178462" w14:textId="77777777" w:rsidR="006054AA" w:rsidRDefault="001F7667">
            <w:pPr>
              <w:pStyle w:val="P68B1DB1-Normal5"/>
              <w:jc w:val="center"/>
              <w:rPr>
                <w:noProof/>
              </w:rPr>
            </w:pPr>
            <w:r>
              <w:rPr>
                <w:noProof/>
              </w:rPr>
              <w:t>Завършено набиране на експерти за изпълнението на италианския план за възстановяване и устойчивост</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E9DE2"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BD1B9"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99240"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C9EC1" w14:textId="77777777" w:rsidR="006054AA" w:rsidRDefault="001F7667">
            <w:pPr>
              <w:pStyle w:val="P68B1DB1-Normal5"/>
              <w:jc w:val="center"/>
              <w:rPr>
                <w:noProof/>
              </w:rPr>
            </w:pPr>
            <w:r>
              <w:rPr>
                <w:noProof/>
              </w:rPr>
              <w:t>1 000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3358B"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9F0C3"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2575" w14:textId="77777777" w:rsidR="006054AA" w:rsidRDefault="001F7667">
            <w:pPr>
              <w:pStyle w:val="P68B1DB1-Normal5"/>
              <w:spacing w:after="120"/>
              <w:rPr>
                <w:noProof/>
              </w:rPr>
            </w:pPr>
            <w:r>
              <w:rPr>
                <w:noProof/>
              </w:rPr>
              <w:t>Приключване на процедурите за набиране на персонал от 1 000 експерти, които ще бъдат разположени в продължение на три години в подкрепа на администрациите при управлението на новите процедури за предоставяне на техническа помощ.</w:t>
            </w:r>
          </w:p>
        </w:tc>
      </w:tr>
      <w:tr w:rsidR="006054AA" w14:paraId="13E97EE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60C21" w14:textId="77777777" w:rsidR="006054AA" w:rsidRDefault="001F7667">
            <w:pPr>
              <w:pStyle w:val="P68B1DB1-Normal5"/>
              <w:jc w:val="center"/>
              <w:rPr>
                <w:noProof/>
              </w:rPr>
            </w:pPr>
            <w:r>
              <w:rPr>
                <w:noProof/>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C49EC"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7CA6FF"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F4A52" w14:textId="77777777" w:rsidR="006054AA" w:rsidRDefault="001F7667">
            <w:pPr>
              <w:pStyle w:val="P68B1DB1-Normal5"/>
              <w:jc w:val="center"/>
              <w:rPr>
                <w:noProof/>
              </w:rPr>
            </w:pPr>
            <w:r>
              <w:rPr>
                <w:noProof/>
              </w:rPr>
              <w:t>Разширяване на методологията, прилагана към италианския план за възстановяване и устойчивост, така че да включва и националния бюджет, за да се увеличи усвояването на инвестиции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02C7" w14:textId="77777777" w:rsidR="006054AA" w:rsidRDefault="001F7667">
            <w:pPr>
              <w:pStyle w:val="P68B1DB1-Normal5"/>
              <w:jc w:val="center"/>
              <w:rPr>
                <w:noProof/>
              </w:rPr>
            </w:pPr>
            <w:r>
              <w:rPr>
                <w:noProof/>
              </w:rPr>
              <w:t>Законова разпоредба, указваща влизането в сила на разширяването на методиката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E8812"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71D70"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1381D"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295FD"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0E281"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E2F4D" w14:textId="4E8B3D0E" w:rsidR="006054AA" w:rsidRDefault="001F7667">
            <w:pPr>
              <w:pStyle w:val="P68B1DB1-Normal5"/>
              <w:spacing w:after="120"/>
              <w:rPr>
                <w:noProof/>
              </w:rPr>
            </w:pPr>
            <w:r>
              <w:rPr>
                <w:noProof/>
              </w:rPr>
              <w:t>Създаване на опростена система от ключови етапи и цели, подобни на Механизма за възстановяване и устойчивост, за планирането, изпълнението и финансирането на проекти по линия на допълнителния инвестиционен фонд (30,5 милиарда евро).</w:t>
            </w:r>
          </w:p>
        </w:tc>
      </w:tr>
      <w:tr w:rsidR="006054AA" w14:paraId="6D0096A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64D43" w14:textId="77777777" w:rsidR="006054AA" w:rsidRDefault="001F7667">
            <w:pPr>
              <w:pStyle w:val="P68B1DB1-Normal5"/>
              <w:jc w:val="center"/>
              <w:rPr>
                <w:noProof/>
              </w:rPr>
            </w:pPr>
            <w:r>
              <w:rPr>
                <w:noProof/>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F1262"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0E3A3"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99BA3B" w14:textId="77777777" w:rsidR="006054AA" w:rsidRDefault="001F7667">
            <w:pPr>
              <w:pStyle w:val="P68B1DB1-Normal5"/>
              <w:jc w:val="center"/>
              <w:rPr>
                <w:noProof/>
              </w:rPr>
            </w:pPr>
            <w:r>
              <w:rPr>
                <w:noProof/>
              </w:rPr>
              <w:t>Влизане в сила на законодателството, даващо възможност за реформа на заетостта в публичния сектор</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A575A" w14:textId="77777777" w:rsidR="006054AA" w:rsidRDefault="001F7667">
            <w:pPr>
              <w:pStyle w:val="P68B1DB1-Normal5"/>
              <w:jc w:val="center"/>
              <w:rPr>
                <w:noProof/>
              </w:rPr>
            </w:pPr>
            <w:r>
              <w:rPr>
                <w:noProof/>
              </w:rPr>
              <w:t>Законова разпоредба, указваща влизането в сила на закона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60371"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EE788"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5324E"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DBBD"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5AFD0"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68358" w14:textId="77777777" w:rsidR="006054AA" w:rsidRDefault="001F7667">
            <w:pPr>
              <w:pStyle w:val="P68B1DB1-Normal5"/>
              <w:spacing w:after="120"/>
              <w:rPr>
                <w:noProof/>
              </w:rPr>
            </w:pPr>
            <w:r>
              <w:rPr>
                <w:noProof/>
              </w:rPr>
              <w:t>Оправомощаващото законодателство включва следните мерки:</w:t>
            </w:r>
          </w:p>
          <w:p w14:paraId="7DB9BD6D" w14:textId="77777777" w:rsidR="006054AA" w:rsidRDefault="001F7667">
            <w:pPr>
              <w:pStyle w:val="P68B1DB1-Normal5"/>
              <w:spacing w:after="120"/>
              <w:rPr>
                <w:noProof/>
              </w:rPr>
            </w:pPr>
            <w:r>
              <w:rPr>
                <w:noProof/>
              </w:rPr>
              <w:t>определяне на длъжностни характеристики, специфични за публичния сектор, за да се привлекат необходимите компетентности и умения;</w:t>
            </w:r>
          </w:p>
          <w:p w14:paraId="59A50578" w14:textId="77777777" w:rsidR="006054AA" w:rsidRDefault="001F7667">
            <w:pPr>
              <w:pStyle w:val="P68B1DB1-Normal5"/>
              <w:spacing w:after="120"/>
              <w:rPr>
                <w:noProof/>
              </w:rPr>
            </w:pPr>
            <w:r>
              <w:rPr>
                <w:noProof/>
              </w:rPr>
              <w:t>— създаване на единна платформа за набиране на персонал с цел централизиране на публичните процедури за наемане на персонал за всички централни публични администрации, с ангажимент за разширяване на използването на платформата, така че да обхване и местните администрации;</w:t>
            </w:r>
          </w:p>
          <w:p w14:paraId="2ACFA4A3" w14:textId="5290A996" w:rsidR="006054AA" w:rsidRDefault="001F7667">
            <w:pPr>
              <w:pStyle w:val="P68B1DB1-Normal5"/>
              <w:spacing w:after="120"/>
              <w:rPr>
                <w:noProof/>
              </w:rPr>
            </w:pPr>
            <w:r>
              <w:rPr>
                <w:noProof/>
              </w:rPr>
              <w:t>реформа на процеса на набиране на персонал с цел: I) преминаване от изцяло основана на знанието система към система, основана предимно на компетентности и подходящи способности; II) оценка на компетентността за изпълнение на функциите на държавните служители; III) да разграничат процесите на набиране на персонал между назначаване на начално ниво, което се основава единствено на компетентности, и набирането на специализирани профили, което следва да съчетава компетентности със съответния професионален опит и би довело до достъп до кариерата на по-високо равнище. Министерството на публичната администрация осигурява последователното прилагане на новия процес във всички администрации;</w:t>
            </w:r>
          </w:p>
          <w:p w14:paraId="7AEBC519" w14:textId="77777777" w:rsidR="006054AA" w:rsidRDefault="001F7667">
            <w:pPr>
              <w:pStyle w:val="P68B1DB1-Normal5"/>
              <w:spacing w:after="120"/>
              <w:rPr>
                <w:noProof/>
              </w:rPr>
            </w:pPr>
            <w:r>
              <w:rPr>
                <w:noProof/>
              </w:rPr>
              <w:t>реформа на висшите държавни служители с цел уеднаквяване на процедурите за назначаване в публичната администрация, като се определят длъжностните характеристики и оценката на техните резултати;</w:t>
            </w:r>
          </w:p>
          <w:p w14:paraId="41F53FA7" w14:textId="77777777" w:rsidR="006054AA" w:rsidRDefault="001F7667">
            <w:pPr>
              <w:pStyle w:val="P68B1DB1-Normal5"/>
              <w:spacing w:after="120"/>
              <w:rPr>
                <w:noProof/>
              </w:rPr>
            </w:pPr>
            <w:r>
              <w:rPr>
                <w:noProof/>
              </w:rPr>
              <w:t>— укрепване на връзката между възможностите за учене през целия живот и възможностите за обучение на служителите и стимулите за участие, например чрез предвиждане на механизми за възнаграждаване или специфични кариери, като се обърне специално внимание на двойния преход;</w:t>
            </w:r>
          </w:p>
          <w:p w14:paraId="7897AEF9" w14:textId="77777777" w:rsidR="006054AA" w:rsidRDefault="001F7667">
            <w:pPr>
              <w:pStyle w:val="P68B1DB1-Normal5"/>
              <w:spacing w:after="120"/>
              <w:rPr>
                <w:noProof/>
              </w:rPr>
            </w:pPr>
            <w:r>
              <w:rPr>
                <w:noProof/>
              </w:rPr>
              <w:t>определяне или актуализиране на етичните принципи на публичните администрации чрез ясни правила, кодекси за поведение и модули за обучение по темата;</w:t>
            </w:r>
          </w:p>
          <w:p w14:paraId="6E208755" w14:textId="77777777" w:rsidR="006054AA" w:rsidRDefault="001F7667">
            <w:pPr>
              <w:pStyle w:val="P68B1DB1-Normal5"/>
              <w:spacing w:after="120"/>
              <w:rPr>
                <w:noProof/>
              </w:rPr>
            </w:pPr>
            <w:r>
              <w:rPr>
                <w:noProof/>
              </w:rPr>
              <w:t>засилване на ангажимента за постигане на баланс между половете;</w:t>
            </w:r>
          </w:p>
          <w:p w14:paraId="70F4B1E6" w14:textId="77777777" w:rsidR="006054AA" w:rsidRDefault="001F7667">
            <w:pPr>
              <w:pStyle w:val="P68B1DB1-Normal5"/>
              <w:spacing w:after="120"/>
              <w:rPr>
                <w:noProof/>
              </w:rPr>
            </w:pPr>
            <w:r>
              <w:rPr>
                <w:noProof/>
              </w:rPr>
              <w:t>— преразглеждане на регулаторната рамка за вертикалната мобилност, реформиране на професионалното развитие с цел създаване и достъп до средни ръководни длъжности („quadri „) и достъп до висши граждански длъжности („dirigenti di prima e posta fascia“) от администрацията. Това включва реформа на системата за оценка на изпълнението и укрепване на връзката между кариерното развитие и оценката на изпълнението;</w:t>
            </w:r>
          </w:p>
          <w:p w14:paraId="7659C5A7" w14:textId="77777777" w:rsidR="006054AA" w:rsidRDefault="001F7667">
            <w:pPr>
              <w:pStyle w:val="P68B1DB1-Normal5"/>
              <w:rPr>
                <w:noProof/>
              </w:rPr>
            </w:pPr>
            <w:r>
              <w:rPr>
                <w:noProof/>
              </w:rPr>
              <w:t>преразглеждане на регулаторната рамка относно хоризонталната мобилност с цел постигане на ефективен пазар на труда в публичните администрации, включително а) създаване на прозрачна единна система за реклама за всички свободни длъжности в централните и местните администрации, б) възможността за кандидатстване за всяка налична длъжност навсякъде, в) премахването на разрешението за мобилност от администрацията на произход и г) въвеждането на значителни ограничения за използването на алтернативни средства за мобилност, които не водят до прехвърляне (т.е. „comandi „и „distacchi“), за да станат те изключителни и строго ограничени във времето.</w:t>
            </w:r>
          </w:p>
        </w:tc>
      </w:tr>
      <w:tr w:rsidR="006054AA" w14:paraId="371D583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119D4" w14:textId="77777777" w:rsidR="006054AA" w:rsidRDefault="001F7667">
            <w:pPr>
              <w:pStyle w:val="P68B1DB1-Normal5"/>
              <w:jc w:val="center"/>
              <w:rPr>
                <w:noProof/>
              </w:rPr>
            </w:pPr>
            <w:r>
              <w:rPr>
                <w:noProof/>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8AFA9"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7B179"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048F2" w14:textId="77777777" w:rsidR="006054AA" w:rsidRDefault="001F7667">
            <w:pPr>
              <w:pStyle w:val="P68B1DB1-Normal5"/>
              <w:jc w:val="center"/>
              <w:rPr>
                <w:noProof/>
              </w:rPr>
            </w:pPr>
            <w:r>
              <w:rPr>
                <w:noProof/>
              </w:rPr>
              <w:t>Влизане в сила на административните процедури за реформата за опростяване, насочена към прилагането на МВУ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B4B87" w14:textId="77777777" w:rsidR="006054AA" w:rsidRDefault="001F7667">
            <w:pPr>
              <w:pStyle w:val="P68B1DB1-Normal5"/>
              <w:jc w:val="center"/>
              <w:rPr>
                <w:noProof/>
              </w:rPr>
            </w:pPr>
            <w:r>
              <w:rPr>
                <w:noProof/>
              </w:rPr>
              <w:t>Законова разпоредба, указваща влизането в сила на вторичното законодателство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D24D5"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AA7FE"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6B7FFD"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19AFAC"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5647B"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C7410" w14:textId="77777777" w:rsidR="006054AA" w:rsidRDefault="001F7667">
            <w:pPr>
              <w:pStyle w:val="P68B1DB1-Normal5"/>
              <w:spacing w:after="120"/>
              <w:rPr>
                <w:noProof/>
              </w:rPr>
            </w:pPr>
            <w:r>
              <w:rPr>
                <w:noProof/>
              </w:rPr>
              <w:t>Влизане в сила на всички свързани делегирани актове, министерски постановления, вторично законодателство и всички други регламенти, необходими за ефективното прилагане на опростяването, включително споразумения с регионите в случай на изключителна и паралелна регионална компетентност.</w:t>
            </w:r>
          </w:p>
        </w:tc>
      </w:tr>
      <w:tr w:rsidR="006054AA" w14:paraId="3B5CA78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D0EA0" w14:textId="77777777" w:rsidR="006054AA" w:rsidRDefault="001F7667">
            <w:pPr>
              <w:pStyle w:val="P68B1DB1-Normal5"/>
              <w:jc w:val="center"/>
              <w:rPr>
                <w:noProof/>
              </w:rPr>
            </w:pPr>
            <w:r>
              <w:rPr>
                <w:noProof/>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708EA"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A4FD"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F6FA6" w14:textId="77777777" w:rsidR="006054AA" w:rsidRDefault="001F7667">
            <w:pPr>
              <w:pStyle w:val="P68B1DB1-Normal5"/>
              <w:jc w:val="center"/>
              <w:rPr>
                <w:noProof/>
              </w:rPr>
            </w:pPr>
            <w:r>
              <w:rPr>
                <w:noProof/>
              </w:rPr>
              <w:t>Влизане в сила на правни актове за реформа на заетостта в публичния сектор</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B2952" w14:textId="77777777" w:rsidR="006054AA" w:rsidRDefault="001F7667">
            <w:pPr>
              <w:pStyle w:val="P68B1DB1-Normal5"/>
              <w:jc w:val="center"/>
              <w:rPr>
                <w:noProof/>
              </w:rPr>
            </w:pPr>
            <w:r>
              <w:rPr>
                <w:noProof/>
              </w:rPr>
              <w:t>Разпоредба, указваща влизането в сила на правните актове за реформа на заетостта в публичния сектор</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CE57D"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CB6D0"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E3190"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03FA5"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069114"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9AEF" w14:textId="77777777" w:rsidR="006054AA" w:rsidRDefault="001F7667">
            <w:pPr>
              <w:pStyle w:val="P68B1DB1-Normal5"/>
              <w:spacing w:after="120"/>
              <w:rPr>
                <w:noProof/>
              </w:rPr>
            </w:pPr>
            <w:r>
              <w:rPr>
                <w:noProof/>
              </w:rPr>
              <w:t>Влизане в сила на всички свързани делегирани актове, министерски постановления, вторично законодателство и всички други нормативни актове, необходими за ефективното прилагане на реформата.</w:t>
            </w:r>
          </w:p>
        </w:tc>
      </w:tr>
      <w:tr w:rsidR="006054AA" w14:paraId="37AF744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3C4AD" w14:textId="77777777" w:rsidR="006054AA" w:rsidRDefault="001F7667">
            <w:pPr>
              <w:pStyle w:val="P68B1DB1-Normal5"/>
              <w:jc w:val="center"/>
              <w:rPr>
                <w:noProof/>
              </w:rPr>
            </w:pPr>
            <w:r>
              <w:rPr>
                <w:noProof/>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D0A7E"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B88879"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57CE" w14:textId="77777777" w:rsidR="006054AA" w:rsidRDefault="001F7667">
            <w:pPr>
              <w:pStyle w:val="P68B1DB1-Normal5"/>
              <w:jc w:val="center"/>
              <w:rPr>
                <w:noProof/>
              </w:rPr>
            </w:pPr>
            <w:r>
              <w:rPr>
                <w:noProof/>
              </w:rPr>
              <w:t>Влизане в сила на стратегическото управление на човешките ресурси в публичната администрация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D6F79" w14:textId="77777777" w:rsidR="006054AA" w:rsidRDefault="001F7667">
            <w:pPr>
              <w:pStyle w:val="P68B1DB1-Normal5"/>
              <w:jc w:val="center"/>
              <w:rPr>
                <w:noProof/>
              </w:rPr>
            </w:pPr>
            <w:r>
              <w:rPr>
                <w:noProof/>
              </w:rPr>
              <w:t>Разпоредба, посочваща влизането в сила на законодателството за въвеждане на стратегическо управление на човешките ресурси в публичната администрация</w:t>
            </w:r>
          </w:p>
          <w:p w14:paraId="3F1A55B1" w14:textId="77777777" w:rsidR="006054AA" w:rsidRDefault="006054AA">
            <w:pPr>
              <w:jc w:val="center"/>
              <w:rPr>
                <w:rFonts w:ascii="Arial Narrow" w:hAnsi="Arial Narrow" w:cs="Arial"/>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62DE1"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B14FD"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D0F850"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2FD0F"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432D25"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7D8A7" w14:textId="19EA6DC6" w:rsidR="006054AA" w:rsidRDefault="001F7667">
            <w:pPr>
              <w:pStyle w:val="P68B1DB1-Normal5"/>
              <w:spacing w:after="120"/>
              <w:rPr>
                <w:noProof/>
              </w:rPr>
            </w:pPr>
            <w:r>
              <w:rPr>
                <w:noProof/>
              </w:rPr>
              <w:t>Законодателството и делегираните актове за въвеждането на стратегическо управление на човешките ресурси в публичната администрация включват: определянето, в контекста на Плана за интегрирана дейност и организация (PIAO), на стратегическите планове в областта на човешките ресурси, за набиране на персонал, кариерно развитие и обучение, за всички централни и регионални администрации, подкрепено от интегрирана база данни с умения и профили; създаване на централно звено за доставка, което да координира и подпомага системата за планиране на човешките ресурси. На втория етап стратегическите планове в областта на човешките ресурси ще бъдат разширени, така че да обхванат общините, докато малките и средните общини са обект на конкретни инвестиции за изграждане на капацитет.</w:t>
            </w:r>
          </w:p>
        </w:tc>
      </w:tr>
      <w:tr w:rsidR="006054AA" w14:paraId="2BF942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B511" w14:textId="77777777" w:rsidR="006054AA" w:rsidRDefault="001F7667">
            <w:pPr>
              <w:pStyle w:val="P68B1DB1-Normal5"/>
              <w:jc w:val="center"/>
              <w:rPr>
                <w:noProof/>
              </w:rPr>
            </w:pPr>
            <w:r>
              <w:rPr>
                <w:noProof/>
              </w:rPr>
              <w:t>M1C1—59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E83A1F" w14:textId="77777777" w:rsidR="006054AA" w:rsidRDefault="001F7667">
            <w:pPr>
              <w:pStyle w:val="P68B1DB1-Normal5"/>
              <w:jc w:val="center"/>
              <w:rPr>
                <w:noProof/>
              </w:rPr>
            </w:pPr>
            <w:r>
              <w:rPr>
                <w:noProof/>
              </w:rPr>
              <w:t>Реформа 1.9: Реформа на публичната администрация</w:t>
            </w:r>
          </w:p>
          <w:p w14:paraId="190A9526" w14:textId="77777777" w:rsidR="006054AA" w:rsidRDefault="006054AA">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9D22"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810262" w14:textId="77777777" w:rsidR="006054AA" w:rsidRDefault="001F7667">
            <w:pPr>
              <w:pStyle w:val="P68B1DB1-Normal5"/>
              <w:jc w:val="center"/>
              <w:rPr>
                <w:noProof/>
              </w:rPr>
            </w:pPr>
            <w:r>
              <w:rPr>
                <w:noProof/>
              </w:rPr>
              <w:t>Прилагане на стратегическо управление на човешките ресурси в публичната администрация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54C0F" w14:textId="77777777" w:rsidR="006054AA" w:rsidRDefault="001F7667">
            <w:pPr>
              <w:pStyle w:val="P68B1DB1-Normal5"/>
              <w:jc w:val="center"/>
              <w:rPr>
                <w:noProof/>
              </w:rPr>
            </w:pPr>
            <w:r>
              <w:rPr>
                <w:noProof/>
              </w:rPr>
              <w:t>Публикуване на първия шестмесечен доклад относно КПЕ.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83A8D9"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17F0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2DC20"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E39463"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06EDC"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9C00C" w14:textId="68BD134A" w:rsidR="006054AA" w:rsidRDefault="001F7667">
            <w:pPr>
              <w:pStyle w:val="P68B1DB1-Normal5"/>
              <w:rPr>
                <w:noProof/>
              </w:rPr>
            </w:pPr>
            <w:r>
              <w:rPr>
                <w:noProof/>
              </w:rPr>
              <w:t>Първият шестмесечен доклад относно КПЕ се публикува.</w:t>
            </w:r>
          </w:p>
        </w:tc>
      </w:tr>
      <w:tr w:rsidR="006054AA" w14:paraId="6B0E5B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85C13E" w14:textId="77777777" w:rsidR="006054AA" w:rsidRDefault="001F7667">
            <w:pPr>
              <w:pStyle w:val="P68B1DB1-Normal5"/>
              <w:jc w:val="center"/>
              <w:rPr>
                <w:noProof/>
              </w:rPr>
            </w:pPr>
            <w:r>
              <w:rPr>
                <w:noProof/>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33586"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932E5"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622D2B" w14:textId="77777777" w:rsidR="006054AA" w:rsidRDefault="001F7667">
            <w:pPr>
              <w:pStyle w:val="P68B1DB1-Normal5"/>
              <w:jc w:val="center"/>
              <w:rPr>
                <w:noProof/>
              </w:rPr>
            </w:pPr>
            <w:r>
              <w:rPr>
                <w:noProof/>
              </w:rPr>
              <w:t>Пълно прилагане (включително всички делегирани актове) на опростяването и/или цифровизацията на набор от 200 критични процедури, засягащи гражданите и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BAA62" w14:textId="77777777" w:rsidR="006054AA" w:rsidRDefault="001F7667">
            <w:pPr>
              <w:pStyle w:val="P68B1DB1-Normal5"/>
              <w:jc w:val="center"/>
              <w:rPr>
                <w:noProof/>
              </w:rPr>
            </w:pPr>
            <w:r>
              <w:rPr>
                <w:noProof/>
              </w:rPr>
              <w:t>Влизане в сила на вторичното законодателство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42A52"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8878E2"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261EC"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38330"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C83DA"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B43F8" w14:textId="061A31CE" w:rsidR="006054AA" w:rsidRDefault="001F7667">
            <w:pPr>
              <w:pStyle w:val="P68B1DB1-Normal5"/>
              <w:spacing w:before="120" w:after="160" w:line="259" w:lineRule="auto"/>
              <w:contextualSpacing/>
              <w:rPr>
                <w:noProof/>
              </w:rPr>
            </w:pPr>
            <w:r>
              <w:rPr>
                <w:noProof/>
              </w:rPr>
              <w:t>Набелязаните приоритетни области за опростяване са:</w:t>
            </w:r>
          </w:p>
          <w:p w14:paraId="185B7203" w14:textId="77777777" w:rsidR="006054AA" w:rsidRDefault="001F7667">
            <w:pPr>
              <w:pStyle w:val="P68B1DB1-ListParagraph6"/>
              <w:numPr>
                <w:ilvl w:val="0"/>
                <w:numId w:val="129"/>
              </w:numPr>
              <w:spacing w:before="0" w:after="0" w:line="259" w:lineRule="auto"/>
              <w:ind w:left="399"/>
              <w:jc w:val="left"/>
              <w:rPr>
                <w:noProof/>
              </w:rPr>
            </w:pPr>
            <w:r>
              <w:rPr>
                <w:noProof/>
              </w:rPr>
              <w:t xml:space="preserve">Екологични разрешения, възобновяеми енергийни източници и зелена икономика </w:t>
            </w:r>
          </w:p>
          <w:p w14:paraId="0731ACBE" w14:textId="21BAED36" w:rsidR="006054AA" w:rsidRDefault="001F7667">
            <w:pPr>
              <w:pStyle w:val="P68B1DB1-ListParagraph6"/>
              <w:numPr>
                <w:ilvl w:val="0"/>
                <w:numId w:val="128"/>
              </w:numPr>
              <w:spacing w:before="0" w:after="0" w:line="259" w:lineRule="auto"/>
              <w:ind w:left="399"/>
              <w:jc w:val="left"/>
              <w:rPr>
                <w:noProof/>
              </w:rPr>
            </w:pPr>
            <w:r>
              <w:rPr>
                <w:noProof/>
              </w:rPr>
              <w:t>Разрешения за строителство и градско преквалифициране</w:t>
            </w:r>
          </w:p>
          <w:p w14:paraId="17BCABB9" w14:textId="77777777" w:rsidR="006054AA" w:rsidRDefault="001F7667">
            <w:pPr>
              <w:pStyle w:val="P68B1DB1-ListParagraph6"/>
              <w:numPr>
                <w:ilvl w:val="0"/>
                <w:numId w:val="127"/>
              </w:numPr>
              <w:spacing w:before="0" w:after="0" w:line="259" w:lineRule="auto"/>
              <w:ind w:left="399"/>
              <w:jc w:val="left"/>
              <w:rPr>
                <w:noProof/>
              </w:rPr>
            </w:pPr>
            <w:r>
              <w:rPr>
                <w:noProof/>
              </w:rPr>
              <w:t>Цифрови инфраструктури</w:t>
            </w:r>
          </w:p>
          <w:p w14:paraId="3C14A29D" w14:textId="58CD8F42" w:rsidR="006054AA" w:rsidRDefault="001F7667">
            <w:pPr>
              <w:pStyle w:val="P68B1DB1-ListParagraph6"/>
              <w:numPr>
                <w:ilvl w:val="0"/>
                <w:numId w:val="127"/>
              </w:numPr>
              <w:spacing w:before="0" w:after="0" w:line="259" w:lineRule="auto"/>
              <w:ind w:left="399"/>
              <w:jc w:val="left"/>
              <w:rPr>
                <w:noProof/>
              </w:rPr>
            </w:pPr>
            <w:r>
              <w:rPr>
                <w:noProof/>
              </w:rPr>
              <w:t>Търговски практики</w:t>
            </w:r>
          </w:p>
          <w:p w14:paraId="7EAF22AB" w14:textId="01DF17CC" w:rsidR="006054AA" w:rsidRDefault="001F7667">
            <w:pPr>
              <w:pStyle w:val="P68B1DB1-Normal5"/>
              <w:spacing w:before="120" w:after="160" w:line="259" w:lineRule="auto"/>
              <w:contextualSpacing/>
              <w:rPr>
                <w:noProof/>
              </w:rPr>
            </w:pPr>
            <w:r>
              <w:rPr>
                <w:noProof/>
              </w:rPr>
              <w:t>Други критични сектори са:</w:t>
            </w:r>
          </w:p>
          <w:p w14:paraId="1FD1FED2" w14:textId="77777777" w:rsidR="006054AA" w:rsidRDefault="001F7667">
            <w:pPr>
              <w:pStyle w:val="P68B1DB1-ListParagraph6"/>
              <w:numPr>
                <w:ilvl w:val="0"/>
                <w:numId w:val="126"/>
              </w:numPr>
              <w:spacing w:before="0" w:after="0" w:line="259" w:lineRule="auto"/>
              <w:ind w:left="399"/>
              <w:jc w:val="left"/>
              <w:rPr>
                <w:noProof/>
              </w:rPr>
            </w:pPr>
            <w:r>
              <w:rPr>
                <w:noProof/>
              </w:rPr>
              <w:t xml:space="preserve">Трудово законодателство и социална сигурност </w:t>
            </w:r>
          </w:p>
          <w:p w14:paraId="56298C23" w14:textId="77777777" w:rsidR="006054AA" w:rsidRDefault="001F7667">
            <w:pPr>
              <w:pStyle w:val="P68B1DB1-ListParagraph6"/>
              <w:numPr>
                <w:ilvl w:val="0"/>
                <w:numId w:val="125"/>
              </w:numPr>
              <w:spacing w:before="0" w:after="0" w:line="259" w:lineRule="auto"/>
              <w:ind w:left="399"/>
              <w:jc w:val="left"/>
              <w:rPr>
                <w:noProof/>
              </w:rPr>
            </w:pPr>
            <w:r>
              <w:rPr>
                <w:noProof/>
              </w:rPr>
              <w:t xml:space="preserve">Туризъм </w:t>
            </w:r>
          </w:p>
          <w:p w14:paraId="12F2105B" w14:textId="3A9F5348" w:rsidR="006054AA" w:rsidRDefault="001F7667">
            <w:pPr>
              <w:pStyle w:val="P68B1DB1-ListParagraph6"/>
              <w:numPr>
                <w:ilvl w:val="0"/>
                <w:numId w:val="124"/>
              </w:numPr>
              <w:spacing w:before="0" w:after="0" w:line="259" w:lineRule="auto"/>
              <w:ind w:left="399"/>
              <w:jc w:val="left"/>
              <w:rPr>
                <w:noProof/>
              </w:rPr>
            </w:pPr>
            <w:r>
              <w:rPr>
                <w:noProof/>
              </w:rPr>
              <w:t>Земеделие и храни</w:t>
            </w:r>
          </w:p>
          <w:p w14:paraId="6357DBCD" w14:textId="47E9D624" w:rsidR="006054AA" w:rsidRDefault="001F7667">
            <w:pPr>
              <w:pStyle w:val="P68B1DB1-Normal5"/>
              <w:spacing w:before="120" w:after="160" w:line="259" w:lineRule="auto"/>
              <w:contextualSpacing/>
              <w:rPr>
                <w:noProof/>
              </w:rPr>
            </w:pPr>
            <w:r>
              <w:rPr>
                <w:noProof/>
              </w:rPr>
              <w:t xml:space="preserve">Избраните държавни и регионални процедури могат да бъдат обобщени в следните основни области: </w:t>
            </w:r>
          </w:p>
          <w:p w14:paraId="3C982D9A" w14:textId="77777777" w:rsidR="006054AA" w:rsidRDefault="001F7667">
            <w:pPr>
              <w:pStyle w:val="P68B1DB1-ListParagraph6"/>
              <w:numPr>
                <w:ilvl w:val="0"/>
                <w:numId w:val="123"/>
              </w:numPr>
              <w:spacing w:before="0" w:after="0" w:line="259" w:lineRule="auto"/>
              <w:jc w:val="left"/>
              <w:rPr>
                <w:noProof/>
              </w:rPr>
            </w:pPr>
            <w:r>
              <w:rPr>
                <w:noProof/>
              </w:rPr>
              <w:t xml:space="preserve">Екологични и енергийни разрешителни: </w:t>
            </w:r>
          </w:p>
          <w:p w14:paraId="351A3687" w14:textId="77777777" w:rsidR="006054AA" w:rsidRDefault="001F7667">
            <w:pPr>
              <w:pStyle w:val="P68B1DB1-ListParagraph6"/>
              <w:numPr>
                <w:ilvl w:val="0"/>
                <w:numId w:val="118"/>
              </w:numPr>
              <w:spacing w:before="0" w:after="0" w:line="259" w:lineRule="auto"/>
              <w:jc w:val="left"/>
              <w:rPr>
                <w:noProof/>
              </w:rPr>
            </w:pPr>
            <w:r>
              <w:rPr>
                <w:noProof/>
              </w:rPr>
              <w:t xml:space="preserve">Държавна процедура за оценка на въздействието върху околната среда </w:t>
            </w:r>
          </w:p>
          <w:p w14:paraId="49AA9AC1" w14:textId="77777777" w:rsidR="006054AA" w:rsidRDefault="001F7667">
            <w:pPr>
              <w:pStyle w:val="P68B1DB1-ListParagraph6"/>
              <w:numPr>
                <w:ilvl w:val="0"/>
                <w:numId w:val="118"/>
              </w:numPr>
              <w:spacing w:before="0" w:after="0" w:line="259" w:lineRule="auto"/>
              <w:jc w:val="left"/>
              <w:rPr>
                <w:noProof/>
              </w:rPr>
            </w:pPr>
            <w:r>
              <w:rPr>
                <w:noProof/>
              </w:rPr>
              <w:t xml:space="preserve">Регионална процедура за оценка на въздействието върху околната среда </w:t>
            </w:r>
          </w:p>
          <w:p w14:paraId="30FFC36B" w14:textId="77777777" w:rsidR="006054AA" w:rsidRDefault="001F7667">
            <w:pPr>
              <w:pStyle w:val="P68B1DB1-ListParagraph6"/>
              <w:numPr>
                <w:ilvl w:val="0"/>
                <w:numId w:val="118"/>
              </w:numPr>
              <w:spacing w:before="0" w:after="0" w:line="259" w:lineRule="auto"/>
              <w:jc w:val="left"/>
              <w:rPr>
                <w:noProof/>
              </w:rPr>
            </w:pPr>
            <w:r>
              <w:rPr>
                <w:noProof/>
              </w:rPr>
              <w:t xml:space="preserve">Разрешения за възстановяване на околната среда </w:t>
            </w:r>
          </w:p>
          <w:p w14:paraId="5EF8A986" w14:textId="77777777" w:rsidR="006054AA" w:rsidRDefault="001F7667">
            <w:pPr>
              <w:pStyle w:val="P68B1DB1-ListParagraph6"/>
              <w:numPr>
                <w:ilvl w:val="0"/>
                <w:numId w:val="118"/>
              </w:numPr>
              <w:spacing w:before="0" w:after="0" w:line="259" w:lineRule="auto"/>
              <w:jc w:val="left"/>
              <w:rPr>
                <w:noProof/>
              </w:rPr>
            </w:pPr>
            <w:r>
              <w:rPr>
                <w:noProof/>
              </w:rPr>
              <w:t xml:space="preserve">Стратегическа екологична оценка </w:t>
            </w:r>
          </w:p>
          <w:p w14:paraId="048C68BA" w14:textId="77777777" w:rsidR="006054AA" w:rsidRDefault="001F7667">
            <w:pPr>
              <w:pStyle w:val="P68B1DB1-ListParagraph6"/>
              <w:numPr>
                <w:ilvl w:val="0"/>
                <w:numId w:val="118"/>
              </w:numPr>
              <w:spacing w:before="0" w:after="0" w:line="259" w:lineRule="auto"/>
              <w:jc w:val="left"/>
              <w:rPr>
                <w:noProof/>
              </w:rPr>
            </w:pPr>
            <w:r>
              <w:rPr>
                <w:noProof/>
              </w:rPr>
              <w:t xml:space="preserve">Комплексно предотвратяване и контрол на замърсяването (IPPC) </w:t>
            </w:r>
          </w:p>
          <w:p w14:paraId="199A6264" w14:textId="77777777" w:rsidR="006054AA" w:rsidRDefault="001F7667">
            <w:pPr>
              <w:pStyle w:val="P68B1DB1-ListParagraph6"/>
              <w:numPr>
                <w:ilvl w:val="0"/>
                <w:numId w:val="118"/>
              </w:numPr>
              <w:spacing w:before="0" w:after="0" w:line="259" w:lineRule="auto"/>
              <w:jc w:val="left"/>
              <w:rPr>
                <w:noProof/>
              </w:rPr>
            </w:pPr>
            <w:r>
              <w:rPr>
                <w:noProof/>
              </w:rPr>
              <w:t xml:space="preserve">Процедури за издаване на разрешения за възобновяеми енергийни източници </w:t>
            </w:r>
          </w:p>
          <w:p w14:paraId="52BD605B" w14:textId="0674CBAE" w:rsidR="006054AA" w:rsidRDefault="001F7667">
            <w:pPr>
              <w:pStyle w:val="P68B1DB1-ListParagraph6"/>
              <w:numPr>
                <w:ilvl w:val="0"/>
                <w:numId w:val="118"/>
              </w:numPr>
              <w:spacing w:before="0" w:after="0" w:line="259" w:lineRule="auto"/>
              <w:jc w:val="left"/>
              <w:rPr>
                <w:noProof/>
              </w:rPr>
            </w:pPr>
            <w:r>
              <w:rPr>
                <w:noProof/>
              </w:rPr>
              <w:t>Процедури за модернизиране, обновяване и затихване</w:t>
            </w:r>
          </w:p>
          <w:p w14:paraId="46266E95" w14:textId="77777777" w:rsidR="006054AA" w:rsidRDefault="001F7667">
            <w:pPr>
              <w:pStyle w:val="P68B1DB1-ListParagraph6"/>
              <w:numPr>
                <w:ilvl w:val="0"/>
                <w:numId w:val="118"/>
              </w:numPr>
              <w:spacing w:before="0" w:after="0" w:line="259" w:lineRule="auto"/>
              <w:jc w:val="left"/>
              <w:rPr>
                <w:noProof/>
              </w:rPr>
            </w:pPr>
            <w:r>
              <w:rPr>
                <w:noProof/>
              </w:rPr>
              <w:t xml:space="preserve">Процедури за издаване на разрешения за енергийни инфраструктури </w:t>
            </w:r>
          </w:p>
          <w:p w14:paraId="4B6D16B5" w14:textId="787E9644" w:rsidR="006054AA" w:rsidRDefault="001F7667">
            <w:pPr>
              <w:pStyle w:val="P68B1DB1-ListParagraph6"/>
              <w:numPr>
                <w:ilvl w:val="0"/>
                <w:numId w:val="118"/>
              </w:numPr>
              <w:spacing w:before="0" w:after="0" w:line="259" w:lineRule="auto"/>
              <w:jc w:val="left"/>
              <w:rPr>
                <w:noProof/>
              </w:rPr>
            </w:pPr>
            <w:r>
              <w:rPr>
                <w:noProof/>
              </w:rPr>
              <w:t>Разрешения, свързани с отпадъците</w:t>
            </w:r>
          </w:p>
          <w:p w14:paraId="330CE9A8" w14:textId="4EAF4F28" w:rsidR="006054AA" w:rsidRDefault="001F7667">
            <w:pPr>
              <w:pStyle w:val="P68B1DB1-ListParagraph6"/>
              <w:numPr>
                <w:ilvl w:val="0"/>
                <w:numId w:val="122"/>
              </w:numPr>
              <w:spacing w:before="0" w:after="0" w:line="259" w:lineRule="auto"/>
              <w:jc w:val="left"/>
              <w:rPr>
                <w:noProof/>
              </w:rPr>
            </w:pPr>
            <w:r>
              <w:rPr>
                <w:noProof/>
              </w:rPr>
              <w:t>Преквалифициране на строителството и градовете:</w:t>
            </w:r>
          </w:p>
          <w:p w14:paraId="116CABF3" w14:textId="77777777" w:rsidR="006054AA" w:rsidRDefault="001F7667">
            <w:pPr>
              <w:pStyle w:val="P68B1DB1-ListParagraph6"/>
              <w:numPr>
                <w:ilvl w:val="0"/>
                <w:numId w:val="117"/>
              </w:numPr>
              <w:spacing w:before="0" w:after="0" w:line="259" w:lineRule="auto"/>
              <w:jc w:val="left"/>
              <w:rPr>
                <w:noProof/>
              </w:rPr>
            </w:pPr>
            <w:r>
              <w:rPr>
                <w:noProof/>
              </w:rPr>
              <w:t xml:space="preserve">Процедури за икономия на енергия и рационализация на потреблението на енергия (процедури за съответствие и др.) </w:t>
            </w:r>
          </w:p>
          <w:p w14:paraId="110D3B8F" w14:textId="126FF7DD" w:rsidR="006054AA" w:rsidRDefault="001F7667">
            <w:pPr>
              <w:pStyle w:val="P68B1DB1-ListParagraph6"/>
              <w:numPr>
                <w:ilvl w:val="0"/>
                <w:numId w:val="117"/>
              </w:numPr>
              <w:spacing w:before="0" w:after="0" w:line="259" w:lineRule="auto"/>
              <w:jc w:val="left"/>
              <w:rPr>
                <w:noProof/>
              </w:rPr>
            </w:pPr>
            <w:r>
              <w:rPr>
                <w:noProof/>
              </w:rPr>
              <w:t xml:space="preserve"> Конференция за обслужване</w:t>
            </w:r>
          </w:p>
          <w:p w14:paraId="43B28BDB" w14:textId="77777777" w:rsidR="006054AA" w:rsidRDefault="001F7667">
            <w:pPr>
              <w:pStyle w:val="P68B1DB1-ListParagraph6"/>
              <w:numPr>
                <w:ilvl w:val="0"/>
                <w:numId w:val="121"/>
              </w:numPr>
              <w:spacing w:before="0" w:after="0" w:line="259" w:lineRule="auto"/>
              <w:jc w:val="left"/>
              <w:rPr>
                <w:noProof/>
              </w:rPr>
            </w:pPr>
            <w:r>
              <w:rPr>
                <w:noProof/>
              </w:rPr>
              <w:t xml:space="preserve">Цифрови инфраструктури:  </w:t>
            </w:r>
          </w:p>
          <w:p w14:paraId="33AC1F29" w14:textId="77777777" w:rsidR="006054AA" w:rsidRDefault="001F7667">
            <w:pPr>
              <w:pStyle w:val="P68B1DB1-ListParagraph6"/>
              <w:numPr>
                <w:ilvl w:val="0"/>
                <w:numId w:val="116"/>
              </w:numPr>
              <w:spacing w:before="0" w:after="0" w:line="259" w:lineRule="auto"/>
              <w:jc w:val="left"/>
              <w:rPr>
                <w:noProof/>
              </w:rPr>
            </w:pPr>
            <w:r>
              <w:rPr>
                <w:noProof/>
              </w:rPr>
              <w:t xml:space="preserve">Разрешения за комуникационни инфраструктури  </w:t>
            </w:r>
          </w:p>
          <w:p w14:paraId="6D34301F" w14:textId="77777777" w:rsidR="006054AA" w:rsidRDefault="001F7667">
            <w:pPr>
              <w:pStyle w:val="P68B1DB1-ListParagraph6"/>
              <w:numPr>
                <w:ilvl w:val="0"/>
                <w:numId w:val="120"/>
              </w:numPr>
              <w:spacing w:before="0" w:after="0" w:line="259" w:lineRule="auto"/>
              <w:jc w:val="left"/>
              <w:rPr>
                <w:noProof/>
              </w:rPr>
            </w:pPr>
            <w:r>
              <w:rPr>
                <w:noProof/>
              </w:rPr>
              <w:t xml:space="preserve">Работни процедури: </w:t>
            </w:r>
          </w:p>
          <w:p w14:paraId="0627195D" w14:textId="77777777" w:rsidR="006054AA" w:rsidRDefault="001F7667">
            <w:pPr>
              <w:pStyle w:val="P68B1DB1-ListParagraph6"/>
              <w:numPr>
                <w:ilvl w:val="0"/>
                <w:numId w:val="112"/>
              </w:numPr>
              <w:spacing w:before="0" w:after="0" w:line="259" w:lineRule="auto"/>
              <w:jc w:val="left"/>
              <w:rPr>
                <w:noProof/>
              </w:rPr>
            </w:pPr>
            <w:r>
              <w:rPr>
                <w:noProof/>
              </w:rPr>
              <w:t>Процедури в сектора на търговията на дребно</w:t>
            </w:r>
          </w:p>
          <w:p w14:paraId="2504C141" w14:textId="77777777" w:rsidR="006054AA" w:rsidRDefault="001F7667">
            <w:pPr>
              <w:pStyle w:val="P68B1DB1-ListParagraph6"/>
              <w:numPr>
                <w:ilvl w:val="0"/>
                <w:numId w:val="112"/>
              </w:numPr>
              <w:spacing w:before="0" w:after="0" w:line="259" w:lineRule="auto"/>
              <w:jc w:val="left"/>
              <w:rPr>
                <w:noProof/>
              </w:rPr>
            </w:pPr>
            <w:r>
              <w:rPr>
                <w:noProof/>
              </w:rPr>
              <w:t>Бизнес и строителни процедури (SUAP и SUE)</w:t>
            </w:r>
          </w:p>
          <w:p w14:paraId="4276A47E" w14:textId="77777777" w:rsidR="006054AA" w:rsidRDefault="001F7667">
            <w:pPr>
              <w:pStyle w:val="P68B1DB1-ListParagraph6"/>
              <w:numPr>
                <w:ilvl w:val="0"/>
                <w:numId w:val="112"/>
              </w:numPr>
              <w:spacing w:before="0" w:after="0" w:line="259" w:lineRule="auto"/>
              <w:jc w:val="left"/>
              <w:rPr>
                <w:noProof/>
              </w:rPr>
            </w:pPr>
            <w:r>
              <w:rPr>
                <w:noProof/>
              </w:rPr>
              <w:t>Процедури за занаятчийски дейности</w:t>
            </w:r>
          </w:p>
          <w:p w14:paraId="4E37C53D" w14:textId="77777777" w:rsidR="006054AA" w:rsidRDefault="001F7667">
            <w:pPr>
              <w:pStyle w:val="P68B1DB1-ListParagraph6"/>
              <w:numPr>
                <w:ilvl w:val="0"/>
                <w:numId w:val="119"/>
              </w:numPr>
              <w:spacing w:before="0" w:after="0" w:line="259" w:lineRule="auto"/>
              <w:jc w:val="left"/>
              <w:rPr>
                <w:noProof/>
              </w:rPr>
            </w:pPr>
            <w:r>
              <w:rPr>
                <w:noProof/>
              </w:rPr>
              <w:t xml:space="preserve">Други процедури:  </w:t>
            </w:r>
          </w:p>
          <w:p w14:paraId="4C96A6AD" w14:textId="77777777" w:rsidR="006054AA" w:rsidRDefault="001F7667">
            <w:pPr>
              <w:pStyle w:val="P68B1DB1-ListParagraph6"/>
              <w:numPr>
                <w:ilvl w:val="0"/>
                <w:numId w:val="115"/>
              </w:numPr>
              <w:spacing w:before="0" w:after="0" w:line="259" w:lineRule="auto"/>
              <w:jc w:val="left"/>
              <w:rPr>
                <w:noProof/>
              </w:rPr>
            </w:pPr>
            <w:r>
              <w:rPr>
                <w:noProof/>
              </w:rPr>
              <w:t xml:space="preserve">Удостоверяване на мълчаливо съгласие </w:t>
            </w:r>
          </w:p>
          <w:p w14:paraId="4A851BCE" w14:textId="77777777" w:rsidR="006054AA" w:rsidRDefault="001F7667">
            <w:pPr>
              <w:pStyle w:val="P68B1DB1-ListParagraph6"/>
              <w:numPr>
                <w:ilvl w:val="0"/>
                <w:numId w:val="115"/>
              </w:numPr>
              <w:spacing w:before="0" w:after="0" w:line="259" w:lineRule="auto"/>
              <w:jc w:val="left"/>
              <w:rPr>
                <w:noProof/>
              </w:rPr>
            </w:pPr>
            <w:r>
              <w:rPr>
                <w:noProof/>
              </w:rPr>
              <w:t xml:space="preserve">Заместваща сила </w:t>
            </w:r>
          </w:p>
          <w:p w14:paraId="6F888952" w14:textId="77777777" w:rsidR="006054AA" w:rsidRDefault="001F7667">
            <w:pPr>
              <w:pStyle w:val="P68B1DB1-ListParagraph6"/>
              <w:numPr>
                <w:ilvl w:val="0"/>
                <w:numId w:val="115"/>
              </w:numPr>
              <w:spacing w:before="0" w:after="0" w:line="259" w:lineRule="auto"/>
              <w:jc w:val="left"/>
              <w:rPr>
                <w:noProof/>
              </w:rPr>
            </w:pPr>
            <w:r>
              <w:rPr>
                <w:noProof/>
              </w:rPr>
              <w:t xml:space="preserve">Процедури за предотвратяване на пожари </w:t>
            </w:r>
          </w:p>
          <w:p w14:paraId="640906AC" w14:textId="77777777" w:rsidR="006054AA" w:rsidRDefault="001F7667">
            <w:pPr>
              <w:pStyle w:val="P68B1DB1-ListParagraph6"/>
              <w:numPr>
                <w:ilvl w:val="0"/>
                <w:numId w:val="115"/>
              </w:numPr>
              <w:spacing w:before="0" w:after="0" w:line="259" w:lineRule="auto"/>
              <w:jc w:val="left"/>
              <w:rPr>
                <w:noProof/>
              </w:rPr>
            </w:pPr>
            <w:r>
              <w:rPr>
                <w:noProof/>
              </w:rPr>
              <w:t xml:space="preserve">Разрешения за специални икономически зони </w:t>
            </w:r>
          </w:p>
          <w:p w14:paraId="4951E64D" w14:textId="77777777" w:rsidR="006054AA" w:rsidRDefault="001F7667">
            <w:pPr>
              <w:pStyle w:val="P68B1DB1-ListParagraph6"/>
              <w:numPr>
                <w:ilvl w:val="0"/>
                <w:numId w:val="115"/>
              </w:numPr>
              <w:spacing w:before="0" w:after="0" w:line="259" w:lineRule="auto"/>
              <w:jc w:val="left"/>
              <w:rPr>
                <w:noProof/>
              </w:rPr>
            </w:pPr>
            <w:r>
              <w:rPr>
                <w:noProof/>
              </w:rPr>
              <w:t>Разрешения, свързани с обществената сигурност</w:t>
            </w:r>
          </w:p>
          <w:p w14:paraId="65FCEE70" w14:textId="77777777" w:rsidR="006054AA" w:rsidRDefault="001F7667">
            <w:pPr>
              <w:pStyle w:val="P68B1DB1-ListParagraph6"/>
              <w:numPr>
                <w:ilvl w:val="0"/>
                <w:numId w:val="115"/>
              </w:numPr>
              <w:spacing w:before="0" w:after="0" w:line="259" w:lineRule="auto"/>
              <w:jc w:val="left"/>
              <w:rPr>
                <w:noProof/>
              </w:rPr>
            </w:pPr>
            <w:r>
              <w:rPr>
                <w:noProof/>
              </w:rPr>
              <w:t xml:space="preserve">Разрешения за ландшафт </w:t>
            </w:r>
          </w:p>
          <w:p w14:paraId="3354300E" w14:textId="77777777" w:rsidR="006054AA" w:rsidRDefault="001F7667">
            <w:pPr>
              <w:pStyle w:val="P68B1DB1-ListParagraph6"/>
              <w:numPr>
                <w:ilvl w:val="0"/>
                <w:numId w:val="115"/>
              </w:numPr>
              <w:spacing w:before="0" w:after="0" w:line="259" w:lineRule="auto"/>
              <w:jc w:val="left"/>
              <w:rPr>
                <w:noProof/>
              </w:rPr>
            </w:pPr>
            <w:r>
              <w:rPr>
                <w:noProof/>
              </w:rPr>
              <w:t>Фармацевтични и здравни разрешения</w:t>
            </w:r>
          </w:p>
          <w:p w14:paraId="3FC45C1B" w14:textId="2874EC2C" w:rsidR="006054AA" w:rsidRDefault="001F7667">
            <w:pPr>
              <w:pStyle w:val="P68B1DB1-ListParagraph6"/>
              <w:numPr>
                <w:ilvl w:val="0"/>
                <w:numId w:val="115"/>
              </w:numPr>
              <w:spacing w:after="160" w:line="257" w:lineRule="auto"/>
              <w:jc w:val="left"/>
              <w:rPr>
                <w:noProof/>
              </w:rPr>
            </w:pPr>
            <w:r>
              <w:rPr>
                <w:noProof/>
              </w:rPr>
              <w:t>Сеизмични и хидрогеоложки процедури/разрешения</w:t>
            </w:r>
          </w:p>
        </w:tc>
      </w:tr>
      <w:tr w:rsidR="006054AA" w14:paraId="4BC4D82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A8DE8" w14:textId="77777777" w:rsidR="006054AA" w:rsidRDefault="001F7667">
            <w:pPr>
              <w:pStyle w:val="P68B1DB1-Normal5"/>
              <w:jc w:val="center"/>
              <w:rPr>
                <w:noProof/>
              </w:rPr>
            </w:pPr>
            <w:r>
              <w:rPr>
                <w:noProof/>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2CFED"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F9E59"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AA1DD" w14:textId="77777777" w:rsidR="006054AA" w:rsidRDefault="001F7667">
            <w:pPr>
              <w:pStyle w:val="P68B1DB1-Normal5"/>
              <w:jc w:val="center"/>
              <w:rPr>
                <w:noProof/>
              </w:rPr>
            </w:pPr>
            <w:r>
              <w:rPr>
                <w:noProof/>
              </w:rPr>
              <w:t xml:space="preserve"> Приключване на изпълнението (включително всички делегирани актове) на опростяването и/или цифровизацията на допълнителен набор от 50 критични процедури, които засягат пряко гражданите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0537A" w14:textId="77777777" w:rsidR="006054AA" w:rsidRDefault="001F7667">
            <w:pPr>
              <w:pStyle w:val="P68B1DB1-Normal5"/>
              <w:jc w:val="center"/>
              <w:rPr>
                <w:noProof/>
              </w:rPr>
            </w:pPr>
            <w:r>
              <w:rPr>
                <w:noProof/>
              </w:rPr>
              <w:t>Влизане в сила на вторичното законодателство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4F785D"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C96A2B"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ABA0D"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C07B09"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3CDAD7"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44A63" w14:textId="77777777" w:rsidR="006054AA" w:rsidRDefault="001F7667">
            <w:pPr>
              <w:pStyle w:val="P68B1DB1-Normal5"/>
              <w:spacing w:after="120"/>
              <w:contextualSpacing/>
              <w:rPr>
                <w:noProof/>
              </w:rPr>
            </w:pPr>
            <w:r>
              <w:rPr>
                <w:noProof/>
              </w:rPr>
              <w:t xml:space="preserve">Опростените процедури засягат следните области:  </w:t>
            </w:r>
          </w:p>
          <w:p w14:paraId="60C6A176" w14:textId="77777777" w:rsidR="006054AA" w:rsidRDefault="001F7667">
            <w:pPr>
              <w:pStyle w:val="P68B1DB1-ListParagraph6"/>
              <w:numPr>
                <w:ilvl w:val="0"/>
                <w:numId w:val="114"/>
              </w:numPr>
              <w:spacing w:before="0" w:after="0"/>
              <w:ind w:left="173" w:hanging="141"/>
              <w:jc w:val="left"/>
              <w:rPr>
                <w:noProof/>
              </w:rPr>
            </w:pPr>
            <w:r>
              <w:rPr>
                <w:noProof/>
              </w:rPr>
              <w:t xml:space="preserve">Регистър и гражданско състояние  </w:t>
            </w:r>
          </w:p>
          <w:p w14:paraId="3F2D227B" w14:textId="77777777" w:rsidR="006054AA" w:rsidRDefault="001F7667">
            <w:pPr>
              <w:pStyle w:val="P68B1DB1-ListParagraph6"/>
              <w:numPr>
                <w:ilvl w:val="0"/>
                <w:numId w:val="114"/>
              </w:numPr>
              <w:spacing w:before="0" w:after="0"/>
              <w:ind w:left="173" w:hanging="141"/>
              <w:jc w:val="left"/>
              <w:rPr>
                <w:noProof/>
              </w:rPr>
            </w:pPr>
            <w:r>
              <w:rPr>
                <w:noProof/>
              </w:rPr>
              <w:t xml:space="preserve">Самоличност, цифров адрес и достъп до онлайн услуги </w:t>
            </w:r>
          </w:p>
          <w:p w14:paraId="612B0DFF" w14:textId="15898B8F" w:rsidR="006054AA" w:rsidRDefault="001F7667">
            <w:pPr>
              <w:pStyle w:val="P68B1DB1-ListParagraph6"/>
              <w:numPr>
                <w:ilvl w:val="0"/>
                <w:numId w:val="114"/>
              </w:numPr>
              <w:spacing w:before="0"/>
              <w:ind w:left="173" w:hanging="141"/>
              <w:jc w:val="left"/>
              <w:rPr>
                <w:noProof/>
              </w:rPr>
            </w:pPr>
            <w:r>
              <w:rPr>
                <w:noProof/>
              </w:rPr>
              <w:t>Увреждане</w:t>
            </w:r>
          </w:p>
        </w:tc>
      </w:tr>
      <w:tr w:rsidR="006054AA" w14:paraId="0BBD26A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585A5" w14:textId="77777777" w:rsidR="006054AA" w:rsidRDefault="001F7667">
            <w:pPr>
              <w:pStyle w:val="P68B1DB1-Normal5"/>
              <w:jc w:val="center"/>
              <w:rPr>
                <w:noProof/>
              </w:rPr>
            </w:pPr>
            <w:r>
              <w:rPr>
                <w:noProof/>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04E23C"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7E2B9"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C5A0" w14:textId="77777777" w:rsidR="006054AA" w:rsidRDefault="001F7667">
            <w:pPr>
              <w:pStyle w:val="P68B1DB1-Normal5"/>
              <w:jc w:val="center"/>
              <w:rPr>
                <w:noProof/>
              </w:rPr>
            </w:pPr>
            <w:r>
              <w:rPr>
                <w:noProof/>
              </w:rPr>
              <w:t>Увеличаване на усвояването на инвестициите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74C9C" w14:textId="77777777" w:rsidR="006054AA" w:rsidRDefault="001F7667">
            <w:pPr>
              <w:pStyle w:val="P68B1DB1-Normal5"/>
              <w:jc w:val="center"/>
              <w:rPr>
                <w:noProof/>
              </w:rPr>
            </w:pPr>
            <w:r>
              <w:rPr>
                <w:noProof/>
              </w:rPr>
              <w:t>Публикуване на доклад за изпълнението от Министерството на финансите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02F370"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1BF58"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565A87"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DBB26D"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8E115"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FA22C" w14:textId="77777777" w:rsidR="006054AA" w:rsidRDefault="001F7667">
            <w:pPr>
              <w:pStyle w:val="P68B1DB1-Normal5"/>
              <w:spacing w:after="120"/>
              <w:rPr>
                <w:noProof/>
              </w:rPr>
            </w:pPr>
            <w:r>
              <w:rPr>
                <w:noProof/>
              </w:rPr>
              <w:t>Да публикува доклад за изпълнението с цел измерване на въздействието на действията, насочени към предоставяне на техническа помощ и изграждане на капацитет, подобряване на капацитета за планиране, управление и изпълнение на капиталовите разходи, финансирани чрез националния бюджет, за постигане на значително усвояване на средствата от допълнителния фонд, отпуснати до 2024 г.</w:t>
            </w:r>
          </w:p>
        </w:tc>
      </w:tr>
      <w:tr w:rsidR="006054AA" w14:paraId="6DCBE95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80EF78" w14:textId="77777777" w:rsidR="006054AA" w:rsidRDefault="001F7667">
            <w:pPr>
              <w:pStyle w:val="P68B1DB1-Normal5"/>
              <w:jc w:val="center"/>
              <w:rPr>
                <w:noProof/>
              </w:rPr>
            </w:pPr>
            <w:r>
              <w:rPr>
                <w:noProof/>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FB2C6"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A2A39"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8E3A5" w14:textId="134BF2AD" w:rsidR="006054AA" w:rsidRDefault="001F7667">
            <w:pPr>
              <w:pStyle w:val="P68B1DB1-Normal5"/>
              <w:jc w:val="center"/>
              <w:rPr>
                <w:noProof/>
              </w:rPr>
            </w:pPr>
            <w:r>
              <w:rPr>
                <w:noProof/>
              </w:rPr>
              <w:t>Завършване на опростяването и създаване на регистър на всички опростени процедури и съответните административни режими с пълна правна валидност на цялата национална територия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1E372" w14:textId="77777777" w:rsidR="006054AA" w:rsidRDefault="001F7667">
            <w:pPr>
              <w:pStyle w:val="P68B1DB1-Normal5"/>
              <w:jc w:val="center"/>
              <w:rPr>
                <w:noProof/>
              </w:rPr>
            </w:pPr>
            <w:r>
              <w:rPr>
                <w:noProof/>
              </w:rPr>
              <w:t>Публикуване на хранилището на уебсайта на съответното линейно министерство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F503A"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58350"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B370D"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BE742"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839A6E"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8446D" w14:textId="77777777" w:rsidR="006054AA" w:rsidRDefault="001F7667">
            <w:pPr>
              <w:pStyle w:val="P68B1DB1-Normal5"/>
              <w:rPr>
                <w:noProof/>
              </w:rPr>
            </w:pPr>
            <w:r>
              <w:rPr>
                <w:noProof/>
              </w:rPr>
              <w:t xml:space="preserve">Проверката на процедурните режими се извършва за всички опростени процедури. </w:t>
            </w:r>
          </w:p>
          <w:p w14:paraId="5BF5FAF6" w14:textId="77777777" w:rsidR="006054AA" w:rsidRDefault="001F7667">
            <w:pPr>
              <w:pStyle w:val="P68B1DB1-Normal5"/>
              <w:rPr>
                <w:noProof/>
              </w:rPr>
            </w:pPr>
            <w:r>
              <w:rPr>
                <w:noProof/>
              </w:rPr>
              <w:t>Също така проверката и наблюдението на:</w:t>
            </w:r>
          </w:p>
          <w:p w14:paraId="06A9A8C1" w14:textId="77777777" w:rsidR="006054AA" w:rsidRDefault="001F7667">
            <w:pPr>
              <w:pStyle w:val="P68B1DB1-ListParagraph6"/>
              <w:numPr>
                <w:ilvl w:val="0"/>
                <w:numId w:val="130"/>
              </w:numPr>
              <w:ind w:left="313" w:hanging="283"/>
              <w:jc w:val="left"/>
              <w:rPr>
                <w:noProof/>
              </w:rPr>
            </w:pPr>
            <w:r>
              <w:rPr>
                <w:noProof/>
              </w:rPr>
              <w:t xml:space="preserve">Ефективното прилагане на опростените процедури, </w:t>
            </w:r>
          </w:p>
          <w:p w14:paraId="35BBB17B" w14:textId="77777777" w:rsidR="006054AA" w:rsidRDefault="001F7667">
            <w:pPr>
              <w:pStyle w:val="P68B1DB1-ListParagraph6"/>
              <w:numPr>
                <w:ilvl w:val="0"/>
                <w:numId w:val="130"/>
              </w:numPr>
              <w:ind w:left="313" w:hanging="283"/>
              <w:jc w:val="left"/>
              <w:rPr>
                <w:noProof/>
              </w:rPr>
            </w:pPr>
            <w:r>
              <w:rPr>
                <w:noProof/>
              </w:rPr>
              <w:t xml:space="preserve">нови стандартизирани формуляри, и </w:t>
            </w:r>
          </w:p>
          <w:p w14:paraId="7C948C74" w14:textId="77777777" w:rsidR="006054AA" w:rsidRDefault="001F7667">
            <w:pPr>
              <w:pStyle w:val="P68B1DB1-ListParagraph6"/>
              <w:numPr>
                <w:ilvl w:val="0"/>
                <w:numId w:val="130"/>
              </w:numPr>
              <w:ind w:left="313" w:hanging="283"/>
              <w:jc w:val="left"/>
              <w:rPr>
                <w:noProof/>
              </w:rPr>
            </w:pPr>
            <w:r>
              <w:rPr>
                <w:noProof/>
              </w:rPr>
              <w:t>съответстващо цифровизирано управление</w:t>
            </w:r>
          </w:p>
          <w:p w14:paraId="69DD36FF" w14:textId="77777777" w:rsidR="006054AA" w:rsidRDefault="001F7667">
            <w:pPr>
              <w:pStyle w:val="P68B1DB1-Normal5"/>
              <w:rPr>
                <w:noProof/>
              </w:rPr>
            </w:pPr>
            <w:r>
              <w:rPr>
                <w:noProof/>
              </w:rPr>
              <w:t xml:space="preserve">трябва да бъдат осигурени. </w:t>
            </w:r>
          </w:p>
          <w:p w14:paraId="6693D463" w14:textId="77777777" w:rsidR="006054AA" w:rsidRDefault="006054AA">
            <w:pPr>
              <w:rPr>
                <w:rFonts w:ascii="Arial Narrow" w:hAnsi="Arial Narrow" w:cs="Arial"/>
                <w:noProof/>
                <w:color w:val="006100"/>
                <w:sz w:val="20"/>
              </w:rPr>
            </w:pPr>
          </w:p>
          <w:p w14:paraId="5047CE8D" w14:textId="77777777" w:rsidR="006054AA" w:rsidRDefault="001F7667">
            <w:pPr>
              <w:pStyle w:val="P68B1DB1-Normal5"/>
              <w:spacing w:after="120"/>
              <w:rPr>
                <w:noProof/>
              </w:rPr>
            </w:pPr>
            <w:r>
              <w:rPr>
                <w:noProof/>
              </w:rPr>
              <w:t xml:space="preserve">Опростяването се прилага за общо 600 критични процедури, включително тези, обхванати от ключови етапи M1C1 60 и M1C1 61. </w:t>
            </w:r>
          </w:p>
        </w:tc>
      </w:tr>
      <w:tr w:rsidR="006054AA" w14:paraId="70BE381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C37A95" w14:textId="77777777" w:rsidR="006054AA" w:rsidRDefault="001F7667">
            <w:pPr>
              <w:pStyle w:val="P68B1DB1-Normal5"/>
              <w:jc w:val="center"/>
              <w:rPr>
                <w:noProof/>
              </w:rPr>
            </w:pPr>
            <w:r>
              <w:rPr>
                <w:noProof/>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28729" w14:textId="77777777" w:rsidR="006054AA" w:rsidRDefault="001F7667">
            <w:pPr>
              <w:pStyle w:val="P68B1DB1-Normal5"/>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481259"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4D419" w14:textId="77777777" w:rsidR="006054AA" w:rsidRDefault="001F7667">
            <w:pPr>
              <w:pStyle w:val="P68B1DB1-Normal5"/>
              <w:jc w:val="center"/>
              <w:rPr>
                <w:noProof/>
              </w:rPr>
            </w:pPr>
            <w:r>
              <w:rPr>
                <w:noProof/>
              </w:rPr>
              <w:t>Образованието и обучението;</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98EFD"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F3376"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60E82"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771FF" w14:textId="77777777" w:rsidR="006054AA" w:rsidRDefault="001F7667">
            <w:pPr>
              <w:pStyle w:val="P68B1DB1-Normal5"/>
              <w:jc w:val="center"/>
              <w:rPr>
                <w:noProof/>
              </w:rPr>
            </w:pPr>
            <w:r>
              <w:rPr>
                <w:noProof/>
              </w:rPr>
              <w:t>350 000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20D9"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1FD2D"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A60BE" w14:textId="77777777" w:rsidR="006054AA" w:rsidRDefault="001F7667">
            <w:pPr>
              <w:pStyle w:val="P68B1DB1-Normal5"/>
              <w:spacing w:after="120"/>
              <w:rPr>
                <w:noProof/>
              </w:rPr>
            </w:pPr>
            <w:r>
              <w:rPr>
                <w:noProof/>
              </w:rPr>
              <w:t>Най-малко 350 000 държавни служители от централните публични администрации са включени в инициативи за повишаване на квалификацията или за преквалификация.</w:t>
            </w:r>
          </w:p>
        </w:tc>
      </w:tr>
      <w:tr w:rsidR="006054AA" w14:paraId="3ADE9C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B50E7" w14:textId="77777777" w:rsidR="006054AA" w:rsidRDefault="001F7667">
            <w:pPr>
              <w:pStyle w:val="P68B1DB1-Normal5"/>
              <w:jc w:val="center"/>
              <w:rPr>
                <w:noProof/>
              </w:rPr>
            </w:pPr>
            <w:r>
              <w:rPr>
                <w:noProof/>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B99BE" w14:textId="77777777" w:rsidR="006054AA" w:rsidRDefault="001F7667">
            <w:pPr>
              <w:pStyle w:val="P68B1DB1-Normal5"/>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A5D01C"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2DA3F5" w14:textId="77777777" w:rsidR="006054AA" w:rsidRDefault="001F7667">
            <w:pPr>
              <w:pStyle w:val="P68B1DB1-Normal5"/>
              <w:jc w:val="center"/>
              <w:rPr>
                <w:noProof/>
              </w:rPr>
            </w:pPr>
            <w:r>
              <w:rPr>
                <w:noProof/>
              </w:rPr>
              <w:t>Образованието и обучението;</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7A30D"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71AA3"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527"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F0F42" w14:textId="77777777" w:rsidR="006054AA" w:rsidRDefault="001F7667">
            <w:pPr>
              <w:pStyle w:val="P68B1DB1-Normal5"/>
              <w:jc w:val="center"/>
              <w:rPr>
                <w:noProof/>
              </w:rPr>
            </w:pPr>
            <w:r>
              <w:rPr>
                <w:noProof/>
              </w:rPr>
              <w:t>400 000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94BDE"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3044EA"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08080" w14:textId="77777777" w:rsidR="006054AA" w:rsidRDefault="001F7667">
            <w:pPr>
              <w:pStyle w:val="P68B1DB1-Normal5"/>
              <w:spacing w:after="120"/>
              <w:rPr>
                <w:noProof/>
              </w:rPr>
            </w:pPr>
            <w:r>
              <w:rPr>
                <w:noProof/>
              </w:rPr>
              <w:t>Най-малко 400 000 държавни служители от други публични администрации, участващи в инициативи за повишаване на квалификацията или за преквалификация.</w:t>
            </w:r>
          </w:p>
        </w:tc>
      </w:tr>
      <w:tr w:rsidR="006054AA" w14:paraId="356DD75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230B9" w14:textId="77777777" w:rsidR="006054AA" w:rsidRDefault="001F7667">
            <w:pPr>
              <w:pStyle w:val="P68B1DB1-Normal5"/>
              <w:jc w:val="center"/>
              <w:rPr>
                <w:noProof/>
              </w:rPr>
            </w:pPr>
            <w:r>
              <w:rPr>
                <w:noProof/>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3E9DE" w14:textId="77777777" w:rsidR="006054AA" w:rsidRDefault="001F7667">
            <w:pPr>
              <w:pStyle w:val="P68B1DB1-Normal5"/>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1FE07C"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F3D22F" w14:textId="77777777" w:rsidR="006054AA" w:rsidRDefault="001F7667">
            <w:pPr>
              <w:pStyle w:val="P68B1DB1-Normal5"/>
              <w:jc w:val="center"/>
              <w:rPr>
                <w:noProof/>
              </w:rPr>
            </w:pPr>
            <w:r>
              <w:rPr>
                <w:noProof/>
              </w:rPr>
              <w:t>Образованието и обучението;</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32673"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6C74C"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866F4"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28F43" w14:textId="77777777" w:rsidR="006054AA" w:rsidRDefault="001F7667">
            <w:pPr>
              <w:pStyle w:val="P68B1DB1-Normal5"/>
              <w:jc w:val="center"/>
              <w:rPr>
                <w:noProof/>
              </w:rPr>
            </w:pPr>
            <w:r>
              <w:rPr>
                <w:noProof/>
              </w:rPr>
              <w:t>245 000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EBC81"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27F6D"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F34EA" w14:textId="77777777" w:rsidR="006054AA" w:rsidRDefault="001F7667">
            <w:pPr>
              <w:pStyle w:val="P68B1DB1-Normal5"/>
              <w:spacing w:after="120"/>
              <w:rPr>
                <w:noProof/>
              </w:rPr>
            </w:pPr>
            <w:r>
              <w:rPr>
                <w:noProof/>
              </w:rPr>
              <w:t>Най-малко 245 000 (70 %) държавни служители в централните публични администрации успешно са завършили инициативи за обучение, както е посочено в M1C1—64 (официално сертифициране или оценка на въздействието).</w:t>
            </w:r>
          </w:p>
        </w:tc>
      </w:tr>
      <w:tr w:rsidR="006054AA" w14:paraId="599A61D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9FDE4" w14:textId="77777777" w:rsidR="006054AA" w:rsidRDefault="001F7667">
            <w:pPr>
              <w:pStyle w:val="P68B1DB1-Normal5"/>
              <w:jc w:val="center"/>
              <w:rPr>
                <w:noProof/>
              </w:rPr>
            </w:pPr>
            <w:r>
              <w:rPr>
                <w:noProof/>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BDE7E7" w14:textId="77777777" w:rsidR="006054AA" w:rsidRDefault="001F7667">
            <w:pPr>
              <w:pStyle w:val="P68B1DB1-Normal5"/>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634C0"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28D8D" w14:textId="77777777" w:rsidR="006054AA" w:rsidRDefault="001F7667">
            <w:pPr>
              <w:pStyle w:val="P68B1DB1-Normal5"/>
              <w:jc w:val="center"/>
              <w:rPr>
                <w:noProof/>
              </w:rPr>
            </w:pPr>
            <w:r>
              <w:rPr>
                <w:noProof/>
              </w:rPr>
              <w:t>Образованието и обучението;</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D5854"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25CF7"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063"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9CBF2" w14:textId="77777777" w:rsidR="006054AA" w:rsidRDefault="001F7667">
            <w:pPr>
              <w:pStyle w:val="P68B1DB1-Normal5"/>
              <w:jc w:val="center"/>
              <w:rPr>
                <w:noProof/>
              </w:rPr>
            </w:pPr>
            <w:r>
              <w:rPr>
                <w:noProof/>
              </w:rPr>
              <w:t>280 000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1BEA2"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2B1DC6"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2155C" w14:textId="77777777" w:rsidR="006054AA" w:rsidRDefault="001F7667">
            <w:pPr>
              <w:pStyle w:val="P68B1DB1-Normal5"/>
              <w:spacing w:after="120"/>
              <w:rPr>
                <w:noProof/>
              </w:rPr>
            </w:pPr>
            <w:r>
              <w:rPr>
                <w:noProof/>
              </w:rPr>
              <w:t>Най-малко 280 000 (70 %) държавни служители в други публични администрации успешно са завършили инициативи за обучение, както е посочено в M1C1—65 (официално сертифициране или оценка на въздействието).</w:t>
            </w:r>
          </w:p>
        </w:tc>
      </w:tr>
      <w:tr w:rsidR="006054AA" w14:paraId="7CB7F2F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8FD15" w14:textId="77777777" w:rsidR="006054AA" w:rsidRDefault="001F7667">
            <w:pPr>
              <w:pStyle w:val="P68B1DB1-Normal5"/>
              <w:jc w:val="center"/>
              <w:rPr>
                <w:noProof/>
              </w:rPr>
            </w:pPr>
            <w:r>
              <w:rPr>
                <w:noProof/>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BF08" w14:textId="77777777" w:rsidR="006054AA" w:rsidRDefault="001F7667">
            <w:pPr>
              <w:pStyle w:val="P68B1DB1-Normal5"/>
              <w:jc w:val="center"/>
              <w:rPr>
                <w:noProof/>
              </w:rPr>
            </w:pPr>
            <w:r>
              <w:rPr>
                <w:noProof/>
              </w:rPr>
              <w:t>Реформа 1.9: Реформа на публичната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0A7CC8"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61EDA2" w14:textId="77777777" w:rsidR="006054AA" w:rsidRDefault="001F7667">
            <w:pPr>
              <w:pStyle w:val="P68B1DB1-Normal5"/>
              <w:jc w:val="center"/>
              <w:rPr>
                <w:noProof/>
              </w:rPr>
            </w:pPr>
            <w:r>
              <w:rPr>
                <w:noProof/>
              </w:rPr>
              <w:t>Система от регистри за одит и контрол: информация за мониторинг на изпълнението на МВУ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625C2" w14:textId="77777777" w:rsidR="006054AA" w:rsidRDefault="001F7667">
            <w:pPr>
              <w:pStyle w:val="P68B1DB1-Normal5"/>
              <w:jc w:val="center"/>
              <w:rPr>
                <w:noProof/>
              </w:rPr>
            </w:pPr>
            <w:r>
              <w:rPr>
                <w:noProof/>
              </w:rPr>
              <w:t>Одитен доклад, потвърждаващ функциите на системата от регистри</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36F61"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47EEE"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564E20"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FD70C"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9D4C1"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3DCE9" w14:textId="77777777" w:rsidR="006054AA" w:rsidRDefault="001F7667">
            <w:pPr>
              <w:pStyle w:val="P68B1DB1-Normal5"/>
              <w:spacing w:after="120"/>
              <w:rPr>
                <w:noProof/>
              </w:rPr>
            </w:pPr>
            <w:r>
              <w:rPr>
                <w:noProof/>
              </w:rPr>
              <w:t>Създава се и функционира система от регистри за наблюдение на изпълнението на МВУ.</w:t>
            </w:r>
          </w:p>
          <w:p w14:paraId="6B8EA697" w14:textId="77777777" w:rsidR="006054AA" w:rsidRDefault="001F7667">
            <w:pPr>
              <w:pStyle w:val="P68B1DB1-Normal5"/>
              <w:spacing w:after="120"/>
              <w:rPr>
                <w:noProof/>
              </w:rPr>
            </w:pPr>
            <w:r>
              <w:rPr>
                <w:noProof/>
              </w:rPr>
              <w:t>Системата включва най-малко следните функционални възможности:</w:t>
            </w:r>
          </w:p>
          <w:p w14:paraId="5A99E7CA" w14:textId="77777777" w:rsidR="006054AA" w:rsidRDefault="001F7667">
            <w:pPr>
              <w:pStyle w:val="P68B1DB1-Normal5"/>
              <w:spacing w:after="120"/>
              <w:rPr>
                <w:noProof/>
              </w:rPr>
            </w:pPr>
            <w:r>
              <w:rPr>
                <w:noProof/>
              </w:rPr>
              <w:t>а) събира данни и наблюдава постигането на ключовите етапи и целите;</w:t>
            </w:r>
          </w:p>
          <w:p w14:paraId="5D5E10D0" w14:textId="77777777" w:rsidR="006054AA" w:rsidRDefault="001F7667">
            <w:pPr>
              <w:pStyle w:val="P68B1DB1-Normal5"/>
              <w:spacing w:after="120"/>
              <w:rPr>
                <w:noProof/>
              </w:rPr>
            </w:pPr>
            <w:r>
              <w:rPr>
                <w:noProof/>
              </w:rPr>
              <w:t>б) събира, съхранява и осигурява достъп до данните, изисквани съгласно член 22, параграф 2, буква г), подточки i) — iii) от Регламента за МВУ.</w:t>
            </w:r>
          </w:p>
        </w:tc>
      </w:tr>
      <w:tr w:rsidR="006054AA" w14:paraId="591C282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20F02" w14:textId="77777777" w:rsidR="006054AA" w:rsidRDefault="001F7667">
            <w:pPr>
              <w:pStyle w:val="P68B1DB1-Normal5"/>
              <w:jc w:val="center"/>
              <w:rPr>
                <w:noProof/>
              </w:rPr>
            </w:pPr>
            <w:r>
              <w:rPr>
                <w:noProof/>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688A1"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47E94"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8B16F" w14:textId="77777777" w:rsidR="006054AA" w:rsidRDefault="001F7667">
            <w:pPr>
              <w:pStyle w:val="P68B1DB1-Normal5"/>
              <w:jc w:val="center"/>
              <w:rPr>
                <w:noProof/>
              </w:rPr>
            </w:pPr>
            <w:r>
              <w:rPr>
                <w:noProof/>
              </w:rPr>
              <w:t>Влизане в сила на Наредбата за опростяване на системата за възлагане на обществени поръчки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B59B" w14:textId="77777777" w:rsidR="006054AA" w:rsidRDefault="001F7667">
            <w:pPr>
              <w:pStyle w:val="P68B1DB1-Normal5"/>
              <w:jc w:val="center"/>
              <w:rPr>
                <w:noProof/>
              </w:rPr>
            </w:pPr>
            <w:r>
              <w:rPr>
                <w:noProof/>
              </w:rPr>
              <w:t>Законова разпоредба, указваща влизането в сила на указа за опростяване на системата за възлагане на обществени поръчки.</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2E3B0"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58B64"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F13480"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7DCAF"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59D24E"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5E50A" w14:textId="77777777" w:rsidR="006054AA" w:rsidRDefault="001F7667">
            <w:pPr>
              <w:pStyle w:val="P68B1DB1-Normal5"/>
              <w:spacing w:after="120"/>
              <w:rPr>
                <w:noProof/>
              </w:rPr>
            </w:pPr>
            <w:r>
              <w:rPr>
                <w:noProof/>
              </w:rPr>
              <w:t>С наредбата се опростява системата за възлагане на обществени поръчки най-малко със следните спешни мерки:</w:t>
            </w:r>
          </w:p>
          <w:p w14:paraId="3C906276" w14:textId="77777777" w:rsidR="006054AA" w:rsidRDefault="001F7667">
            <w:pPr>
              <w:pStyle w:val="P68B1DB1-Normal5"/>
              <w:spacing w:after="120"/>
              <w:rPr>
                <w:noProof/>
              </w:rPr>
            </w:pPr>
            <w:r>
              <w:rPr>
                <w:noProof/>
              </w:rPr>
              <w:t>определя цели за намаляване на времето между публикуването и възлагането на поръчката.</w:t>
            </w:r>
          </w:p>
          <w:p w14:paraId="0A1E1AB1" w14:textId="77777777" w:rsidR="006054AA" w:rsidRDefault="001F7667">
            <w:pPr>
              <w:pStyle w:val="P68B1DB1-Normal5"/>
              <w:spacing w:after="120"/>
              <w:rPr>
                <w:noProof/>
              </w:rPr>
            </w:pPr>
            <w:r>
              <w:rPr>
                <w:noProof/>
              </w:rPr>
              <w:t>II. Определя цели и система за мониторинг, за да се съкрати времето между възлагането на поръчката и завършването на инфраструктурата („fase esecutiva“).</w:t>
            </w:r>
          </w:p>
          <w:p w14:paraId="3FF2B944" w14:textId="77777777" w:rsidR="006054AA" w:rsidRDefault="001F7667">
            <w:pPr>
              <w:pStyle w:val="P68B1DB1-Normal5"/>
              <w:spacing w:after="120"/>
              <w:rPr>
                <w:noProof/>
              </w:rPr>
            </w:pPr>
            <w:r>
              <w:rPr>
                <w:noProof/>
              </w:rPr>
              <w:t>III. Изисква данните за всички договори да бъдат регистрирани в базата данни за борба с корупцията на националния орган за борба с корупцията (ANAC).</w:t>
            </w:r>
          </w:p>
          <w:p w14:paraId="5DBA2BAF" w14:textId="77777777" w:rsidR="006054AA" w:rsidRDefault="001F7667">
            <w:pPr>
              <w:pStyle w:val="P68B1DB1-Normal5"/>
              <w:spacing w:after="120"/>
              <w:rPr>
                <w:noProof/>
              </w:rPr>
            </w:pPr>
            <w:r>
              <w:rPr>
                <w:noProof/>
              </w:rPr>
              <w:t>IV. Прилагане и стимулиране на механизмите за алтернативно разрешаване на спорове на етапа на изпълнение на обществените поръчки.</w:t>
            </w:r>
          </w:p>
          <w:p w14:paraId="4A2ACB70" w14:textId="77777777" w:rsidR="006054AA" w:rsidRDefault="001F7667">
            <w:pPr>
              <w:pStyle w:val="P68B1DB1-Normal5"/>
              <w:spacing w:after="120"/>
              <w:rPr>
                <w:noProof/>
              </w:rPr>
            </w:pPr>
            <w:r>
              <w:rPr>
                <w:noProof/>
              </w:rPr>
              <w:t>V. Отделява специализирани служби, отговарящи за процедурите за възлагане на обществени поръчки в министерствата, регионите и метрополните градове.</w:t>
            </w:r>
          </w:p>
          <w:p w14:paraId="66CB72FC" w14:textId="77777777" w:rsidR="006054AA" w:rsidRDefault="001F7667">
            <w:pPr>
              <w:pStyle w:val="P68B1DB1-Normal5"/>
              <w:spacing w:after="120"/>
              <w:rPr>
                <w:noProof/>
              </w:rPr>
            </w:pPr>
            <w:r>
              <w:rPr>
                <w:noProof/>
              </w:rPr>
              <w:t>Допълнителни спецификации:</w:t>
            </w:r>
          </w:p>
          <w:p w14:paraId="26070B95" w14:textId="5F65CD1E" w:rsidR="006054AA" w:rsidRDefault="001F7667">
            <w:pPr>
              <w:pStyle w:val="P68B1DB1-Normal5"/>
              <w:spacing w:after="120"/>
              <w:rPr>
                <w:noProof/>
              </w:rPr>
            </w:pPr>
            <w:r>
              <w:rPr>
                <w:noProof/>
              </w:rPr>
              <w:t>Опростяване и цифровизация на процедурите на централните органи за покупки („centrali di committenza“);</w:t>
            </w:r>
          </w:p>
          <w:p w14:paraId="77542B64" w14:textId="5F7AE2F8" w:rsidR="006054AA" w:rsidRDefault="001F7667">
            <w:pPr>
              <w:pStyle w:val="P68B1DB1-Normal5"/>
              <w:spacing w:after="120"/>
              <w:rPr>
                <w:noProof/>
              </w:rPr>
            </w:pPr>
            <w:r>
              <w:rPr>
                <w:noProof/>
              </w:rPr>
              <w:t>Прилагане на членове 41 и 44 от действащия Кодекс за обществените поръчки;</w:t>
            </w:r>
          </w:p>
          <w:p w14:paraId="73119A7B" w14:textId="08623397" w:rsidR="006054AA" w:rsidRDefault="001F7667">
            <w:pPr>
              <w:pStyle w:val="P68B1DB1-Normal5"/>
              <w:spacing w:after="120"/>
              <w:rPr>
                <w:noProof/>
              </w:rPr>
            </w:pPr>
            <w:r>
              <w:rPr>
                <w:noProof/>
              </w:rPr>
              <w:t>— Определяне на начина, по който процедурите следва да бъдат цифровизирани за всички обществени поръчки и концесии, и определяне на изискванията за оперативна съвместимост и взаимосвързаност;</w:t>
            </w:r>
          </w:p>
          <w:p w14:paraId="056043F8" w14:textId="58C60AED" w:rsidR="006054AA" w:rsidRDefault="001F7667">
            <w:pPr>
              <w:pStyle w:val="P68B1DB1-Normal5"/>
              <w:spacing w:after="120"/>
              <w:rPr>
                <w:noProof/>
              </w:rPr>
            </w:pPr>
            <w:r>
              <w:rPr>
                <w:noProof/>
              </w:rPr>
              <w:t>— Прилагане на член 44 от действащия Кодекс за обществените поръчки 0</w:t>
            </w:r>
          </w:p>
        </w:tc>
      </w:tr>
      <w:tr w:rsidR="006054AA" w14:paraId="60B8C90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3C6C2E" w14:textId="77777777" w:rsidR="006054AA" w:rsidRDefault="001F7667">
            <w:pPr>
              <w:pStyle w:val="P68B1DB1-Normal5"/>
              <w:jc w:val="center"/>
              <w:rPr>
                <w:noProof/>
              </w:rPr>
            </w:pPr>
            <w:r>
              <w:rPr>
                <w:noProof/>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EF3A8"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650CB"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7650A3" w14:textId="77777777" w:rsidR="006054AA" w:rsidRDefault="001F7667">
            <w:pPr>
              <w:pStyle w:val="P68B1DB1-Normal5"/>
              <w:jc w:val="center"/>
              <w:rPr>
                <w:noProof/>
              </w:rPr>
            </w:pPr>
            <w:r>
              <w:rPr>
                <w:noProof/>
              </w:rPr>
              <w:t>Влизане в сила на преразглеждането на Кодекса за обществените поръчки (D.Lgs. № 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075B2" w14:textId="77777777" w:rsidR="006054AA" w:rsidRDefault="001F7667">
            <w:pPr>
              <w:pStyle w:val="P68B1DB1-Normal5"/>
              <w:jc w:val="center"/>
              <w:rPr>
                <w:noProof/>
              </w:rPr>
            </w:pPr>
            <w:r>
              <w:rPr>
                <w:noProof/>
              </w:rPr>
              <w:t>Разпоредба в закона, указваща влизането в сила на Закона за делегирането, с който се реформира настоящият Кодекс на системата за обществени поръчки (D.Lgs. n. 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030DE"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F6A39"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AAE1AC"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082F0"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C09FA"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A79F07" w14:textId="77777777" w:rsidR="006054AA" w:rsidRDefault="001F7667">
            <w:pPr>
              <w:pStyle w:val="P68B1DB1-Normal5"/>
              <w:spacing w:after="120"/>
              <w:rPr>
                <w:noProof/>
              </w:rPr>
            </w:pPr>
            <w:r>
              <w:rPr>
                <w:noProof/>
              </w:rPr>
              <w:t>Този закон установява всички точни критерии и принципи за системната реформа на Кодекса за обществените поръчки.</w:t>
            </w:r>
          </w:p>
          <w:p w14:paraId="628C95E6" w14:textId="77777777" w:rsidR="006054AA" w:rsidRDefault="001F7667">
            <w:pPr>
              <w:pStyle w:val="P68B1DB1-Normal5"/>
              <w:spacing w:after="120"/>
              <w:rPr>
                <w:noProof/>
              </w:rPr>
            </w:pPr>
            <w:r>
              <w:rPr>
                <w:noProof/>
              </w:rPr>
              <w:t>Правото на делегиране определя най-малко следните принципи и критерии:</w:t>
            </w:r>
          </w:p>
          <w:p w14:paraId="465F87E6" w14:textId="77777777" w:rsidR="006054AA" w:rsidRDefault="001F7667">
            <w:pPr>
              <w:pStyle w:val="P68B1DB1-Normal5"/>
              <w:spacing w:after="120"/>
              <w:rPr>
                <w:noProof/>
              </w:rPr>
            </w:pPr>
            <w:r>
              <w:rPr>
                <w:noProof/>
              </w:rPr>
              <w:t>I. Намаляване на разпокъсаността на възлагащите органи (1) установяване на основните елементи на квалификационната система, (2) изискване за създаване на електронна платформа като основно изискване за участие в националната оценка на капацитета за възлагане на обществени поръчки (3) оправомощаване на националния орган за борба с корупцията (ANAC) да преразгледа квалификацията на възлагащите органи по отношение на капацитета за възлагане на обществени поръчки (видове и обеми на покупките), (4) предоставяне на стимули за използване на съществуващите професионални централни органи за покупки.</w:t>
            </w:r>
          </w:p>
          <w:p w14:paraId="59ED593F" w14:textId="77777777" w:rsidR="006054AA" w:rsidRDefault="001F7667">
            <w:pPr>
              <w:pStyle w:val="P68B1DB1-Normal5"/>
              <w:spacing w:after="120"/>
              <w:rPr>
                <w:noProof/>
              </w:rPr>
            </w:pPr>
            <w:r>
              <w:rPr>
                <w:noProof/>
              </w:rPr>
              <w:t>II. Опростяване и цифровизиране на процедурите на централните органи за покупки („centrali di committenza“)</w:t>
            </w:r>
          </w:p>
          <w:p w14:paraId="0185A5CD" w14:textId="77777777" w:rsidR="006054AA" w:rsidRDefault="001F7667">
            <w:pPr>
              <w:pStyle w:val="P68B1DB1-Normal5"/>
              <w:spacing w:after="120"/>
              <w:rPr>
                <w:noProof/>
              </w:rPr>
            </w:pPr>
            <w:r>
              <w:rPr>
                <w:noProof/>
              </w:rPr>
              <w:t>III. Определяне на начина, по който процедурите се цифровизират за всички обществени поръчки и концесии, и определяне на изискванията за оперативна съвместимост и взаимосвързаност.</w:t>
            </w:r>
          </w:p>
          <w:p w14:paraId="7F3649C3" w14:textId="77777777" w:rsidR="006054AA" w:rsidRDefault="001F7667">
            <w:pPr>
              <w:pStyle w:val="P68B1DB1-Normal5"/>
              <w:spacing w:after="120"/>
              <w:rPr>
                <w:noProof/>
              </w:rPr>
            </w:pPr>
            <w:r>
              <w:rPr>
                <w:noProof/>
              </w:rPr>
              <w:t>IV. Постепенно намаляване на ограниченията по отношение на възлагането на подизпълнители.</w:t>
            </w:r>
          </w:p>
        </w:tc>
      </w:tr>
      <w:tr w:rsidR="006054AA" w14:paraId="797BF5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61633" w14:textId="77777777" w:rsidR="006054AA" w:rsidRDefault="001F7667">
            <w:pPr>
              <w:pStyle w:val="P68B1DB1-Normal5"/>
              <w:jc w:val="center"/>
              <w:rPr>
                <w:noProof/>
              </w:rPr>
            </w:pPr>
            <w:r>
              <w:rPr>
                <w:noProof/>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8E5C87"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4AC8"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C1CD27" w14:textId="77777777" w:rsidR="006054AA" w:rsidRDefault="001F7667">
            <w:pPr>
              <w:pStyle w:val="P68B1DB1-Normal5"/>
              <w:jc w:val="center"/>
              <w:rPr>
                <w:noProof/>
              </w:rPr>
            </w:pPr>
            <w:r>
              <w:rPr>
                <w:noProof/>
              </w:rPr>
              <w:t>Влизане в сила на всички необходими законодателни актове, регламенти и актове за изпълнение (включително вторично законодателство) за системата за възлагане на обществени поръчки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7FECD" w14:textId="77777777" w:rsidR="006054AA" w:rsidRDefault="001F7667">
            <w:pPr>
              <w:pStyle w:val="P68B1DB1-Normal5"/>
              <w:jc w:val="center"/>
              <w:rPr>
                <w:noProof/>
              </w:rPr>
            </w:pPr>
            <w:r>
              <w:rPr>
                <w:noProof/>
              </w:rPr>
              <w:t>Влизане в сила на всички необходими законодателни актове и актове за изпълнение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6C9B3"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4BFF5"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CB15"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BD7E"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574F3"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45097" w14:textId="77777777" w:rsidR="006054AA" w:rsidRDefault="001F7667">
            <w:pPr>
              <w:pStyle w:val="P68B1DB1-Normal5"/>
              <w:spacing w:after="120"/>
              <w:rPr>
                <w:noProof/>
              </w:rPr>
            </w:pPr>
            <w:r>
              <w:rPr>
                <w:noProof/>
              </w:rPr>
              <w:t>Всички необходими законодателни актове, регламенти и актове за изпълнение (включително вторичното законодателство, ако е необходимо) постигат следните резултати:</w:t>
            </w:r>
          </w:p>
          <w:p w14:paraId="7AC4812D" w14:textId="77777777" w:rsidR="006054AA" w:rsidRDefault="001F7667">
            <w:pPr>
              <w:pStyle w:val="P68B1DB1-Normal5"/>
              <w:spacing w:after="120"/>
              <w:rPr>
                <w:noProof/>
              </w:rPr>
            </w:pPr>
            <w:r>
              <w:rPr>
                <w:noProof/>
              </w:rPr>
              <w:t>I. Единният координационен орган за политиката в областта на обществените поръчки трябва да разполага с достатъчно персонал и финансови ресурси (което ще бъде уточнено в Оперативното споразумение), за да бъде напълно оперативен, също и поради подкрепата, оказвана от специализирана структура на ANAC.</w:t>
            </w:r>
          </w:p>
          <w:p w14:paraId="5F9C90C2" w14:textId="77777777" w:rsidR="006054AA" w:rsidRDefault="001F7667">
            <w:pPr>
              <w:pStyle w:val="P68B1DB1-Normal5"/>
              <w:spacing w:after="120"/>
              <w:rPr>
                <w:noProof/>
              </w:rPr>
            </w:pPr>
            <w:r>
              <w:rPr>
                <w:noProof/>
              </w:rPr>
              <w:t>II. Единният координационен орган за политиката в областта на обществените поръчки приема стратегията за професионализация (вж. във връзка с предложената реформа от 2.1.6 г. на италианската NRPP), която съдържа видовете обучение на различни равнища, специалното наставничество и изготвянето на оперативни насоки с подкрепата на ANAC и Националното училище по администрация.</w:t>
            </w:r>
          </w:p>
          <w:p w14:paraId="146A5498" w14:textId="77777777" w:rsidR="006054AA" w:rsidRDefault="001F7667">
            <w:pPr>
              <w:pStyle w:val="P68B1DB1-Normal5"/>
              <w:spacing w:after="120"/>
              <w:rPr>
                <w:noProof/>
              </w:rPr>
            </w:pPr>
            <w:r>
              <w:rPr>
                <w:noProof/>
              </w:rPr>
              <w:t>III. Динамичните системи за покупки се предоставят от Consip и са в съответствие с директивите за обществените поръчки.</w:t>
            </w:r>
          </w:p>
          <w:p w14:paraId="4E3C1732" w14:textId="77777777" w:rsidR="006054AA" w:rsidRDefault="001F7667">
            <w:pPr>
              <w:pStyle w:val="P68B1DB1-Normal5"/>
              <w:spacing w:after="120"/>
              <w:rPr>
                <w:noProof/>
              </w:rPr>
            </w:pPr>
            <w:r>
              <w:rPr>
                <w:noProof/>
              </w:rPr>
              <w:t>IV. ANAC завършва упражняването на квалификацията на възлагащите органи по отношение на капацитета за възлагане на обществени поръчки в допълнение към прилагането на член 38 от Кодекса за обществените поръчки.</w:t>
            </w:r>
          </w:p>
          <w:p w14:paraId="7252BA0B" w14:textId="77777777" w:rsidR="006054AA" w:rsidRDefault="001F7667">
            <w:pPr>
              <w:pStyle w:val="P68B1DB1-Normal5"/>
              <w:spacing w:after="120"/>
              <w:rPr>
                <w:noProof/>
              </w:rPr>
            </w:pPr>
            <w:r>
              <w:rPr>
                <w:noProof/>
              </w:rPr>
              <w:t>V. Системата за мониторинг за времето между възлагането на поръчката и завършването на инфраструктурните работи е оперативна.</w:t>
            </w:r>
          </w:p>
          <w:p w14:paraId="6AB832E0" w14:textId="77777777" w:rsidR="006054AA" w:rsidRDefault="001F7667">
            <w:pPr>
              <w:pStyle w:val="P68B1DB1-Normal5"/>
              <w:spacing w:after="120"/>
              <w:rPr>
                <w:noProof/>
              </w:rPr>
            </w:pPr>
            <w:r>
              <w:rPr>
                <w:noProof/>
              </w:rPr>
              <w:t>VI. Данните за всички договори се регистрират в базата данни за борба с корупцията на националния орган за борба с корупцията (ANAC).</w:t>
            </w:r>
          </w:p>
          <w:p w14:paraId="3784B762" w14:textId="77777777" w:rsidR="006054AA" w:rsidRDefault="001F7667">
            <w:pPr>
              <w:pStyle w:val="P68B1DB1-Normal5"/>
              <w:spacing w:after="120"/>
              <w:rPr>
                <w:noProof/>
              </w:rPr>
            </w:pPr>
            <w:r>
              <w:rPr>
                <w:noProof/>
              </w:rPr>
              <w:t>VII. Всички специализирани служби, отговарящи за процедурите за възлагане на обществени поръчки в министерствата, регионите и метрополните градове.</w:t>
            </w:r>
          </w:p>
        </w:tc>
      </w:tr>
      <w:tr w:rsidR="006054AA" w14:paraId="5327A26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CEE34" w14:textId="77777777" w:rsidR="006054AA" w:rsidRDefault="001F7667">
            <w:pPr>
              <w:pStyle w:val="P68B1DB1-Normal5"/>
              <w:jc w:val="center"/>
              <w:rPr>
                <w:noProof/>
              </w:rPr>
            </w:pPr>
            <w:r>
              <w:rPr>
                <w:noProof/>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FA35"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DC1BD"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1426" w14:textId="70AC682A" w:rsidR="006054AA" w:rsidRDefault="001F7667">
            <w:pPr>
              <w:pStyle w:val="P68B1DB1-Normal5"/>
              <w:jc w:val="center"/>
              <w:rPr>
                <w:noProof/>
              </w:rPr>
            </w:pPr>
            <w:r>
              <w:rPr>
                <w:noProof/>
              </w:rPr>
              <w:t>Одобрени са мерки за намаляване на забавените плащания от публичната администрация към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D7E140" w14:textId="77777777" w:rsidR="006054AA" w:rsidRDefault="001F7667">
            <w:pPr>
              <w:pStyle w:val="P68B1DB1-Normal5"/>
              <w:jc w:val="center"/>
              <w:rPr>
                <w:noProof/>
              </w:rPr>
            </w:pPr>
            <w:r>
              <w:rPr>
                <w:noProof/>
              </w:rPr>
              <w:t>Законова разпоредба, указваща влизането в сила на правила за намаляване на забавените плащания от РА към предприятията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94038"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9ACE"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CB16A"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1F34F4"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3F61D0"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83510" w14:textId="77777777" w:rsidR="006054AA" w:rsidRDefault="001F7667">
            <w:pPr>
              <w:pStyle w:val="P68B1DB1-Normal5"/>
              <w:spacing w:after="120"/>
              <w:rPr>
                <w:noProof/>
              </w:rPr>
            </w:pPr>
            <w:r>
              <w:rPr>
                <w:noProof/>
              </w:rPr>
              <w:t>Влизане в сила на нови правила за намаляване на забавените плащания от публичната администрация към предприятията.</w:t>
            </w:r>
          </w:p>
          <w:p w14:paraId="1E38921D" w14:textId="77777777" w:rsidR="006054AA" w:rsidRDefault="001F7667">
            <w:pPr>
              <w:pStyle w:val="P68B1DB1-Normal5"/>
              <w:spacing w:after="120"/>
              <w:rPr>
                <w:noProof/>
              </w:rPr>
            </w:pPr>
            <w:r>
              <w:rPr>
                <w:noProof/>
              </w:rPr>
              <w:t>Мерките включват най-малко следните ключови елементи:</w:t>
            </w:r>
          </w:p>
          <w:p w14:paraId="7B4A1A34" w14:textId="0B6D0976" w:rsidR="006054AA" w:rsidRDefault="001F7667">
            <w:pPr>
              <w:pStyle w:val="P68B1DB1-Normal4"/>
              <w:spacing w:after="120"/>
              <w:rPr>
                <w:noProof/>
                <w:color w:val="006100"/>
              </w:rPr>
            </w:pPr>
            <w:r>
              <w:rPr>
                <w:noProof/>
                <w:color w:val="006100"/>
              </w:rPr>
              <w:t>I.</w:t>
            </w:r>
            <w:r>
              <w:rPr>
                <w:noProof/>
              </w:rPr>
              <w:t xml:space="preserve"> </w:t>
            </w:r>
            <w:r>
              <w:rPr>
                <w:noProof/>
                <w:color w:val="006100"/>
              </w:rPr>
              <w:t>Системата InIT се внедрява в централната публична администрация с цел подпомагане на икономическото и финансовото счетоводство и изпълнението на публичните разходи.</w:t>
            </w:r>
          </w:p>
          <w:p w14:paraId="64DC3B84" w14:textId="2CFFE001" w:rsidR="006054AA" w:rsidRDefault="001F7667">
            <w:pPr>
              <w:pStyle w:val="P68B1DB1-Normal4"/>
              <w:spacing w:after="120"/>
              <w:rPr>
                <w:noProof/>
                <w:color w:val="006100"/>
              </w:rPr>
            </w:pPr>
            <w:r>
              <w:rPr>
                <w:noProof/>
                <w:color w:val="006100"/>
              </w:rPr>
              <w:t>II.</w:t>
            </w:r>
            <w:r>
              <w:rPr>
                <w:noProof/>
              </w:rPr>
              <w:t xml:space="preserve"> </w:t>
            </w:r>
            <w:r>
              <w:rPr>
                <w:noProof/>
                <w:color w:val="006100"/>
              </w:rPr>
              <w:t>Забавени плащания: показателите, основани на базата данни на информационната система на МФ (Търговска кредитна платформа — PCC), са среднопретегленото време за плащане от страна на публичните органи на предприятията и среднопретегленото забавяне на плащанията от страна на публичните органи на предприятията за всяко от следните равнища на публичната администрация:</w:t>
            </w:r>
          </w:p>
          <w:p w14:paraId="6FE43641" w14:textId="77777777" w:rsidR="006054AA" w:rsidRDefault="001F7667">
            <w:pPr>
              <w:pStyle w:val="P68B1DB1-Normal5"/>
              <w:numPr>
                <w:ilvl w:val="0"/>
                <w:numId w:val="83"/>
              </w:numPr>
              <w:spacing w:after="120"/>
              <w:rPr>
                <w:noProof/>
              </w:rPr>
            </w:pPr>
            <w:r>
              <w:rPr>
                <w:noProof/>
              </w:rPr>
              <w:t>централни органи (Amministrazioni dello Stato, enti pubblici nazionali e altri enti)</w:t>
            </w:r>
          </w:p>
          <w:p w14:paraId="21024CC2" w14:textId="77777777" w:rsidR="006054AA" w:rsidRDefault="001F7667">
            <w:pPr>
              <w:pStyle w:val="P68B1DB1-Normal5"/>
              <w:numPr>
                <w:ilvl w:val="0"/>
                <w:numId w:val="83"/>
              </w:numPr>
              <w:spacing w:after="120"/>
              <w:rPr>
                <w:noProof/>
              </w:rPr>
            </w:pPr>
            <w:r>
              <w:rPr>
                <w:noProof/>
              </w:rPr>
              <w:t>регионални органи (Regioni и Province Autonome),</w:t>
            </w:r>
          </w:p>
          <w:p w14:paraId="70476CBD" w14:textId="77777777" w:rsidR="006054AA" w:rsidRDefault="001F7667">
            <w:pPr>
              <w:pStyle w:val="P68B1DB1-Normal5"/>
              <w:numPr>
                <w:ilvl w:val="0"/>
                <w:numId w:val="83"/>
              </w:numPr>
              <w:spacing w:after="120"/>
              <w:rPr>
                <w:noProof/>
              </w:rPr>
            </w:pPr>
            <w:r>
              <w:rPr>
                <w:noProof/>
              </w:rPr>
              <w:t>местни органи (enti locali)</w:t>
            </w:r>
          </w:p>
          <w:p w14:paraId="11D929DC" w14:textId="37823A2E" w:rsidR="006054AA" w:rsidRDefault="001F7667">
            <w:pPr>
              <w:pStyle w:val="P68B1DB1-Normal5"/>
              <w:numPr>
                <w:ilvl w:val="0"/>
                <w:numId w:val="83"/>
              </w:numPr>
              <w:spacing w:after="120"/>
              <w:rPr>
                <w:noProof/>
              </w:rPr>
            </w:pPr>
            <w:r>
              <w:rPr>
                <w:noProof/>
              </w:rPr>
              <w:t>органи за обществено здравеопазване (enti del Servizio sanitario nazionale).</w:t>
            </w:r>
          </w:p>
        </w:tc>
      </w:tr>
      <w:tr w:rsidR="006054AA" w14:paraId="6FFE874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D4BB1" w14:textId="77777777" w:rsidR="006054AA" w:rsidRDefault="001F7667">
            <w:pPr>
              <w:pStyle w:val="P68B1DB1-Normal5"/>
              <w:jc w:val="center"/>
              <w:rPr>
                <w:noProof/>
              </w:rPr>
            </w:pPr>
            <w:r>
              <w:rPr>
                <w:noProof/>
              </w:rPr>
              <w:t>M1C1—72bis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D80B7"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EE42"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42487" w14:textId="77777777" w:rsidR="006054AA" w:rsidRDefault="001F7667">
            <w:pPr>
              <w:pStyle w:val="P68B1DB1-Normal5"/>
              <w:jc w:val="center"/>
              <w:rPr>
                <w:noProof/>
              </w:rPr>
            </w:pPr>
            <w:r>
              <w:rPr>
                <w:noProof/>
              </w:rPr>
              <w:t>Законодателни и специфични действия за намаляване на забавените плащания на централно/местно равнище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3A44FB" w14:textId="739779D4" w:rsidR="006054AA" w:rsidRDefault="001F7667">
            <w:pPr>
              <w:pStyle w:val="P68B1DB1-Normal5"/>
              <w:jc w:val="center"/>
              <w:rPr>
                <w:noProof/>
              </w:rPr>
            </w:pPr>
            <w:r>
              <w:rPr>
                <w:noProof/>
              </w:rPr>
              <w:t>Разпоредба в закона, указваща влизането в сила на първичното законодателство и приемането на мерки за намаляване на забавените плащания от РА към предприятията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5276E"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65D0F"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CE7D5"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6B8FD"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E376E2"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7E985" w14:textId="6C392237" w:rsidR="006054AA" w:rsidRDefault="001F7667">
            <w:pPr>
              <w:pStyle w:val="P68B1DB1-Normal5"/>
              <w:spacing w:after="120"/>
              <w:rPr>
                <w:noProof/>
              </w:rPr>
            </w:pPr>
            <w:r>
              <w:rPr>
                <w:noProof/>
              </w:rPr>
              <w:t>Следните законодателни и специфични действия влизат в сила:</w:t>
            </w:r>
          </w:p>
          <w:p w14:paraId="2654A60D" w14:textId="19FEC0D1" w:rsidR="006054AA" w:rsidRDefault="001F7667">
            <w:pPr>
              <w:pStyle w:val="P68B1DB1-Normal5"/>
              <w:spacing w:after="120"/>
              <w:rPr>
                <w:noProof/>
              </w:rPr>
            </w:pPr>
            <w:r>
              <w:rPr>
                <w:noProof/>
              </w:rPr>
              <w:t xml:space="preserve">— насоки за изясняване на обхвата на търговските и нетърговските сделки в съответствие с Директивата относно забавените плащания; </w:t>
            </w:r>
          </w:p>
          <w:p w14:paraId="18731492" w14:textId="2CDCB9CE" w:rsidR="006054AA" w:rsidRDefault="001F7667">
            <w:pPr>
              <w:pStyle w:val="P68B1DB1-Normal5"/>
              <w:spacing w:after="120"/>
              <w:rPr>
                <w:noProof/>
              </w:rPr>
            </w:pPr>
            <w:r>
              <w:rPr>
                <w:noProof/>
              </w:rPr>
              <w:t>— насоки за изясняване на обхвата на член 4, параграф 6 от Директивата относно забавените плащания в съответствие с последната;</w:t>
            </w:r>
          </w:p>
          <w:p w14:paraId="11E8E255" w14:textId="1F34520D" w:rsidR="006054AA" w:rsidRDefault="001F7667">
            <w:pPr>
              <w:pStyle w:val="P68B1DB1-Normal5"/>
              <w:spacing w:after="120"/>
              <w:rPr>
                <w:noProof/>
              </w:rPr>
            </w:pPr>
            <w:r>
              <w:rPr>
                <w:noProof/>
              </w:rPr>
              <w:t>— законодателство, с което да се гарантира, че местните и регионалните власти получават средства за своевременно подаване на фактурите си от централното равнище;</w:t>
            </w:r>
          </w:p>
          <w:p w14:paraId="2E3FA0AF" w14:textId="356FFB36" w:rsidR="006054AA" w:rsidRDefault="001F7667">
            <w:pPr>
              <w:pStyle w:val="P68B1DB1-Normal5"/>
              <w:spacing w:after="120"/>
              <w:rPr>
                <w:noProof/>
              </w:rPr>
            </w:pPr>
            <w:r>
              <w:rPr>
                <w:noProof/>
              </w:rPr>
              <w:t>— законодателство, изискващо от публичните органи да приемат годишни планове за паричните потоци, гарантиращи спазването на законоустановените срокове за плащане;</w:t>
            </w:r>
          </w:p>
          <w:p w14:paraId="5A043031" w14:textId="0A0BB698" w:rsidR="006054AA" w:rsidRDefault="001F7667">
            <w:pPr>
              <w:pStyle w:val="P68B1DB1-Normal5"/>
              <w:spacing w:after="120"/>
              <w:rPr>
                <w:noProof/>
              </w:rPr>
            </w:pPr>
            <w:r>
              <w:rPr>
                <w:noProof/>
              </w:rPr>
              <w:t>капацитет за вътрешен одит и контрол на министерствата и регионите за наблюдение на положението с фактурите, които не са платени навреме.</w:t>
            </w:r>
          </w:p>
          <w:p w14:paraId="6DB9A0BD" w14:textId="7773B477" w:rsidR="006054AA" w:rsidRDefault="001F7667">
            <w:pPr>
              <w:pStyle w:val="P68B1DB1-Normal5"/>
              <w:spacing w:after="120"/>
              <w:rPr>
                <w:noProof/>
              </w:rPr>
            </w:pPr>
            <w:r>
              <w:rPr>
                <w:noProof/>
              </w:rPr>
              <w:t>Следните специфични действия се предприемат по време на:</w:t>
            </w:r>
          </w:p>
          <w:p w14:paraId="055863CE" w14:textId="77777777" w:rsidR="006054AA" w:rsidRDefault="001F7667">
            <w:pPr>
              <w:pStyle w:val="P68B1DB1-Normal7"/>
              <w:rPr>
                <w:noProof/>
              </w:rPr>
            </w:pPr>
            <w:r>
              <w:rPr>
                <w:noProof/>
              </w:rPr>
              <w:t xml:space="preserve">Централно равнище: </w:t>
            </w:r>
          </w:p>
          <w:p w14:paraId="2AF9941A" w14:textId="5D37DE0D" w:rsidR="006054AA" w:rsidRDefault="001F7667">
            <w:pPr>
              <w:pStyle w:val="P68B1DB1-Normal5"/>
              <w:spacing w:after="120"/>
              <w:rPr>
                <w:noProof/>
              </w:rPr>
            </w:pPr>
            <w:r>
              <w:rPr>
                <w:noProof/>
              </w:rPr>
              <w:t xml:space="preserve">— Да предприеме действия, за да гарантира, че министерствата и централните администрации, които италианските органи ще определят до края на 2023 г. като структурно закъснели платци, плащат индивидуално в рамките на 30-дневния срок (например Министерство на земеделието, правосъдието, отбраната, вътрешните работи, инфраструктурата); </w:t>
            </w:r>
          </w:p>
          <w:p w14:paraId="43B3811D" w14:textId="36B2ABC6" w:rsidR="006054AA" w:rsidRDefault="001F7667">
            <w:pPr>
              <w:pStyle w:val="P68B1DB1-Normal5"/>
              <w:spacing w:after="120"/>
              <w:rPr>
                <w:noProof/>
              </w:rPr>
            </w:pPr>
            <w:r>
              <w:rPr>
                <w:noProof/>
              </w:rPr>
              <w:t>Публикуване от тези министерства на натрупаните просрочени задължения, актуализирани на всеки три месеца;</w:t>
            </w:r>
          </w:p>
          <w:p w14:paraId="586CFCF1" w14:textId="77777777" w:rsidR="006054AA" w:rsidRDefault="001F7667">
            <w:pPr>
              <w:pStyle w:val="P68B1DB1-Normal5"/>
              <w:spacing w:after="120"/>
              <w:rPr>
                <w:noProof/>
              </w:rPr>
            </w:pPr>
            <w:r>
              <w:rPr>
                <w:noProof/>
              </w:rPr>
              <w:t xml:space="preserve">Укрепване на работните групи, където има такива, и създаване на работни групи, когато все още не са задействани; осигуряване на по-автоматично активиране на работни групи в случай на структурно закъснели платци. </w:t>
            </w:r>
          </w:p>
          <w:p w14:paraId="6830875C" w14:textId="5F1363B4" w:rsidR="006054AA" w:rsidRDefault="001F7667">
            <w:pPr>
              <w:pStyle w:val="P68B1DB1-Normal5"/>
              <w:spacing w:after="120"/>
              <w:rPr>
                <w:b/>
                <w:noProof/>
              </w:rPr>
            </w:pPr>
            <w:r>
              <w:rPr>
                <w:noProof/>
              </w:rPr>
              <w:t xml:space="preserve">На </w:t>
            </w:r>
            <w:r>
              <w:rPr>
                <w:b/>
                <w:noProof/>
              </w:rPr>
              <w:t>местно равнище</w:t>
            </w:r>
            <w:r>
              <w:rPr>
                <w:noProof/>
              </w:rPr>
              <w:t xml:space="preserve"> се предприемат следните специфични действия:</w:t>
            </w:r>
            <w:r>
              <w:rPr>
                <w:b/>
                <w:noProof/>
              </w:rPr>
              <w:t xml:space="preserve"> </w:t>
            </w:r>
          </w:p>
          <w:p w14:paraId="28C5BE26" w14:textId="535276BD" w:rsidR="006054AA" w:rsidRDefault="001F7667">
            <w:pPr>
              <w:pStyle w:val="P68B1DB1-Normal5"/>
              <w:spacing w:after="120"/>
              <w:rPr>
                <w:noProof/>
              </w:rPr>
            </w:pPr>
            <w:r>
              <w:rPr>
                <w:noProof/>
              </w:rPr>
              <w:t xml:space="preserve">— Да предприеме действия, за да гарантира, че местните администрации, които италианските органи ще определят като структурно закъснели платци (като например общините Неапол, Лече и Салерно) до края на [2023] г., плащат в рамките на 30-дневния срок; </w:t>
            </w:r>
          </w:p>
          <w:p w14:paraId="451C7698" w14:textId="77777777" w:rsidR="006054AA" w:rsidRDefault="001F7667">
            <w:pPr>
              <w:pStyle w:val="P68B1DB1-Normal5"/>
              <w:spacing w:after="120"/>
              <w:rPr>
                <w:noProof/>
              </w:rPr>
            </w:pPr>
            <w:r>
              <w:rPr>
                <w:noProof/>
              </w:rPr>
              <w:t>Публикуване от тези органи на натрупаните просрочени задължения, актуализирани на всеки три месеца.</w:t>
            </w:r>
          </w:p>
        </w:tc>
      </w:tr>
      <w:tr w:rsidR="006054AA" w14:paraId="226D16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9965E6" w14:textId="77777777" w:rsidR="006054AA" w:rsidRDefault="001F7667">
            <w:pPr>
              <w:pStyle w:val="P68B1DB1-Normal5"/>
              <w:jc w:val="center"/>
              <w:rPr>
                <w:noProof/>
              </w:rPr>
            </w:pPr>
            <w:r>
              <w:rPr>
                <w:noProof/>
              </w:rPr>
              <w:t>M1C1—72ter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6E2A0"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0E533"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59D89" w14:textId="77777777" w:rsidR="006054AA" w:rsidRDefault="001F7667">
            <w:pPr>
              <w:pStyle w:val="P68B1DB1-Normal5"/>
              <w:jc w:val="center"/>
              <w:rPr>
                <w:noProof/>
              </w:rPr>
            </w:pPr>
            <w:r>
              <w:rPr>
                <w:noProof/>
              </w:rPr>
              <w:t>Увеличаване на човешките ресурси за справяне със забавени плащания</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9599A" w14:textId="5F56AAC0" w:rsidR="006054AA" w:rsidRDefault="001F7667">
            <w:pPr>
              <w:pStyle w:val="P68B1DB1-Normal5"/>
              <w:jc w:val="center"/>
              <w:rPr>
                <w:noProof/>
              </w:rPr>
            </w:pPr>
            <w:r>
              <w:rPr>
                <w:noProof/>
              </w:rPr>
              <w:t>Разпоредба, посочваща влизането в сила на законодателство за увеличаване на човешките ресурси за справяне със забавени плащания</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F31B4"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42882E"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6F129F"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2A234B"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98E3AA"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7FBCA" w14:textId="78D0A283" w:rsidR="006054AA" w:rsidRDefault="001F7667">
            <w:pPr>
              <w:pStyle w:val="P68B1DB1-Normal5"/>
              <w:spacing w:after="120"/>
              <w:rPr>
                <w:noProof/>
              </w:rPr>
            </w:pPr>
            <w:r>
              <w:rPr>
                <w:noProof/>
              </w:rPr>
              <w:t>Влизане в сила на законодателство, предвиждащо увеличаване на човешките ресурси, свързани с плащанията, в:</w:t>
            </w:r>
          </w:p>
          <w:p w14:paraId="6462CE7E" w14:textId="67F836E0" w:rsidR="006054AA" w:rsidRDefault="001F7667">
            <w:pPr>
              <w:pStyle w:val="P68B1DB1-Normal5"/>
              <w:spacing w:after="120"/>
              <w:rPr>
                <w:noProof/>
              </w:rPr>
            </w:pPr>
            <w:r>
              <w:rPr>
                <w:noProof/>
              </w:rPr>
              <w:t>— Министерства и централни администрации в зависимост от специфичните организационни нужди на участващата централна администрация;</w:t>
            </w:r>
          </w:p>
          <w:p w14:paraId="3D989A88" w14:textId="4BFE830A" w:rsidR="006054AA" w:rsidRDefault="001F7667">
            <w:pPr>
              <w:pStyle w:val="P68B1DB1-Normal5"/>
              <w:spacing w:after="120"/>
              <w:rPr>
                <w:noProof/>
              </w:rPr>
            </w:pPr>
            <w:r>
              <w:rPr>
                <w:noProof/>
              </w:rPr>
              <w:t>— администрации на местната администрация в зависимост от специфичните организационни нужди на съответната местна администрация.</w:t>
            </w:r>
          </w:p>
        </w:tc>
      </w:tr>
      <w:tr w:rsidR="006054AA" w14:paraId="234A8A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E0322" w14:textId="77777777" w:rsidR="006054AA" w:rsidRDefault="001F7667">
            <w:pPr>
              <w:pStyle w:val="P68B1DB1-Normal5"/>
              <w:jc w:val="center"/>
              <w:rPr>
                <w:noProof/>
              </w:rPr>
            </w:pPr>
            <w:r>
              <w:rPr>
                <w:noProof/>
              </w:rPr>
              <w:t>M1C1—72quater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CB03CC"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D77C9"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2937" w14:textId="26287738" w:rsidR="006054AA" w:rsidRDefault="001F7667">
            <w:pPr>
              <w:pStyle w:val="P68B1DB1-Normal5"/>
              <w:rPr>
                <w:noProof/>
              </w:rPr>
            </w:pPr>
            <w:r>
              <w:rPr>
                <w:noProof/>
              </w:rPr>
              <w:t>Въвеждане на прехвърляне на кредити на трети страни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3F22F6" w14:textId="77777777" w:rsidR="006054AA" w:rsidRDefault="001F7667">
            <w:pPr>
              <w:pStyle w:val="P68B1DB1-Normal5"/>
              <w:jc w:val="center"/>
              <w:rPr>
                <w:noProof/>
              </w:rPr>
            </w:pPr>
            <w:r>
              <w:rPr>
                <w:noProof/>
              </w:rPr>
              <w:t>Законова разпоредба, указваща влизането в сила на първичното законодателство.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CF422"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EA21A"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DB2E8"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56AF6"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542CC"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C0675F" w14:textId="0A354296" w:rsidR="006054AA" w:rsidRDefault="001F7667">
            <w:pPr>
              <w:pStyle w:val="P68B1DB1-Normal5"/>
              <w:spacing w:after="120"/>
              <w:rPr>
                <w:noProof/>
              </w:rPr>
            </w:pPr>
            <w:r>
              <w:rPr>
                <w:noProof/>
              </w:rPr>
              <w:t>Влизане в сила на законодателство, въвеждащо разпоредби, позволяващи прехвърлянето на кредити на трети лица след 30 дни мълчание/бездействие от страна на публичната администрация</w:t>
            </w:r>
          </w:p>
        </w:tc>
      </w:tr>
      <w:tr w:rsidR="006054AA" w14:paraId="1F049C2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AFDB96" w14:textId="77777777" w:rsidR="006054AA" w:rsidRDefault="001F7667">
            <w:pPr>
              <w:pStyle w:val="P68B1DB1-Normal5"/>
              <w:jc w:val="center"/>
              <w:rPr>
                <w:noProof/>
              </w:rPr>
            </w:pPr>
            <w:r>
              <w:rPr>
                <w:noProof/>
              </w:rPr>
              <w:t>M1C1—72quinquies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80532"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3C4B2C"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CA210" w14:textId="77777777" w:rsidR="006054AA" w:rsidRDefault="001F7667">
            <w:pPr>
              <w:pStyle w:val="P68B1DB1-Normal5"/>
              <w:jc w:val="center"/>
              <w:rPr>
                <w:noProof/>
              </w:rPr>
            </w:pPr>
            <w:r>
              <w:rPr>
                <w:noProof/>
              </w:rPr>
              <w:t xml:space="preserve">Извършване на плащания в базата данни InIT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19CC" w14:textId="77777777" w:rsidR="006054AA" w:rsidRDefault="001F7667">
            <w:pPr>
              <w:pStyle w:val="P68B1DB1-Normal5"/>
              <w:jc w:val="center"/>
              <w:rPr>
                <w:noProof/>
              </w:rPr>
            </w:pPr>
            <w:r>
              <w:rPr>
                <w:noProof/>
              </w:rPr>
              <w:t>Базата данни INIT функционира за извършване на плащания.</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4AD15"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10CFC7"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FD445"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7F1FC6"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2DE6D"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BB9DE" w14:textId="77777777" w:rsidR="006054AA" w:rsidRDefault="001F7667">
            <w:pPr>
              <w:pStyle w:val="P68B1DB1-Normal5"/>
              <w:spacing w:after="120"/>
              <w:rPr>
                <w:noProof/>
              </w:rPr>
            </w:pPr>
            <w:r>
              <w:rPr>
                <w:noProof/>
              </w:rPr>
              <w:t>Базата данни InIT е напълно оперативна и включва следните възможности:</w:t>
            </w:r>
          </w:p>
          <w:p w14:paraId="37262AF4" w14:textId="45018645" w:rsidR="006054AA" w:rsidRDefault="001F7667">
            <w:pPr>
              <w:pStyle w:val="P68B1DB1-Normal5"/>
              <w:spacing w:after="120"/>
              <w:rPr>
                <w:noProof/>
              </w:rPr>
            </w:pPr>
            <w:r>
              <w:rPr>
                <w:noProof/>
              </w:rPr>
              <w:t>— Тя позволява извършването на плащанията, без да се разчита на оперативната съвместимост със старите платформи за обработка на плащанията.</w:t>
            </w:r>
          </w:p>
          <w:p w14:paraId="4E4A9A0C" w14:textId="77777777" w:rsidR="006054AA" w:rsidRDefault="001F7667">
            <w:pPr>
              <w:pStyle w:val="P68B1DB1-Normal5"/>
              <w:spacing w:after="120"/>
              <w:rPr>
                <w:noProof/>
              </w:rPr>
            </w:pPr>
            <w:r>
              <w:rPr>
                <w:noProof/>
              </w:rPr>
              <w:t>Тя гарантира, че закъсненията в плащанията могат да бъдат контролирани от одитните и контролните функции на министерствата и от Сметната палата на Италия.</w:t>
            </w:r>
          </w:p>
        </w:tc>
      </w:tr>
      <w:tr w:rsidR="006054AA" w14:paraId="2D9166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80759" w14:textId="77777777" w:rsidR="006054AA" w:rsidRDefault="001F7667">
            <w:pPr>
              <w:pStyle w:val="P68B1DB1-Normal5"/>
              <w:jc w:val="center"/>
              <w:rPr>
                <w:noProof/>
              </w:rPr>
            </w:pPr>
            <w:r>
              <w:rPr>
                <w:noProof/>
              </w:rPr>
              <w:t>M1C1—72sixies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EA01E"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1A759"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DABF8" w14:textId="77777777" w:rsidR="006054AA" w:rsidRDefault="001F7667">
            <w:pPr>
              <w:pStyle w:val="P68B1DB1-Normal5"/>
              <w:jc w:val="center"/>
              <w:rPr>
                <w:noProof/>
              </w:rPr>
            </w:pPr>
            <w:r>
              <w:rPr>
                <w:noProof/>
              </w:rPr>
              <w:t>Хоризонтални мерки за намаляване на забавените плащания от РА към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B0A21" w14:textId="77777777" w:rsidR="006054AA" w:rsidRDefault="001F7667">
            <w:pPr>
              <w:pStyle w:val="P68B1DB1-Normal5"/>
              <w:jc w:val="center"/>
              <w:rPr>
                <w:noProof/>
              </w:rPr>
            </w:pPr>
            <w:r>
              <w:rPr>
                <w:noProof/>
              </w:rPr>
              <w:t>Платформата функционира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0874E"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383B8"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0EF26"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385AE"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FC4E3C"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22E76" w14:textId="6AE7FF3D" w:rsidR="006054AA" w:rsidRDefault="001F7667">
            <w:pPr>
              <w:pStyle w:val="P68B1DB1-Normal5"/>
              <w:spacing w:after="120"/>
              <w:rPr>
                <w:noProof/>
              </w:rPr>
            </w:pPr>
            <w:r>
              <w:rPr>
                <w:noProof/>
              </w:rPr>
              <w:t>Функционира специална платформа за информация относно търговските кредити за дружествата кредитори и публичните администрации длъжници. Платформата предоставя най-малко следното:</w:t>
            </w:r>
          </w:p>
          <w:p w14:paraId="72CD3676" w14:textId="2AD63F43" w:rsidR="006054AA" w:rsidRDefault="001F7667">
            <w:pPr>
              <w:pStyle w:val="P68B1DB1-Normal5"/>
              <w:spacing w:after="120"/>
              <w:rPr>
                <w:noProof/>
              </w:rPr>
            </w:pPr>
            <w:r>
              <w:rPr>
                <w:noProof/>
              </w:rPr>
              <w:t xml:space="preserve">информация за дружествата (кредиторите) относно правната рамка за кредитите към публичната администрация, правата на дружеството кредитор, правните стъпки, които могат да бъдат предприети в случай на забавяне на получаването на плащане, функционирането на механизма за плащане на доставчиците, звеното за контакт за дружествата кредитори. </w:t>
            </w:r>
          </w:p>
          <w:p w14:paraId="45AF45A7" w14:textId="77777777" w:rsidR="006054AA" w:rsidRDefault="001F7667">
            <w:pPr>
              <w:pStyle w:val="P68B1DB1-Normal5"/>
              <w:spacing w:after="120"/>
              <w:rPr>
                <w:noProof/>
              </w:rPr>
            </w:pPr>
            <w:r>
              <w:rPr>
                <w:noProof/>
              </w:rPr>
              <w:t>Информация за публичните администрации (длъжници) относно правните изисквания за плащане на търговски задължения, административните насоки, инструментите за мониторинг, с които разполага публичната администрация, и възможните най-добри практики за подобряване на изпълнението на плащанията.</w:t>
            </w:r>
          </w:p>
          <w:p w14:paraId="700FEA03" w14:textId="09238198" w:rsidR="006054AA" w:rsidRDefault="001F7667">
            <w:pPr>
              <w:pStyle w:val="P68B1DB1-Normal5"/>
              <w:spacing w:after="120"/>
              <w:rPr>
                <w:noProof/>
              </w:rPr>
            </w:pPr>
            <w:r>
              <w:rPr>
                <w:noProof/>
              </w:rPr>
              <w:t>Всички уебсайтове на министерството трябва да имат връзка към тази платформа.</w:t>
            </w:r>
          </w:p>
        </w:tc>
      </w:tr>
      <w:tr w:rsidR="006054AA" w14:paraId="78A8CBB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2C907" w14:textId="77777777" w:rsidR="006054AA" w:rsidRDefault="001F7667">
            <w:pPr>
              <w:pStyle w:val="P68B1DB1-Normal5"/>
              <w:jc w:val="center"/>
              <w:rPr>
                <w:noProof/>
              </w:rPr>
            </w:pPr>
            <w:r>
              <w:rPr>
                <w:noProof/>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EE9A"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C7AB6"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801E" w14:textId="77777777" w:rsidR="006054AA" w:rsidRDefault="001F7667">
            <w:pPr>
              <w:pStyle w:val="P68B1DB1-Normal5"/>
              <w:jc w:val="center"/>
              <w:rPr>
                <w:noProof/>
              </w:rPr>
            </w:pPr>
            <w:r>
              <w:rPr>
                <w:noProof/>
              </w:rPr>
              <w:t>Влизане в сила на реформата на Кодекса за обществените поръчки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BDD3C" w14:textId="77777777" w:rsidR="006054AA" w:rsidRDefault="001F7667">
            <w:pPr>
              <w:pStyle w:val="P68B1DB1-Normal5"/>
              <w:jc w:val="center"/>
              <w:rPr>
                <w:noProof/>
              </w:rPr>
            </w:pPr>
            <w:r>
              <w:rPr>
                <w:noProof/>
              </w:rPr>
              <w:t>Разпоредба в закона, указваща влизането в сила на Законодателния декрет за прилагане на всички разпоредби на Закона за делегиране относно реформата на Кодекса за обществените поръчки.</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31492"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E913B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5EB75"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6C624"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C2D5F"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D54445" w14:textId="77777777" w:rsidR="006054AA" w:rsidRDefault="001F7667">
            <w:pPr>
              <w:pStyle w:val="P68B1DB1-Normal5"/>
              <w:spacing w:before="100" w:beforeAutospacing="1" w:after="120"/>
              <w:rPr>
                <w:noProof/>
              </w:rPr>
            </w:pPr>
            <w:r>
              <w:rPr>
                <w:noProof/>
              </w:rPr>
              <w:t>Влизане в сила на законодателния декрет за прилагане на всички разпоредби на Закона за делегирането на правомощия за реформа на Кодекса за обществените поръчки.</w:t>
            </w:r>
          </w:p>
        </w:tc>
      </w:tr>
      <w:tr w:rsidR="006054AA" w14:paraId="0530D7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C9567" w14:textId="77777777" w:rsidR="006054AA" w:rsidRDefault="001F7667">
            <w:pPr>
              <w:pStyle w:val="P68B1DB1-Normal5"/>
              <w:jc w:val="center"/>
              <w:rPr>
                <w:noProof/>
              </w:rPr>
            </w:pPr>
            <w:r>
              <w:rPr>
                <w:noProof/>
              </w:rPr>
              <w:t>M1C1—74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C93EA"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6FD1"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C58FC7" w14:textId="77777777" w:rsidR="006054AA" w:rsidRDefault="001F7667">
            <w:pPr>
              <w:pStyle w:val="P68B1DB1-Normal5"/>
              <w:jc w:val="center"/>
              <w:rPr>
                <w:noProof/>
              </w:rPr>
            </w:pPr>
            <w:r>
              <w:rPr>
                <w:noProof/>
              </w:rPr>
              <w:t>Влизане в сила на всички необходими мерки за прилагане и вторично законодателство за реформата за опростяване на Кодекса за обществените поръчки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97986" w14:textId="74512641" w:rsidR="006054AA" w:rsidRDefault="001F7667">
            <w:pPr>
              <w:pStyle w:val="P68B1DB1-Normal5"/>
              <w:jc w:val="center"/>
              <w:rPr>
                <w:noProof/>
              </w:rPr>
            </w:pPr>
            <w:r>
              <w:rPr>
                <w:noProof/>
              </w:rPr>
              <w:t>Влизане в сила на всички необходими мерки за прилагане и вторично законодателство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7ADF3"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8F37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B0A17A"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FA29A"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D979A"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DEEDA" w14:textId="77777777" w:rsidR="006054AA" w:rsidRDefault="001F7667">
            <w:pPr>
              <w:pStyle w:val="P68B1DB1-Normal5"/>
              <w:spacing w:before="100" w:beforeAutospacing="1" w:after="120"/>
              <w:rPr>
                <w:noProof/>
              </w:rPr>
            </w:pPr>
            <w:r>
              <w:rPr>
                <w:noProof/>
              </w:rPr>
              <w:t>Влизане в сила на всички необходими мерки за прилагане и вторично законодателство за реформа/опростяване на системата за възлагане на обществени поръчки (което произтича и от преразглеждането на Кодекса за обществените поръчки).</w:t>
            </w:r>
          </w:p>
        </w:tc>
      </w:tr>
      <w:tr w:rsidR="006054AA" w14:paraId="3C00C95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79805" w14:textId="77777777" w:rsidR="006054AA" w:rsidRDefault="001F7667">
            <w:pPr>
              <w:pStyle w:val="P68B1DB1-Normal5"/>
              <w:jc w:val="center"/>
              <w:rPr>
                <w:noProof/>
              </w:rPr>
            </w:pPr>
            <w:r>
              <w:rPr>
                <w:noProof/>
              </w:rPr>
              <w:t>M1C1—73bis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4FC06C"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5C972"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5E0EED" w14:textId="77777777" w:rsidR="006054AA" w:rsidRDefault="001F7667">
            <w:pPr>
              <w:pStyle w:val="P68B1DB1-Normal5"/>
              <w:spacing w:before="100" w:beforeAutospacing="1" w:after="120"/>
              <w:jc w:val="center"/>
              <w:rPr>
                <w:noProof/>
              </w:rPr>
            </w:pPr>
            <w:r>
              <w:rPr>
                <w:noProof/>
              </w:rPr>
              <w:t>Приемане на насоки относно прилагането на квалификационната система за възлагащите органи.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F853F" w14:textId="5B9498FD" w:rsidR="006054AA" w:rsidRDefault="001F7667">
            <w:pPr>
              <w:pStyle w:val="P68B1DB1-Normal5"/>
              <w:spacing w:before="100" w:beforeAutospacing="1" w:after="120"/>
              <w:jc w:val="center"/>
              <w:rPr>
                <w:noProof/>
              </w:rPr>
            </w:pPr>
            <w:r>
              <w:rPr>
                <w:noProof/>
              </w:rPr>
              <w:t>Приемане на насоки относно прилагането на квалификационната система за възлагащите органи — Кодекс за обществените поръчки.</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791FC"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8510F"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9A5E21"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19DBE0"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4E994"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1BE5D" w14:textId="20835F4B" w:rsidR="006054AA" w:rsidRDefault="001F7667">
            <w:pPr>
              <w:pStyle w:val="P68B1DB1-Normal5"/>
              <w:spacing w:before="100" w:beforeAutospacing="1" w:after="120"/>
              <w:rPr>
                <w:noProof/>
              </w:rPr>
            </w:pPr>
            <w:r>
              <w:rPr>
                <w:noProof/>
              </w:rPr>
              <w:t>Приемане, след консултация с ANAC, на циркулярно писмо, в което се предоставят насоки за систематизиране на действащите приложими правила и се обяснява, че квалифицирането и за възлагане под праговете все още е възможно и препоръчително, както и за стимулиране на използването на (квалифицирани) централни органи за покупки, когато квалификацията не е налична или не е възможна (член 62, параграф 6, буква а) от D.lgs 36/2023)</w:t>
            </w:r>
          </w:p>
        </w:tc>
      </w:tr>
      <w:tr w:rsidR="006054AA" w14:paraId="791D4E6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889AA" w14:textId="77777777" w:rsidR="006054AA" w:rsidRDefault="001F7667">
            <w:pPr>
              <w:pStyle w:val="P68B1DB1-Normal5"/>
              <w:jc w:val="center"/>
              <w:rPr>
                <w:noProof/>
              </w:rPr>
            </w:pPr>
            <w:r>
              <w:rPr>
                <w:noProof/>
              </w:rPr>
              <w:t>M1C1—73ter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5F2AE"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F8B2" w14:textId="77777777" w:rsidR="006054AA" w:rsidRDefault="001F7667">
            <w:pPr>
              <w:pStyle w:val="P68B1DB1-Normal5"/>
              <w:spacing w:before="100" w:beforeAutospacing="1" w:after="120"/>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08555" w14:textId="49FB7A90" w:rsidR="006054AA" w:rsidRDefault="001F7667">
            <w:pPr>
              <w:pStyle w:val="P68B1DB1-Normal5"/>
              <w:spacing w:before="100" w:beforeAutospacing="1" w:after="120"/>
              <w:jc w:val="center"/>
              <w:rPr>
                <w:noProof/>
              </w:rPr>
            </w:pPr>
            <w:r>
              <w:rPr>
                <w:noProof/>
              </w:rPr>
              <w:t>Стимули за квалификация и професионализация на възлагащите органи.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7B7FC" w14:textId="0B1935B7" w:rsidR="006054AA" w:rsidRDefault="001F7667">
            <w:pPr>
              <w:pStyle w:val="P68B1DB1-Normal5"/>
              <w:spacing w:before="100" w:beforeAutospacing="1" w:after="120"/>
              <w:jc w:val="center"/>
              <w:rPr>
                <w:noProof/>
              </w:rPr>
            </w:pPr>
            <w:r>
              <w:rPr>
                <w:noProof/>
              </w:rPr>
              <w:t>Приемане на мерки за прилагане и разпоредби в закона, указващи влизането в сила на законодателството.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A41E6"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ED810"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3D0E6"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207C1"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6F27"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4DE31" w14:textId="7442E20B" w:rsidR="006054AA" w:rsidRDefault="001F7667">
            <w:pPr>
              <w:pStyle w:val="P68B1DB1-Normal5"/>
              <w:spacing w:before="100" w:beforeAutospacing="1" w:after="120"/>
              <w:rPr>
                <w:noProof/>
              </w:rPr>
            </w:pPr>
            <w:r>
              <w:rPr>
                <w:noProof/>
              </w:rPr>
              <w:t xml:space="preserve">Оценка от Cabina di Regia ex член 221 от Кодекса за обществените поръчки, след консултация с ANAC, на въздействието на прилагането на Кодекса за обществените поръчки върху: </w:t>
            </w:r>
          </w:p>
          <w:p w14:paraId="5C3CF263" w14:textId="77777777" w:rsidR="006054AA" w:rsidRDefault="001F7667">
            <w:pPr>
              <w:pStyle w:val="P68B1DB1-ListParagraph6"/>
              <w:numPr>
                <w:ilvl w:val="0"/>
                <w:numId w:val="131"/>
              </w:numPr>
              <w:spacing w:before="100" w:beforeAutospacing="1"/>
              <w:jc w:val="left"/>
              <w:rPr>
                <w:noProof/>
              </w:rPr>
            </w:pPr>
            <w:r>
              <w:rPr>
                <w:noProof/>
              </w:rPr>
              <w:t xml:space="preserve">броя на квалифицираните възлагащи органи и централизираните органи за покупки; </w:t>
            </w:r>
          </w:p>
          <w:p w14:paraId="292BB215" w14:textId="77777777" w:rsidR="006054AA" w:rsidRDefault="001F7667">
            <w:pPr>
              <w:pStyle w:val="P68B1DB1-ListParagraph6"/>
              <w:numPr>
                <w:ilvl w:val="0"/>
                <w:numId w:val="131"/>
              </w:numPr>
              <w:spacing w:before="100" w:beforeAutospacing="1"/>
              <w:jc w:val="left"/>
              <w:rPr>
                <w:noProof/>
              </w:rPr>
            </w:pPr>
            <w:r>
              <w:rPr>
                <w:noProof/>
              </w:rPr>
              <w:t xml:space="preserve">броя и стойността на обществените поръчки, управлявани от тях от тяхно име и от името на неквалифицирани организации; </w:t>
            </w:r>
          </w:p>
          <w:p w14:paraId="0C5B9B9C" w14:textId="77777777" w:rsidR="006054AA" w:rsidRDefault="001F7667">
            <w:pPr>
              <w:pStyle w:val="P68B1DB1-ListParagraph6"/>
              <w:numPr>
                <w:ilvl w:val="0"/>
                <w:numId w:val="131"/>
              </w:numPr>
              <w:spacing w:before="100" w:beforeAutospacing="1"/>
              <w:jc w:val="left"/>
              <w:rPr>
                <w:noProof/>
              </w:rPr>
            </w:pPr>
            <w:r>
              <w:rPr>
                <w:noProof/>
              </w:rPr>
              <w:t xml:space="preserve">въздействието на системата по отношение на сроковете за възлагане и приключване на обществените поръчки.  </w:t>
            </w:r>
          </w:p>
          <w:p w14:paraId="316D6A31" w14:textId="77777777" w:rsidR="006054AA" w:rsidRDefault="001F7667">
            <w:pPr>
              <w:pStyle w:val="P68B1DB1-Normal5"/>
              <w:spacing w:before="100" w:beforeAutospacing="1" w:after="120"/>
              <w:rPr>
                <w:noProof/>
              </w:rPr>
            </w:pPr>
            <w:r>
              <w:rPr>
                <w:noProof/>
              </w:rPr>
              <w:t xml:space="preserve">Публикуване на резултатите от картографирането на участието на неквалифицирани органи в дейности за изграждане на капацитет. </w:t>
            </w:r>
          </w:p>
          <w:p w14:paraId="4D8FAE52" w14:textId="474BE35D" w:rsidR="006054AA" w:rsidRDefault="001F7667">
            <w:pPr>
              <w:pStyle w:val="P68B1DB1-Normal5"/>
              <w:spacing w:before="100" w:beforeAutospacing="1" w:after="120"/>
              <w:rPr>
                <w:noProof/>
              </w:rPr>
            </w:pPr>
            <w:r>
              <w:rPr>
                <w:noProof/>
              </w:rPr>
              <w:t>След консултация с ANAC се приемат допълнителни инициативи, насочени към стимулиране на квалификацията на възлагащите органи, намаляване на разпокъсаността и професионализация на неквалифицираните организации.</w:t>
            </w:r>
          </w:p>
          <w:p w14:paraId="1C1F556F" w14:textId="77777777" w:rsidR="006054AA" w:rsidRDefault="001F7667">
            <w:pPr>
              <w:pStyle w:val="P68B1DB1-Normal5"/>
              <w:spacing w:before="100" w:beforeAutospacing="1" w:after="120"/>
              <w:rPr>
                <w:noProof/>
              </w:rPr>
            </w:pPr>
            <w:r>
              <w:rPr>
                <w:noProof/>
              </w:rPr>
              <w:t>Приемат се и функционират допълнителни инструменти за техническа/административна подкрепа за местни или неквалифицирани възлагащи органи, когато централизирането не е налично или осъществимо.</w:t>
            </w:r>
          </w:p>
        </w:tc>
      </w:tr>
      <w:tr w:rsidR="006054AA" w14:paraId="5D66E61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59F67" w14:textId="77777777" w:rsidR="006054AA" w:rsidRDefault="001F7667">
            <w:pPr>
              <w:pStyle w:val="P68B1DB1-Normal5"/>
              <w:jc w:val="center"/>
              <w:rPr>
                <w:noProof/>
              </w:rPr>
            </w:pPr>
            <w:r>
              <w:rPr>
                <w:noProof/>
              </w:rPr>
              <w:t>M1C1—73quater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13878"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0056B"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8CD20E" w14:textId="79725909" w:rsidR="006054AA" w:rsidRDefault="001F7667">
            <w:pPr>
              <w:pStyle w:val="P68B1DB1-Normal5"/>
              <w:spacing w:before="100" w:beforeAutospacing="1" w:after="120"/>
              <w:jc w:val="center"/>
              <w:rPr>
                <w:noProof/>
              </w:rPr>
            </w:pPr>
            <w:r>
              <w:rPr>
                <w:noProof/>
              </w:rPr>
              <w:t>Влизане в сила на насоки относно обществените поръчки под прага на ЕС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34A69" w14:textId="32CEA93A" w:rsidR="006054AA" w:rsidRDefault="001F7667">
            <w:pPr>
              <w:pStyle w:val="P68B1DB1-Normal5"/>
              <w:spacing w:before="100" w:beforeAutospacing="1" w:after="120"/>
              <w:jc w:val="center"/>
              <w:rPr>
                <w:noProof/>
              </w:rPr>
            </w:pPr>
            <w:r>
              <w:rPr>
                <w:noProof/>
              </w:rPr>
              <w:t>Влизане в сила на насоки относно обществените поръчки под прага на ЕС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A8A7F"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FD047"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B5F8BA"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3D59B"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67392"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CA732" w14:textId="19D7EC6C" w:rsidR="006054AA" w:rsidRDefault="001F7667">
            <w:pPr>
              <w:pStyle w:val="P68B1DB1-Normal5"/>
              <w:spacing w:before="100" w:beforeAutospacing="1" w:after="120"/>
              <w:rPr>
                <w:noProof/>
              </w:rPr>
            </w:pPr>
            <w:r>
              <w:rPr>
                <w:noProof/>
              </w:rPr>
              <w:t>Циркулярно писмо относно обществените поръчки под прага на ЕС, прието и публикувано в италианския Официален вестник. В циркулярното писмо се пояснява, че възлагащите органи могат да използват открити и ограничени процедури за обществени поръчки под прага на ЕС.</w:t>
            </w:r>
          </w:p>
        </w:tc>
      </w:tr>
      <w:tr w:rsidR="006054AA" w14:paraId="607443A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80F4" w14:textId="77777777" w:rsidR="006054AA" w:rsidRDefault="001F7667">
            <w:pPr>
              <w:pStyle w:val="P68B1DB1-Normal5"/>
              <w:jc w:val="center"/>
              <w:rPr>
                <w:noProof/>
              </w:rPr>
            </w:pPr>
            <w:r>
              <w:rPr>
                <w:noProof/>
              </w:rPr>
              <w:t>M1C1—73quinquies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0FBDD"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B245A"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BE6D15" w14:textId="390E6152" w:rsidR="006054AA" w:rsidRDefault="001F7667">
            <w:pPr>
              <w:pStyle w:val="P68B1DB1-Normal5"/>
              <w:spacing w:before="100" w:beforeAutospacing="1" w:after="120"/>
              <w:jc w:val="center"/>
              <w:rPr>
                <w:noProof/>
              </w:rPr>
            </w:pPr>
            <w:r>
              <w:rPr>
                <w:noProof/>
              </w:rPr>
              <w:t>Влизане в сила на нови правни разпоредби относно финансирането на проекти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B970C" w14:textId="188568FE" w:rsidR="006054AA" w:rsidRDefault="001F7667">
            <w:pPr>
              <w:pStyle w:val="P68B1DB1-Normal5"/>
              <w:spacing w:before="100" w:beforeAutospacing="1" w:after="120"/>
              <w:jc w:val="center"/>
              <w:rPr>
                <w:noProof/>
              </w:rPr>
            </w:pPr>
            <w:r>
              <w:rPr>
                <w:noProof/>
              </w:rPr>
              <w:t>Законова разпоредба, указваща влизането в сила на нови правни разпоредби</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E67B9"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DFF2B"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30218"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414A7"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944E0"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9C194" w14:textId="0B7DFE79" w:rsidR="006054AA" w:rsidRDefault="001F7667">
            <w:pPr>
              <w:pStyle w:val="P68B1DB1-Normal5"/>
              <w:spacing w:before="100" w:beforeAutospacing="1" w:after="120"/>
              <w:rPr>
                <w:noProof/>
              </w:rPr>
            </w:pPr>
            <w:r>
              <w:rPr>
                <w:noProof/>
              </w:rPr>
              <w:t>Влизане в сила на нови правни разпоредби относно финансирането на проекти, насочени към повишаване на ефективността и конкуренцията, по-специално за повишаване на достъпността на концесиите.</w:t>
            </w:r>
          </w:p>
        </w:tc>
      </w:tr>
      <w:tr w:rsidR="006054AA" w14:paraId="5869C06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32A70" w14:textId="77777777" w:rsidR="006054AA" w:rsidRDefault="001F7667">
            <w:pPr>
              <w:pStyle w:val="P68B1DB1-Normal5"/>
              <w:jc w:val="center"/>
              <w:rPr>
                <w:noProof/>
              </w:rPr>
            </w:pPr>
            <w:r>
              <w:rPr>
                <w:noProof/>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FF84E"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5BE93"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CD928" w14:textId="77777777" w:rsidR="006054AA" w:rsidRDefault="001F7667">
            <w:pPr>
              <w:pStyle w:val="P68B1DB1-Normal5"/>
              <w:jc w:val="center"/>
              <w:rPr>
                <w:noProof/>
              </w:rPr>
            </w:pPr>
            <w:r>
              <w:rPr>
                <w:noProof/>
              </w:rPr>
              <w:t>Пълно функциониране на националната система за електронни обществени поръчки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39F82" w14:textId="77777777" w:rsidR="006054AA" w:rsidRDefault="001F7667">
            <w:pPr>
              <w:pStyle w:val="P68B1DB1-Normal5"/>
              <w:jc w:val="center"/>
              <w:rPr>
                <w:noProof/>
              </w:rPr>
            </w:pPr>
            <w:r>
              <w:rPr>
                <w:noProof/>
              </w:rPr>
              <w:t>Наличие на функциите, определени в проучването за осъществимост (да се разработи като задача по проект 1)</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B1F1B"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549B1"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8E0F3"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A6EFE"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0E044"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849F3" w14:textId="77777777" w:rsidR="006054AA" w:rsidRDefault="001F7667">
            <w:pPr>
              <w:pStyle w:val="P68B1DB1-Normal5"/>
              <w:spacing w:before="100" w:beforeAutospacing="1" w:after="120"/>
              <w:rPr>
                <w:noProof/>
              </w:rPr>
            </w:pPr>
            <w:r>
              <w:rPr>
                <w:noProof/>
              </w:rPr>
              <w:t>Националната система за електронни обществени поръчки функционира и напълно съответства на директивите на ЕС за обществените поръчки и включва пълната цифровизация на процедурите до изпълнението на договора (интелигентни обществени поръчки), оперативно съвместима със системите за управление на публичната администрация, съдържа цифрова рехабилитация на ОП, тръжни сесии, машинно самообучение за откриване на тенденции, CRM с чатботове, цифрова ангажираност и верига на статуса.</w:t>
            </w:r>
          </w:p>
        </w:tc>
      </w:tr>
      <w:tr w:rsidR="006054AA" w14:paraId="762CE4B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07E492" w14:textId="77777777" w:rsidR="006054AA" w:rsidRDefault="001F7667">
            <w:pPr>
              <w:pStyle w:val="P68B1DB1-Normal5"/>
              <w:jc w:val="center"/>
              <w:rPr>
                <w:noProof/>
              </w:rPr>
            </w:pPr>
            <w:r>
              <w:rPr>
                <w:noProof/>
              </w:rPr>
              <w:t>M1C1—75bis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8A01E" w14:textId="77777777" w:rsidR="006054AA" w:rsidRDefault="001F7667">
            <w:pPr>
              <w:pStyle w:val="P68B1DB1-Normal5"/>
              <w:jc w:val="center"/>
              <w:rPr>
                <w:noProof/>
              </w:rPr>
            </w:pPr>
            <w:r>
              <w:rPr>
                <w:noProof/>
              </w:rPr>
              <w:t>Инвестиция 1.10: Подкрепа за квалифицирането и електронните обществени поръчки</w:t>
            </w:r>
          </w:p>
          <w:p w14:paraId="628341BD" w14:textId="77777777" w:rsidR="006054AA" w:rsidRDefault="006054AA">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7DDB41"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14685" w14:textId="77777777" w:rsidR="006054AA" w:rsidRDefault="001F7667">
            <w:pPr>
              <w:pStyle w:val="P68B1DB1-Normal5"/>
              <w:jc w:val="center"/>
              <w:rPr>
                <w:noProof/>
              </w:rPr>
            </w:pPr>
            <w:r>
              <w:rPr>
                <w:noProof/>
              </w:rPr>
              <w:t>Подкрепа за квалифицирането и електронните обществени поръчки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B4A76" w14:textId="77777777" w:rsidR="006054AA" w:rsidRDefault="001F7667">
            <w:pPr>
              <w:pStyle w:val="P68B1DB1-Normal5"/>
              <w:jc w:val="center"/>
              <w:rPr>
                <w:noProof/>
              </w:rPr>
            </w:pPr>
            <w:r>
              <w:rPr>
                <w:noProof/>
              </w:rPr>
              <w:t xml:space="preserve">Въвеждане в експлоатация на помощната функция в областта на обществените поръчки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6B28"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FB2A7"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57156"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899A59"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34BAE"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3C15" w14:textId="464B9341" w:rsidR="006054AA" w:rsidRDefault="001F7667">
            <w:pPr>
              <w:pStyle w:val="P68B1DB1-Normal5"/>
              <w:spacing w:before="100" w:beforeAutospacing="1" w:after="120"/>
              <w:rPr>
                <w:noProof/>
              </w:rPr>
            </w:pPr>
            <w:r>
              <w:rPr>
                <w:noProof/>
              </w:rPr>
              <w:t>В рамките на стратегията за професионализация на публичните купувачи се създава функция за подпомагане на възлагането на обществени поръчки. Функцията за подпомагане на възлагането на обществени поръчки е предназначена за възлагащите органи за изпълнение на изискванията на приложение II.4 към Кодекса за обществените поръчки и за подпомагането им в процеса на електронни обществени поръчки, като подкрепя придобиването на цифрови умения и предоставя техническа подкрепа при приемането на цифровизацията на обществените поръчки, включително използването на динамични системи за покупки.</w:t>
            </w:r>
          </w:p>
        </w:tc>
      </w:tr>
      <w:tr w:rsidR="006054AA" w14:paraId="27C9FDE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4F40AF" w14:textId="77777777" w:rsidR="006054AA" w:rsidRDefault="001F7667">
            <w:pPr>
              <w:pStyle w:val="P68B1DB1-Normal5"/>
              <w:jc w:val="center"/>
              <w:rPr>
                <w:noProof/>
              </w:rPr>
            </w:pPr>
            <w:r>
              <w:rPr>
                <w:noProof/>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14B53"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636925"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C5A0EA" w14:textId="77777777" w:rsidR="006054AA" w:rsidRDefault="001F7667">
            <w:pPr>
              <w:pStyle w:val="P68B1DB1-Normal5"/>
              <w:jc w:val="center"/>
              <w:rPr>
                <w:noProof/>
              </w:rPr>
            </w:pPr>
            <w:r>
              <w:rPr>
                <w:noProof/>
              </w:rPr>
              <w:t>Средният брой дни, през които централните публични администрации плащат на предприятията, е намален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AEDC6"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AAB0" w14:textId="77777777" w:rsidR="006054AA" w:rsidRDefault="001F7667">
            <w:pPr>
              <w:pStyle w:val="P68B1DB1-Normal5"/>
              <w:jc w:val="center"/>
              <w:rPr>
                <w:noProof/>
              </w:rPr>
            </w:pPr>
            <w:r>
              <w:rPr>
                <w:noProof/>
              </w:rPr>
              <w:t>Среднопретеглено време на плащане</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0C8AD"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F6B2A" w14:textId="77777777" w:rsidR="006054AA" w:rsidRDefault="001F7667">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F1930"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63062"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B19D0"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среднопретегленият срок за плащане („tempo di pagamento“) на централните публични органи (</w:t>
            </w:r>
            <w:r>
              <w:rPr>
                <w:i/>
                <w:noProof/>
              </w:rPr>
              <w:t>Amministrazioni dello Stato, enti pubblici nazionali e altri enti</w:t>
            </w:r>
            <w:r>
              <w:rPr>
                <w:noProof/>
              </w:rPr>
              <w:t>) за предприятията е по-малък или равен на 30 дни.</w:t>
            </w:r>
          </w:p>
        </w:tc>
      </w:tr>
      <w:tr w:rsidR="006054AA" w14:paraId="4805C87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643D" w14:textId="77777777" w:rsidR="006054AA" w:rsidRDefault="001F7667">
            <w:pPr>
              <w:pStyle w:val="P68B1DB1-Normal5"/>
              <w:jc w:val="center"/>
              <w:rPr>
                <w:noProof/>
              </w:rPr>
            </w:pPr>
            <w:r>
              <w:rPr>
                <w:noProof/>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552FCB"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766B6"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C1BBF" w14:textId="77777777" w:rsidR="006054AA" w:rsidRDefault="001F7667">
            <w:pPr>
              <w:pStyle w:val="P68B1DB1-Normal5"/>
              <w:jc w:val="center"/>
              <w:rPr>
                <w:noProof/>
              </w:rPr>
            </w:pPr>
            <w:r>
              <w:rPr>
                <w:noProof/>
              </w:rPr>
              <w:t>Намалява се средният брой дни, през които регионалните публични администрации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516119"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6FFCF" w14:textId="77777777" w:rsidR="006054AA" w:rsidRDefault="001F7667">
            <w:pPr>
              <w:pStyle w:val="P68B1DB1-Normal5"/>
              <w:jc w:val="center"/>
              <w:rPr>
                <w:noProof/>
              </w:rPr>
            </w:pPr>
            <w:r>
              <w:rPr>
                <w:noProof/>
              </w:rPr>
              <w:t>Среднопретеглено време за плащане (в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06843"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B7CB" w14:textId="77777777" w:rsidR="006054AA" w:rsidRDefault="001F7667">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3BE57"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9D00C"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17EE"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среднопретегленият срок за плащане („tempo di pagamento“) на регионалните публични органи (</w:t>
            </w:r>
            <w:r>
              <w:rPr>
                <w:i/>
                <w:noProof/>
              </w:rPr>
              <w:t>Regioni и Province Autonome</w:t>
            </w:r>
            <w:r>
              <w:rPr>
                <w:noProof/>
              </w:rPr>
              <w:t>) на предприятията е по-малък или равен на 30 дни.</w:t>
            </w:r>
          </w:p>
        </w:tc>
      </w:tr>
      <w:tr w:rsidR="006054AA" w14:paraId="36D027E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7A617" w14:textId="77777777" w:rsidR="006054AA" w:rsidRDefault="001F7667">
            <w:pPr>
              <w:pStyle w:val="P68B1DB1-Normal5"/>
              <w:jc w:val="center"/>
              <w:rPr>
                <w:noProof/>
              </w:rPr>
            </w:pPr>
            <w:r>
              <w:rPr>
                <w:noProof/>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B90AD"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3243"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770018" w14:textId="77777777" w:rsidR="006054AA" w:rsidRDefault="001F7667">
            <w:pPr>
              <w:pStyle w:val="P68B1DB1-Normal5"/>
              <w:jc w:val="center"/>
              <w:rPr>
                <w:noProof/>
              </w:rPr>
            </w:pPr>
            <w:r>
              <w:rPr>
                <w:noProof/>
              </w:rPr>
              <w:t>Намалява се средният брой дни, през които местните публични администрации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64B2"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2E18C" w14:textId="77777777" w:rsidR="006054AA" w:rsidRDefault="001F7667">
            <w:pPr>
              <w:pStyle w:val="P68B1DB1-Normal5"/>
              <w:jc w:val="center"/>
              <w:rPr>
                <w:rFonts w:eastAsiaTheme="minorEastAsia"/>
                <w:noProof/>
              </w:rPr>
            </w:pPr>
            <w:r>
              <w:rPr>
                <w:noProof/>
              </w:rPr>
              <w:t>Среднопретеглено време на плащане</w:t>
            </w:r>
          </w:p>
          <w:p w14:paraId="23738C75" w14:textId="77777777" w:rsidR="006054AA" w:rsidRDefault="001F7667">
            <w:pPr>
              <w:pStyle w:val="P68B1DB1-Normal5"/>
              <w:jc w:val="center"/>
              <w:rPr>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01AC1"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F2513" w14:textId="77777777" w:rsidR="006054AA" w:rsidRDefault="001F7667">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DFDE7"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26302"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D0045"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среднопретегленият срок за плащане („tempo di pagamento“) на местните публични органи (</w:t>
            </w:r>
            <w:r>
              <w:rPr>
                <w:i/>
                <w:noProof/>
              </w:rPr>
              <w:t>enti locali</w:t>
            </w:r>
            <w:r>
              <w:rPr>
                <w:noProof/>
              </w:rPr>
              <w:t>) на предприятията е по-малък или равен на 30 дни.</w:t>
            </w:r>
          </w:p>
        </w:tc>
      </w:tr>
      <w:tr w:rsidR="006054AA" w14:paraId="3A82AF2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81578" w14:textId="77777777" w:rsidR="006054AA" w:rsidRDefault="001F7667">
            <w:pPr>
              <w:pStyle w:val="P68B1DB1-Normal5"/>
              <w:jc w:val="center"/>
              <w:rPr>
                <w:noProof/>
              </w:rPr>
            </w:pPr>
            <w:r>
              <w:rPr>
                <w:noProof/>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C9826"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5D7CD"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49FD3" w14:textId="77777777" w:rsidR="006054AA" w:rsidRDefault="001F7667">
            <w:pPr>
              <w:pStyle w:val="P68B1DB1-Normal5"/>
              <w:jc w:val="center"/>
              <w:rPr>
                <w:noProof/>
              </w:rPr>
            </w:pPr>
            <w:r>
              <w:rPr>
                <w:noProof/>
              </w:rPr>
              <w:t>Намалява се средният брой дни, през които администрациите в областта на общественото здравеопазване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43F04"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B23C5E" w14:textId="77777777" w:rsidR="006054AA" w:rsidRDefault="001F7667">
            <w:pPr>
              <w:pStyle w:val="P68B1DB1-Normal5"/>
              <w:jc w:val="center"/>
              <w:rPr>
                <w:rFonts w:eastAsiaTheme="minorEastAsia"/>
                <w:noProof/>
              </w:rPr>
            </w:pPr>
            <w:r>
              <w:rPr>
                <w:noProof/>
              </w:rPr>
              <w:t>Среднопретеглено време на плащане</w:t>
            </w:r>
          </w:p>
          <w:p w14:paraId="04C2B9AB" w14:textId="77777777" w:rsidR="006054AA" w:rsidRDefault="001F7667">
            <w:pPr>
              <w:pStyle w:val="P68B1DB1-Normal5"/>
              <w:jc w:val="center"/>
              <w:rPr>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598E97"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01CE9" w14:textId="77777777" w:rsidR="006054AA" w:rsidRDefault="001F7667">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1D941"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987ECF"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5B022"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среднопретегленият срок за плащане („tempo di pagamento“) на органите за обществено здравеопазване (</w:t>
            </w:r>
            <w:r>
              <w:rPr>
                <w:i/>
                <w:noProof/>
              </w:rPr>
              <w:t>enti del Servizio sanitario nazionale</w:t>
            </w:r>
            <w:r>
              <w:rPr>
                <w:noProof/>
              </w:rPr>
              <w:t>) на предприятията е по-малък или равен на 60 дни.</w:t>
            </w:r>
          </w:p>
        </w:tc>
      </w:tr>
      <w:tr w:rsidR="006054AA" w14:paraId="4079532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6BB8B" w14:textId="77777777" w:rsidR="006054AA" w:rsidRDefault="001F7667">
            <w:pPr>
              <w:pStyle w:val="P68B1DB1-Normal5"/>
              <w:jc w:val="center"/>
              <w:rPr>
                <w:noProof/>
              </w:rPr>
            </w:pPr>
            <w:r>
              <w:rPr>
                <w:noProof/>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5A2CE"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D39479"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3C56A" w14:textId="77777777" w:rsidR="006054AA" w:rsidRDefault="001F7667">
            <w:pPr>
              <w:pStyle w:val="P68B1DB1-Normal5"/>
              <w:jc w:val="center"/>
              <w:rPr>
                <w:noProof/>
              </w:rPr>
            </w:pPr>
            <w:r>
              <w:rPr>
                <w:noProof/>
              </w:rPr>
              <w:t>Намалява се средният брой дни на забавяне от страна на централните публични администрации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95D15"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4C5D8" w14:textId="77777777" w:rsidR="006054AA" w:rsidRDefault="001F7667">
            <w:pPr>
              <w:pStyle w:val="P68B1DB1-Normal5"/>
              <w:jc w:val="center"/>
              <w:rPr>
                <w:rFonts w:eastAsiaTheme="minorEastAsia"/>
                <w:noProof/>
              </w:rPr>
            </w:pPr>
            <w:r>
              <w:rPr>
                <w:noProof/>
              </w:rPr>
              <w:t>Среднопретеглено забавяне на плащането</w:t>
            </w:r>
          </w:p>
          <w:p w14:paraId="4F46D9CB" w14:textId="77777777" w:rsidR="006054AA" w:rsidRDefault="001F7667">
            <w:pPr>
              <w:pStyle w:val="P68B1DB1-Normal5"/>
              <w:jc w:val="center"/>
              <w:rPr>
                <w:rFonts w:eastAsiaTheme="minorEastAsia"/>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1E10EB"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7BEED9" w14:textId="77777777" w:rsidR="006054AA" w:rsidRDefault="001F7667">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6CED4"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9663E"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44073" w14:textId="77777777" w:rsidR="006054AA" w:rsidRDefault="001F7667">
            <w:pPr>
              <w:pStyle w:val="P68B1DB1-Normal5"/>
              <w:spacing w:before="100" w:beforeAutospacing="1" w:after="120"/>
              <w:rPr>
                <w:rFonts w:eastAsiaTheme="minorEastAsia"/>
                <w:noProof/>
              </w:rPr>
            </w:pPr>
            <w:r>
              <w:rPr>
                <w:noProof/>
              </w:rPr>
              <w:t>Въз основа на търговската кредитна платформа (PCC) среднопретегленото забавяне на плащането („tempo di ritardo“) на централните органи (</w:t>
            </w:r>
            <w:r>
              <w:rPr>
                <w:i/>
                <w:noProof/>
              </w:rPr>
              <w:t>Amministrazioni dello Stato, enti pubblici nazionali e altri enti</w:t>
            </w:r>
            <w:r>
              <w:rPr>
                <w:noProof/>
              </w:rPr>
              <w:t>) на предприятията е най-много 0 дни.</w:t>
            </w:r>
          </w:p>
        </w:tc>
      </w:tr>
      <w:tr w:rsidR="006054AA" w14:paraId="1E4F6D9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778457" w14:textId="77777777" w:rsidR="006054AA" w:rsidRDefault="001F7667">
            <w:pPr>
              <w:pStyle w:val="P68B1DB1-Normal5"/>
              <w:jc w:val="center"/>
              <w:rPr>
                <w:noProof/>
              </w:rPr>
            </w:pPr>
            <w:r>
              <w:rPr>
                <w:noProof/>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CC589"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D300FE"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DA0384" w14:textId="77777777" w:rsidR="006054AA" w:rsidRDefault="001F7667">
            <w:pPr>
              <w:pStyle w:val="P68B1DB1-Normal5"/>
              <w:jc w:val="center"/>
              <w:rPr>
                <w:noProof/>
              </w:rPr>
            </w:pPr>
            <w:r>
              <w:rPr>
                <w:noProof/>
              </w:rPr>
              <w:t>Намалява се средният брой дни закъснение за регионалните публични администрации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5A084"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BBF53" w14:textId="77777777" w:rsidR="006054AA" w:rsidRDefault="001F7667">
            <w:pPr>
              <w:pStyle w:val="P68B1DB1-Normal5"/>
              <w:jc w:val="center"/>
              <w:rPr>
                <w:rFonts w:eastAsiaTheme="minorEastAsia"/>
                <w:noProof/>
              </w:rPr>
            </w:pPr>
            <w:r>
              <w:rPr>
                <w:noProof/>
              </w:rPr>
              <w:t>Среднопретеглено забавяне на плащането</w:t>
            </w:r>
          </w:p>
          <w:p w14:paraId="61D77EAF" w14:textId="77777777" w:rsidR="006054AA" w:rsidRDefault="001F7667">
            <w:pPr>
              <w:pStyle w:val="P68B1DB1-Normal5"/>
              <w:jc w:val="center"/>
              <w:rPr>
                <w:rFonts w:eastAsiaTheme="minorEastAsia"/>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3EDDF"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6945E0" w14:textId="77777777" w:rsidR="006054AA" w:rsidRDefault="001F7667">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AA6F40"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AD207"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81FFA" w14:textId="77777777" w:rsidR="006054AA" w:rsidRDefault="001F7667">
            <w:pPr>
              <w:pStyle w:val="P68B1DB1-Normal5"/>
              <w:spacing w:before="100" w:beforeAutospacing="1" w:after="120"/>
              <w:rPr>
                <w:rFonts w:eastAsiaTheme="minorEastAsia"/>
                <w:noProof/>
              </w:rPr>
            </w:pPr>
            <w:r>
              <w:rPr>
                <w:noProof/>
              </w:rPr>
              <w:t>Въз основа на търговската кредитна платформа (PCC) среднопретегленото забавяне на плащанията („tempo di ritardo“) на регионалните органи (</w:t>
            </w:r>
            <w:r>
              <w:rPr>
                <w:i/>
                <w:noProof/>
              </w:rPr>
              <w:t>Regioni и Province Autonome</w:t>
            </w:r>
            <w:r>
              <w:rPr>
                <w:noProof/>
              </w:rPr>
              <w:t>) на предприятията е най-много 0 дни.</w:t>
            </w:r>
          </w:p>
        </w:tc>
      </w:tr>
      <w:tr w:rsidR="006054AA" w14:paraId="7D14A90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2C4DC3" w14:textId="77777777" w:rsidR="006054AA" w:rsidRDefault="001F7667">
            <w:pPr>
              <w:pStyle w:val="P68B1DB1-Normal5"/>
              <w:jc w:val="center"/>
              <w:rPr>
                <w:noProof/>
              </w:rPr>
            </w:pPr>
            <w:r>
              <w:rPr>
                <w:noProof/>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0211D"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2FEE6"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97B38" w14:textId="77777777" w:rsidR="006054AA" w:rsidRDefault="001F7667">
            <w:pPr>
              <w:pStyle w:val="P68B1DB1-Normal5"/>
              <w:jc w:val="center"/>
              <w:rPr>
                <w:noProof/>
              </w:rPr>
            </w:pPr>
            <w:r>
              <w:rPr>
                <w:noProof/>
              </w:rPr>
              <w:t>Намалява се средният брой дни закъснение за местните публични администрации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8FFFD"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17548" w14:textId="77777777" w:rsidR="006054AA" w:rsidRDefault="001F7667">
            <w:pPr>
              <w:pStyle w:val="P68B1DB1-Normal5"/>
              <w:jc w:val="center"/>
              <w:rPr>
                <w:rFonts w:eastAsiaTheme="minorEastAsia"/>
                <w:noProof/>
              </w:rPr>
            </w:pPr>
            <w:r>
              <w:rPr>
                <w:noProof/>
              </w:rPr>
              <w:t>Среднопретеглено забавяне на плащането</w:t>
            </w:r>
          </w:p>
          <w:p w14:paraId="576D4C68" w14:textId="77777777" w:rsidR="006054AA" w:rsidRDefault="001F7667">
            <w:pPr>
              <w:pStyle w:val="P68B1DB1-Normal5"/>
              <w:jc w:val="center"/>
              <w:rPr>
                <w:rFonts w:eastAsiaTheme="minorEastAsia"/>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19185C"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C84E73" w14:textId="77777777" w:rsidR="006054AA" w:rsidRDefault="001F7667">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66120"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8F02E"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A2C963" w14:textId="77777777" w:rsidR="006054AA" w:rsidRDefault="001F7667">
            <w:pPr>
              <w:pStyle w:val="P68B1DB1-Normal5"/>
              <w:spacing w:before="100" w:beforeAutospacing="1" w:after="120"/>
              <w:rPr>
                <w:rFonts w:eastAsiaTheme="minorEastAsia"/>
                <w:noProof/>
              </w:rPr>
            </w:pPr>
            <w:r>
              <w:rPr>
                <w:noProof/>
              </w:rPr>
              <w:t>Въз основа на търговската кредитна платформа (PCC) среднопретегленото забавяне на плащанията („tempo di ritardo“) на местните органи (</w:t>
            </w:r>
            <w:r>
              <w:rPr>
                <w:i/>
                <w:noProof/>
              </w:rPr>
              <w:t>enti locali</w:t>
            </w:r>
            <w:r>
              <w:rPr>
                <w:noProof/>
              </w:rPr>
              <w:t>) към предприятията трябва да бъде най-много 0 дни.</w:t>
            </w:r>
          </w:p>
        </w:tc>
      </w:tr>
      <w:tr w:rsidR="006054AA" w14:paraId="023716C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A5C8D0" w14:textId="77777777" w:rsidR="006054AA" w:rsidRDefault="001F7667">
            <w:pPr>
              <w:pStyle w:val="P68B1DB1-Normal5"/>
              <w:jc w:val="center"/>
              <w:rPr>
                <w:noProof/>
              </w:rPr>
            </w:pPr>
            <w:r>
              <w:rPr>
                <w:noProof/>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5A7DC"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563AA"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5D21D6" w14:textId="77777777" w:rsidR="006054AA" w:rsidRDefault="001F7667">
            <w:pPr>
              <w:pStyle w:val="P68B1DB1-Normal5"/>
              <w:jc w:val="center"/>
              <w:rPr>
                <w:noProof/>
              </w:rPr>
            </w:pPr>
            <w:r>
              <w:rPr>
                <w:noProof/>
              </w:rPr>
              <w:t>Намалява се средният брой дни, в които публичните здравни администрации закъсняват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7E79C"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D0F7B" w14:textId="77777777" w:rsidR="006054AA" w:rsidRDefault="001F7667">
            <w:pPr>
              <w:pStyle w:val="P68B1DB1-Normal5"/>
              <w:jc w:val="center"/>
              <w:rPr>
                <w:rFonts w:eastAsiaTheme="minorEastAsia"/>
                <w:noProof/>
              </w:rPr>
            </w:pPr>
            <w:r>
              <w:rPr>
                <w:noProof/>
              </w:rPr>
              <w:t>Среднопретеглено забавяне на плащането</w:t>
            </w:r>
          </w:p>
          <w:p w14:paraId="2537CA49" w14:textId="77777777" w:rsidR="006054AA" w:rsidRDefault="001F7667">
            <w:pPr>
              <w:pStyle w:val="P68B1DB1-Normal5"/>
              <w:jc w:val="center"/>
              <w:rPr>
                <w:rFonts w:eastAsiaTheme="minorEastAsia"/>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1BDF"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38C" w14:textId="77777777" w:rsidR="006054AA" w:rsidRDefault="001F7667">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F04D29"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D0CCA"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7074A0" w14:textId="77777777" w:rsidR="006054AA" w:rsidRDefault="001F7667">
            <w:pPr>
              <w:pStyle w:val="P68B1DB1-Normal5"/>
              <w:spacing w:before="100" w:beforeAutospacing="1" w:after="120"/>
              <w:rPr>
                <w:rFonts w:eastAsiaTheme="minorEastAsia"/>
                <w:noProof/>
              </w:rPr>
            </w:pPr>
            <w:r>
              <w:rPr>
                <w:noProof/>
              </w:rPr>
              <w:t>Въз основа на търговската кредитна платформа (PCC) среднопретегленото забавяне на плащанията („tempo di ritardo“) на органите за обществено здравеопазване (</w:t>
            </w:r>
            <w:r>
              <w:rPr>
                <w:i/>
                <w:noProof/>
              </w:rPr>
              <w:t>enti del Servizio sanitario nazionale</w:t>
            </w:r>
            <w:r>
              <w:rPr>
                <w:noProof/>
              </w:rPr>
              <w:t>) на предприятията е най-много 0 дни.</w:t>
            </w:r>
          </w:p>
        </w:tc>
      </w:tr>
      <w:tr w:rsidR="006054AA" w14:paraId="74F972C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0FB67" w14:textId="77777777" w:rsidR="006054AA" w:rsidRDefault="001F7667">
            <w:pPr>
              <w:pStyle w:val="P68B1DB1-Normal5"/>
              <w:jc w:val="center"/>
              <w:rPr>
                <w:noProof/>
              </w:rPr>
            </w:pPr>
            <w:r>
              <w:rPr>
                <w:noProof/>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69599E"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FB98B"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FDB5" w14:textId="77777777" w:rsidR="006054AA" w:rsidRDefault="001F7667">
            <w:pPr>
              <w:pStyle w:val="P68B1DB1-Normal5"/>
              <w:jc w:val="center"/>
              <w:rPr>
                <w:noProof/>
              </w:rPr>
            </w:pPr>
            <w:r>
              <w:rPr>
                <w:noProof/>
              </w:rPr>
              <w:t>Средно време между публикуването и възлагането на поръчката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AFE78"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102C8"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48D8B" w14:textId="77777777" w:rsidR="006054AA" w:rsidRDefault="001F7667">
            <w:pPr>
              <w:pStyle w:val="P68B1DB1-Normal5"/>
              <w:jc w:val="center"/>
              <w:rPr>
                <w:noProof/>
              </w:rPr>
            </w:pPr>
            <w:r>
              <w:rPr>
                <w:noProof/>
              </w:rPr>
              <w:t>139</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6F3FF" w14:textId="77777777" w:rsidR="006054AA" w:rsidRDefault="001F7667">
            <w:pPr>
              <w:pStyle w:val="P68B1DB1-Normal5"/>
              <w:jc w:val="center"/>
              <w:rPr>
                <w:noProof/>
              </w:rPr>
            </w:pPr>
            <w:r>
              <w:rPr>
                <w:noProof/>
              </w:rPr>
              <w:t>100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B6A0E"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9094EB"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F345" w14:textId="404D2F39" w:rsidR="006054AA" w:rsidRDefault="001F7667">
            <w:pPr>
              <w:pStyle w:val="P68B1DB1-Normal5"/>
              <w:spacing w:before="100" w:beforeAutospacing="1" w:after="120"/>
              <w:rPr>
                <w:noProof/>
              </w:rPr>
            </w:pPr>
            <w:r>
              <w:rPr>
                <w:noProof/>
              </w:rPr>
              <w:t xml:space="preserve">Въз основа на методите, приети от Официален вестник на ЕС (база данни TED), като се използват данни от информационната национална база данни за обществени поръчки (BDNCP), управлявана от ANAC, средното време между крайния срок за подаване на офертите и възлагането на поръчката се намалява на по-малко от 100 дни за договори над праговете на директивите на ЕС за обществените поръчки. </w:t>
            </w:r>
          </w:p>
        </w:tc>
      </w:tr>
      <w:tr w:rsidR="006054AA" w14:paraId="2A93BAD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659C0" w14:textId="77777777" w:rsidR="006054AA" w:rsidRDefault="001F7667">
            <w:pPr>
              <w:pStyle w:val="P68B1DB1-Normal5"/>
              <w:jc w:val="center"/>
              <w:rPr>
                <w:noProof/>
              </w:rPr>
            </w:pPr>
            <w:r>
              <w:rPr>
                <w:noProof/>
              </w:rPr>
              <w:t>M1C1—84bis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DD99E"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24515"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1129CB" w14:textId="77777777" w:rsidR="006054AA" w:rsidRDefault="001F7667">
            <w:pPr>
              <w:pStyle w:val="P68B1DB1-Normal5"/>
              <w:jc w:val="center"/>
              <w:rPr>
                <w:noProof/>
              </w:rPr>
            </w:pPr>
            <w:r>
              <w:rPr>
                <w:noProof/>
              </w:rPr>
              <w:t>Мерки за подобряване на скоростта на вземане на решения при възлагането на обществени поръчки от страна на възлагащите органи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D318F" w14:textId="77777777" w:rsidR="006054AA" w:rsidRDefault="001F7667">
            <w:pPr>
              <w:pStyle w:val="P68B1DB1-Normal5"/>
              <w:jc w:val="center"/>
              <w:rPr>
                <w:noProof/>
              </w:rPr>
            </w:pPr>
            <w:r>
              <w:rPr>
                <w:noProof/>
              </w:rPr>
              <w:t>Приемане на мерки за изпълнение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E223"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A327B"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3F6363"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4AA7A"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CD82B"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DDF42" w14:textId="7C8E9C5A" w:rsidR="006054AA" w:rsidRDefault="001F7667">
            <w:pPr>
              <w:pStyle w:val="P68B1DB1-Normal5"/>
              <w:spacing w:before="100" w:beforeAutospacing="1" w:after="120"/>
              <w:rPr>
                <w:noProof/>
              </w:rPr>
            </w:pPr>
            <w:r>
              <w:rPr>
                <w:noProof/>
              </w:rPr>
              <w:t>С цел да се подобри скоростта на вземане на решения при възлагането на обществени поръчки и да се ускори процесът, започнал с реформата на Кодекса за обществените поръчки чрез цифровизацията на обществените поръчки и професионализацията на възлагащите органи, Cabina di regia, предишен член 221 от Кодекса за обществените поръчки, след консултация с ANAC, извършва:</w:t>
            </w:r>
          </w:p>
          <w:p w14:paraId="550AC7B5" w14:textId="77777777" w:rsidR="006054AA" w:rsidRDefault="001F7667">
            <w:pPr>
              <w:pStyle w:val="P68B1DB1-Normal5"/>
              <w:spacing w:before="100" w:beforeAutospacing="1" w:after="120"/>
              <w:rPr>
                <w:noProof/>
              </w:rPr>
            </w:pPr>
            <w:r>
              <w:rPr>
                <w:noProof/>
              </w:rPr>
              <w:t>— анализ на въздействието на електронните обществени поръчки върху момента на възлагане на поръчката до сключването на договора;</w:t>
            </w:r>
          </w:p>
          <w:p w14:paraId="199C57B4" w14:textId="77777777" w:rsidR="006054AA" w:rsidRDefault="001F7667">
            <w:pPr>
              <w:pStyle w:val="P68B1DB1-Normal5"/>
              <w:spacing w:before="100" w:beforeAutospacing="1" w:after="120"/>
              <w:rPr>
                <w:noProof/>
              </w:rPr>
            </w:pPr>
            <w:r>
              <w:rPr>
                <w:noProof/>
              </w:rPr>
              <w:t xml:space="preserve">— оценка на скоростта на вземане на решение за съвременно техническо равнище; </w:t>
            </w:r>
          </w:p>
          <w:p w14:paraId="1DDD4BEA" w14:textId="71C6F01B" w:rsidR="006054AA" w:rsidRDefault="001F7667">
            <w:pPr>
              <w:pStyle w:val="P68B1DB1-Normal5"/>
              <w:spacing w:before="100" w:beforeAutospacing="1" w:after="120"/>
              <w:rPr>
                <w:noProof/>
              </w:rPr>
            </w:pPr>
            <w:r>
              <w:rPr>
                <w:noProof/>
              </w:rPr>
              <w:t xml:space="preserve">мониторинг на най-добрите практики на възлагащите органи, насочени към съкращаване на сроковете за възлагане на обществени поръчки; </w:t>
            </w:r>
          </w:p>
          <w:p w14:paraId="4DB61A56" w14:textId="77777777" w:rsidR="006054AA" w:rsidRDefault="001F7667">
            <w:pPr>
              <w:pStyle w:val="P68B1DB1-Normal5"/>
              <w:spacing w:before="100" w:beforeAutospacing="1" w:after="120"/>
              <w:rPr>
                <w:noProof/>
              </w:rPr>
            </w:pPr>
            <w:r>
              <w:rPr>
                <w:noProof/>
              </w:rPr>
              <w:t>— анализът на законодателната рамка имаше за цел да идентифицира всеки критичен въпрос в процедурите за възлагане на обществени поръчки и, въз основа на анализа, да предложи финализирани инициативи за намаляване на времето за вземане на решения.</w:t>
            </w:r>
          </w:p>
          <w:p w14:paraId="5E1D3646" w14:textId="77777777" w:rsidR="006054AA" w:rsidRDefault="001F7667">
            <w:pPr>
              <w:pStyle w:val="P68B1DB1-Normal5"/>
              <w:spacing w:before="100" w:beforeAutospacing="1" w:after="120"/>
              <w:rPr>
                <w:noProof/>
              </w:rPr>
            </w:pPr>
            <w:r>
              <w:rPr>
                <w:noProof/>
              </w:rPr>
              <w:t xml:space="preserve">ANAC, като се започне от данните за 2024 г., ежегодно наблюдава средната скорост на вземане на решения от възлагащите органи въз основа на правомощията, предоставени му по силата на член 222 от Кодекса за обществените поръчки. </w:t>
            </w:r>
          </w:p>
          <w:p w14:paraId="21B7FDE3" w14:textId="77777777" w:rsidR="006054AA" w:rsidRDefault="001F7667">
            <w:pPr>
              <w:pStyle w:val="P68B1DB1-Normal5"/>
              <w:spacing w:before="100" w:beforeAutospacing="1" w:after="120"/>
              <w:rPr>
                <w:noProof/>
              </w:rPr>
            </w:pPr>
            <w:r>
              <w:rPr>
                <w:noProof/>
              </w:rPr>
              <w:t>От възлагащите органи, чиято средна скорост на вземане на решения е по-голяма от 160 дни в TED, се изисква да участват в процеса на квалификация и професионализация.</w:t>
            </w:r>
          </w:p>
        </w:tc>
      </w:tr>
      <w:tr w:rsidR="006054AA" w14:paraId="1EB6468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4A27B" w14:textId="77777777" w:rsidR="006054AA" w:rsidRDefault="001F7667">
            <w:pPr>
              <w:pStyle w:val="P68B1DB1-Normal5"/>
              <w:jc w:val="center"/>
              <w:rPr>
                <w:noProof/>
              </w:rPr>
            </w:pPr>
            <w:r>
              <w:rPr>
                <w:noProof/>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9F545"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30E77"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ECBA0" w14:textId="77777777" w:rsidR="006054AA" w:rsidRDefault="001F7667">
            <w:pPr>
              <w:pStyle w:val="P68B1DB1-Normal5"/>
              <w:jc w:val="center"/>
              <w:rPr>
                <w:noProof/>
              </w:rPr>
            </w:pPr>
            <w:r>
              <w:rPr>
                <w:noProof/>
              </w:rPr>
              <w:t>Средно време между възлагането на поръчката и реализацията на инфраструктурата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F699EF"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7C335F"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BC3A3"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D3549" w14:textId="77777777" w:rsidR="006054AA" w:rsidRDefault="001F7667">
            <w:pPr>
              <w:pStyle w:val="P68B1DB1-Normal5"/>
              <w:jc w:val="center"/>
              <w:rPr>
                <w:noProof/>
              </w:rPr>
            </w:pPr>
            <w:r>
              <w:rPr>
                <w:noProof/>
              </w:rPr>
              <w:t>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1E8AB"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7B5F9"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2CE0BB" w14:textId="77777777" w:rsidR="006054AA" w:rsidRDefault="001F7667">
            <w:pPr>
              <w:pStyle w:val="P68B1DB1-Normal5"/>
              <w:spacing w:before="100" w:beforeAutospacing="1" w:after="120"/>
              <w:rPr>
                <w:noProof/>
              </w:rPr>
            </w:pPr>
            <w:r>
              <w:rPr>
                <w:noProof/>
              </w:rPr>
              <w:t>Средното време между възлагането на поръчката и реализацията на инфраструктурата („fase esecutiva“) се намалява най-малко с 10 %.</w:t>
            </w:r>
          </w:p>
        </w:tc>
      </w:tr>
      <w:tr w:rsidR="006054AA" w14:paraId="75F856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BC14F6" w14:textId="77777777" w:rsidR="006054AA" w:rsidRDefault="001F7667">
            <w:pPr>
              <w:pStyle w:val="P68B1DB1-Normal5"/>
              <w:jc w:val="center"/>
              <w:rPr>
                <w:noProof/>
              </w:rPr>
            </w:pPr>
            <w:r>
              <w:rPr>
                <w:noProof/>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D077F"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955CB7"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2C08E" w14:textId="77777777" w:rsidR="006054AA" w:rsidRDefault="001F7667">
            <w:pPr>
              <w:pStyle w:val="P68B1DB1-Normal5"/>
              <w:jc w:val="center"/>
              <w:rPr>
                <w:noProof/>
              </w:rPr>
            </w:pPr>
            <w:r>
              <w:rPr>
                <w:noProof/>
              </w:rPr>
              <w:t>Държавни служители, обучени чрез стратегията за професионализация на публичните купувачи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71ECE4"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9B07B"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144DBB"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6B9E7" w14:textId="77777777" w:rsidR="006054AA" w:rsidRDefault="001F7667">
            <w:pPr>
              <w:pStyle w:val="P68B1DB1-Normal5"/>
              <w:jc w:val="center"/>
              <w:rPr>
                <w:noProof/>
              </w:rPr>
            </w:pPr>
            <w:r>
              <w:rPr>
                <w:noProof/>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46AAE3"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8363"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B13ED" w14:textId="0B67EA93" w:rsidR="006054AA" w:rsidRDefault="001F7667">
            <w:pPr>
              <w:pStyle w:val="P68B1DB1-Normal5"/>
              <w:spacing w:before="100" w:beforeAutospacing="1" w:after="120"/>
              <w:rPr>
                <w:noProof/>
              </w:rPr>
            </w:pPr>
            <w:r>
              <w:rPr>
                <w:noProof/>
              </w:rPr>
              <w:t>Най-малко 20 % от държавните служители са обучени чрез Стратегията за професионализация на публичните купувачи. Това отчита общия брой държавни служители, които участват активно в обществените поръчки, т.е. 100 000 публични купувачи, регистрирани към 30 април 2021 г. в Националната система за електронни обществени поръчки, управлявана от Consip от името на MEF.</w:t>
            </w:r>
          </w:p>
        </w:tc>
      </w:tr>
      <w:tr w:rsidR="006054AA" w14:paraId="2F23B8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46C91" w14:textId="77777777" w:rsidR="006054AA" w:rsidRDefault="001F7667">
            <w:pPr>
              <w:pStyle w:val="P68B1DB1-Normal5"/>
              <w:jc w:val="center"/>
              <w:rPr>
                <w:noProof/>
              </w:rPr>
            </w:pPr>
            <w:r>
              <w:rPr>
                <w:noProof/>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95DC5A"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35530"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8133D" w14:textId="77777777" w:rsidR="006054AA" w:rsidRDefault="001F7667">
            <w:pPr>
              <w:pStyle w:val="P68B1DB1-Normal5"/>
              <w:jc w:val="center"/>
              <w:rPr>
                <w:noProof/>
              </w:rPr>
            </w:pPr>
            <w:r>
              <w:rPr>
                <w:noProof/>
              </w:rPr>
              <w:t>Възлагащи органи, използващи динамични системи за покупки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6EE4B"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072A3"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A451"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E8DBE" w14:textId="77777777" w:rsidR="006054AA" w:rsidRDefault="001F7667">
            <w:pPr>
              <w:pStyle w:val="P68B1DB1-Normal5"/>
              <w:jc w:val="center"/>
              <w:rPr>
                <w:noProof/>
              </w:rPr>
            </w:pPr>
            <w:r>
              <w:rPr>
                <w:noProof/>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09575"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25E67"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C7866" w14:textId="77777777" w:rsidR="006054AA" w:rsidRDefault="001F7667">
            <w:pPr>
              <w:pStyle w:val="P68B1DB1-Normal5"/>
              <w:spacing w:before="100" w:beforeAutospacing="1" w:after="120"/>
              <w:rPr>
                <w:noProof/>
              </w:rPr>
            </w:pPr>
            <w:r>
              <w:rPr>
                <w:noProof/>
              </w:rPr>
              <w:t>Най-малко 15 % от възлагащите органи използват динамични системи за покупки съгласно Директива 2014/24 на ЕС (двугодишен период на наблюдение и като се има предвид, че в Италия използването на ДСП е насочено главно към покупки над прага, като се има предвид, че тези под прага се извършват главно чрез eMarketplaces). Целта се отнася до възлагащите органи на централното правителство (250 РА, регистрирани към 30 април 2021 г. в националната система за електронни обществени поръчки, управлявана от Consip от името на ФСИ).</w:t>
            </w:r>
          </w:p>
        </w:tc>
      </w:tr>
      <w:tr w:rsidR="006054AA" w14:paraId="1B5630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AF83B" w14:textId="77777777" w:rsidR="006054AA" w:rsidRDefault="001F7667">
            <w:pPr>
              <w:pStyle w:val="P68B1DB1-Normal5"/>
              <w:jc w:val="center"/>
              <w:rPr>
                <w:noProof/>
              </w:rPr>
            </w:pPr>
            <w:r>
              <w:rPr>
                <w:noProof/>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19A84"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1A4CE"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2737" w14:textId="77777777" w:rsidR="006054AA" w:rsidRDefault="001F7667">
            <w:pPr>
              <w:pStyle w:val="P68B1DB1-Normal5"/>
              <w:jc w:val="center"/>
              <w:rPr>
                <w:noProof/>
              </w:rPr>
            </w:pPr>
            <w:r>
              <w:rPr>
                <w:noProof/>
              </w:rPr>
              <w:t>Средният брой дни, през които централните публични администрации плащат на предприятията, е намален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91B30"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4A860" w14:textId="77777777" w:rsidR="006054AA" w:rsidRDefault="001F7667">
            <w:pPr>
              <w:pStyle w:val="P68B1DB1-Normal5"/>
              <w:jc w:val="center"/>
              <w:rPr>
                <w:noProof/>
              </w:rPr>
            </w:pPr>
            <w:r>
              <w:rPr>
                <w:noProof/>
              </w:rPr>
              <w:t>Среднопретеглено време на плащане</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C3D99" w14:textId="77777777" w:rsidR="006054AA" w:rsidRDefault="001F7667">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3DE71" w14:textId="77777777" w:rsidR="006054AA" w:rsidRDefault="001F7667">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94FF3"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CC7EA"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E288C"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среднопретегленият срок за плащане („tempo di pagamento“) на централните публични органи (</w:t>
            </w:r>
            <w:r>
              <w:rPr>
                <w:i/>
                <w:noProof/>
              </w:rPr>
              <w:t>Amministrazioni dello Stato, enti pubblici nazionali e altri enti</w:t>
            </w:r>
            <w:r>
              <w:rPr>
                <w:noProof/>
              </w:rPr>
              <w:t>) за предприятията е по-малък или равен на 30 дни.</w:t>
            </w:r>
          </w:p>
        </w:tc>
      </w:tr>
      <w:tr w:rsidR="006054AA" w14:paraId="0A13472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8F1D00" w14:textId="77777777" w:rsidR="006054AA" w:rsidRDefault="001F7667">
            <w:pPr>
              <w:pStyle w:val="P68B1DB1-Normal5"/>
              <w:jc w:val="center"/>
              <w:rPr>
                <w:noProof/>
              </w:rPr>
            </w:pPr>
            <w:r>
              <w:rPr>
                <w:noProof/>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870EE"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F10B78"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A621" w14:textId="77777777" w:rsidR="006054AA" w:rsidRDefault="001F7667">
            <w:pPr>
              <w:pStyle w:val="P68B1DB1-Normal5"/>
              <w:jc w:val="center"/>
              <w:rPr>
                <w:noProof/>
              </w:rPr>
            </w:pPr>
            <w:r>
              <w:rPr>
                <w:noProof/>
              </w:rPr>
              <w:t>Намалява се средният брой дни, през които регионалните публични администрации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F07EC"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FAA99" w14:textId="77777777" w:rsidR="006054AA" w:rsidRDefault="001F7667">
            <w:pPr>
              <w:pStyle w:val="P68B1DB1-Normal5"/>
              <w:jc w:val="center"/>
              <w:rPr>
                <w:noProof/>
              </w:rPr>
            </w:pPr>
            <w:r>
              <w:rPr>
                <w:noProof/>
              </w:rPr>
              <w:t>Среднопретеглено време на плащане</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07C75" w14:textId="77777777" w:rsidR="006054AA" w:rsidRDefault="001F7667">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37C48" w14:textId="77777777" w:rsidR="006054AA" w:rsidRDefault="001F7667">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39F97"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17A2"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D6909"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среднопретегленият срок за плащане („tempo di pagamento“) на регионалните публични органи (</w:t>
            </w:r>
            <w:r>
              <w:rPr>
                <w:i/>
                <w:noProof/>
              </w:rPr>
              <w:t>Regioni и Province Autonome</w:t>
            </w:r>
            <w:r>
              <w:rPr>
                <w:noProof/>
              </w:rPr>
              <w:t>) на предприятията е по-малък или равен на 30 дни.</w:t>
            </w:r>
          </w:p>
        </w:tc>
      </w:tr>
      <w:tr w:rsidR="006054AA" w14:paraId="25F346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9E5913" w14:textId="77777777" w:rsidR="006054AA" w:rsidRDefault="001F7667">
            <w:pPr>
              <w:pStyle w:val="P68B1DB1-Normal5"/>
              <w:jc w:val="center"/>
              <w:rPr>
                <w:noProof/>
              </w:rPr>
            </w:pPr>
            <w:r>
              <w:rPr>
                <w:noProof/>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BEB91"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90653"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46050" w14:textId="77777777" w:rsidR="006054AA" w:rsidRDefault="001F7667">
            <w:pPr>
              <w:pStyle w:val="P68B1DB1-Normal5"/>
              <w:jc w:val="center"/>
              <w:rPr>
                <w:noProof/>
              </w:rPr>
            </w:pPr>
            <w:r>
              <w:rPr>
                <w:noProof/>
              </w:rPr>
              <w:t>Намалява се средният брой дни, през които местните публични администрации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C5CF"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9401" w14:textId="77777777" w:rsidR="006054AA" w:rsidRDefault="001F7667">
            <w:pPr>
              <w:pStyle w:val="P68B1DB1-Normal5"/>
              <w:jc w:val="center"/>
              <w:rPr>
                <w:noProof/>
              </w:rPr>
            </w:pPr>
            <w:r>
              <w:rPr>
                <w:noProof/>
              </w:rPr>
              <w:t>Среднопретеглено време на плащане</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7EC34D" w14:textId="77777777" w:rsidR="006054AA" w:rsidRDefault="001F7667">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7521E" w14:textId="77777777" w:rsidR="006054AA" w:rsidRDefault="001F7667">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6072B"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3DADED"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62482"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среднопретегленият срок за плащане („tempo di pagamento“) на местните публични органи (</w:t>
            </w:r>
            <w:r>
              <w:rPr>
                <w:i/>
                <w:noProof/>
              </w:rPr>
              <w:t>enti locali</w:t>
            </w:r>
            <w:r>
              <w:rPr>
                <w:noProof/>
              </w:rPr>
              <w:t>) на предприятията е по-малък или равен на 30 дни.</w:t>
            </w:r>
          </w:p>
        </w:tc>
      </w:tr>
      <w:tr w:rsidR="006054AA" w14:paraId="55DABAE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B1E36" w14:textId="77777777" w:rsidR="006054AA" w:rsidRDefault="001F7667">
            <w:pPr>
              <w:pStyle w:val="P68B1DB1-Normal5"/>
              <w:jc w:val="center"/>
              <w:rPr>
                <w:noProof/>
              </w:rPr>
            </w:pPr>
            <w:r>
              <w:rPr>
                <w:noProof/>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F2BC68"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2C3DD"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0D1AB" w14:textId="77777777" w:rsidR="006054AA" w:rsidRDefault="001F7667">
            <w:pPr>
              <w:pStyle w:val="P68B1DB1-Normal5"/>
              <w:jc w:val="center"/>
              <w:rPr>
                <w:noProof/>
              </w:rPr>
            </w:pPr>
            <w:r>
              <w:rPr>
                <w:noProof/>
              </w:rPr>
              <w:t>Намалява се средният брой дни, през които администрациите в областта на общественото здравеопазване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88BE7"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BDD49" w14:textId="77777777" w:rsidR="006054AA" w:rsidRDefault="001F7667">
            <w:pPr>
              <w:pStyle w:val="P68B1DB1-Normal5"/>
              <w:jc w:val="center"/>
              <w:rPr>
                <w:noProof/>
              </w:rPr>
            </w:pPr>
            <w:r>
              <w:rPr>
                <w:noProof/>
              </w:rPr>
              <w:t>Среднопретеглено време на плащане</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4EE1F" w14:textId="77777777" w:rsidR="006054AA" w:rsidRDefault="001F7667">
            <w:pPr>
              <w:pStyle w:val="P68B1DB1-Normal5"/>
              <w:jc w:val="center"/>
              <w:rPr>
                <w:noProof/>
              </w:rPr>
            </w:pPr>
            <w:r>
              <w:rPr>
                <w:noProof/>
              </w:rPr>
              <w:t>60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FE260" w14:textId="77777777" w:rsidR="006054AA" w:rsidRDefault="001F7667">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C2F73"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53FEB"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FEDA"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среднопретегленият срок за плащане („tempo di pagamento“) на органите за обществено здравеопазване (</w:t>
            </w:r>
            <w:r>
              <w:rPr>
                <w:i/>
                <w:noProof/>
              </w:rPr>
              <w:t>enti del Servizio sanitario nazionale</w:t>
            </w:r>
            <w:r>
              <w:rPr>
                <w:noProof/>
              </w:rPr>
              <w:t>) на предприятията е по-малък или равен на 60 дни.</w:t>
            </w:r>
          </w:p>
        </w:tc>
      </w:tr>
      <w:tr w:rsidR="006054AA" w14:paraId="5B6B04F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E5BF" w14:textId="77777777" w:rsidR="006054AA" w:rsidRDefault="001F7667">
            <w:pPr>
              <w:pStyle w:val="P68B1DB1-Normal5"/>
              <w:jc w:val="center"/>
              <w:rPr>
                <w:noProof/>
              </w:rPr>
            </w:pPr>
            <w:r>
              <w:rPr>
                <w:noProof/>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7AD72"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5DF2E"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FCFB6" w14:textId="77777777" w:rsidR="006054AA" w:rsidRDefault="001F7667">
            <w:pPr>
              <w:pStyle w:val="P68B1DB1-Normal5"/>
              <w:jc w:val="center"/>
              <w:rPr>
                <w:noProof/>
              </w:rPr>
            </w:pPr>
            <w:r>
              <w:rPr>
                <w:noProof/>
              </w:rPr>
              <w:t>Намалява се средният брой дни на забавяне от страна на централните публични администрации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5775"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7CAFE" w14:textId="77777777" w:rsidR="006054AA" w:rsidRDefault="001F7667">
            <w:pPr>
              <w:pStyle w:val="P68B1DB1-Normal5"/>
              <w:jc w:val="center"/>
              <w:rPr>
                <w:rFonts w:eastAsiaTheme="minorEastAsia"/>
                <w:noProof/>
              </w:rPr>
            </w:pPr>
            <w:r>
              <w:rPr>
                <w:noProof/>
              </w:rPr>
              <w:t>Среднопретеглено забавяне на плащането</w:t>
            </w:r>
          </w:p>
          <w:p w14:paraId="54E3418C" w14:textId="77777777" w:rsidR="006054AA" w:rsidRDefault="001F7667">
            <w:pPr>
              <w:pStyle w:val="P68B1DB1-Normal5"/>
              <w:jc w:val="center"/>
              <w:rPr>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683F2"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0A23E" w14:textId="77777777" w:rsidR="006054AA" w:rsidRDefault="001F7667">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D21BA"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73CA7D"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C093B"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среднопретегленото забавяне на плащането („tempo di ritardo“) на централните органи (Amministrazioni dello Stato, enti pubblici nazionali e altri enti) на предприятията е най-много 0 дни.</w:t>
            </w:r>
          </w:p>
        </w:tc>
      </w:tr>
      <w:tr w:rsidR="006054AA" w14:paraId="44EC8A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A13C1" w14:textId="77777777" w:rsidR="006054AA" w:rsidRDefault="001F7667">
            <w:pPr>
              <w:pStyle w:val="P68B1DB1-Normal5"/>
              <w:jc w:val="center"/>
              <w:rPr>
                <w:noProof/>
              </w:rPr>
            </w:pPr>
            <w:r>
              <w:rPr>
                <w:noProof/>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4AA68"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CA22B5"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26C2B" w14:textId="77777777" w:rsidR="006054AA" w:rsidRDefault="001F7667">
            <w:pPr>
              <w:pStyle w:val="P68B1DB1-Normal5"/>
              <w:jc w:val="center"/>
              <w:rPr>
                <w:noProof/>
              </w:rPr>
            </w:pPr>
            <w:r>
              <w:rPr>
                <w:noProof/>
              </w:rPr>
              <w:t>Намалява се средният брой дни закъснение за регионалните публични администрации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1C958C"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1F339" w14:textId="77777777" w:rsidR="006054AA" w:rsidRDefault="001F7667">
            <w:pPr>
              <w:pStyle w:val="P68B1DB1-Normal5"/>
              <w:jc w:val="center"/>
              <w:rPr>
                <w:rFonts w:eastAsiaTheme="minorEastAsia"/>
                <w:noProof/>
              </w:rPr>
            </w:pPr>
            <w:r>
              <w:rPr>
                <w:noProof/>
              </w:rPr>
              <w:t>Среднопретеглено забавяне на плащането</w:t>
            </w:r>
          </w:p>
          <w:p w14:paraId="1AFCC9F8" w14:textId="77777777" w:rsidR="006054AA" w:rsidRDefault="001F7667">
            <w:pPr>
              <w:pStyle w:val="P68B1DB1-Normal5"/>
              <w:jc w:val="center"/>
              <w:rPr>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CF719"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006947" w14:textId="77777777" w:rsidR="006054AA" w:rsidRDefault="001F7667">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3918C"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39003"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3888FF"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среднопретегленото забавяне на плащанията („tempo di ritardo“) на регионалните органи (Regioni и Province Autonome) в полза на предприятията е най-много 0 дни.</w:t>
            </w:r>
          </w:p>
        </w:tc>
      </w:tr>
      <w:tr w:rsidR="006054AA" w14:paraId="3EC2FCB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B72D3" w14:textId="77777777" w:rsidR="006054AA" w:rsidRDefault="001F7667">
            <w:pPr>
              <w:pStyle w:val="P68B1DB1-Normal5"/>
              <w:jc w:val="center"/>
              <w:rPr>
                <w:noProof/>
              </w:rPr>
            </w:pPr>
            <w:r>
              <w:rPr>
                <w:noProof/>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0E651"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066DA"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86803B" w14:textId="77777777" w:rsidR="006054AA" w:rsidRDefault="001F7667">
            <w:pPr>
              <w:pStyle w:val="P68B1DB1-Normal5"/>
              <w:jc w:val="center"/>
              <w:rPr>
                <w:noProof/>
              </w:rPr>
            </w:pPr>
            <w:r>
              <w:rPr>
                <w:noProof/>
              </w:rPr>
              <w:t>Намалява се средният брой дни закъснение за местните публични администрации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267"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B8D162" w14:textId="77777777" w:rsidR="006054AA" w:rsidRDefault="001F7667">
            <w:pPr>
              <w:pStyle w:val="P68B1DB1-Normal5"/>
              <w:jc w:val="center"/>
              <w:rPr>
                <w:rFonts w:eastAsiaTheme="minorEastAsia"/>
                <w:noProof/>
              </w:rPr>
            </w:pPr>
            <w:r>
              <w:rPr>
                <w:noProof/>
              </w:rPr>
              <w:t>Среднопретеглено забавяне на плащането</w:t>
            </w:r>
          </w:p>
          <w:p w14:paraId="6B457FE1" w14:textId="77777777" w:rsidR="006054AA" w:rsidRDefault="001F7667">
            <w:pPr>
              <w:pStyle w:val="P68B1DB1-Normal5"/>
              <w:jc w:val="center"/>
              <w:rPr>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47CE6D"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716D2" w14:textId="77777777" w:rsidR="006054AA" w:rsidRDefault="001F7667">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34D5B"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B7873"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885D5"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среднопретегленото забавяне на плащанията („tempo di ritardo“) на местните органи (enti locali) към предприятията трябва да бъде най-много 0 дни.</w:t>
            </w:r>
          </w:p>
        </w:tc>
      </w:tr>
      <w:tr w:rsidR="006054AA" w14:paraId="11A809F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6DFFC" w14:textId="77777777" w:rsidR="006054AA" w:rsidRDefault="001F7667">
            <w:pPr>
              <w:pStyle w:val="P68B1DB1-Normal5"/>
              <w:jc w:val="center"/>
              <w:rPr>
                <w:noProof/>
              </w:rPr>
            </w:pPr>
            <w:r>
              <w:rPr>
                <w:noProof/>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B404" w14:textId="77777777" w:rsidR="006054AA" w:rsidRDefault="001F7667">
            <w:pPr>
              <w:pStyle w:val="P68B1DB1-Normal5"/>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25E5C2"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BF0F6" w14:textId="77777777" w:rsidR="006054AA" w:rsidRDefault="001F7667">
            <w:pPr>
              <w:pStyle w:val="P68B1DB1-Normal5"/>
              <w:jc w:val="center"/>
              <w:rPr>
                <w:noProof/>
              </w:rPr>
            </w:pPr>
            <w:r>
              <w:rPr>
                <w:noProof/>
              </w:rPr>
              <w:t>Намалява се средният брой дни, в които публичните здравни администрации закъсняват да плащат на предприятията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87CAA8"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67F34" w14:textId="77777777" w:rsidR="006054AA" w:rsidRDefault="001F7667">
            <w:pPr>
              <w:pStyle w:val="P68B1DB1-Normal5"/>
              <w:jc w:val="center"/>
              <w:rPr>
                <w:rFonts w:eastAsiaTheme="minorEastAsia"/>
                <w:noProof/>
              </w:rPr>
            </w:pPr>
            <w:r>
              <w:rPr>
                <w:noProof/>
              </w:rPr>
              <w:t>Среднопретеглено забавяне на плащането</w:t>
            </w:r>
          </w:p>
          <w:p w14:paraId="16FA9E26" w14:textId="77777777" w:rsidR="006054AA" w:rsidRDefault="001F7667">
            <w:pPr>
              <w:pStyle w:val="P68B1DB1-Normal5"/>
              <w:jc w:val="center"/>
              <w:rPr>
                <w:noProof/>
              </w:rPr>
            </w:pPr>
            <w:r>
              <w:rPr>
                <w:noProof/>
              </w:rPr>
              <w:t>(в дни)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1CA63"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DF363" w14:textId="77777777" w:rsidR="006054AA" w:rsidRDefault="001F7667">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3ED203"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0BAE03"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F5261" w14:textId="77777777" w:rsidR="006054AA" w:rsidRDefault="001F7667">
            <w:pPr>
              <w:pStyle w:val="P68B1DB1-Normal5"/>
              <w:spacing w:before="100" w:beforeAutospacing="1" w:after="120"/>
              <w:rPr>
                <w:noProof/>
              </w:rPr>
            </w:pPr>
            <w:r>
              <w:rPr>
                <w:noProof/>
              </w:rPr>
              <w:t>Въз основа на търговската кредитна платформа (PCC) среднопретегленото забавяне на плащанията („tempo di ritardo“) на органите за обществено здравеопазване (enti del Servizio sanitario nazionale) на предприятията е най-много 0 дни.</w:t>
            </w:r>
          </w:p>
        </w:tc>
      </w:tr>
      <w:tr w:rsidR="006054AA" w14:paraId="38E922A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20697" w14:textId="77777777" w:rsidR="006054AA" w:rsidRDefault="001F7667">
            <w:pPr>
              <w:pStyle w:val="P68B1DB1-Normal5"/>
              <w:jc w:val="center"/>
              <w:rPr>
                <w:noProof/>
              </w:rPr>
            </w:pPr>
            <w:r>
              <w:rPr>
                <w:noProof/>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3B6DB"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CDE5"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9997F8" w14:textId="77777777" w:rsidR="006054AA" w:rsidRDefault="001F7667">
            <w:pPr>
              <w:pStyle w:val="P68B1DB1-Normal5"/>
              <w:jc w:val="center"/>
              <w:rPr>
                <w:noProof/>
              </w:rPr>
            </w:pPr>
            <w:r>
              <w:rPr>
                <w:noProof/>
              </w:rPr>
              <w:t>Средно време между публикуването и възлагането на поръчката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7CD66"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FA6C2"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D3F1C" w14:textId="77777777" w:rsidR="006054AA" w:rsidRDefault="001F7667">
            <w:pPr>
              <w:pStyle w:val="P68B1DB1-Normal5"/>
              <w:jc w:val="center"/>
              <w:rPr>
                <w:noProof/>
              </w:rPr>
            </w:pPr>
            <w:r>
              <w:rPr>
                <w:noProof/>
              </w:rPr>
              <w:t>193</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9AFED2" w14:textId="77777777" w:rsidR="006054AA" w:rsidRDefault="001F7667">
            <w:pPr>
              <w:pStyle w:val="P68B1DB1-Normal5"/>
              <w:jc w:val="center"/>
              <w:rPr>
                <w:noProof/>
              </w:rPr>
            </w:pPr>
            <w:r>
              <w:rPr>
                <w:noProof/>
              </w:rPr>
              <w:t>115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E9CA0"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B73E6" w14:textId="62CA6AFA"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A2D3A" w14:textId="77777777" w:rsidR="006054AA" w:rsidRDefault="001F7667">
            <w:pPr>
              <w:pStyle w:val="P68B1DB1-Normal5"/>
              <w:spacing w:before="100" w:beforeAutospacing="1" w:after="120"/>
              <w:rPr>
                <w:noProof/>
              </w:rPr>
            </w:pPr>
            <w:r>
              <w:rPr>
                <w:noProof/>
              </w:rPr>
              <w:t>Въз основа на данните от Официален вестник на ЕС (база данни TED) средното време между крайния срок за подаване на оферти и датата на подписване на договора се намалява до не повече от 115 дни за договори над праговете, определени в директивите на ЕС за обществените поръчки.</w:t>
            </w:r>
          </w:p>
          <w:p w14:paraId="4005C87C" w14:textId="77777777" w:rsidR="006054AA" w:rsidRDefault="001F7667">
            <w:pPr>
              <w:pStyle w:val="P68B1DB1-Normal5"/>
              <w:spacing w:before="100" w:beforeAutospacing="1" w:after="120"/>
              <w:rPr>
                <w:noProof/>
              </w:rPr>
            </w:pPr>
            <w:r>
              <w:rPr>
                <w:noProof/>
              </w:rPr>
              <w:t>Да гарантира, че е налице пълна съгласуваност и липса на време между публикуването на данните за сключването на договора в TED и в BDNCP (ANAC).</w:t>
            </w:r>
          </w:p>
        </w:tc>
      </w:tr>
      <w:tr w:rsidR="006054AA" w14:paraId="4A47B93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31FD5" w14:textId="77777777" w:rsidR="006054AA" w:rsidRDefault="001F7667">
            <w:pPr>
              <w:pStyle w:val="P68B1DB1-Normal5"/>
              <w:jc w:val="center"/>
              <w:rPr>
                <w:noProof/>
              </w:rPr>
            </w:pPr>
            <w:r>
              <w:rPr>
                <w:noProof/>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90CF0"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8235DF"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967F5" w14:textId="77777777" w:rsidR="006054AA" w:rsidRDefault="001F7667">
            <w:pPr>
              <w:pStyle w:val="P68B1DB1-Normal5"/>
              <w:jc w:val="center"/>
              <w:rPr>
                <w:noProof/>
              </w:rPr>
            </w:pPr>
            <w:r>
              <w:rPr>
                <w:noProof/>
              </w:rPr>
              <w:t>Средно време между възлагането на поръчката и реализацията на инфраструктурата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F5E178"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78CA9"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C27F4"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59F72" w14:textId="77777777" w:rsidR="006054AA" w:rsidRDefault="001F7667">
            <w:pPr>
              <w:pStyle w:val="P68B1DB1-Normal5"/>
              <w:jc w:val="center"/>
              <w:rPr>
                <w:noProof/>
              </w:rPr>
            </w:pPr>
            <w:r>
              <w:rPr>
                <w:noProof/>
              </w:rPr>
              <w:t>88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2B029"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CBCE8"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E9F8" w14:textId="77777777" w:rsidR="006054AA" w:rsidRDefault="001F7667">
            <w:pPr>
              <w:pStyle w:val="P68B1DB1-Normal5"/>
              <w:spacing w:before="100" w:beforeAutospacing="1" w:after="120"/>
              <w:rPr>
                <w:noProof/>
              </w:rPr>
            </w:pPr>
            <w:r>
              <w:rPr>
                <w:noProof/>
              </w:rPr>
              <w:t>Средното време между възлагането на поръчката и реализацията на инфраструктурата („fase esecutiva“) се намалява най-малко с 12 %.</w:t>
            </w:r>
          </w:p>
        </w:tc>
      </w:tr>
      <w:tr w:rsidR="006054AA" w14:paraId="17EF5DA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6E6F" w14:textId="77777777" w:rsidR="006054AA" w:rsidRDefault="001F7667">
            <w:pPr>
              <w:pStyle w:val="P68B1DB1-Normal5"/>
              <w:jc w:val="center"/>
              <w:rPr>
                <w:noProof/>
              </w:rPr>
            </w:pPr>
            <w:r>
              <w:rPr>
                <w:noProof/>
              </w:rPr>
              <w:t>M1C1—97bis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D165CD"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3B3C46"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3F1E4" w14:textId="77777777" w:rsidR="006054AA" w:rsidRDefault="001F7667">
            <w:pPr>
              <w:pStyle w:val="P68B1DB1-Normal5"/>
              <w:jc w:val="center"/>
              <w:rPr>
                <w:noProof/>
              </w:rPr>
            </w:pPr>
            <w:r>
              <w:rPr>
                <w:noProof/>
              </w:rPr>
              <w:t>Средно време между възлагането на поръчката и реализацията на инфраструктурата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94F8"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6B01B"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ED69E" w14:textId="77777777" w:rsidR="006054AA" w:rsidRDefault="001F7667">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C714C" w14:textId="77777777" w:rsidR="006054AA" w:rsidRDefault="001F7667">
            <w:pPr>
              <w:pStyle w:val="P68B1DB1-Normal5"/>
              <w:jc w:val="center"/>
              <w:rPr>
                <w:noProof/>
              </w:rPr>
            </w:pPr>
            <w:r>
              <w:rPr>
                <w:noProof/>
              </w:rPr>
              <w:t>85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33ADE"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B60A5A"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7DEE9" w14:textId="77777777" w:rsidR="006054AA" w:rsidRDefault="001F7667">
            <w:pPr>
              <w:pStyle w:val="P68B1DB1-Normal5"/>
              <w:spacing w:before="100" w:beforeAutospacing="1" w:after="120"/>
              <w:rPr>
                <w:noProof/>
              </w:rPr>
            </w:pPr>
            <w:r>
              <w:rPr>
                <w:noProof/>
              </w:rPr>
              <w:t>Средното време между възлагането на поръчката и реализацията на инфраструктурата („fase esecutiva“) се намалява най-малко с 15 %.</w:t>
            </w:r>
          </w:p>
        </w:tc>
      </w:tr>
      <w:tr w:rsidR="006054AA" w14:paraId="0C9E644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95ED5" w14:textId="77777777" w:rsidR="006054AA" w:rsidRDefault="001F7667">
            <w:pPr>
              <w:pStyle w:val="P68B1DB1-Normal5"/>
              <w:jc w:val="center"/>
              <w:rPr>
                <w:noProof/>
              </w:rPr>
            </w:pPr>
            <w:r>
              <w:rPr>
                <w:noProof/>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7F8EF"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59D5A"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245D6" w14:textId="77777777" w:rsidR="006054AA" w:rsidRDefault="001F7667">
            <w:pPr>
              <w:pStyle w:val="P68B1DB1-Normal5"/>
              <w:jc w:val="center"/>
              <w:rPr>
                <w:noProof/>
              </w:rPr>
            </w:pPr>
            <w:r>
              <w:rPr>
                <w:noProof/>
              </w:rPr>
              <w:t>Държавни служители, обучени чрез стратегията за професионализация на публичните купувачи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DE8CD"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8D3F1"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F7ABBB" w14:textId="77777777" w:rsidR="006054AA" w:rsidRDefault="001F7667">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3DD0E" w14:textId="77777777" w:rsidR="006054AA" w:rsidRDefault="001F7667">
            <w:pPr>
              <w:pStyle w:val="P68B1DB1-Normal5"/>
              <w:jc w:val="center"/>
              <w:rPr>
                <w:noProof/>
              </w:rPr>
            </w:pPr>
            <w:r>
              <w:rPr>
                <w:noProof/>
              </w:rPr>
              <w:t>40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43DCD"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3A18A"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8EA39" w14:textId="7DBC39D8" w:rsidR="006054AA" w:rsidRDefault="001F7667">
            <w:pPr>
              <w:pStyle w:val="P68B1DB1-Normal4"/>
              <w:spacing w:before="100" w:beforeAutospacing="1" w:after="120"/>
              <w:rPr>
                <w:noProof/>
                <w:color w:val="006100"/>
              </w:rPr>
            </w:pPr>
            <w:r>
              <w:rPr>
                <w:noProof/>
                <w:color w:val="006100"/>
              </w:rPr>
              <w:t>Най-малко 40 % от държавните служители са преминали обучение чрез Стратегията за професионална</w:t>
            </w:r>
            <w:r>
              <w:rPr>
                <w:noProof/>
              </w:rPr>
              <w:t xml:space="preserve"> квалификация </w:t>
            </w:r>
            <w:r>
              <w:rPr>
                <w:noProof/>
                <w:color w:val="006100"/>
              </w:rPr>
              <w:t>на публичните купувачи. Този процент отчита общия брой държавни служители, които участват активно в обществените поръчки, т.е. 100 000 публични купувачи, регистрирани към 30 април 2021 г. в националната система за електронни обществени поръчки, управлявана от Consip от името на ФСИ.</w:t>
            </w:r>
          </w:p>
        </w:tc>
      </w:tr>
      <w:tr w:rsidR="006054AA" w14:paraId="0D97638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A9E69" w14:textId="77777777" w:rsidR="006054AA" w:rsidRDefault="001F7667">
            <w:pPr>
              <w:pStyle w:val="P68B1DB1-Normal5"/>
              <w:jc w:val="center"/>
              <w:rPr>
                <w:noProof/>
              </w:rPr>
            </w:pPr>
            <w:r>
              <w:rPr>
                <w:noProof/>
              </w:rPr>
              <w:t>M1C1—98bis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C0414"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D53641"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F1DEE" w14:textId="77777777" w:rsidR="006054AA" w:rsidRDefault="001F7667">
            <w:pPr>
              <w:pStyle w:val="P68B1DB1-Normal5"/>
              <w:jc w:val="center"/>
              <w:rPr>
                <w:noProof/>
              </w:rPr>
            </w:pPr>
            <w:r>
              <w:rPr>
                <w:noProof/>
              </w:rPr>
              <w:t>Държавни служители, обучени чрез стратегията за професионализация на публичните купувачи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7BF46B"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C639C"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61260" w14:textId="77777777" w:rsidR="006054AA" w:rsidRDefault="001F7667">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BE5FE" w14:textId="77777777" w:rsidR="006054AA" w:rsidRDefault="001F7667">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34633"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8CEFE"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A9D685" w14:textId="695A22EC" w:rsidR="006054AA" w:rsidRDefault="001F7667">
            <w:pPr>
              <w:pStyle w:val="P68B1DB1-Normal5"/>
              <w:spacing w:before="100" w:beforeAutospacing="1" w:after="120"/>
              <w:rPr>
                <w:noProof/>
              </w:rPr>
            </w:pPr>
            <w:r>
              <w:rPr>
                <w:noProof/>
              </w:rPr>
              <w:t>Най-малко 60 % от държавните служители са преминали обучение чрез Стратегията за професионална квалификация на публичните купувачи. Този процент отчита общия брой държавни служители, които участват активно в обществените поръчки, т.е. 100 000 публични купувачи, регистрирани към 30 април 2021 г. в националната система за електронни обществени поръчки, управлявана от Consip от името на ФСИ.</w:t>
            </w:r>
          </w:p>
        </w:tc>
      </w:tr>
      <w:tr w:rsidR="006054AA" w14:paraId="0098BD0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279F5" w14:textId="77777777" w:rsidR="006054AA" w:rsidRDefault="001F7667">
            <w:pPr>
              <w:pStyle w:val="P68B1DB1-Normal5"/>
              <w:jc w:val="center"/>
              <w:rPr>
                <w:noProof/>
              </w:rPr>
            </w:pPr>
            <w:r>
              <w:rPr>
                <w:noProof/>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D50CB"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315CB3"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E40E1" w14:textId="77777777" w:rsidR="006054AA" w:rsidRDefault="001F7667">
            <w:pPr>
              <w:pStyle w:val="P68B1DB1-Normal5"/>
              <w:jc w:val="center"/>
              <w:rPr>
                <w:noProof/>
              </w:rPr>
            </w:pPr>
            <w:r>
              <w:rPr>
                <w:noProof/>
              </w:rPr>
              <w:t>Възлагащи органи, използващи динамични системи за покупки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BC955" w14:textId="77777777" w:rsidR="006054AA" w:rsidRDefault="001F7667">
            <w:pPr>
              <w:pStyle w:val="P68B1DB1-Normal5"/>
              <w:jc w:val="center"/>
              <w:rPr>
                <w:noProof/>
              </w:rPr>
            </w:pPr>
            <w:r>
              <w:rPr>
                <w:noProof/>
              </w:rPr>
              <w:t>Процент на възлагащите органи от централното държавно управление, които използват динамични системи за покупки съгласно Директива 2014/24 на ЕС</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BAAB"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0DE1B" w14:textId="77777777" w:rsidR="006054AA" w:rsidRDefault="001F7667">
            <w:pPr>
              <w:pStyle w:val="P68B1DB1-Normal5"/>
              <w:jc w:val="center"/>
              <w:rPr>
                <w:noProof/>
              </w:rPr>
            </w:pPr>
            <w:r>
              <w:rPr>
                <w:noProof/>
              </w:rPr>
              <w:t>15</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57D2F" w14:textId="77777777" w:rsidR="006054AA" w:rsidRDefault="001F7667">
            <w:pPr>
              <w:pStyle w:val="P68B1DB1-Normal5"/>
              <w:jc w:val="center"/>
              <w:rPr>
                <w:noProof/>
              </w:rPr>
            </w:pPr>
            <w:r>
              <w:rPr>
                <w:noProof/>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069EF"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9CEB51"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FC2EB5" w14:textId="77777777" w:rsidR="006054AA" w:rsidRDefault="001F7667">
            <w:pPr>
              <w:pStyle w:val="P68B1DB1-Normal5"/>
              <w:spacing w:before="100" w:beforeAutospacing="1" w:after="120"/>
              <w:rPr>
                <w:noProof/>
              </w:rPr>
            </w:pPr>
            <w:r>
              <w:rPr>
                <w:noProof/>
              </w:rPr>
              <w:t>Най-малко 20 % от възлагащите органи използват динамични системи за покупки съгласно Директива 2014/24 (двугодишен период на наблюдение и като се има предвид, че в Италия използването на ДСП е насочено главно към покупки над прага, като се има предвид, че тези под прага се извършват главно чрез eMarketplaces). Целта се отнася до възлагащите органи на централното правителство (250 РА, регистрирани към 30 април 2021 г. в националната система за електронни обществени поръчки, управлявана от Consip от името на ФСИ).</w:t>
            </w:r>
          </w:p>
        </w:tc>
      </w:tr>
      <w:tr w:rsidR="006054AA" w14:paraId="43E6156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7B4BD" w14:textId="77777777" w:rsidR="006054AA" w:rsidRDefault="001F7667">
            <w:pPr>
              <w:pStyle w:val="P68B1DB1-Normal5"/>
              <w:jc w:val="center"/>
              <w:rPr>
                <w:noProof/>
              </w:rPr>
            </w:pPr>
            <w:r>
              <w:rPr>
                <w:noProof/>
              </w:rPr>
              <w:t>M1C1—99bis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ADA6" w14:textId="77777777" w:rsidR="006054AA" w:rsidRDefault="001F7667">
            <w:pPr>
              <w:pStyle w:val="P68B1DB1-Normal5"/>
              <w:jc w:val="center"/>
              <w:rPr>
                <w:noProof/>
              </w:rPr>
            </w:pPr>
            <w:r>
              <w:rPr>
                <w:noProof/>
              </w:rPr>
              <w:t>Реформа 1.10: Реформа на законодателната рамка за обществените поръчки</w:t>
            </w:r>
          </w:p>
          <w:p w14:paraId="4AFB8967" w14:textId="77777777" w:rsidR="006054AA" w:rsidRDefault="006054AA">
            <w:pPr>
              <w:jc w:val="center"/>
              <w:rPr>
                <w:rFonts w:ascii="Arial Narrow" w:hAnsi="Arial Narrow" w:cs="Arial"/>
                <w:noProof/>
                <w:color w:val="006100"/>
                <w:sz w:val="20"/>
              </w:rPr>
            </w:pPr>
          </w:p>
          <w:p w14:paraId="2ED314ED" w14:textId="77777777" w:rsidR="006054AA" w:rsidRDefault="001F7667">
            <w:pPr>
              <w:pStyle w:val="P68B1DB1-Normal5"/>
              <w:jc w:val="center"/>
              <w:rPr>
                <w:noProof/>
              </w:rPr>
            </w:pPr>
            <w:r>
              <w:rPr>
                <w:noProof/>
              </w:rPr>
              <w:t>Инвестиция 1.10: Подкрепа за квалификацията и електронните обществени поръчки</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6A023"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A48F7" w14:textId="77777777" w:rsidR="006054AA" w:rsidRDefault="001F7667">
            <w:pPr>
              <w:pStyle w:val="P68B1DB1-Normal5"/>
              <w:jc w:val="center"/>
              <w:rPr>
                <w:noProof/>
              </w:rPr>
            </w:pPr>
            <w:r>
              <w:rPr>
                <w:noProof/>
              </w:rPr>
              <w:t xml:space="preserve">Компетентности на възлагащите органи в областта на цифровите технологии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DF516" w14:textId="125A0AA3" w:rsidR="006054AA" w:rsidRDefault="001F7667">
            <w:pPr>
              <w:pStyle w:val="P68B1DB1-Normal5"/>
              <w:jc w:val="center"/>
              <w:rPr>
                <w:noProof/>
              </w:rPr>
            </w:pPr>
            <w:r>
              <w:rPr>
                <w:noProof/>
              </w:rPr>
              <w:t>Процент на възлагащите органи на местното управление, компетентни в областта на цифровите технологии</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0202A"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2EB690"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E7AD9" w14:textId="77777777" w:rsidR="006054AA" w:rsidRDefault="001F7667">
            <w:pPr>
              <w:pStyle w:val="P68B1DB1-Normal5"/>
              <w:jc w:val="center"/>
              <w:rPr>
                <w:noProof/>
              </w:rPr>
            </w:pPr>
            <w:r>
              <w:rPr>
                <w:noProof/>
              </w:rPr>
              <w:t>50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B83B7"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8D5C0"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9E76B" w14:textId="29207C3F" w:rsidR="006054AA" w:rsidRDefault="001F7667">
            <w:pPr>
              <w:pStyle w:val="P68B1DB1-Normal5"/>
              <w:spacing w:before="100" w:beforeAutospacing="1" w:after="120"/>
              <w:jc w:val="center"/>
              <w:rPr>
                <w:noProof/>
              </w:rPr>
            </w:pPr>
            <w:r>
              <w:rPr>
                <w:noProof/>
              </w:rPr>
              <w:t>Най-малко 50 % от местните възлагащи органи притежават цифровите умения, изисквани от квалификацията.</w:t>
            </w:r>
          </w:p>
          <w:p w14:paraId="498D1186" w14:textId="51344F6B" w:rsidR="006054AA" w:rsidRDefault="001F7667">
            <w:pPr>
              <w:pStyle w:val="P68B1DB1-Normal5"/>
              <w:spacing w:before="100" w:beforeAutospacing="1" w:after="120"/>
              <w:rPr>
                <w:noProof/>
              </w:rPr>
            </w:pPr>
            <w:r>
              <w:rPr>
                <w:noProof/>
              </w:rPr>
              <w:t>Възлагащите органи, които отговарят на същите изисквания чрез централизирани органи за покупки, също се отчитат за целите на постигането на целта.</w:t>
            </w:r>
          </w:p>
        </w:tc>
      </w:tr>
      <w:tr w:rsidR="006054AA" w14:paraId="1F820D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505F79" w14:textId="77777777" w:rsidR="006054AA" w:rsidRDefault="001F7667">
            <w:pPr>
              <w:pStyle w:val="P68B1DB1-Normal5"/>
              <w:jc w:val="center"/>
              <w:rPr>
                <w:noProof/>
              </w:rPr>
            </w:pPr>
            <w:r>
              <w:rPr>
                <w:noProof/>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B611F" w14:textId="77777777" w:rsidR="006054AA" w:rsidRDefault="001F7667">
            <w:pPr>
              <w:pStyle w:val="P68B1DB1-Normal5"/>
              <w:jc w:val="center"/>
              <w:rPr>
                <w:noProof/>
              </w:rPr>
            </w:pPr>
            <w:r>
              <w:rPr>
                <w:noProof/>
              </w:rPr>
              <w:t>Реформа 1.13: Реформа на рамката за преглед на разходите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9DCFF"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EA7F" w14:textId="77777777" w:rsidR="006054AA" w:rsidRDefault="001F7667">
            <w:pPr>
              <w:pStyle w:val="P68B1DB1-Normal5"/>
              <w:jc w:val="center"/>
              <w:rPr>
                <w:noProof/>
              </w:rPr>
            </w:pPr>
            <w:r>
              <w:rPr>
                <w:noProof/>
              </w:rPr>
              <w:t>Влизане в сила на законодателни разпоредби за подобряване на ефективността на прегледа на разходите — укрепване на Министерството на финансите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3C507" w14:textId="77777777" w:rsidR="006054AA" w:rsidRDefault="001F7667">
            <w:pPr>
              <w:pStyle w:val="P68B1DB1-Normal5"/>
              <w:jc w:val="center"/>
              <w:rPr>
                <w:noProof/>
              </w:rPr>
            </w:pPr>
            <w:r>
              <w:rPr>
                <w:noProof/>
              </w:rPr>
              <w:t>Законова разпоредба, указваща влизането в сила на закона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A94E8"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F4952"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7C9BBE"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F9067"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3AB17"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76BDF" w14:textId="77777777" w:rsidR="006054AA" w:rsidRDefault="001F7667">
            <w:pPr>
              <w:pStyle w:val="P68B1DB1-Normal5"/>
              <w:spacing w:before="100" w:beforeAutospacing="1" w:after="120"/>
              <w:rPr>
                <w:noProof/>
              </w:rPr>
            </w:pPr>
            <w:r>
              <w:rPr>
                <w:noProof/>
              </w:rPr>
              <w:t>Преразгледаната рамка за преглед на разходите в централните държавни администрации (министерства) ще подобри нейната ефективност чрез засилване на ролята на Министерството на икономиката и финансите. По-специално в него се предвижда засилена роля на Министерството на икономиката и финансите в предварителната оценка, процесите на мониторинг и последващата оценка, което ще позволи да се наложи цялостното изпълнение на прегледите и постигането на предвидените цели.</w:t>
            </w:r>
          </w:p>
        </w:tc>
      </w:tr>
      <w:tr w:rsidR="006054AA" w14:paraId="709C425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35A25" w14:textId="77777777" w:rsidR="006054AA" w:rsidRDefault="001F7667">
            <w:pPr>
              <w:pStyle w:val="P68B1DB1-Normal5"/>
              <w:jc w:val="center"/>
              <w:rPr>
                <w:noProof/>
              </w:rPr>
            </w:pPr>
            <w:r>
              <w:rPr>
                <w:noProof/>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63567" w14:textId="77777777" w:rsidR="006054AA" w:rsidRDefault="001F7667">
            <w:pPr>
              <w:pStyle w:val="P68B1DB1-Normal5"/>
              <w:jc w:val="center"/>
              <w:rPr>
                <w:noProof/>
              </w:rPr>
            </w:pPr>
            <w:r>
              <w:rPr>
                <w:noProof/>
              </w:rPr>
              <w:t>Реформа 1.12:</w:t>
            </w:r>
          </w:p>
          <w:p w14:paraId="142B82D8" w14:textId="77777777" w:rsidR="006054AA" w:rsidRDefault="001F7667">
            <w:pPr>
              <w:pStyle w:val="P68B1DB1-Normal5"/>
              <w:jc w:val="center"/>
              <w:rPr>
                <w:noProof/>
              </w:rPr>
            </w:pPr>
            <w:r>
              <w:rPr>
                <w:noProof/>
              </w:rPr>
              <w:t>Реформа на данъчната администрация</w:t>
            </w:r>
          </w:p>
          <w:p w14:paraId="64474473" w14:textId="77777777" w:rsidR="006054AA" w:rsidRDefault="006054AA">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9E185"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ED7AD2" w14:textId="77777777" w:rsidR="006054AA" w:rsidRDefault="001F7667">
            <w:pPr>
              <w:pStyle w:val="P68B1DB1-Normal5"/>
              <w:jc w:val="center"/>
              <w:rPr>
                <w:noProof/>
              </w:rPr>
            </w:pPr>
            <w:r>
              <w:rPr>
                <w:noProof/>
              </w:rPr>
              <w:t>Приемане на преглед на възможните действия за намаляване на отклонението от данъчно облагане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D730D" w14:textId="77777777" w:rsidR="006054AA" w:rsidRDefault="001F7667">
            <w:pPr>
              <w:pStyle w:val="P68B1DB1-Normal5"/>
              <w:jc w:val="center"/>
              <w:rPr>
                <w:noProof/>
              </w:rPr>
            </w:pPr>
            <w:r>
              <w:rPr>
                <w:noProof/>
              </w:rPr>
              <w:t>Публикуване на прегледа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38C5E"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D96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D036F"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989F2"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DF3D6" w14:textId="77777777" w:rsidR="006054AA" w:rsidRDefault="001F7667">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103A60" w14:textId="77777777" w:rsidR="006054AA" w:rsidRDefault="001F7667">
            <w:pPr>
              <w:pStyle w:val="P68B1DB1-Normal5"/>
              <w:spacing w:before="100" w:beforeAutospacing="1" w:after="120"/>
              <w:rPr>
                <w:noProof/>
              </w:rPr>
            </w:pPr>
            <w:r>
              <w:rPr>
                <w:noProof/>
              </w:rPr>
              <w:t>Да приеме доклад, който да информира правителството за действия за намаляване на укриването на данъци от пропуснати фактури, особено в секторите, които са изложени в най-голяма степен на отклонение от данъчно облагане, включително чрез целенасочени стимули за потребителите.</w:t>
            </w:r>
          </w:p>
        </w:tc>
      </w:tr>
      <w:tr w:rsidR="006054AA" w14:paraId="26C5D41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A497E" w14:textId="77777777" w:rsidR="006054AA" w:rsidRDefault="001F7667">
            <w:pPr>
              <w:pStyle w:val="P68B1DB1-Normal5"/>
              <w:jc w:val="center"/>
              <w:rPr>
                <w:noProof/>
              </w:rPr>
            </w:pPr>
            <w:r>
              <w:rPr>
                <w:noProof/>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235AC" w14:textId="77777777" w:rsidR="006054AA" w:rsidRDefault="001F7667">
            <w:pPr>
              <w:pStyle w:val="P68B1DB1-Normal5"/>
              <w:jc w:val="center"/>
              <w:rPr>
                <w:noProof/>
              </w:rPr>
            </w:pPr>
            <w:r>
              <w:rPr>
                <w:noProof/>
              </w:rPr>
              <w:t>Реформа 1.13: Реформа на рамката за преглед на разходите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1EB96"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7CD1B" w14:textId="77777777" w:rsidR="006054AA" w:rsidRDefault="001F7667">
            <w:pPr>
              <w:pStyle w:val="P68B1DB1-Normal5"/>
              <w:jc w:val="center"/>
              <w:rPr>
                <w:noProof/>
              </w:rPr>
            </w:pPr>
            <w:r>
              <w:rPr>
                <w:noProof/>
              </w:rPr>
              <w:t>Приемане на доклад за ефективността на практиките, използвани от избрани публични администрации за формулиране и прилагане на планове за икономии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46923" w14:textId="77777777" w:rsidR="006054AA" w:rsidRDefault="001F7667">
            <w:pPr>
              <w:pStyle w:val="P68B1DB1-Normal5"/>
              <w:jc w:val="center"/>
              <w:rPr>
                <w:noProof/>
              </w:rPr>
            </w:pPr>
            <w:r>
              <w:rPr>
                <w:noProof/>
              </w:rPr>
              <w:t>Публикуване на доклада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245F3"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233C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290B1E"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C7615"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AEAF5"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47EFD" w14:textId="77777777" w:rsidR="006054AA" w:rsidRDefault="001F7667">
            <w:pPr>
              <w:pStyle w:val="P68B1DB1-Normal5"/>
              <w:spacing w:before="100" w:beforeAutospacing="1" w:after="120"/>
              <w:rPr>
                <w:noProof/>
              </w:rPr>
            </w:pPr>
            <w:r>
              <w:rPr>
                <w:noProof/>
              </w:rPr>
              <w:t>Докладът се изготвя от счетоводния отдел на Министерството на финансите в сътрудничество с избрани администрации с цел:</w:t>
            </w:r>
          </w:p>
          <w:p w14:paraId="29487C6A" w14:textId="77777777" w:rsidR="006054AA" w:rsidRDefault="001F7667">
            <w:pPr>
              <w:pStyle w:val="P68B1DB1-ListParagraph6"/>
              <w:numPr>
                <w:ilvl w:val="0"/>
                <w:numId w:val="76"/>
              </w:numPr>
              <w:ind w:left="324" w:hanging="283"/>
              <w:jc w:val="left"/>
              <w:rPr>
                <w:noProof/>
              </w:rPr>
            </w:pPr>
            <w:r>
              <w:rPr>
                <w:noProof/>
              </w:rPr>
              <w:t>Оценяват практиките си при формулирането и изпълнението на спестовни планове.</w:t>
            </w:r>
          </w:p>
          <w:p w14:paraId="5CD9B371" w14:textId="77777777" w:rsidR="006054AA" w:rsidRDefault="001F7667">
            <w:pPr>
              <w:pStyle w:val="P68B1DB1-ListParagraph6"/>
              <w:numPr>
                <w:ilvl w:val="0"/>
                <w:numId w:val="76"/>
              </w:numPr>
              <w:ind w:left="324" w:hanging="283"/>
              <w:jc w:val="left"/>
              <w:rPr>
                <w:noProof/>
              </w:rPr>
            </w:pPr>
            <w:r>
              <w:rPr>
                <w:noProof/>
              </w:rPr>
              <w:t>Определяне на насоки за всички публични администрации.</w:t>
            </w:r>
          </w:p>
        </w:tc>
      </w:tr>
      <w:tr w:rsidR="006054AA" w14:paraId="0D98A4F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62843" w14:textId="77777777" w:rsidR="006054AA" w:rsidRDefault="001F7667">
            <w:pPr>
              <w:pStyle w:val="P68B1DB1-Normal5"/>
              <w:jc w:val="center"/>
              <w:rPr>
                <w:noProof/>
              </w:rPr>
            </w:pPr>
            <w:r>
              <w:rPr>
                <w:noProof/>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344C5"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1F668"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26E082" w14:textId="77777777" w:rsidR="006054AA" w:rsidRDefault="001F7667">
            <w:pPr>
              <w:pStyle w:val="P68B1DB1-Normal5"/>
              <w:jc w:val="center"/>
              <w:rPr>
                <w:noProof/>
              </w:rPr>
            </w:pPr>
            <w:r>
              <w:rPr>
                <w:noProof/>
              </w:rPr>
              <w:t>Влизане в сила на първично и вторично законодателство и регулаторни разпоредби и приключване на административните процеси за насърчаване на спазването на данъчното законодателство и подобряване на одитите и контрола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7F8C3C" w14:textId="77777777" w:rsidR="006054AA" w:rsidRDefault="001F7667">
            <w:pPr>
              <w:pStyle w:val="P68B1DB1-Normal5"/>
              <w:jc w:val="center"/>
              <w:rPr>
                <w:noProof/>
              </w:rPr>
            </w:pPr>
            <w:r>
              <w:rPr>
                <w:noProof/>
              </w:rPr>
              <w:t>Законови и подзаконови разпоредби, указващи влизането в сила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338554"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ED5D0"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AD4E6C"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7878"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8A1BB"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1172CD" w14:textId="77777777" w:rsidR="006054AA" w:rsidRDefault="001F7667">
            <w:pPr>
              <w:pStyle w:val="P68B1DB1-Normal5"/>
              <w:spacing w:after="120"/>
              <w:rPr>
                <w:noProof/>
              </w:rPr>
            </w:pPr>
            <w:r>
              <w:rPr>
                <w:noProof/>
              </w:rPr>
              <w:t>Разпоредбите включват:</w:t>
            </w:r>
          </w:p>
          <w:p w14:paraId="686E0394" w14:textId="77777777" w:rsidR="006054AA" w:rsidRDefault="001F7667">
            <w:pPr>
              <w:pStyle w:val="P68B1DB1-Normal5"/>
              <w:spacing w:after="120"/>
              <w:rPr>
                <w:noProof/>
              </w:rPr>
            </w:pPr>
            <w:r>
              <w:rPr>
                <w:noProof/>
              </w:rPr>
              <w:t>I) пълно привеждане в действие на базата данни и специалната ИТ инфраструктура за публикуване на предварително попълнена справка-декларация за ДДС, както е предвидено в член 4, параграф 1 от Законодателен декрет № 127/2015.</w:t>
            </w:r>
          </w:p>
          <w:p w14:paraId="5F8C2E30" w14:textId="77777777" w:rsidR="006054AA" w:rsidRDefault="001F7667">
            <w:pPr>
              <w:pStyle w:val="P68B1DB1-Normal5"/>
              <w:spacing w:after="120"/>
              <w:rPr>
                <w:noProof/>
              </w:rPr>
            </w:pPr>
            <w:r>
              <w:rPr>
                <w:noProof/>
              </w:rPr>
              <w:t>II) базата данни, използвана за „писмата за съответствие“ (предоставяща ранни съобщения на данъкоплатците, за които са открити аномалии), се подобрява с оглед намаляване на случаите на фалшиви положителни резултати и увеличаване на броя на съобщенията, изпращани на данъкоплатците.</w:t>
            </w:r>
          </w:p>
          <w:p w14:paraId="1FD4D715" w14:textId="77777777" w:rsidR="006054AA" w:rsidRDefault="001F7667">
            <w:pPr>
              <w:pStyle w:val="P68B1DB1-Normal5"/>
              <w:spacing w:after="120"/>
              <w:rPr>
                <w:noProof/>
              </w:rPr>
            </w:pPr>
            <w:r>
              <w:rPr>
                <w:noProof/>
              </w:rPr>
              <w:t>III) влизането в сила на реформираното законодателство, за да се гарантират ефективни административни санкции в случай на отказ на частни доставчици да приемат електронни плащания (първоначалният член 23 от Декрет-закон 124/2019, който е отменен при преобразуване в закон, представлява препратка).</w:t>
            </w:r>
          </w:p>
          <w:p w14:paraId="434C0CD5" w14:textId="77777777" w:rsidR="006054AA" w:rsidRDefault="001F7667">
            <w:pPr>
              <w:pStyle w:val="P68B1DB1-Normal5"/>
              <w:spacing w:after="120"/>
              <w:rPr>
                <w:noProof/>
              </w:rPr>
            </w:pPr>
            <w:r>
              <w:rPr>
                <w:noProof/>
              </w:rPr>
              <w:t>IV) Приключване на процеса на псевдонимизация на данните, предвиден в член 1, параграфи 681—686 от Закон n.160/2019, и създаване на цифрова инфраструктура за анализ на големи информационни масиви, генерирани чрез оперативната съвместимост на базите данни, изцяло псевдонимизирани, с цел да се повиши ефективността на анализа на риска, залегнал в основата на процеса на подбор.</w:t>
            </w:r>
          </w:p>
          <w:p w14:paraId="579516CD" w14:textId="77777777" w:rsidR="006054AA" w:rsidRDefault="001F7667">
            <w:pPr>
              <w:pStyle w:val="P68B1DB1-Normal5"/>
              <w:spacing w:after="120"/>
              <w:rPr>
                <w:noProof/>
              </w:rPr>
            </w:pPr>
            <w:r>
              <w:rPr>
                <w:noProof/>
              </w:rPr>
              <w:t>V) Влизане в сила на първично и вторично законодателство за прилагане на допълнителни ефективни действия въз основа на констатациите от прегледа на възможните мерки за намаляване на отклонението от данъчно облагане от пропуснати фактури.</w:t>
            </w:r>
          </w:p>
        </w:tc>
      </w:tr>
      <w:tr w:rsidR="006054AA" w14:paraId="2293823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7B0B" w14:textId="77777777" w:rsidR="006054AA" w:rsidRDefault="001F7667">
            <w:pPr>
              <w:pStyle w:val="P68B1DB1-Normal5"/>
              <w:jc w:val="center"/>
              <w:rPr>
                <w:noProof/>
              </w:rPr>
            </w:pPr>
            <w:r>
              <w:rPr>
                <w:noProof/>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1582" w14:textId="77777777" w:rsidR="006054AA" w:rsidRDefault="001F7667">
            <w:pPr>
              <w:pStyle w:val="P68B1DB1-Normal5"/>
              <w:jc w:val="center"/>
              <w:rPr>
                <w:noProof/>
              </w:rPr>
            </w:pPr>
            <w:r>
              <w:rPr>
                <w:noProof/>
              </w:rPr>
              <w:t>Реформа 1.13: Реформа на рамката за преглед на разходите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0521"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5A81DA" w14:textId="77777777" w:rsidR="006054AA" w:rsidRDefault="001F7667">
            <w:pPr>
              <w:pStyle w:val="P68B1DB1-Normal5"/>
              <w:jc w:val="center"/>
              <w:rPr>
                <w:noProof/>
              </w:rPr>
            </w:pPr>
            <w:r>
              <w:rPr>
                <w:noProof/>
              </w:rPr>
              <w:t>Приемане на цели за икономии за прегледите на разходите за периода 2023—2025 г.</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4713E" w14:textId="77777777" w:rsidR="006054AA" w:rsidRDefault="001F7667">
            <w:pPr>
              <w:pStyle w:val="P68B1DB1-Normal5"/>
              <w:jc w:val="center"/>
              <w:rPr>
                <w:noProof/>
              </w:rPr>
            </w:pPr>
            <w:r>
              <w:rPr>
                <w:noProof/>
              </w:rPr>
              <w:t>Количествена цел за икономии за съвкупните централни държавни администрации, определени в документа за икономиката и финансите — в евро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94AD6"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E28F"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87A97"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3C966"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2006"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B37B72" w14:textId="77777777" w:rsidR="006054AA" w:rsidRDefault="001F7667">
            <w:pPr>
              <w:pStyle w:val="P68B1DB1-Normal5"/>
              <w:spacing w:before="100" w:beforeAutospacing="1" w:after="120"/>
              <w:rPr>
                <w:noProof/>
              </w:rPr>
            </w:pPr>
            <w:r>
              <w:rPr>
                <w:noProof/>
              </w:rPr>
              <w:t>Въз основа на Наредба-закони 90 и 93 от 2016 г. и Закон 163/2016 в икономическия финансов документ са определени цели за годишни прегледи на разходите за съвкупните централни държавни администрации за 2023, 2024 и 2025 г. Целите за икономии отразяват адекватно равнище на амбиция.</w:t>
            </w:r>
          </w:p>
        </w:tc>
      </w:tr>
      <w:tr w:rsidR="006054AA" w14:paraId="48C54B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E5A8" w14:textId="77777777" w:rsidR="006054AA" w:rsidRDefault="001F7667">
            <w:pPr>
              <w:pStyle w:val="P68B1DB1-Normal5"/>
              <w:jc w:val="center"/>
              <w:rPr>
                <w:noProof/>
              </w:rPr>
            </w:pPr>
            <w:r>
              <w:rPr>
                <w:noProof/>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3217CD"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7EF0A"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A04C3" w14:textId="77777777" w:rsidR="006054AA" w:rsidRDefault="001F7667">
            <w:pPr>
              <w:pStyle w:val="P68B1DB1-Normal5"/>
              <w:jc w:val="center"/>
              <w:rPr>
                <w:noProof/>
              </w:rPr>
            </w:pPr>
            <w:r>
              <w:rPr>
                <w:noProof/>
              </w:rPr>
              <w:t>По-голям брой „писма за съответствие“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05742D"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69E54"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D2A6" w14:textId="27DD306F" w:rsidR="006054AA" w:rsidRDefault="001F7667">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1E922" w14:textId="4595621E" w:rsidR="006054AA" w:rsidRDefault="001F7667">
            <w:pPr>
              <w:pStyle w:val="P68B1DB1-Normal5"/>
              <w:jc w:val="center"/>
              <w:rPr>
                <w:noProof/>
              </w:rPr>
            </w:pPr>
            <w:r>
              <w:rPr>
                <w:noProof/>
              </w:rPr>
              <w:t>2 581 090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98FBD"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6C0157"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7C4739" w14:textId="77777777" w:rsidR="006054AA" w:rsidRDefault="001F7667">
            <w:pPr>
              <w:pStyle w:val="P68B1DB1-Normal5"/>
              <w:spacing w:before="100" w:beforeAutospacing="1" w:after="120"/>
              <w:rPr>
                <w:noProof/>
              </w:rPr>
            </w:pPr>
            <w:r>
              <w:rPr>
                <w:noProof/>
              </w:rPr>
              <w:t>Броят на „писмата за съответствие“, които предоставят ранно съобщаване на данъкоплатците, за които са открити аномалии, се увеличава с най-малко 20 % в сравнение с 2019 г.</w:t>
            </w:r>
          </w:p>
        </w:tc>
      </w:tr>
      <w:tr w:rsidR="006054AA" w14:paraId="18BADC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84F8D" w14:textId="77777777" w:rsidR="006054AA" w:rsidRDefault="001F7667">
            <w:pPr>
              <w:pStyle w:val="P68B1DB1-Normal5"/>
              <w:jc w:val="center"/>
              <w:rPr>
                <w:noProof/>
              </w:rPr>
            </w:pPr>
            <w:r>
              <w:rPr>
                <w:noProof/>
              </w:rPr>
              <w:t>M1C1—106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40B33C"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8C48F"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991E4" w14:textId="77777777" w:rsidR="006054AA" w:rsidRDefault="001F7667">
            <w:pPr>
              <w:pStyle w:val="P68B1DB1-Normal5"/>
              <w:jc w:val="center"/>
              <w:rPr>
                <w:noProof/>
              </w:rPr>
            </w:pPr>
            <w:r>
              <w:rPr>
                <w:noProof/>
              </w:rPr>
              <w:t>Намаляване на броя на фалшивите положителни писма за съответствие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EBFE7"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4E639"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0E25D" w14:textId="0A83ACDB" w:rsidR="006054AA" w:rsidRDefault="001F7667">
            <w:pPr>
              <w:pStyle w:val="P68B1DB1-Normal5"/>
              <w:jc w:val="center"/>
              <w:rPr>
                <w:noProof/>
              </w:rPr>
            </w:pPr>
            <w:r>
              <w:rPr>
                <w:noProof/>
              </w:rPr>
              <w:t>126 500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8D277" w14:textId="09A7B171" w:rsidR="006054AA" w:rsidRDefault="001F7667">
            <w:pPr>
              <w:pStyle w:val="P68B1DB1-Normal5"/>
              <w:jc w:val="center"/>
              <w:rPr>
                <w:noProof/>
              </w:rPr>
            </w:pPr>
            <w:r>
              <w:rPr>
                <w:noProof/>
              </w:rPr>
              <w:t>132 825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2F006A"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AC8B"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AEF4B" w14:textId="77777777" w:rsidR="006054AA" w:rsidRDefault="001F7667">
            <w:pPr>
              <w:pStyle w:val="P68B1DB1-Normal5"/>
              <w:spacing w:before="100" w:beforeAutospacing="1" w:after="120"/>
              <w:rPr>
                <w:noProof/>
              </w:rPr>
            </w:pPr>
            <w:r>
              <w:rPr>
                <w:noProof/>
              </w:rPr>
              <w:t>Броят на фалшивите положителни „писма за съответствие“ (които предоставят ранно съобщение на данъкоплатците, за които са открити аномалии, но за които впоследствие не са открити измами) се намалява с най-малко 5 % спрямо 2019 г.</w:t>
            </w:r>
          </w:p>
        </w:tc>
      </w:tr>
      <w:tr w:rsidR="006054AA" w14:paraId="7CD23B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B664F1" w14:textId="77777777" w:rsidR="006054AA" w:rsidRDefault="001F7667">
            <w:pPr>
              <w:pStyle w:val="P68B1DB1-Normal5"/>
              <w:jc w:val="center"/>
              <w:rPr>
                <w:noProof/>
              </w:rPr>
            </w:pPr>
            <w:r>
              <w:rPr>
                <w:noProof/>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B46AC"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F526"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38347" w14:textId="77777777" w:rsidR="006054AA" w:rsidRDefault="001F7667">
            <w:pPr>
              <w:pStyle w:val="P68B1DB1-Normal5"/>
              <w:jc w:val="center"/>
              <w:rPr>
                <w:noProof/>
              </w:rPr>
            </w:pPr>
            <w:r>
              <w:rPr>
                <w:noProof/>
              </w:rPr>
              <w:t>Увеличение на данъчните приходи, генерирани от „писмата за съответствие“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3017C8"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D1717" w14:textId="77777777" w:rsidR="006054AA" w:rsidRDefault="001F7667">
            <w:pPr>
              <w:pStyle w:val="P68B1DB1-Normal5"/>
              <w:jc w:val="center"/>
              <w:rPr>
                <w:noProof/>
              </w:rPr>
            </w:pPr>
            <w:r>
              <w:rPr>
                <w:noProof/>
              </w:rPr>
              <w:t>Еврото</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BB97B" w14:textId="04E8BBE9" w:rsidR="006054AA" w:rsidRDefault="001F7667">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75B48" w14:textId="774BF37B" w:rsidR="006054AA" w:rsidRDefault="001F7667">
            <w:pPr>
              <w:pStyle w:val="P68B1DB1-Normal5"/>
              <w:jc w:val="center"/>
              <w:rPr>
                <w:noProof/>
              </w:rPr>
            </w:pPr>
            <w:r>
              <w:rPr>
                <w:noProof/>
              </w:rPr>
              <w:t>2 449 500 000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5AA74"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9010D" w14:textId="77777777" w:rsidR="006054AA" w:rsidRDefault="001F7667">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A328D" w14:textId="77777777" w:rsidR="006054AA" w:rsidRDefault="001F7667">
            <w:pPr>
              <w:pStyle w:val="P68B1DB1-Normal5"/>
              <w:spacing w:before="100" w:beforeAutospacing="1" w:after="120"/>
              <w:rPr>
                <w:noProof/>
              </w:rPr>
            </w:pPr>
            <w:r>
              <w:rPr>
                <w:noProof/>
              </w:rPr>
              <w:t>Данъчните приходи, генерирани от „писма за изпълнение“, се увеличават с 15 % спрямо 2019 г.</w:t>
            </w:r>
          </w:p>
        </w:tc>
      </w:tr>
      <w:tr w:rsidR="006054AA" w14:paraId="6D04870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301C3" w14:textId="77777777" w:rsidR="006054AA" w:rsidRDefault="001F7667">
            <w:pPr>
              <w:pStyle w:val="P68B1DB1-Normal5"/>
              <w:jc w:val="center"/>
              <w:rPr>
                <w:noProof/>
              </w:rPr>
            </w:pPr>
            <w:r>
              <w:rPr>
                <w:noProof/>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A76D95" w14:textId="77777777" w:rsidR="006054AA" w:rsidRDefault="001F7667">
            <w:pPr>
              <w:pStyle w:val="P68B1DB1-Normal5"/>
              <w:jc w:val="center"/>
              <w:rPr>
                <w:noProof/>
              </w:rPr>
            </w:pPr>
            <w:r>
              <w:rPr>
                <w:noProof/>
              </w:rPr>
              <w:t>Реформа 1.15: Реформа на счетоводните правила за публичния сектор</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23BB82"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D1D8D" w14:textId="77777777" w:rsidR="006054AA" w:rsidRDefault="001F7667">
            <w:pPr>
              <w:pStyle w:val="P68B1DB1-Normal5"/>
              <w:jc w:val="center"/>
              <w:rPr>
                <w:noProof/>
              </w:rPr>
            </w:pPr>
            <w:r>
              <w:rPr>
                <w:noProof/>
              </w:rPr>
              <w:t>Одобряване на концептуалната рамка, набора от стандарти за счетоводна отчетност на базата на текущо начисляване и Многоизмерния сметкоплан</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39452" w14:textId="77777777" w:rsidR="006054AA" w:rsidRDefault="001F7667">
            <w:pPr>
              <w:pStyle w:val="P68B1DB1-Normal5"/>
              <w:jc w:val="center"/>
              <w:rPr>
                <w:noProof/>
              </w:rPr>
            </w:pPr>
            <w:r>
              <w:rPr>
                <w:noProof/>
              </w:rPr>
              <w:t>Решение на Счетоводния отдел на Министерството на финансите за одобряване на структурата за управление на текущото счетоводство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EF6C"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6CFB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4BE9"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C1ED5"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E7AE84"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ECF53" w14:textId="77777777" w:rsidR="006054AA" w:rsidRDefault="001F7667">
            <w:pPr>
              <w:pStyle w:val="P68B1DB1-Normal4"/>
              <w:spacing w:before="100" w:beforeAutospacing="1" w:after="120"/>
              <w:rPr>
                <w:noProof/>
                <w:color w:val="006100"/>
              </w:rPr>
            </w:pPr>
            <w:r>
              <w:rPr>
                <w:noProof/>
                <w:color w:val="006100"/>
              </w:rPr>
              <w:t>Завършване на концептуална рамка като отправна точка за системата за счетоводна отчетност на базата на текущо начисляване в съответствие с качествените характеристики, определени от Евростат (работна група ЕССПС);</w:t>
            </w:r>
            <w:r>
              <w:rPr>
                <w:noProof/>
              </w:rPr>
              <w:t xml:space="preserve"> </w:t>
            </w:r>
            <w:r>
              <w:rPr>
                <w:noProof/>
              </w:rPr>
              <w:br/>
            </w:r>
            <w:r>
              <w:rPr>
                <w:noProof/>
                <w:color w:val="006100"/>
              </w:rPr>
              <w:t xml:space="preserve"> Определяне на стандарти за счетоводна отчетност на базата на текущо начисляване въз основа на МССПС/ЕССПС; Проектирайте многоизмерна и многостепенна схема от сметки.</w:t>
            </w:r>
          </w:p>
        </w:tc>
      </w:tr>
      <w:tr w:rsidR="006054AA" w14:paraId="508CA7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D1C9D" w14:textId="77777777" w:rsidR="006054AA" w:rsidRDefault="001F7667">
            <w:pPr>
              <w:pStyle w:val="P68B1DB1-Normal5"/>
              <w:jc w:val="center"/>
              <w:rPr>
                <w:noProof/>
              </w:rPr>
            </w:pPr>
            <w:r>
              <w:rPr>
                <w:noProof/>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FA3A7"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617BC"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94782" w14:textId="77777777" w:rsidR="006054AA" w:rsidRDefault="001F7667">
            <w:pPr>
              <w:pStyle w:val="P68B1DB1-Normal5"/>
              <w:jc w:val="center"/>
              <w:rPr>
                <w:noProof/>
              </w:rPr>
            </w:pPr>
            <w:r>
              <w:rPr>
                <w:noProof/>
              </w:rPr>
              <w:t>Изпращане на първите предварително попълнени данъчни декларации за ДДС</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9399D"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31C0"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155404"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4D8F2" w14:textId="57F01C7C" w:rsidR="006054AA" w:rsidRDefault="001F7667">
            <w:pPr>
              <w:pStyle w:val="P68B1DB1-Normal5"/>
              <w:jc w:val="center"/>
              <w:rPr>
                <w:noProof/>
              </w:rPr>
            </w:pPr>
            <w:r>
              <w:rPr>
                <w:noProof/>
              </w:rPr>
              <w:t>2 300 000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439E4B"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C900B"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EC5F3" w14:textId="6DC236A5" w:rsidR="006054AA" w:rsidRDefault="001F7667">
            <w:pPr>
              <w:pStyle w:val="P68B1DB1-Normal5"/>
              <w:spacing w:before="100" w:beforeAutospacing="1" w:after="120"/>
              <w:rPr>
                <w:noProof/>
              </w:rPr>
            </w:pPr>
            <w:r>
              <w:rPr>
                <w:noProof/>
              </w:rPr>
              <w:t>Най-малко 2 300 000 данъкоплатци получават предварително попълнени данъчни декларации за ДДС за данъчната 2022 година.</w:t>
            </w:r>
          </w:p>
        </w:tc>
      </w:tr>
      <w:tr w:rsidR="006054AA" w14:paraId="455B19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22055" w14:textId="77777777" w:rsidR="006054AA" w:rsidRDefault="001F7667">
            <w:pPr>
              <w:pStyle w:val="P68B1DB1-Normal5"/>
              <w:jc w:val="center"/>
              <w:rPr>
                <w:noProof/>
              </w:rPr>
            </w:pPr>
            <w:r>
              <w:rPr>
                <w:noProof/>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F2004" w14:textId="77777777" w:rsidR="006054AA" w:rsidRDefault="001F7667">
            <w:pPr>
              <w:pStyle w:val="P68B1DB1-Normal5"/>
              <w:jc w:val="center"/>
              <w:rPr>
                <w:noProof/>
              </w:rPr>
            </w:pPr>
            <w:r>
              <w:rPr>
                <w:noProof/>
              </w:rPr>
              <w:t>Реформа 1.13: Реформа на рамката за преглед на разходите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9C09B4"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2D0679" w14:textId="77777777" w:rsidR="006054AA" w:rsidRDefault="001F7667">
            <w:pPr>
              <w:pStyle w:val="P68B1DB1-Normal5"/>
              <w:jc w:val="center"/>
              <w:rPr>
                <w:noProof/>
              </w:rPr>
            </w:pPr>
            <w:r>
              <w:rPr>
                <w:noProof/>
              </w:rPr>
              <w:t>Прекласифициране на общия държавен бюджет по отношение на разходите за опазване на околната среда и разходите, които насърчават равенството между половете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E1FC2" w14:textId="77777777" w:rsidR="006054AA" w:rsidRDefault="001F7667">
            <w:pPr>
              <w:pStyle w:val="P68B1DB1-Normal5"/>
              <w:jc w:val="center"/>
              <w:rPr>
                <w:noProof/>
              </w:rPr>
            </w:pPr>
            <w:r>
              <w:rPr>
                <w:noProof/>
              </w:rPr>
              <w:t>Включване на прекласифицирането на общия държавен бюджет по отношение на разходите за опазване на околната среда и разходите, които насърчават равенството между половете, в Закона за бюджета за 2024 г.</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51A1C"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78CB3"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DD716A"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54C6CE"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5B7166" w14:textId="77777777" w:rsidR="006054AA" w:rsidRDefault="001F7667">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A487A" w14:textId="77777777" w:rsidR="006054AA" w:rsidRDefault="001F7667">
            <w:pPr>
              <w:pStyle w:val="P68B1DB1-Normal5"/>
              <w:spacing w:before="100" w:beforeAutospacing="1" w:after="120"/>
              <w:rPr>
                <w:noProof/>
              </w:rPr>
            </w:pPr>
            <w:r>
              <w:rPr>
                <w:noProof/>
              </w:rPr>
              <w:t>Законът за бюджета за 2024 г. предоставя на парламента бюджет за устойчиво развитие, състоящ се от класификация на общия държавен бюджет по отношение на разходите за околната среда и разходите, които насърчават равенството между половете. Класификацията е в съответствие с критериите, залегнали в основата на определянето на целите за устойчиво развитие и целите на Програмата до 2030 г.</w:t>
            </w:r>
          </w:p>
        </w:tc>
      </w:tr>
      <w:tr w:rsidR="006054AA" w14:paraId="77C088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ACBFC" w14:textId="77777777" w:rsidR="006054AA" w:rsidRDefault="001F7667">
            <w:pPr>
              <w:pStyle w:val="P68B1DB1-Normal5"/>
              <w:jc w:val="center"/>
              <w:rPr>
                <w:noProof/>
              </w:rPr>
            </w:pPr>
            <w:r>
              <w:rPr>
                <w:noProof/>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705796" w14:textId="77777777" w:rsidR="006054AA" w:rsidRDefault="001F7667">
            <w:pPr>
              <w:pStyle w:val="P68B1DB1-Normal5"/>
              <w:jc w:val="center"/>
              <w:rPr>
                <w:noProof/>
              </w:rPr>
            </w:pPr>
            <w:r>
              <w:rPr>
                <w:noProof/>
              </w:rPr>
              <w:t>Реформа 1.13: Реформа на рамката за преглед на разходите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D1BEA"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84B4C1" w14:textId="77777777" w:rsidR="006054AA" w:rsidRDefault="001F7667">
            <w:pPr>
              <w:pStyle w:val="P68B1DB1-Normal5"/>
              <w:jc w:val="center"/>
              <w:rPr>
                <w:noProof/>
              </w:rPr>
            </w:pPr>
            <w:r>
              <w:rPr>
                <w:noProof/>
              </w:rPr>
              <w:t>Приключване на годишния преглед на разходите за 2023 г. във връзка с целта за икономии, определена през 2022 г. за 2023 г.</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7144B" w14:textId="77777777" w:rsidR="006054AA" w:rsidRDefault="001F7667">
            <w:pPr>
              <w:pStyle w:val="P68B1DB1-Normal5"/>
              <w:jc w:val="center"/>
              <w:rPr>
                <w:noProof/>
              </w:rPr>
            </w:pPr>
            <w:r>
              <w:rPr>
                <w:noProof/>
              </w:rPr>
              <w:t>Приемане на доклада на Министерството на финансите за прегледа на разходите през 2023 г., удостоверяващ приключването на процеса и постигането на целта.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28CB1"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8C1721"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002A4"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20327"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FC423"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44BCF" w14:textId="77777777" w:rsidR="006054AA" w:rsidRDefault="001F7667">
            <w:pPr>
              <w:pStyle w:val="P68B1DB1-Normal5"/>
              <w:spacing w:after="120"/>
              <w:rPr>
                <w:noProof/>
              </w:rPr>
            </w:pPr>
            <w:r>
              <w:rPr>
                <w:noProof/>
              </w:rPr>
              <w:t>Докладът на Министерството на финансите, който се предава на Министерския съвет съгласно Наредба-закони 90 и 93 от 2016 г. и Закон 163/2016:</w:t>
            </w:r>
          </w:p>
          <w:p w14:paraId="087CF68E" w14:textId="77777777" w:rsidR="006054AA" w:rsidRDefault="001F7667">
            <w:pPr>
              <w:pStyle w:val="P68B1DB1-Normal5"/>
              <w:spacing w:after="120"/>
              <w:rPr>
                <w:noProof/>
              </w:rPr>
            </w:pPr>
            <w:r>
              <w:rPr>
                <w:noProof/>
              </w:rPr>
              <w:t>— да се удостовери приключването на процеса на преглед на разходите за 2023 г. по отношение на разпоредбата за рамката за преглед на разходите.</w:t>
            </w:r>
          </w:p>
          <w:p w14:paraId="3D0B5B76" w14:textId="77777777" w:rsidR="006054AA" w:rsidRDefault="001F7667">
            <w:pPr>
              <w:pStyle w:val="P68B1DB1-Normal5"/>
              <w:spacing w:after="120"/>
              <w:rPr>
                <w:noProof/>
              </w:rPr>
            </w:pPr>
            <w:r>
              <w:rPr>
                <w:noProof/>
              </w:rPr>
              <w:t>— удостоверява постигането на целта, определена през 2022 г.</w:t>
            </w:r>
          </w:p>
        </w:tc>
      </w:tr>
      <w:tr w:rsidR="006054AA" w14:paraId="399B1FB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86F0" w14:textId="77777777" w:rsidR="006054AA" w:rsidRDefault="001F7667">
            <w:pPr>
              <w:pStyle w:val="P68B1DB1-Normal5"/>
              <w:jc w:val="center"/>
              <w:rPr>
                <w:noProof/>
              </w:rPr>
            </w:pPr>
            <w:r>
              <w:rPr>
                <w:noProof/>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47F79"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B4071"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3EFB7" w14:textId="77777777" w:rsidR="006054AA" w:rsidRDefault="001F7667">
            <w:pPr>
              <w:pStyle w:val="P68B1DB1-Normal5"/>
              <w:jc w:val="center"/>
              <w:rPr>
                <w:noProof/>
              </w:rPr>
            </w:pPr>
            <w:r>
              <w:rPr>
                <w:noProof/>
              </w:rPr>
              <w:t>Подобряване на оперативния капацитет на данъчната администрация, както е посочено в „План за ефективност за периода 2021—2023 г.“ на Агенцията за приходите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00FF4"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0E0A0" w14:textId="77777777" w:rsidR="006054AA" w:rsidRDefault="001F7667">
            <w:pPr>
              <w:pStyle w:val="P68B1DB1-Normal5"/>
              <w:jc w:val="center"/>
              <w:rPr>
                <w:noProof/>
              </w:rPr>
            </w:pPr>
            <w:r>
              <w:rPr>
                <w:noProof/>
              </w:rPr>
              <w:t>Брой на напусканията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643ED"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C8A0DB" w14:textId="3181B45D" w:rsidR="006054AA" w:rsidRDefault="001F7667">
            <w:pPr>
              <w:pStyle w:val="P68B1DB1-Normal5"/>
              <w:jc w:val="center"/>
              <w:rPr>
                <w:noProof/>
              </w:rPr>
            </w:pPr>
            <w:r>
              <w:rPr>
                <w:noProof/>
              </w:rPr>
              <w:t>4 113</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FCF85"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F29C"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04DF2" w14:textId="77777777" w:rsidR="006054AA" w:rsidRDefault="001F7667">
            <w:pPr>
              <w:pStyle w:val="P68B1DB1-Normal5"/>
              <w:spacing w:before="100" w:beforeAutospacing="1" w:after="120"/>
              <w:rPr>
                <w:noProof/>
              </w:rPr>
            </w:pPr>
            <w:r>
              <w:rPr>
                <w:noProof/>
              </w:rPr>
              <w:t>Персоналът на Агенцията за приходите се увеличава с 4113 единици, както е посочено в „План за ефективност за периода 2021—2023 г.“.</w:t>
            </w:r>
          </w:p>
        </w:tc>
      </w:tr>
      <w:tr w:rsidR="006054AA" w14:paraId="63A9CFD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DAC58" w14:textId="77777777" w:rsidR="006054AA" w:rsidRDefault="001F7667">
            <w:pPr>
              <w:pStyle w:val="P68B1DB1-Normal5"/>
              <w:jc w:val="center"/>
              <w:rPr>
                <w:noProof/>
              </w:rPr>
            </w:pPr>
            <w:r>
              <w:rPr>
                <w:noProof/>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96A2A"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A7797"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6ACDBF" w14:textId="77777777" w:rsidR="006054AA" w:rsidRDefault="001F7667">
            <w:pPr>
              <w:pStyle w:val="P68B1DB1-Normal5"/>
              <w:jc w:val="center"/>
              <w:rPr>
                <w:noProof/>
              </w:rPr>
            </w:pPr>
            <w:r>
              <w:rPr>
                <w:noProof/>
              </w:rPr>
              <w:t>По-голям брой „писма за съответствие“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40436"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24DC7"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EB40C" w14:textId="1C8BC852" w:rsidR="006054AA" w:rsidRDefault="001F7667">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FDE149" w14:textId="13F3207C" w:rsidR="006054AA" w:rsidRDefault="001F7667">
            <w:pPr>
              <w:pStyle w:val="P68B1DB1-Normal5"/>
              <w:jc w:val="center"/>
              <w:rPr>
                <w:noProof/>
              </w:rPr>
            </w:pPr>
            <w:r>
              <w:rPr>
                <w:noProof/>
              </w:rPr>
              <w:t>3 011 271</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89ED0"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15D9E"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137E3" w14:textId="77777777" w:rsidR="006054AA" w:rsidRDefault="001F7667">
            <w:pPr>
              <w:pStyle w:val="P68B1DB1-Normal5"/>
              <w:spacing w:before="100" w:beforeAutospacing="1" w:after="120"/>
              <w:rPr>
                <w:noProof/>
              </w:rPr>
            </w:pPr>
            <w:r>
              <w:rPr>
                <w:noProof/>
              </w:rPr>
              <w:t>Броят на „писмата за съответствие“, които предоставят ранно съобщаване на данъкоплатците, за които са открити аномалии, се увеличава с най-малко 40 % в сравнение с 2019 г.</w:t>
            </w:r>
          </w:p>
        </w:tc>
      </w:tr>
      <w:tr w:rsidR="006054AA" w14:paraId="2E167B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8274F" w14:textId="77777777" w:rsidR="006054AA" w:rsidRDefault="001F7667">
            <w:pPr>
              <w:pStyle w:val="P68B1DB1-Normal5"/>
              <w:jc w:val="center"/>
              <w:rPr>
                <w:noProof/>
              </w:rPr>
            </w:pPr>
            <w:r>
              <w:rPr>
                <w:noProof/>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28A2E4"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DF094"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318E3" w14:textId="77777777" w:rsidR="006054AA" w:rsidRDefault="001F7667">
            <w:pPr>
              <w:pStyle w:val="P68B1DB1-Normal5"/>
              <w:jc w:val="center"/>
              <w:rPr>
                <w:noProof/>
              </w:rPr>
            </w:pPr>
            <w:r>
              <w:rPr>
                <w:noProof/>
              </w:rPr>
              <w:t>Увеличение на данъчните приходи, генерирани от „писмата за съответствие“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E7C01"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480D66" w14:textId="77777777" w:rsidR="006054AA" w:rsidRDefault="001F7667">
            <w:pPr>
              <w:pStyle w:val="P68B1DB1-Normal5"/>
              <w:jc w:val="center"/>
              <w:rPr>
                <w:noProof/>
              </w:rPr>
            </w:pPr>
            <w:r>
              <w:rPr>
                <w:noProof/>
              </w:rPr>
              <w:t>Еврото</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6F67F" w14:textId="6FEDE554" w:rsidR="006054AA" w:rsidRDefault="001F7667">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B23F3" w14:textId="2B08698E" w:rsidR="006054AA" w:rsidRDefault="001F7667">
            <w:pPr>
              <w:pStyle w:val="P68B1DB1-Normal5"/>
              <w:jc w:val="center"/>
              <w:rPr>
                <w:noProof/>
              </w:rPr>
            </w:pPr>
            <w:r>
              <w:rPr>
                <w:noProof/>
              </w:rPr>
              <w:t>2 769 000 000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BF1BDC"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A70D" w14:textId="77777777" w:rsidR="006054AA" w:rsidRDefault="001F7667">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19FA6" w14:textId="77777777" w:rsidR="006054AA" w:rsidRDefault="001F7667">
            <w:pPr>
              <w:pStyle w:val="P68B1DB1-Normal5"/>
              <w:spacing w:before="100" w:beforeAutospacing="1" w:after="120"/>
              <w:rPr>
                <w:noProof/>
              </w:rPr>
            </w:pPr>
            <w:r>
              <w:rPr>
                <w:noProof/>
              </w:rPr>
              <w:t>Данъчните приходи, генерирани от „писма за изпълнение“, се увеличават с 30 % спрямо 2019 г.</w:t>
            </w:r>
          </w:p>
        </w:tc>
      </w:tr>
      <w:tr w:rsidR="006054AA" w14:paraId="0B804C8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9DC82F" w14:textId="77777777" w:rsidR="006054AA" w:rsidRDefault="001F7667">
            <w:pPr>
              <w:pStyle w:val="P68B1DB1-Normal5"/>
              <w:jc w:val="center"/>
              <w:rPr>
                <w:noProof/>
              </w:rPr>
            </w:pPr>
            <w:r>
              <w:rPr>
                <w:noProof/>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581AC" w14:textId="77777777" w:rsidR="006054AA" w:rsidRDefault="001F7667">
            <w:pPr>
              <w:pStyle w:val="P68B1DB1-Normal5"/>
              <w:jc w:val="center"/>
              <w:rPr>
                <w:noProof/>
              </w:rPr>
            </w:pPr>
            <w:r>
              <w:rPr>
                <w:noProof/>
              </w:rPr>
              <w:t>Реформа 1.13: Реформа на рамката за преглед на разходите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C9213"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CE701" w14:textId="77777777" w:rsidR="006054AA" w:rsidRDefault="001F7667">
            <w:pPr>
              <w:pStyle w:val="P68B1DB1-Normal5"/>
              <w:jc w:val="center"/>
              <w:rPr>
                <w:noProof/>
              </w:rPr>
            </w:pPr>
            <w:r>
              <w:rPr>
                <w:noProof/>
              </w:rPr>
              <w:t>Приключване на годишния преглед на разходите за 2024 г. във връзка с целта за икономии, определена през 2022 г. и 2023 г. за 2024 г.</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CDD4" w14:textId="77777777" w:rsidR="006054AA" w:rsidRDefault="001F7667">
            <w:pPr>
              <w:pStyle w:val="P68B1DB1-Normal5"/>
              <w:jc w:val="center"/>
              <w:rPr>
                <w:noProof/>
              </w:rPr>
            </w:pPr>
            <w:r>
              <w:rPr>
                <w:noProof/>
              </w:rPr>
              <w:t>Приемане на доклада на Министерството на финансите за прегледа на разходите през 2024 г., удостоверяващ приключването на процеса и постигането на целта.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2E42"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3277B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763DF"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4B4A"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68113A"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69B283" w14:textId="77777777" w:rsidR="006054AA" w:rsidRDefault="001F7667">
            <w:pPr>
              <w:pStyle w:val="P68B1DB1-Normal5"/>
              <w:spacing w:after="120"/>
              <w:rPr>
                <w:noProof/>
              </w:rPr>
            </w:pPr>
            <w:r>
              <w:rPr>
                <w:noProof/>
              </w:rPr>
              <w:t>Докладът на Министерството на финансите, който се предава на Министерския съвет съгласно Наредба-закони 90 и 93 от 2016 г. и Закон 163/2016:</w:t>
            </w:r>
          </w:p>
          <w:p w14:paraId="39F240A1" w14:textId="77777777" w:rsidR="006054AA" w:rsidRDefault="001F7667">
            <w:pPr>
              <w:pStyle w:val="P68B1DB1-Normal5"/>
              <w:spacing w:after="120"/>
              <w:rPr>
                <w:noProof/>
              </w:rPr>
            </w:pPr>
            <w:r>
              <w:rPr>
                <w:noProof/>
              </w:rPr>
              <w:t>— да се удостовери приключването на процеса на преглед на разходите за 2024 г. по отношение на разпоредбата за рамката за преглед на разходите.</w:t>
            </w:r>
          </w:p>
          <w:p w14:paraId="1DA62FB1" w14:textId="77777777" w:rsidR="006054AA" w:rsidRDefault="001F7667">
            <w:pPr>
              <w:pStyle w:val="P68B1DB1-Normal5"/>
              <w:spacing w:after="120"/>
              <w:rPr>
                <w:noProof/>
              </w:rPr>
            </w:pPr>
            <w:r>
              <w:rPr>
                <w:noProof/>
              </w:rPr>
              <w:t>— удостоверява постигането на целта, определена през 2022 г. и 2023 г.</w:t>
            </w:r>
          </w:p>
        </w:tc>
      </w:tr>
      <w:tr w:rsidR="006054AA" w14:paraId="1BACA4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5A05A" w14:textId="77777777" w:rsidR="006054AA" w:rsidRDefault="001F7667">
            <w:pPr>
              <w:pStyle w:val="P68B1DB1-Normal5"/>
              <w:jc w:val="center"/>
              <w:rPr>
                <w:noProof/>
              </w:rPr>
            </w:pPr>
            <w:r>
              <w:rPr>
                <w:noProof/>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8272" w14:textId="77777777" w:rsidR="006054AA" w:rsidRDefault="001F7667">
            <w:pPr>
              <w:pStyle w:val="P68B1DB1-Normal5"/>
              <w:jc w:val="center"/>
              <w:rPr>
                <w:noProof/>
              </w:rPr>
            </w:pPr>
            <w:r>
              <w:rPr>
                <w:noProof/>
              </w:rPr>
              <w:t>Реформа 1.12: 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A42E1"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48822" w14:textId="77777777" w:rsidR="006054AA" w:rsidRDefault="001F7667">
            <w:pPr>
              <w:pStyle w:val="P68B1DB1-Normal5"/>
              <w:jc w:val="center"/>
              <w:rPr>
                <w:noProof/>
              </w:rPr>
            </w:pPr>
            <w:r>
              <w:rPr>
                <w:noProof/>
              </w:rPr>
              <w:t>Намаляване на отклонението от данъчно облагане, както е определено от показателя „склонност за избягване“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974464"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7611A"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52C2A"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C1BB3" w14:textId="77777777" w:rsidR="006054AA" w:rsidRDefault="001F7667">
            <w:pPr>
              <w:pStyle w:val="P68B1DB1-Normal5"/>
              <w:jc w:val="center"/>
              <w:rPr>
                <w:noProof/>
              </w:rPr>
            </w:pPr>
            <w:r>
              <w:rPr>
                <w:noProof/>
              </w:rPr>
              <w:t>— 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FF9712" w14:textId="77777777" w:rsidR="006054AA" w:rsidRDefault="001F7667">
            <w:pPr>
              <w:pStyle w:val="P68B1DB1-Normal5"/>
              <w:jc w:val="center"/>
              <w:rPr>
                <w:noProof/>
              </w:rPr>
            </w:pPr>
            <w:r>
              <w:rPr>
                <w:noProof/>
              </w:rPr>
              <w:t>Т4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533687" w14:textId="77777777" w:rsidR="006054AA" w:rsidRDefault="001F7667">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F9A3C" w14:textId="12FEC9DB" w:rsidR="006054AA" w:rsidRDefault="001F7667">
            <w:pPr>
              <w:pStyle w:val="P68B1DB1-Normal5"/>
              <w:spacing w:before="100" w:beforeAutospacing="1" w:after="120"/>
              <w:rPr>
                <w:noProof/>
              </w:rPr>
            </w:pPr>
            <w:r>
              <w:rPr>
                <w:noProof/>
              </w:rPr>
              <w:t>„Склонността към избягване“ във всички данъци, с изключение на данъците върху недвижимото имущество (Imposta Municipale Unica) и акцизите трябва да бъдат по-ниски през 2023 г. в сравнение с 2019 г. с 5 % спрямо базовата стойност от 2019 г. Референтната оценка за 2019 г. се включва в актуализирания доклад на правителството относно сивата икономика, който ще бъде публикуван през ноември 2021 г. в съответствие с разпоредбите на член 2 от Законодателен декрет № 160/2015. Намалението от 5 % се наблюдава въз основа на прогнозите, включени в актуализирания доклад, който ще бъде публикуван през ноември 2025 г. въз основа на данните за данъчната 2023 година.</w:t>
            </w:r>
          </w:p>
        </w:tc>
      </w:tr>
      <w:tr w:rsidR="006054AA" w14:paraId="218B16D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8C44A" w14:textId="77777777" w:rsidR="006054AA" w:rsidRDefault="001F7667">
            <w:pPr>
              <w:pStyle w:val="P68B1DB1-Normal5"/>
              <w:jc w:val="center"/>
              <w:rPr>
                <w:noProof/>
              </w:rPr>
            </w:pPr>
            <w:r>
              <w:rPr>
                <w:noProof/>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FF374E" w14:textId="77777777" w:rsidR="006054AA" w:rsidRDefault="001F7667">
            <w:pPr>
              <w:pStyle w:val="P68B1DB1-Normal5"/>
              <w:spacing w:line="276" w:lineRule="auto"/>
              <w:jc w:val="center"/>
              <w:rPr>
                <w:noProof/>
              </w:rPr>
            </w:pPr>
            <w:r>
              <w:rPr>
                <w:noProof/>
              </w:rPr>
              <w:t>Реформа 1.15:</w:t>
            </w:r>
          </w:p>
          <w:p w14:paraId="48F97ECE" w14:textId="77777777" w:rsidR="006054AA" w:rsidRDefault="001F7667">
            <w:pPr>
              <w:pStyle w:val="P68B1DB1-Normal5"/>
              <w:spacing w:line="276" w:lineRule="auto"/>
              <w:jc w:val="center"/>
              <w:rPr>
                <w:noProof/>
              </w:rPr>
            </w:pPr>
            <w:r>
              <w:rPr>
                <w:noProof/>
              </w:rPr>
              <w:t>Реформа на счетоводните правила за публичния сектор</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28C04"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22D7F" w14:textId="77777777" w:rsidR="006054AA" w:rsidRDefault="001F7667">
            <w:pPr>
              <w:pStyle w:val="P68B1DB1-Normal5"/>
              <w:jc w:val="center"/>
              <w:rPr>
                <w:noProof/>
              </w:rPr>
            </w:pPr>
            <w:r>
              <w:rPr>
                <w:noProof/>
              </w:rPr>
              <w:t>Публични субекти, обучени за преминаване към новата система за счетоводна отчетност на базата на текущо начисляване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85C3E"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7A125" w14:textId="77777777" w:rsidR="006054AA" w:rsidRDefault="001F7667">
            <w:pPr>
              <w:pStyle w:val="P68B1DB1-Normal5"/>
              <w:jc w:val="center"/>
              <w:rPr>
                <w:noProof/>
              </w:rPr>
            </w:pPr>
            <w:r>
              <w:rPr>
                <w:noProof/>
              </w:rPr>
              <w:t>Брой</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CDF491"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C1646" w14:textId="597DC3D3" w:rsidR="006054AA" w:rsidRDefault="001F7667">
            <w:pPr>
              <w:pStyle w:val="P68B1DB1-Normal5"/>
              <w:jc w:val="center"/>
              <w:rPr>
                <w:noProof/>
              </w:rPr>
            </w:pPr>
            <w:r>
              <w:rPr>
                <w:noProof/>
              </w:rPr>
              <w:t>18 000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5F4CBB"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0F587C"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24983" w14:textId="4EB75153" w:rsidR="006054AA" w:rsidRDefault="001F7667">
            <w:pPr>
              <w:pStyle w:val="P68B1DB1-Normal5"/>
              <w:rPr>
                <w:noProof/>
              </w:rPr>
            </w:pPr>
            <w:r>
              <w:rPr>
                <w:noProof/>
              </w:rPr>
              <w:t>Край на първия кръг на обучение за прехода към новата система за счетоводна отчетност на базата на текущо начисляване за представители на 18 000 публични субекта.</w:t>
            </w:r>
          </w:p>
        </w:tc>
      </w:tr>
      <w:tr w:rsidR="006054AA" w14:paraId="345E979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F7C71D" w14:textId="77777777" w:rsidR="006054AA" w:rsidRDefault="001F7667">
            <w:pPr>
              <w:pStyle w:val="P68B1DB1-Normal5"/>
              <w:jc w:val="center"/>
              <w:rPr>
                <w:noProof/>
              </w:rPr>
            </w:pPr>
            <w:r>
              <w:rPr>
                <w:noProof/>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E864B" w14:textId="77777777" w:rsidR="006054AA" w:rsidRDefault="001F7667">
            <w:pPr>
              <w:pStyle w:val="P68B1DB1-Normal5"/>
              <w:spacing w:line="276" w:lineRule="auto"/>
              <w:jc w:val="center"/>
              <w:rPr>
                <w:noProof/>
              </w:rPr>
            </w:pPr>
            <w:r>
              <w:rPr>
                <w:noProof/>
              </w:rPr>
              <w:t>Реформа 1.15:</w:t>
            </w:r>
          </w:p>
          <w:p w14:paraId="4F92AE4E" w14:textId="77777777" w:rsidR="006054AA" w:rsidRDefault="001F7667">
            <w:pPr>
              <w:pStyle w:val="P68B1DB1-Normal5"/>
              <w:spacing w:line="276" w:lineRule="auto"/>
              <w:jc w:val="center"/>
              <w:rPr>
                <w:noProof/>
              </w:rPr>
            </w:pPr>
            <w:r>
              <w:rPr>
                <w:noProof/>
              </w:rPr>
              <w:t>Реформа на счетоводните правила за публичния сектор</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35D5FB"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ECA63" w14:textId="55E66242" w:rsidR="006054AA" w:rsidRDefault="001F7667">
            <w:pPr>
              <w:pStyle w:val="P68B1DB1-Normal5"/>
              <w:jc w:val="center"/>
              <w:rPr>
                <w:noProof/>
              </w:rPr>
            </w:pPr>
            <w:r>
              <w:rPr>
                <w:noProof/>
              </w:rPr>
              <w:t xml:space="preserve">Влизане в сила на реформата на принципа на текущо начисляване за най-малко 90 % от целия публичен сектор.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70764" w14:textId="5D3B545A" w:rsidR="006054AA" w:rsidRDefault="001F7667">
            <w:pPr>
              <w:pStyle w:val="P68B1DB1-Normal5"/>
              <w:jc w:val="center"/>
              <w:rPr>
                <w:noProof/>
              </w:rPr>
            </w:pPr>
            <w:r>
              <w:rPr>
                <w:noProof/>
              </w:rPr>
              <w:t>Законова разпоредба, указваща влизането в сила на всички мерки за прилагане (включително насоки, оперативни наръчници и програма за обучение) на текущо начисляване, които представляват най-малко 90 % от целия публичен сектор.</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34F7D"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D1ED0"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3F870"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EE098"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ADD18"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B0AC34" w14:textId="0D99FA46" w:rsidR="006054AA" w:rsidRDefault="001F7667">
            <w:pPr>
              <w:pStyle w:val="P68B1DB1-Normal5"/>
              <w:spacing w:after="120"/>
              <w:rPr>
                <w:noProof/>
              </w:rPr>
            </w:pPr>
            <w:r>
              <w:rPr>
                <w:noProof/>
              </w:rPr>
              <w:t>Изготвят се финансови отчети на публичната администрация, обхващащи най-малко 90 % от целия публичен сектор.</w:t>
            </w:r>
          </w:p>
          <w:p w14:paraId="739FF2C5" w14:textId="77777777" w:rsidR="006054AA" w:rsidRDefault="001F7667">
            <w:pPr>
              <w:pStyle w:val="P68B1DB1-Normal8"/>
              <w:spacing w:after="120"/>
              <w:rPr>
                <w:noProof/>
                <w:color w:val="006100"/>
                <w:sz w:val="20"/>
              </w:rPr>
            </w:pPr>
            <w:r>
              <w:rPr>
                <w:noProof/>
                <w:color w:val="006100"/>
                <w:sz w:val="20"/>
              </w:rPr>
              <w:t>Приема се законодателна реформа, предвиждаща въвеждането на новата система за счетоводна отчетност на базата на текущо начисляване за най-малко 90 % от публичните администрации, считано от 2027 г.</w:t>
            </w:r>
            <w:r>
              <w:rPr>
                <w:noProof/>
              </w:rPr>
              <w:br/>
            </w:r>
          </w:p>
          <w:p w14:paraId="18957BD6" w14:textId="77777777" w:rsidR="006054AA" w:rsidRDefault="001F7667">
            <w:pPr>
              <w:pStyle w:val="P68B1DB1-Normal8"/>
              <w:spacing w:after="120"/>
              <w:rPr>
                <w:noProof/>
                <w:color w:val="006100"/>
                <w:sz w:val="20"/>
              </w:rPr>
            </w:pPr>
            <w:r>
              <w:rPr>
                <w:noProof/>
              </w:rPr>
              <w:t>Приема се</w:t>
            </w:r>
            <w:r>
              <w:rPr>
                <w:noProof/>
                <w:color w:val="006100"/>
                <w:sz w:val="20"/>
              </w:rPr>
              <w:t>вторично законодателство, което предвижда: Указание (я) и ръководство (я) за експлоатация за прилагане на счетоводни стандарти, придружени от примери и практически изложения в подкрепа на операторите;</w:t>
            </w:r>
            <w:r>
              <w:rPr>
                <w:noProof/>
              </w:rPr>
              <w:br/>
            </w:r>
          </w:p>
          <w:p w14:paraId="65CAE922" w14:textId="341B5B97" w:rsidR="006054AA" w:rsidRDefault="001F7667">
            <w:pPr>
              <w:pStyle w:val="P68B1DB1-Normal5"/>
              <w:spacing w:after="120"/>
              <w:rPr>
                <w:noProof/>
              </w:rPr>
            </w:pPr>
            <w:r>
              <w:rPr>
                <w:noProof/>
              </w:rPr>
              <w:t>Програма за обучение: създаване на програми за обучение за прехода към новата система за счетоводна отчетност на базата на текущо начисляване.</w:t>
            </w:r>
          </w:p>
        </w:tc>
      </w:tr>
      <w:tr w:rsidR="006054AA" w14:paraId="68B00B2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963D4" w14:textId="77777777" w:rsidR="006054AA" w:rsidRDefault="001F7667">
            <w:pPr>
              <w:pStyle w:val="P68B1DB1-Normal5"/>
              <w:jc w:val="center"/>
              <w:rPr>
                <w:noProof/>
              </w:rPr>
            </w:pPr>
            <w:r>
              <w:rPr>
                <w:noProof/>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780CD" w14:textId="77777777" w:rsidR="006054AA" w:rsidRDefault="001F7667">
            <w:pPr>
              <w:pStyle w:val="P68B1DB1-Normal5"/>
              <w:spacing w:line="276" w:lineRule="auto"/>
              <w:jc w:val="center"/>
              <w:rPr>
                <w:noProof/>
              </w:rPr>
            </w:pPr>
            <w:r>
              <w:rPr>
                <w:noProof/>
              </w:rPr>
              <w:t>Реформа 1.14:</w:t>
            </w:r>
          </w:p>
          <w:p w14:paraId="3C050892" w14:textId="77777777" w:rsidR="006054AA" w:rsidRDefault="001F7667">
            <w:pPr>
              <w:pStyle w:val="P68B1DB1-Normal5"/>
              <w:spacing w:line="276" w:lineRule="auto"/>
              <w:jc w:val="center"/>
              <w:rPr>
                <w:noProof/>
              </w:rPr>
            </w:pPr>
            <w:r>
              <w:rPr>
                <w:noProof/>
              </w:rPr>
              <w:t>Реформа на поднационалната фискална рамка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6A98C"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337E6" w14:textId="77777777" w:rsidR="006054AA" w:rsidRDefault="001F7667">
            <w:pPr>
              <w:pStyle w:val="P68B1DB1-Normal5"/>
              <w:jc w:val="center"/>
              <w:rPr>
                <w:noProof/>
              </w:rPr>
            </w:pPr>
            <w:r>
              <w:rPr>
                <w:noProof/>
              </w:rPr>
              <w:t>Влизане в сила на първично и вторично законодателство за прилагане на регионалния фискален федерализъм</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45CCE" w14:textId="77777777" w:rsidR="006054AA" w:rsidRDefault="001F7667">
            <w:pPr>
              <w:pStyle w:val="P68B1DB1-Normal5"/>
              <w:jc w:val="center"/>
              <w:rPr>
                <w:noProof/>
              </w:rPr>
            </w:pPr>
            <w:r>
              <w:rPr>
                <w:noProof/>
              </w:rPr>
              <w:t>Законова разпоредба, указваща влизането в сила на фискалния федерализъм за регионите с обичаен статут.</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91431"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86EF9"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611C3"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42E5F"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93C5C2"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675C0" w14:textId="37DECB41" w:rsidR="006054AA" w:rsidRDefault="001F7667">
            <w:pPr>
              <w:pStyle w:val="P68B1DB1-Normal5"/>
              <w:spacing w:after="120"/>
              <w:rPr>
                <w:noProof/>
              </w:rPr>
            </w:pPr>
            <w:r>
              <w:rPr>
                <w:noProof/>
              </w:rPr>
              <w:t>Влизане в сила на регулаторната рамка на „Фискалния федерализъм „(„Federalismo fiscale“), както е предвидено в действащия Закон 42/2009 за делегирането. По-специално първичното и вторичното законодателство определят съответните параметри за прилагане на фискалния федерализъм за регионите с обичаен статут, както е определено в Декрет-закон 68/2011 (член 1—15), последно изменен със Закон 176/2020 (член 31-sexties).</w:t>
            </w:r>
          </w:p>
        </w:tc>
      </w:tr>
      <w:tr w:rsidR="006054AA" w14:paraId="070E5A7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8F784" w14:textId="77777777" w:rsidR="006054AA" w:rsidRDefault="001F7667">
            <w:pPr>
              <w:pStyle w:val="P68B1DB1-Normal5"/>
              <w:jc w:val="center"/>
              <w:rPr>
                <w:noProof/>
              </w:rPr>
            </w:pPr>
            <w:r>
              <w:rPr>
                <w:noProof/>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51B4" w14:textId="77777777" w:rsidR="006054AA" w:rsidRDefault="001F7667">
            <w:pPr>
              <w:pStyle w:val="P68B1DB1-Normal5"/>
              <w:spacing w:line="276" w:lineRule="auto"/>
              <w:jc w:val="center"/>
              <w:rPr>
                <w:noProof/>
              </w:rPr>
            </w:pPr>
            <w:r>
              <w:rPr>
                <w:noProof/>
              </w:rPr>
              <w:t>Реформа 1.14:</w:t>
            </w:r>
          </w:p>
          <w:p w14:paraId="3C473C8F" w14:textId="77777777" w:rsidR="006054AA" w:rsidRDefault="001F7667">
            <w:pPr>
              <w:pStyle w:val="P68B1DB1-Normal5"/>
              <w:spacing w:line="276" w:lineRule="auto"/>
              <w:jc w:val="center"/>
              <w:rPr>
                <w:noProof/>
              </w:rPr>
            </w:pPr>
            <w:r>
              <w:rPr>
                <w:noProof/>
              </w:rPr>
              <w:t>Реформа на поднационалната фискална рамка</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EB0F72"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C458E" w14:textId="77777777" w:rsidR="006054AA" w:rsidRDefault="001F7667">
            <w:pPr>
              <w:pStyle w:val="P68B1DB1-Normal5"/>
              <w:jc w:val="center"/>
              <w:rPr>
                <w:noProof/>
              </w:rPr>
            </w:pPr>
            <w:r>
              <w:rPr>
                <w:noProof/>
              </w:rPr>
              <w:t>Влизане в сила на първично и вторично законодателство за прилагане на регионалния фискален федерализъм</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53AD1" w14:textId="77777777" w:rsidR="006054AA" w:rsidRDefault="001F7667">
            <w:pPr>
              <w:pStyle w:val="P68B1DB1-Normal5"/>
              <w:jc w:val="center"/>
              <w:rPr>
                <w:noProof/>
              </w:rPr>
            </w:pPr>
            <w:r>
              <w:rPr>
                <w:noProof/>
              </w:rPr>
              <w:t>Законова разпоредба, указваща влизането в сила на фискалния федерализъм за провинциите и метрополните градове.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E42C8"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4F136"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67670"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A8E03" w14:textId="77777777" w:rsidR="006054AA" w:rsidRDefault="001F7667">
            <w:pPr>
              <w:pStyle w:val="P68B1DB1-Normal5"/>
              <w:jc w:val="center"/>
              <w:rPr>
                <w:noProof/>
              </w:rPr>
            </w:pPr>
            <w:r>
              <w:rPr>
                <w:noProof/>
              </w:rPr>
              <w:t>Т1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6F570"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29657" w14:textId="6466F39E" w:rsidR="006054AA" w:rsidRDefault="001F7667">
            <w:pPr>
              <w:pStyle w:val="P68B1DB1-Normal5"/>
              <w:rPr>
                <w:noProof/>
              </w:rPr>
            </w:pPr>
            <w:r>
              <w:rPr>
                <w:noProof/>
              </w:rPr>
              <w:t>Влизане в сила на регулаторната рамка на „Фискалния федерализъм „(„Federalismo fiscale“), както е предвидено в действащия Закон 42/2009 за делегирането. По-специално, първичното и вторичното законодателство определят съответните параметри за прилагане, според случая, на фискалния федерализъм за провинциите и метрополните градове, както е определено в Декрет-закон 68/2011 (член 1—15), последно изменен със Закон 178/2020 (член 1, запетая 783).</w:t>
            </w:r>
          </w:p>
        </w:tc>
      </w:tr>
      <w:tr w:rsidR="006054AA" w14:paraId="65E5CCB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B1D01D" w14:textId="77777777" w:rsidR="006054AA" w:rsidRDefault="001F7667">
            <w:pPr>
              <w:pStyle w:val="P68B1DB1-Normal5"/>
              <w:jc w:val="center"/>
              <w:rPr>
                <w:noProof/>
              </w:rPr>
            </w:pPr>
            <w:r>
              <w:rPr>
                <w:noProof/>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9C18C" w14:textId="77777777" w:rsidR="006054AA" w:rsidRDefault="001F7667">
            <w:pPr>
              <w:pStyle w:val="P68B1DB1-Normal5"/>
              <w:spacing w:line="276" w:lineRule="auto"/>
              <w:jc w:val="center"/>
              <w:rPr>
                <w:noProof/>
              </w:rPr>
            </w:pPr>
            <w:r>
              <w:rPr>
                <w:noProof/>
              </w:rPr>
              <w:t>Реформа 1.12:</w:t>
            </w:r>
          </w:p>
          <w:p w14:paraId="2BD30FF9" w14:textId="77777777" w:rsidR="006054AA" w:rsidRDefault="001F7667">
            <w:pPr>
              <w:pStyle w:val="P68B1DB1-Normal5"/>
              <w:spacing w:line="276" w:lineRule="auto"/>
              <w:jc w:val="center"/>
              <w:rPr>
                <w:noProof/>
              </w:rPr>
            </w:pPr>
            <w:r>
              <w:rPr>
                <w:noProof/>
              </w:rPr>
              <w:t>Реформа на данъчната администрация</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87D73" w14:textId="77777777" w:rsidR="006054AA" w:rsidRDefault="001F7667">
            <w:pPr>
              <w:pStyle w:val="P68B1DB1-Normal5"/>
              <w:jc w:val="center"/>
              <w:rPr>
                <w:noProof/>
              </w:rPr>
            </w:pPr>
            <w:r>
              <w:rPr>
                <w:noProof/>
              </w:rPr>
              <w:t>Целеви</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1953E" w14:textId="77777777" w:rsidR="006054AA" w:rsidRDefault="001F7667">
            <w:pPr>
              <w:pStyle w:val="P68B1DB1-Normal5"/>
              <w:jc w:val="center"/>
              <w:rPr>
                <w:noProof/>
              </w:rPr>
            </w:pPr>
            <w:r>
              <w:rPr>
                <w:noProof/>
              </w:rPr>
              <w:t>Намаляване на отклонението от данъчно облагане, както е определено от показателя „склонност за избягване“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75E03" w14:textId="77777777" w:rsidR="006054AA" w:rsidRDefault="001F7667">
            <w:pPr>
              <w:pStyle w:val="P68B1DB1-Normal5"/>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E87E9" w14:textId="77777777" w:rsidR="006054AA" w:rsidRDefault="001F7667">
            <w:pPr>
              <w:pStyle w:val="P68B1DB1-Normal5"/>
              <w:jc w:val="center"/>
              <w:rPr>
                <w:noProof/>
              </w:rPr>
            </w:pPr>
            <w:r>
              <w:rPr>
                <w:noProof/>
              </w:rPr>
              <w:t>Проценти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30C1EC" w14:textId="77777777" w:rsidR="006054AA" w:rsidRDefault="001F7667">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C5120" w14:textId="77777777" w:rsidR="006054AA" w:rsidRDefault="001F7667">
            <w:pPr>
              <w:pStyle w:val="P68B1DB1-Normal5"/>
              <w:jc w:val="center"/>
              <w:rPr>
                <w:noProof/>
              </w:rPr>
            </w:pPr>
            <w:r>
              <w:rPr>
                <w:noProof/>
              </w:rPr>
              <w:t>— 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12307"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97453"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05124" w14:textId="15BA7ACE" w:rsidR="006054AA" w:rsidRDefault="001F7667">
            <w:pPr>
              <w:pStyle w:val="P68B1DB1-Normal5"/>
              <w:spacing w:after="120"/>
              <w:rPr>
                <w:noProof/>
              </w:rPr>
            </w:pPr>
            <w:r>
              <w:rPr>
                <w:noProof/>
              </w:rPr>
              <w:t>„Склонността към избягване“ във всички данъци, с изключение на данъците върху недвижимото имущество (Imposta Municipale Unica) и акцизите трябва да бъдат по-ниски през 2024 г. в сравнение с 2019 г. с 15 % спрямо базовата стойност от 2019 г. Референтната оценка за 2019 г. се включва в актуализирания доклад на правителството относно сивата икономика, който ще бъде публикуван през ноември 2021 г. в съответствие с разпоредбите на член 2 от Законодателен декрет № 160/2015. Намалението от 15 % се спазва въз основа на оценка за данъчната 2024 година, включена в специален доклад, който Министерството на финансите трябва да изготви до юни 2026 г. въз основа на същата методология, използвана за доклада, изискван съгласно член 2 от Законодателен декрет № 160/2015.</w:t>
            </w:r>
          </w:p>
        </w:tc>
      </w:tr>
      <w:tr w:rsidR="006054AA" w14:paraId="75097C3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C2F79" w14:textId="77777777" w:rsidR="006054AA" w:rsidRDefault="001F7667">
            <w:pPr>
              <w:pStyle w:val="P68B1DB1-Normal5"/>
              <w:jc w:val="center"/>
              <w:rPr>
                <w:noProof/>
              </w:rPr>
            </w:pPr>
            <w:r>
              <w:rPr>
                <w:noProof/>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6135D" w14:textId="77777777" w:rsidR="006054AA" w:rsidRDefault="001F7667">
            <w:pPr>
              <w:pStyle w:val="P68B1DB1-Normal5"/>
              <w:spacing w:line="276" w:lineRule="auto"/>
              <w:jc w:val="center"/>
              <w:rPr>
                <w:noProof/>
              </w:rPr>
            </w:pPr>
            <w:r>
              <w:rPr>
                <w:noProof/>
              </w:rPr>
              <w:t>Реформа 1.13: Реформа на рамката за преглед на разходите</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1D1E5" w14:textId="77777777" w:rsidR="006054AA" w:rsidRDefault="001F7667">
            <w:pPr>
              <w:pStyle w:val="P68B1DB1-Normal5"/>
              <w:jc w:val="center"/>
              <w:rPr>
                <w:noProof/>
              </w:rPr>
            </w:pPr>
            <w:r>
              <w:rPr>
                <w:noProof/>
              </w:rPr>
              <w:t>Ключов етап</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E0274" w14:textId="77777777" w:rsidR="006054AA" w:rsidRDefault="001F7667">
            <w:pPr>
              <w:pStyle w:val="P68B1DB1-Normal5"/>
              <w:jc w:val="center"/>
              <w:rPr>
                <w:noProof/>
              </w:rPr>
            </w:pPr>
            <w:r>
              <w:rPr>
                <w:noProof/>
              </w:rPr>
              <w:t>Приключване на годишния преглед на разходите за 2025 г. във връзка с целта за икономии, определена през 2022 г., 2023 г. и 2024 г. за 2025 г.</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90E1D3" w14:textId="77777777" w:rsidR="006054AA" w:rsidRDefault="001F7667">
            <w:pPr>
              <w:pStyle w:val="P68B1DB1-Normal5"/>
              <w:jc w:val="center"/>
              <w:rPr>
                <w:noProof/>
              </w:rPr>
            </w:pPr>
            <w:r>
              <w:rPr>
                <w:noProof/>
              </w:rPr>
              <w:t>Приемане на доклада на Министерството на финансите за прегледа на разходите през 2025 г., удостоверяващ приключването на процеса и постигането на целта.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432A6" w14:textId="77777777" w:rsidR="006054AA" w:rsidRDefault="001F7667">
            <w:pPr>
              <w:pStyle w:val="P68B1DB1-Normal5"/>
              <w:jc w:val="center"/>
              <w:rPr>
                <w:noProof/>
              </w:rPr>
            </w:pPr>
            <w:r>
              <w:rPr>
                <w:noProof/>
              </w:rPr>
              <w:t>НЯМА</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7B95D" w14:textId="77777777" w:rsidR="006054AA" w:rsidRDefault="001F7667">
            <w:pPr>
              <w:pStyle w:val="P68B1DB1-Normal5"/>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EDAF6" w14:textId="77777777" w:rsidR="006054AA" w:rsidRDefault="001F7667">
            <w:pPr>
              <w:pStyle w:val="P68B1DB1-Normal5"/>
              <w:jc w:val="center"/>
              <w:rPr>
                <w:noProof/>
              </w:rPr>
            </w:pPr>
            <w:r>
              <w:rPr>
                <w:noProof/>
              </w:rPr>
              <w:t>НЯМА</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2CF5B" w14:textId="77777777" w:rsidR="006054AA" w:rsidRDefault="001F7667">
            <w:pPr>
              <w:pStyle w:val="P68B1DB1-Normal5"/>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59B48A" w14:textId="77777777" w:rsidR="006054AA" w:rsidRDefault="001F7667">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01435" w14:textId="77777777" w:rsidR="006054AA" w:rsidRDefault="001F7667">
            <w:pPr>
              <w:pStyle w:val="P68B1DB1-Normal5"/>
              <w:spacing w:after="120"/>
              <w:rPr>
                <w:noProof/>
              </w:rPr>
            </w:pPr>
            <w:r>
              <w:rPr>
                <w:noProof/>
              </w:rPr>
              <w:t>Докладът на Министерството на финансите, който се предава на Министерския съвет съгласно Наредба-закони 90 и 93 от 2016 г. и Закон 163/2016:</w:t>
            </w:r>
          </w:p>
          <w:p w14:paraId="45C41BAE" w14:textId="77777777" w:rsidR="006054AA" w:rsidRDefault="001F7667">
            <w:pPr>
              <w:pStyle w:val="P68B1DB1-Normal5"/>
              <w:spacing w:after="120"/>
              <w:rPr>
                <w:noProof/>
              </w:rPr>
            </w:pPr>
            <w:r>
              <w:rPr>
                <w:noProof/>
              </w:rPr>
              <w:t>— да се удостовери приключването на процеса на преглед на разходите за 2025 г. по отношение на разпоредбата за рамката за преглед на разходите.</w:t>
            </w:r>
          </w:p>
          <w:p w14:paraId="0F66C7BE" w14:textId="77777777" w:rsidR="006054AA" w:rsidRDefault="001F7667">
            <w:pPr>
              <w:pStyle w:val="P68B1DB1-Normal5"/>
              <w:spacing w:after="120"/>
              <w:rPr>
                <w:noProof/>
              </w:rPr>
            </w:pPr>
            <w:r>
              <w:rPr>
                <w:noProof/>
              </w:rPr>
              <w:t>— удостоверява постигането на целта, определена през 2022, 2023 и 2024 г.</w:t>
            </w:r>
          </w:p>
        </w:tc>
      </w:tr>
    </w:tbl>
    <w:p w14:paraId="07EF5307" w14:textId="77777777" w:rsidR="006054AA" w:rsidRDefault="006054AA">
      <w:pPr>
        <w:tabs>
          <w:tab w:val="left" w:pos="4252"/>
        </w:tabs>
        <w:rPr>
          <w:i/>
          <w:noProof/>
        </w:rPr>
        <w:sectPr w:rsidR="006054AA" w:rsidSect="001354D1">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0350EF91" w14:textId="77777777" w:rsidR="006054AA" w:rsidRDefault="001F7667">
      <w:pPr>
        <w:pStyle w:val="Heading3"/>
        <w:numPr>
          <w:ilvl w:val="0"/>
          <w:numId w:val="0"/>
        </w:numPr>
        <w:ind w:left="850" w:hanging="850"/>
        <w:rPr>
          <w:b/>
          <w:i w:val="0"/>
          <w:noProof/>
          <w:u w:val="single"/>
        </w:rPr>
      </w:pPr>
      <w:r>
        <w:rPr>
          <w:b/>
          <w:i w:val="0"/>
          <w:noProof/>
          <w:u w:val="single"/>
        </w:rPr>
        <w:t xml:space="preserve">А.3. </w:t>
      </w:r>
      <w:r>
        <w:rPr>
          <w:noProof/>
        </w:rPr>
        <w:tab/>
      </w:r>
      <w:r>
        <w:rPr>
          <w:b/>
          <w:i w:val="0"/>
          <w:noProof/>
          <w:u w:val="single"/>
        </w:rPr>
        <w:t xml:space="preserve">Описание на реформите и инвестициите за заема </w:t>
      </w:r>
    </w:p>
    <w:p w14:paraId="53032DBF" w14:textId="77777777" w:rsidR="006054AA" w:rsidRDefault="006054AA">
      <w:pPr>
        <w:spacing w:before="120" w:after="120"/>
        <w:jc w:val="both"/>
        <w:rPr>
          <w:rFonts w:eastAsiaTheme="minorHAnsi"/>
          <w:b/>
          <w:noProof/>
        </w:rPr>
      </w:pPr>
    </w:p>
    <w:p w14:paraId="3BFEC857" w14:textId="6754B07D" w:rsidR="006054AA" w:rsidRDefault="001F7667">
      <w:pPr>
        <w:pStyle w:val="P68B1DB1-Normal2"/>
        <w:spacing w:before="120" w:after="120"/>
        <w:jc w:val="both"/>
        <w:rPr>
          <w:rFonts w:eastAsiaTheme="minorHAnsi"/>
          <w:noProof/>
        </w:rPr>
      </w:pPr>
      <w:r>
        <w:rPr>
          <w:noProof/>
        </w:rPr>
        <w:t>Инвестиция 1.2 — Улесняване на изчисленията в облак за местните БКП</w:t>
      </w:r>
    </w:p>
    <w:p w14:paraId="385874D1" w14:textId="0ABCD1D6" w:rsidR="006054AA" w:rsidRDefault="001F7667">
      <w:pPr>
        <w:pStyle w:val="Descriptiontitle"/>
        <w:ind w:left="0"/>
        <w:rPr>
          <w:noProof/>
        </w:rPr>
      </w:pPr>
      <w:r>
        <w:rPr>
          <w:noProof/>
        </w:rPr>
        <w:t xml:space="preserve">Целта на тази инвестиция е да се прехвърлят наборите от данни и приложенията на значителна част от местната публична администрация към сигурна инфраструктура за изчисления в облак, като се даде възможност на всяка администрация да избира в рамките на набор от сертифицирани обществени облачни среди. </w:t>
      </w:r>
    </w:p>
    <w:p w14:paraId="34864D25" w14:textId="77777777" w:rsidR="006054AA" w:rsidRDefault="001F7667">
      <w:pPr>
        <w:pStyle w:val="Descriptiontitle"/>
        <w:ind w:left="0"/>
        <w:rPr>
          <w:noProof/>
        </w:rPr>
      </w:pPr>
      <w:r>
        <w:rPr>
          <w:noProof/>
        </w:rPr>
        <w:t>Мярката предвижда също така пакет за подкрепа „миграцията като услуга“ за администрациите, който включва: I) първоначалната оценка, ii) процедурната/административната подкрепа, необходима за започване на усилията, iii) договарянето на необходимата външна подкрепа и iv) цялостното управление на проекта в хода на изпълнението. От екип под надзора на Министерството на технологичните иновации и цифровия преход (MITD) се очаква да определи и сертифицира широк списък от квалифицирани доставчици и да договори набор от стандартни пакети за подкрепа, съобразени с размера на администрацията и службите, участващи в миграцията.</w:t>
      </w:r>
    </w:p>
    <w:p w14:paraId="1F4A4867" w14:textId="6CA04898" w:rsidR="006054AA" w:rsidRDefault="001F7667">
      <w:pPr>
        <w:pStyle w:val="P68B1DB1-Normal2"/>
        <w:spacing w:before="120" w:after="120"/>
        <w:jc w:val="both"/>
        <w:rPr>
          <w:rFonts w:eastAsiaTheme="minorHAnsi"/>
          <w:noProof/>
        </w:rPr>
      </w:pPr>
      <w:r>
        <w:rPr>
          <w:noProof/>
        </w:rPr>
        <w:t>Инвестиция 1.4 — Цифрови услуги и граждански опит</w:t>
      </w:r>
    </w:p>
    <w:p w14:paraId="7FC86796" w14:textId="77777777" w:rsidR="006054AA" w:rsidRDefault="001F7667">
      <w:pPr>
        <w:pStyle w:val="Descriptiontitle"/>
        <w:ind w:left="0"/>
        <w:rPr>
          <w:noProof/>
        </w:rPr>
      </w:pPr>
      <w:r>
        <w:rPr>
          <w:noProof/>
        </w:rPr>
        <w:t xml:space="preserve">Целта на тази инвестиция е да се разработи интегрирано и хармонизирано предлагане на най-съвременни цифрови услуги, ориентирани към гражданите, да се гарантира широкото им възприемане както в централните, така и в местните администрации, и да се подобри опитът на потребителите. </w:t>
      </w:r>
    </w:p>
    <w:p w14:paraId="463AF355" w14:textId="77777777" w:rsidR="006054AA" w:rsidRDefault="001F7667">
      <w:pPr>
        <w:pStyle w:val="Descriptiontitle"/>
        <w:ind w:left="0"/>
        <w:rPr>
          <w:noProof/>
        </w:rPr>
      </w:pPr>
      <w:r>
        <w:rPr>
          <w:noProof/>
        </w:rPr>
        <w:t xml:space="preserve">Мярката: </w:t>
      </w:r>
    </w:p>
    <w:p w14:paraId="5E95D7DF" w14:textId="77777777" w:rsidR="006054AA" w:rsidRDefault="001F7667">
      <w:pPr>
        <w:pStyle w:val="Descriptiontitle"/>
        <w:numPr>
          <w:ilvl w:val="0"/>
          <w:numId w:val="82"/>
        </w:numPr>
        <w:ind w:left="578" w:hanging="578"/>
        <w:rPr>
          <w:noProof/>
        </w:rPr>
      </w:pPr>
      <w:r>
        <w:rPr>
          <w:noProof/>
        </w:rPr>
        <w:t>повишаване на опита с цифровите обществени услуги чрез определяне на модели за предоставяне на услуги, които могат да се използват повторно, като се гарантират пълни изисквания за достъпност (Инвестиция 1.4.1 — Опитът на гражданите — Подобряване на качеството и използваемостта на цифровите обществени услуги);</w:t>
      </w:r>
    </w:p>
    <w:p w14:paraId="3587779B" w14:textId="77777777" w:rsidR="006054AA" w:rsidRDefault="001F7667">
      <w:pPr>
        <w:pStyle w:val="Descriptiontitle"/>
        <w:numPr>
          <w:ilvl w:val="0"/>
          <w:numId w:val="82"/>
        </w:numPr>
        <w:ind w:left="578" w:hanging="578"/>
        <w:rPr>
          <w:noProof/>
        </w:rPr>
      </w:pPr>
      <w:r>
        <w:rPr>
          <w:noProof/>
        </w:rPr>
        <w:t>подобряване на достъпността на цифровите обществени услуги (Инвестиции 1.4.2 — Приобщаване на гражданите: Подобряване на достъпността на цифровите обществени услуги);</w:t>
      </w:r>
    </w:p>
    <w:p w14:paraId="290436DF" w14:textId="77777777" w:rsidR="006054AA" w:rsidRDefault="001F7667">
      <w:pPr>
        <w:pStyle w:val="Descriptiontitle"/>
        <w:numPr>
          <w:ilvl w:val="0"/>
          <w:numId w:val="82"/>
        </w:numPr>
        <w:ind w:left="578" w:hanging="578"/>
        <w:rPr>
          <w:noProof/>
        </w:rPr>
      </w:pPr>
      <w:r>
        <w:rPr>
          <w:noProof/>
        </w:rPr>
        <w:t>насърчаване на приемането на цифровото приложение за плащания между гражданите и публичните администрации (PagoPA) и приемането на приложението IO като ключова цифрова контактна точка между гражданите и администрацията за широк набор от услуги (включително уведомления) в съответствие с логиката за „обслужване на едно гише“ (инвестиция 1.4.3 — разширяване на обхвата на услугите на платформата PagoPA и приложението IO);</w:t>
      </w:r>
    </w:p>
    <w:p w14:paraId="21B9E061" w14:textId="77777777" w:rsidR="006054AA" w:rsidRDefault="001F7667">
      <w:pPr>
        <w:pStyle w:val="Descriptiontitle"/>
        <w:numPr>
          <w:ilvl w:val="0"/>
          <w:numId w:val="82"/>
        </w:numPr>
        <w:ind w:left="578" w:hanging="578"/>
        <w:rPr>
          <w:noProof/>
        </w:rPr>
      </w:pPr>
      <w:r>
        <w:rPr>
          <w:noProof/>
        </w:rPr>
        <w:t>насърчаване на приемането на национални платформи за цифрова самоличност (Sistema Pubblico di Idenquà Digitale, SPID и Carta d’Identià Elettronica, CIE) и на националния регистър (Anagrafe nazionale della popolazione sidente, ANPR) (Инвестиция 1.4.4 — Увеличаване на националните платформи за цифрова самоличност (SPID, CIE) и националния регистър (ANPR));</w:t>
      </w:r>
    </w:p>
    <w:p w14:paraId="72E1BB22" w14:textId="77777777" w:rsidR="006054AA" w:rsidRDefault="001F7667">
      <w:pPr>
        <w:pStyle w:val="Descriptiontitle"/>
        <w:numPr>
          <w:ilvl w:val="0"/>
          <w:numId w:val="82"/>
        </w:numPr>
        <w:ind w:left="578" w:hanging="578"/>
        <w:rPr>
          <w:noProof/>
        </w:rPr>
      </w:pPr>
      <w:r>
        <w:rPr>
          <w:noProof/>
        </w:rPr>
        <w:t>разработване на единна платформа за уведомяване (инвестиция 1.4.5 — Цифровизация на публичните обявления);</w:t>
      </w:r>
    </w:p>
    <w:p w14:paraId="58D4F5A5" w14:textId="77777777" w:rsidR="006054AA" w:rsidRDefault="001F7667">
      <w:pPr>
        <w:pStyle w:val="Descriptiontitle"/>
        <w:numPr>
          <w:ilvl w:val="0"/>
          <w:numId w:val="82"/>
        </w:numPr>
        <w:ind w:left="578" w:hanging="578"/>
        <w:rPr>
          <w:noProof/>
        </w:rPr>
      </w:pPr>
      <w:r>
        <w:rPr>
          <w:noProof/>
        </w:rPr>
        <w:t>насърчаване на възприемането на парадигми „Мобилността като услуга“ (MaaS) в метрополните градове с цел цифровизиране на местния транспорт и предоставяне на потребителите на интегриран опит за мобилност от планирането на пътуванията до плащанията за различните видове транспорт (инвестиция 1.4.6 — Мобилността като услуга за Италия, като последната мярка се финансира въз основа на безвъзмездна финансова подкрепа).</w:t>
      </w:r>
    </w:p>
    <w:p w14:paraId="7CE0A32A" w14:textId="77777777" w:rsidR="006054AA" w:rsidRDefault="006054AA">
      <w:pPr>
        <w:spacing w:before="120" w:after="120"/>
        <w:jc w:val="both"/>
        <w:rPr>
          <w:rFonts w:eastAsiaTheme="minorHAnsi"/>
          <w:b/>
          <w:noProof/>
        </w:rPr>
      </w:pPr>
    </w:p>
    <w:p w14:paraId="50E0757F" w14:textId="5EAB8A7B" w:rsidR="006054AA" w:rsidRDefault="001F7667">
      <w:pPr>
        <w:pStyle w:val="P68B1DB1-Normal2"/>
        <w:spacing w:before="120" w:after="120"/>
        <w:jc w:val="both"/>
        <w:rPr>
          <w:rFonts w:eastAsiaTheme="minorHAnsi"/>
          <w:noProof/>
        </w:rPr>
      </w:pPr>
      <w:r>
        <w:rPr>
          <w:noProof/>
        </w:rPr>
        <w:t>Инвестиция 1.6 — Цифрова трансформация на големите централни администрации</w:t>
      </w:r>
    </w:p>
    <w:p w14:paraId="4E087110" w14:textId="77777777" w:rsidR="006054AA" w:rsidRDefault="001F7667">
      <w:pPr>
        <w:pStyle w:val="Descriptiontitle"/>
        <w:ind w:left="0"/>
        <w:rPr>
          <w:noProof/>
        </w:rPr>
      </w:pPr>
      <w:r>
        <w:rPr>
          <w:noProof/>
        </w:rPr>
        <w:t>Целта на тази инвестиция е да реконструира и цифровизира набор от приоритетни процеси, дейности и услуги в рамките на основните централни администрации, за да се повиши ефективността на тези администрации и да се опростят процедурите. Съответните централни администрации включват: I) Националния осигурителен институт (INPS) и Националния осигурителен институт за трудови злополуки (INAIL), ii) съдебната система, iii) Министерството на отбраната, iv) Министерството на вътрешните работи, v) финансовата полиция.</w:t>
      </w:r>
    </w:p>
    <w:p w14:paraId="34E64A2E" w14:textId="77777777" w:rsidR="006054AA" w:rsidRDefault="001F7667">
      <w:pPr>
        <w:pStyle w:val="Descriptiontitle"/>
        <w:ind w:left="0"/>
        <w:rPr>
          <w:noProof/>
        </w:rPr>
      </w:pPr>
      <w:r>
        <w:rPr>
          <w:noProof/>
        </w:rPr>
        <w:t>Що се отнася до Министерството на вътрешните работи, проектът предвижда i) цифровизация на услугите за гражданите и преструктуриране на основните вътрешни процеси; II) разработване на вътрешни приложения и системи за управление с цел разработване на вътрешна централизирана система за проверка на физическата и цифровата самоличност и свързаните с тях атрибути, която позволява на държавните служители (напр. полицията) да извършват дистанционна проверка в реално време на личните документи и свидетелства (напр. здравна карта, свидетелство за управление на МПС и др.), притежавани от гражданите и свързани със СОВ; III) повишаване на квалификацията на персонала с цел укрепване на цифровите способности (1.6.1 — Цифровизация на Министерството на вътрешните работи).</w:t>
      </w:r>
    </w:p>
    <w:p w14:paraId="01B8989D" w14:textId="7C9D2AAD" w:rsidR="006054AA" w:rsidRDefault="001F7667">
      <w:pPr>
        <w:pStyle w:val="Descriptiontitle"/>
        <w:ind w:left="0"/>
        <w:rPr>
          <w:noProof/>
        </w:rPr>
      </w:pPr>
      <w:r>
        <w:rPr>
          <w:noProof/>
        </w:rPr>
        <w:t>Що се отнася до съдебната система, проектът предвижда i) цифровизация през последните двадесет години (01/01/2006—30/06/2026) на архивите (7 750 000 съдебни преписки), свързани с граждански производства на нисшестоящи съдилища (Tribunali ordinari), апелативните съдилища и съдебните досиета на Върховния съд, мировите съдии на районните столици, службите за непълнолетни лица, наказателните състави на съдилищата и апелативните съдилища и прокуратурите; II) създаване на информационно езеро (софтуерен слой), което действа като единна точка за достъп до целия набор от необработени данни, генерирани от съдебната система. Информацията, съхранявана в езерото с данни, се използва чрез внедряване на решения с изкуствен интелект с цел: I) анонимизиране на гражданските и наказателните присъди; II) Автоматично идентифициране на правоотношението жертва — нарушител в правните разпоредби; III) управлява, анализира и организира предишни съдебни актове с цел улесняване на консултациите с гражданските съдии и прокурорите; IV) извършване на задълбочен статистически анализ на ефикасността и ефективността на съдебната система; V) управление и наблюдение на времето за обработване на дейностите, извършвани от съдебните служби (Инвестиции 1.6.2 — Цифровизация на Министерството на правосъдието и 1.6.5 — Цифровизация на Държавния съвет, финансирани въз основа на безвъзмездна финансова подкрепа).</w:t>
      </w:r>
    </w:p>
    <w:p w14:paraId="21C3609B" w14:textId="77777777" w:rsidR="006054AA" w:rsidRDefault="001F7667">
      <w:pPr>
        <w:pStyle w:val="Descriptiontitle"/>
        <w:ind w:left="0"/>
        <w:rPr>
          <w:noProof/>
        </w:rPr>
      </w:pPr>
      <w:r>
        <w:rPr>
          <w:noProof/>
        </w:rPr>
        <w:t>Що се отнася до INPS и INAIL, проектът включва основен преглед на техните вътрешни системи и процедури, както и развитието на техните цифрови контактни точки с жители, фирми и други публични администрации, за да се осигури на потребителите безпроблемен цифров опит (1.6.3 — Цифровизация на Националния осигурителен институт (INPS) и Националния институт за осигуряване срещу трудови злополуки (INAIL)).</w:t>
      </w:r>
    </w:p>
    <w:p w14:paraId="5F5DDC2C" w14:textId="1183B056" w:rsidR="006054AA" w:rsidRDefault="001F7667">
      <w:pPr>
        <w:pStyle w:val="Descriptiontitle"/>
        <w:ind w:left="0"/>
        <w:rPr>
          <w:noProof/>
        </w:rPr>
      </w:pPr>
      <w:r>
        <w:rPr>
          <w:noProof/>
        </w:rPr>
        <w:t>Що се отнася до Министерството на отбраната, проектът включва i) подобряване на сигурността на три основни набора от информация (персонал, административна документация, вътрешни и външни комуникации) и ii) миграция на всички системи и приложения към парадигма с отворен код, която е в съответствие с политиките за сигурност, определени от референтната регулаторна рамка (инвестиция 1.6.4 — Цифровизация на Министерството на отбраната).</w:t>
      </w:r>
    </w:p>
    <w:p w14:paraId="2ED467DD" w14:textId="77777777" w:rsidR="006054AA" w:rsidRDefault="001F7667">
      <w:pPr>
        <w:pStyle w:val="Descriptiontitle"/>
        <w:ind w:left="0"/>
        <w:rPr>
          <w:noProof/>
        </w:rPr>
      </w:pPr>
      <w:r>
        <w:rPr>
          <w:noProof/>
        </w:rPr>
        <w:t>Що се отнася до финансовата полиция, проектът има за цел по-специално i) реорганизиране на базите данни; II) въвеждане на науката за данните в рамките на оперативните процеси и процесите на вземане на решения (инвестиция 1.6.6 — Цифровизация на финансовата полиция, финансирана въз основа на безвъзмездна финансова подкрепа).</w:t>
      </w:r>
    </w:p>
    <w:p w14:paraId="25A167FF" w14:textId="77777777" w:rsidR="006054AA" w:rsidRDefault="006054AA">
      <w:pPr>
        <w:jc w:val="both"/>
        <w:rPr>
          <w:noProof/>
        </w:rPr>
      </w:pPr>
    </w:p>
    <w:p w14:paraId="3C1F6BE4" w14:textId="77777777" w:rsidR="006054AA" w:rsidRDefault="006054AA">
      <w:pPr>
        <w:spacing w:before="120" w:after="120"/>
        <w:ind w:left="709"/>
        <w:jc w:val="both"/>
        <w:rPr>
          <w:b/>
          <w:i/>
          <w:noProof/>
          <w:color w:val="4F81BD" w:themeColor="accent1"/>
        </w:rPr>
      </w:pPr>
    </w:p>
    <w:p w14:paraId="1C7AE3E5" w14:textId="77777777" w:rsidR="006054AA" w:rsidRDefault="006054AA">
      <w:pPr>
        <w:spacing w:before="120" w:after="120"/>
        <w:ind w:left="709"/>
        <w:jc w:val="both"/>
        <w:rPr>
          <w:b/>
          <w:i/>
          <w:noProof/>
          <w:color w:val="4F81BD" w:themeColor="accent1"/>
        </w:rPr>
        <w:sectPr w:rsidR="006054AA" w:rsidSect="001354D1">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31858868" w14:textId="77777777" w:rsidR="006054AA" w:rsidRDefault="001F7667">
      <w:pPr>
        <w:pStyle w:val="Heading3"/>
        <w:numPr>
          <w:ilvl w:val="0"/>
          <w:numId w:val="0"/>
        </w:numPr>
        <w:ind w:left="850" w:hanging="850"/>
        <w:rPr>
          <w:b/>
          <w:i w:val="0"/>
          <w:noProof/>
          <w:u w:val="single"/>
        </w:rPr>
      </w:pPr>
      <w:r>
        <w:rPr>
          <w:b/>
          <w:i w:val="0"/>
          <w:noProof/>
          <w:u w:val="single"/>
        </w:rPr>
        <w:t xml:space="preserve">А.4. </w:t>
      </w:r>
      <w:r>
        <w:rPr>
          <w:noProof/>
        </w:rPr>
        <w:tab/>
      </w:r>
      <w:r>
        <w:rPr>
          <w:b/>
          <w:i w:val="0"/>
          <w:noProof/>
          <w:u w:val="single"/>
        </w:rPr>
        <w:t xml:space="preserve">Ключови етапи, цели, показатели и график за мониторинг и изпълнение на заема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417"/>
        <w:gridCol w:w="793"/>
        <w:gridCol w:w="625"/>
        <w:gridCol w:w="2584"/>
      </w:tblGrid>
      <w:tr w:rsidR="006054AA" w14:paraId="6517F44F" w14:textId="77777777">
        <w:trPr>
          <w:trHeight w:val="774"/>
          <w:tblHeader/>
        </w:trPr>
        <w:tc>
          <w:tcPr>
            <w:tcW w:w="1284" w:type="dxa"/>
            <w:vMerge w:val="restart"/>
            <w:shd w:val="clear" w:color="auto" w:fill="BDD7EE"/>
            <w:vAlign w:val="center"/>
            <w:hideMark/>
          </w:tcPr>
          <w:p w14:paraId="6ACECACE" w14:textId="77777777" w:rsidR="006054AA" w:rsidRDefault="001F7667">
            <w:pPr>
              <w:pStyle w:val="P68B1DB1-Normal9"/>
              <w:jc w:val="center"/>
              <w:rPr>
                <w:noProof/>
              </w:rPr>
            </w:pPr>
            <w:r>
              <w:rPr>
                <w:noProof/>
              </w:rPr>
              <w:t>Пореден номер</w:t>
            </w:r>
          </w:p>
        </w:tc>
        <w:tc>
          <w:tcPr>
            <w:tcW w:w="1746" w:type="dxa"/>
            <w:vMerge w:val="restart"/>
            <w:shd w:val="clear" w:color="auto" w:fill="BDD7EE"/>
            <w:vAlign w:val="center"/>
            <w:hideMark/>
          </w:tcPr>
          <w:p w14:paraId="1A47368D" w14:textId="77777777" w:rsidR="006054AA" w:rsidRDefault="001F7667">
            <w:pPr>
              <w:pStyle w:val="P68B1DB1-Normal9"/>
              <w:jc w:val="center"/>
              <w:rPr>
                <w:noProof/>
              </w:rPr>
            </w:pPr>
            <w:r>
              <w:rPr>
                <w:noProof/>
              </w:rPr>
              <w:t>Свързана мярка (реформа или инвестиции)</w:t>
            </w:r>
          </w:p>
        </w:tc>
        <w:tc>
          <w:tcPr>
            <w:tcW w:w="992" w:type="dxa"/>
            <w:vMerge w:val="restart"/>
            <w:shd w:val="clear" w:color="auto" w:fill="BDD7EE"/>
            <w:vAlign w:val="center"/>
            <w:hideMark/>
          </w:tcPr>
          <w:p w14:paraId="3904807C" w14:textId="77777777" w:rsidR="006054AA" w:rsidRDefault="001F7667">
            <w:pPr>
              <w:pStyle w:val="P68B1DB1-Normal9"/>
              <w:jc w:val="center"/>
              <w:rPr>
                <w:noProof/>
              </w:rPr>
            </w:pPr>
            <w:r>
              <w:rPr>
                <w:noProof/>
              </w:rPr>
              <w:t>Ключов етап</w:t>
            </w:r>
          </w:p>
          <w:p w14:paraId="7CC1F6E6" w14:textId="77777777" w:rsidR="006054AA" w:rsidRDefault="001F7667">
            <w:pPr>
              <w:pStyle w:val="P68B1DB1-Normal9"/>
              <w:jc w:val="center"/>
              <w:rPr>
                <w:noProof/>
              </w:rPr>
            </w:pPr>
            <w:r>
              <w:rPr>
                <w:noProof/>
              </w:rPr>
              <w:t>/Цел</w:t>
            </w:r>
          </w:p>
        </w:tc>
        <w:tc>
          <w:tcPr>
            <w:tcW w:w="2126" w:type="dxa"/>
            <w:vMerge w:val="restart"/>
            <w:shd w:val="clear" w:color="auto" w:fill="BDD7EE"/>
            <w:vAlign w:val="center"/>
            <w:hideMark/>
          </w:tcPr>
          <w:p w14:paraId="3829DE4D" w14:textId="77777777" w:rsidR="006054AA" w:rsidRDefault="001F7667">
            <w:pPr>
              <w:pStyle w:val="P68B1DB1-Normal9"/>
              <w:jc w:val="center"/>
              <w:rPr>
                <w:noProof/>
              </w:rPr>
            </w:pPr>
            <w:r>
              <w:rPr>
                <w:noProof/>
              </w:rPr>
              <w:t>Име</w:t>
            </w:r>
          </w:p>
        </w:tc>
        <w:tc>
          <w:tcPr>
            <w:tcW w:w="1701" w:type="dxa"/>
            <w:vMerge w:val="restart"/>
            <w:shd w:val="clear" w:color="auto" w:fill="BDD7EE"/>
            <w:vAlign w:val="center"/>
            <w:hideMark/>
          </w:tcPr>
          <w:p w14:paraId="3941F67B"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827" w:type="dxa"/>
            <w:gridSpan w:val="3"/>
            <w:shd w:val="clear" w:color="auto" w:fill="BDD7EE"/>
            <w:vAlign w:val="center"/>
            <w:hideMark/>
          </w:tcPr>
          <w:p w14:paraId="3299A39A"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418" w:type="dxa"/>
            <w:gridSpan w:val="2"/>
            <w:shd w:val="clear" w:color="auto" w:fill="BDD7EE"/>
            <w:vAlign w:val="center"/>
            <w:hideMark/>
          </w:tcPr>
          <w:p w14:paraId="4B261965" w14:textId="77777777" w:rsidR="006054AA" w:rsidRDefault="001F7667">
            <w:pPr>
              <w:pStyle w:val="P68B1DB1-Normal9"/>
              <w:jc w:val="center"/>
              <w:rPr>
                <w:noProof/>
              </w:rPr>
            </w:pPr>
            <w:r>
              <w:rPr>
                <w:noProof/>
              </w:rPr>
              <w:t>Примерен график за приключване</w:t>
            </w:r>
          </w:p>
        </w:tc>
        <w:tc>
          <w:tcPr>
            <w:tcW w:w="2584" w:type="dxa"/>
            <w:vMerge w:val="restart"/>
            <w:shd w:val="clear" w:color="auto" w:fill="BDD7EE"/>
            <w:vAlign w:val="center"/>
            <w:hideMark/>
          </w:tcPr>
          <w:p w14:paraId="0FA9185A" w14:textId="77777777" w:rsidR="006054AA" w:rsidRDefault="001F7667">
            <w:pPr>
              <w:pStyle w:val="P68B1DB1-Normal9"/>
              <w:jc w:val="center"/>
              <w:rPr>
                <w:noProof/>
              </w:rPr>
            </w:pPr>
            <w:r>
              <w:rPr>
                <w:noProof/>
              </w:rPr>
              <w:t>Описание на всеки ключов етап и цел</w:t>
            </w:r>
          </w:p>
        </w:tc>
      </w:tr>
      <w:tr w:rsidR="006054AA" w14:paraId="5FE3D8DB" w14:textId="77777777">
        <w:trPr>
          <w:trHeight w:val="686"/>
          <w:tblHeader/>
        </w:trPr>
        <w:tc>
          <w:tcPr>
            <w:tcW w:w="1284" w:type="dxa"/>
            <w:vMerge/>
            <w:vAlign w:val="center"/>
            <w:hideMark/>
          </w:tcPr>
          <w:p w14:paraId="63045CB4" w14:textId="77777777" w:rsidR="006054AA" w:rsidRDefault="006054AA">
            <w:pPr>
              <w:jc w:val="center"/>
              <w:rPr>
                <w:rFonts w:ascii="Arial Narrow" w:hAnsi="Arial Narrow"/>
                <w:b/>
                <w:noProof/>
                <w:sz w:val="20"/>
              </w:rPr>
            </w:pPr>
          </w:p>
        </w:tc>
        <w:tc>
          <w:tcPr>
            <w:tcW w:w="1746" w:type="dxa"/>
            <w:vMerge/>
            <w:vAlign w:val="center"/>
            <w:hideMark/>
          </w:tcPr>
          <w:p w14:paraId="396555B5" w14:textId="77777777" w:rsidR="006054AA" w:rsidRDefault="006054AA">
            <w:pPr>
              <w:jc w:val="center"/>
              <w:rPr>
                <w:rFonts w:ascii="Arial Narrow" w:hAnsi="Arial Narrow"/>
                <w:b/>
                <w:noProof/>
                <w:sz w:val="20"/>
              </w:rPr>
            </w:pPr>
          </w:p>
        </w:tc>
        <w:tc>
          <w:tcPr>
            <w:tcW w:w="992" w:type="dxa"/>
            <w:vMerge/>
            <w:vAlign w:val="center"/>
            <w:hideMark/>
          </w:tcPr>
          <w:p w14:paraId="7F95E54E" w14:textId="77777777" w:rsidR="006054AA" w:rsidRDefault="006054AA">
            <w:pPr>
              <w:jc w:val="center"/>
              <w:rPr>
                <w:rFonts w:ascii="Arial Narrow" w:hAnsi="Arial Narrow"/>
                <w:b/>
                <w:noProof/>
                <w:sz w:val="20"/>
              </w:rPr>
            </w:pPr>
          </w:p>
        </w:tc>
        <w:tc>
          <w:tcPr>
            <w:tcW w:w="2126" w:type="dxa"/>
            <w:vMerge/>
            <w:vAlign w:val="center"/>
            <w:hideMark/>
          </w:tcPr>
          <w:p w14:paraId="348AD866" w14:textId="77777777" w:rsidR="006054AA" w:rsidRDefault="006054AA">
            <w:pPr>
              <w:jc w:val="center"/>
              <w:rPr>
                <w:rFonts w:ascii="Arial Narrow" w:hAnsi="Arial Narrow"/>
                <w:b/>
                <w:noProof/>
                <w:sz w:val="20"/>
              </w:rPr>
            </w:pPr>
          </w:p>
        </w:tc>
        <w:tc>
          <w:tcPr>
            <w:tcW w:w="1701" w:type="dxa"/>
            <w:vMerge/>
            <w:vAlign w:val="center"/>
            <w:hideMark/>
          </w:tcPr>
          <w:p w14:paraId="4D9C8CA8" w14:textId="77777777" w:rsidR="006054AA" w:rsidRDefault="006054AA">
            <w:pPr>
              <w:jc w:val="center"/>
              <w:rPr>
                <w:rFonts w:ascii="Arial Narrow" w:hAnsi="Arial Narrow"/>
                <w:b/>
                <w:noProof/>
                <w:sz w:val="20"/>
              </w:rPr>
            </w:pPr>
          </w:p>
        </w:tc>
        <w:tc>
          <w:tcPr>
            <w:tcW w:w="1134" w:type="dxa"/>
            <w:shd w:val="clear" w:color="auto" w:fill="BDD7EE"/>
            <w:vAlign w:val="center"/>
            <w:hideMark/>
          </w:tcPr>
          <w:p w14:paraId="09CCED70" w14:textId="77777777" w:rsidR="006054AA" w:rsidRDefault="001F7667">
            <w:pPr>
              <w:pStyle w:val="P68B1DB1-Normal9"/>
              <w:jc w:val="center"/>
              <w:rPr>
                <w:noProof/>
              </w:rPr>
            </w:pPr>
            <w:r>
              <w:rPr>
                <w:noProof/>
              </w:rPr>
              <w:t>Единица на</w:t>
            </w:r>
          </w:p>
          <w:p w14:paraId="15BDA474" w14:textId="77777777" w:rsidR="006054AA" w:rsidRDefault="001F7667">
            <w:pPr>
              <w:pStyle w:val="P68B1DB1-Normal9"/>
              <w:jc w:val="center"/>
              <w:rPr>
                <w:noProof/>
              </w:rPr>
            </w:pPr>
            <w:r>
              <w:rPr>
                <w:noProof/>
              </w:rPr>
              <w:t>мярка</w:t>
            </w:r>
          </w:p>
        </w:tc>
        <w:tc>
          <w:tcPr>
            <w:tcW w:w="1276" w:type="dxa"/>
            <w:shd w:val="clear" w:color="auto" w:fill="BDD7EE"/>
            <w:vAlign w:val="center"/>
            <w:hideMark/>
          </w:tcPr>
          <w:p w14:paraId="275AA38D" w14:textId="77777777" w:rsidR="006054AA" w:rsidRDefault="001F7667">
            <w:pPr>
              <w:pStyle w:val="P68B1DB1-Normal9"/>
              <w:jc w:val="center"/>
              <w:rPr>
                <w:noProof/>
              </w:rPr>
            </w:pPr>
            <w:r>
              <w:rPr>
                <w:noProof/>
              </w:rPr>
              <w:t>Базова линия</w:t>
            </w:r>
          </w:p>
        </w:tc>
        <w:tc>
          <w:tcPr>
            <w:tcW w:w="1417" w:type="dxa"/>
            <w:shd w:val="clear" w:color="auto" w:fill="BDD7EE"/>
            <w:vAlign w:val="center"/>
            <w:hideMark/>
          </w:tcPr>
          <w:p w14:paraId="5B410E8B" w14:textId="77777777" w:rsidR="006054AA" w:rsidRDefault="001F7667">
            <w:pPr>
              <w:pStyle w:val="P68B1DB1-Normal9"/>
              <w:jc w:val="center"/>
              <w:rPr>
                <w:noProof/>
              </w:rPr>
            </w:pPr>
            <w:r>
              <w:rPr>
                <w:noProof/>
              </w:rPr>
              <w:t>Цел</w:t>
            </w:r>
          </w:p>
        </w:tc>
        <w:tc>
          <w:tcPr>
            <w:tcW w:w="793" w:type="dxa"/>
            <w:shd w:val="clear" w:color="auto" w:fill="BDD7EE"/>
            <w:vAlign w:val="center"/>
            <w:hideMark/>
          </w:tcPr>
          <w:p w14:paraId="69D7DEC8" w14:textId="77777777" w:rsidR="006054AA" w:rsidRDefault="001F7667">
            <w:pPr>
              <w:pStyle w:val="P68B1DB1-Normal9"/>
              <w:jc w:val="center"/>
              <w:rPr>
                <w:noProof/>
              </w:rPr>
            </w:pPr>
            <w:r>
              <w:rPr>
                <w:noProof/>
              </w:rPr>
              <w:t>Тримесечие</w:t>
            </w:r>
          </w:p>
        </w:tc>
        <w:tc>
          <w:tcPr>
            <w:tcW w:w="625" w:type="dxa"/>
            <w:shd w:val="clear" w:color="auto" w:fill="BDD7EE"/>
            <w:vAlign w:val="center"/>
            <w:hideMark/>
          </w:tcPr>
          <w:p w14:paraId="198A9B44" w14:textId="77777777" w:rsidR="006054AA" w:rsidRDefault="001F7667">
            <w:pPr>
              <w:pStyle w:val="P68B1DB1-Normal9"/>
              <w:jc w:val="center"/>
              <w:rPr>
                <w:noProof/>
              </w:rPr>
            </w:pPr>
            <w:r>
              <w:rPr>
                <w:noProof/>
              </w:rPr>
              <w:t>Година</w:t>
            </w:r>
          </w:p>
        </w:tc>
        <w:tc>
          <w:tcPr>
            <w:tcW w:w="2584" w:type="dxa"/>
            <w:vMerge/>
            <w:vAlign w:val="center"/>
            <w:hideMark/>
          </w:tcPr>
          <w:p w14:paraId="757335CC" w14:textId="77777777" w:rsidR="006054AA" w:rsidRDefault="006054AA">
            <w:pPr>
              <w:rPr>
                <w:rFonts w:ascii="Arial Narrow" w:hAnsi="Arial Narrow"/>
                <w:b/>
                <w:noProof/>
                <w:sz w:val="20"/>
              </w:rPr>
            </w:pPr>
          </w:p>
        </w:tc>
      </w:tr>
      <w:tr w:rsidR="006054AA" w14:paraId="49DA65BD"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59BE6" w14:textId="25E3DA6D" w:rsidR="006054AA" w:rsidRDefault="001F7667">
            <w:pPr>
              <w:pStyle w:val="P68B1DB1-Normal11"/>
              <w:jc w:val="center"/>
              <w:rPr>
                <w:noProof/>
              </w:rPr>
            </w:pPr>
            <w:r>
              <w:rPr>
                <w:noProof/>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A9A07" w14:textId="313F3B99" w:rsidR="006054AA" w:rsidRDefault="001F7667">
            <w:pPr>
              <w:pStyle w:val="P68B1DB1-Normal11"/>
              <w:jc w:val="center"/>
              <w:rPr>
                <w:noProof/>
              </w:rPr>
            </w:pPr>
            <w:r>
              <w:rPr>
                <w:noProof/>
              </w:rPr>
              <w:t>Инвестиция 1.6.5: Цифровизация на Държавния съвет</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3BF5A" w14:textId="61DE38AB" w:rsidR="006054AA" w:rsidRDefault="001F7667">
            <w:pPr>
              <w:pStyle w:val="P68B1DB1-Normal11"/>
              <w:jc w:val="center"/>
              <w:rPr>
                <w:noProof/>
              </w:rPr>
            </w:pPr>
            <w:r>
              <w:rPr>
                <w:noProof/>
              </w:rPr>
              <w:t>Целеви</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0E479" w14:textId="2530DB07" w:rsidR="006054AA" w:rsidRDefault="001F7667">
            <w:pPr>
              <w:pStyle w:val="P68B1DB1-Normal11"/>
              <w:jc w:val="center"/>
              <w:rPr>
                <w:noProof/>
              </w:rPr>
            </w:pPr>
            <w:r>
              <w:rPr>
                <w:noProof/>
              </w:rPr>
              <w:t>Държавен съвет — Документи на Съда, които са на разположение за анализ в хранилище за данни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9A457" w14:textId="5E4F6C64" w:rsidR="006054AA" w:rsidRDefault="001F7667">
            <w:pPr>
              <w:pStyle w:val="P68B1DB1-Normal11"/>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261CA" w14:textId="27FE11CB" w:rsidR="006054AA" w:rsidRDefault="001F7667">
            <w:pPr>
              <w:pStyle w:val="P68B1DB1-Normal11"/>
              <w:jc w:val="center"/>
              <w:rPr>
                <w:noProof/>
              </w:rPr>
            </w:pPr>
            <w:r>
              <w:rPr>
                <w:noProof/>
              </w:rPr>
              <w:t>Брой</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E6777" w14:textId="58FD6DF0" w:rsidR="006054AA" w:rsidRDefault="001F7667">
            <w:pPr>
              <w:pStyle w:val="P68B1DB1-Normal11"/>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3F4FB" w14:textId="0D6F7E30" w:rsidR="006054AA" w:rsidRDefault="001F7667">
            <w:pPr>
              <w:pStyle w:val="P68B1DB1-Normal11"/>
              <w:jc w:val="center"/>
              <w:rPr>
                <w:noProof/>
              </w:rPr>
            </w:pPr>
            <w:r>
              <w:rPr>
                <w:noProof/>
              </w:rPr>
              <w:t>800 000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A163A" w14:textId="09489D6E" w:rsidR="006054AA" w:rsidRDefault="001F7667">
            <w:pPr>
              <w:pStyle w:val="P68B1DB1-Normal11"/>
              <w:jc w:val="center"/>
              <w:rPr>
                <w:noProof/>
              </w:rPr>
            </w:pPr>
            <w:r>
              <w:rPr>
                <w:noProof/>
              </w:rPr>
              <w:t>Т4 Г.</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38F22" w14:textId="41CC3BF5" w:rsidR="006054AA" w:rsidRDefault="001F7667">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16B994" w14:textId="53250C48" w:rsidR="006054AA" w:rsidRDefault="001F7667">
            <w:pPr>
              <w:pStyle w:val="P68B1DB1-Normal11"/>
              <w:spacing w:after="120"/>
              <w:rPr>
                <w:noProof/>
              </w:rPr>
            </w:pPr>
            <w:r>
              <w:rPr>
                <w:noProof/>
              </w:rPr>
              <w:t>Брой на съдебните документи, свързани със системата за административна компетентност (като присъди, становища и постановления), които са изцяло на разположение в хранилището за данни.</w:t>
            </w:r>
          </w:p>
        </w:tc>
      </w:tr>
      <w:tr w:rsidR="006054AA" w14:paraId="259CE2EC"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48742" w14:textId="09A5BAB6" w:rsidR="006054AA" w:rsidRDefault="001F7667">
            <w:pPr>
              <w:pStyle w:val="P68B1DB1-Normal11"/>
              <w:jc w:val="center"/>
              <w:rPr>
                <w:noProof/>
              </w:rPr>
            </w:pPr>
            <w:r>
              <w:rPr>
                <w:noProof/>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5C105" w14:textId="35F88E97" w:rsidR="006054AA" w:rsidRDefault="001F7667">
            <w:pPr>
              <w:pStyle w:val="P68B1DB1-Normal11"/>
              <w:jc w:val="center"/>
              <w:rPr>
                <w:noProof/>
              </w:rPr>
            </w:pPr>
            <w:r>
              <w:rPr>
                <w:noProof/>
              </w:rPr>
              <w:t>Инвестиция 1.6.5: Цифровизация на Държавния съвет</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AD90D" w14:textId="1B8312B8" w:rsidR="006054AA" w:rsidRDefault="001F7667">
            <w:pPr>
              <w:pStyle w:val="P68B1DB1-Normal11"/>
              <w:jc w:val="center"/>
              <w:rPr>
                <w:noProof/>
              </w:rPr>
            </w:pPr>
            <w:r>
              <w:rPr>
                <w:noProof/>
              </w:rPr>
              <w:t>Целеви</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58158" w14:textId="0E71EAD9" w:rsidR="006054AA" w:rsidRDefault="001F7667">
            <w:pPr>
              <w:pStyle w:val="P68B1DB1-Normal11"/>
              <w:jc w:val="center"/>
              <w:rPr>
                <w:noProof/>
              </w:rPr>
            </w:pPr>
            <w:r>
              <w:rPr>
                <w:noProof/>
              </w:rPr>
              <w:t>Държавен съвет — Документи на Съда, които са на разположение за анализ в хранилище за данни T2</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FDA98" w14:textId="434B3DAE" w:rsidR="006054AA" w:rsidRDefault="001F7667">
            <w:pPr>
              <w:pStyle w:val="P68B1DB1-Normal11"/>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1D9F3" w14:textId="388A148D" w:rsidR="006054AA" w:rsidRDefault="001F7667">
            <w:pPr>
              <w:pStyle w:val="P68B1DB1-Normal11"/>
              <w:jc w:val="center"/>
              <w:rPr>
                <w:noProof/>
              </w:rPr>
            </w:pPr>
            <w:r>
              <w:rPr>
                <w:noProof/>
              </w:rPr>
              <w:t>Брой</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2C3A" w14:textId="244344FC" w:rsidR="006054AA" w:rsidRDefault="001F7667">
            <w:pPr>
              <w:pStyle w:val="P68B1DB1-Normal11"/>
              <w:jc w:val="center"/>
              <w:rPr>
                <w:noProof/>
              </w:rPr>
            </w:pPr>
            <w:r>
              <w:rPr>
                <w:noProof/>
              </w:rPr>
              <w:t>800 000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6498" w14:textId="43BA3045" w:rsidR="006054AA" w:rsidRDefault="001F7667">
            <w:pPr>
              <w:pStyle w:val="P68B1DB1-Normal11"/>
              <w:jc w:val="center"/>
              <w:rPr>
                <w:noProof/>
              </w:rPr>
            </w:pPr>
            <w:r>
              <w:rPr>
                <w:noProof/>
              </w:rPr>
              <w:t>2 500 000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3E58D" w14:textId="063FD2A1" w:rsidR="006054AA" w:rsidRDefault="001F7667">
            <w:pPr>
              <w:pStyle w:val="P68B1DB1-Normal11"/>
              <w:jc w:val="center"/>
              <w:rPr>
                <w:noProof/>
              </w:rPr>
            </w:pPr>
            <w:r>
              <w:rPr>
                <w:noProof/>
              </w:rPr>
              <w:t>Т4 Г.</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0CE4" w14:textId="6399BAF9" w:rsidR="006054AA" w:rsidRDefault="001F7667">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D694A" w14:textId="3F3CB0E9" w:rsidR="006054AA" w:rsidRDefault="001F7667">
            <w:pPr>
              <w:pStyle w:val="P68B1DB1-Normal11"/>
              <w:spacing w:after="120"/>
              <w:rPr>
                <w:noProof/>
              </w:rPr>
            </w:pPr>
            <w:r>
              <w:rPr>
                <w:noProof/>
              </w:rPr>
              <w:t>Брой на съдебните документи, свързани със системата за административна компетентност (като съдебни решения, становища и постановления), които са изцяло на разположение в хранилището за данни.</w:t>
            </w:r>
          </w:p>
        </w:tc>
      </w:tr>
      <w:tr w:rsidR="006054AA" w14:paraId="52DDB9CD"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032C3D" w14:textId="77777777" w:rsidR="006054AA" w:rsidRDefault="001F7667">
            <w:pPr>
              <w:pStyle w:val="P68B1DB1-Normal11"/>
              <w:jc w:val="center"/>
              <w:rPr>
                <w:noProof/>
              </w:rPr>
            </w:pPr>
            <w:r>
              <w:rPr>
                <w:noProof/>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50277" w14:textId="77777777" w:rsidR="006054AA" w:rsidRDefault="001F7667">
            <w:pPr>
              <w:pStyle w:val="P68B1DB1-Normal11"/>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FC750E" w14:textId="77777777" w:rsidR="006054AA" w:rsidRDefault="001F7667">
            <w:pPr>
              <w:pStyle w:val="P68B1DB1-Normal11"/>
              <w:jc w:val="center"/>
              <w:rPr>
                <w:noProof/>
              </w:rPr>
            </w:pPr>
            <w:r>
              <w:rPr>
                <w:noProof/>
              </w:rPr>
              <w:t>Целеви</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39499" w14:textId="77777777" w:rsidR="006054AA" w:rsidRDefault="001F7667">
            <w:pPr>
              <w:pStyle w:val="P68B1DB1-Normal11"/>
              <w:jc w:val="center"/>
              <w:rPr>
                <w:noProof/>
              </w:rPr>
            </w:pPr>
            <w:r>
              <w:rPr>
                <w:noProof/>
              </w:rPr>
              <w:t>INPS — Услуги/съдържание T1 „Едно кликнете върху дизайна“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86475" w14:textId="77777777" w:rsidR="006054AA" w:rsidRDefault="001F7667">
            <w:pPr>
              <w:pStyle w:val="P68B1DB1-Normal11"/>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2C327" w14:textId="77777777" w:rsidR="006054AA" w:rsidRDefault="001F7667">
            <w:pPr>
              <w:pStyle w:val="P68B1DB1-Normal11"/>
              <w:jc w:val="center"/>
              <w:rPr>
                <w:noProof/>
              </w:rPr>
            </w:pPr>
            <w:r>
              <w:rPr>
                <w:noProof/>
              </w:rPr>
              <w:t>Брой</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5A987" w14:textId="77777777" w:rsidR="006054AA" w:rsidRDefault="001F7667">
            <w:pPr>
              <w:pStyle w:val="P68B1DB1-Normal11"/>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456B58" w14:textId="77777777" w:rsidR="006054AA" w:rsidRDefault="001F7667">
            <w:pPr>
              <w:pStyle w:val="P68B1DB1-Normal11"/>
              <w:jc w:val="center"/>
              <w:rPr>
                <w:noProof/>
              </w:rPr>
            </w:pPr>
            <w:r>
              <w:rPr>
                <w:noProof/>
              </w:rPr>
              <w:t>35</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3FDDC" w14:textId="77777777" w:rsidR="006054AA" w:rsidRDefault="001F7667">
            <w:pPr>
              <w:pStyle w:val="P68B1DB1-Normal11"/>
              <w:jc w:val="center"/>
              <w:rPr>
                <w:noProof/>
              </w:rPr>
            </w:pPr>
            <w:r>
              <w:rPr>
                <w:noProof/>
              </w:rPr>
              <w:t>Т4 Г.</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EDA88" w14:textId="77777777" w:rsidR="006054AA" w:rsidRDefault="001F7667">
            <w:pPr>
              <w:pStyle w:val="P68B1DB1-Normal11"/>
              <w:jc w:val="center"/>
              <w:rPr>
                <w:noProof/>
              </w:rPr>
            </w:pPr>
            <w:r>
              <w:rPr>
                <w:noProof/>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265C1" w14:textId="5DA5204D" w:rsidR="006054AA" w:rsidRDefault="001F7667">
            <w:pPr>
              <w:spacing w:after="120"/>
              <w:rPr>
                <w:rFonts w:ascii="Arial Narrow" w:hAnsi="Arial Narrow"/>
                <w:noProof/>
                <w:color w:val="006100"/>
                <w:sz w:val="20"/>
              </w:rPr>
            </w:pPr>
            <w:r>
              <w:rPr>
                <w:rFonts w:ascii="Arial Narrow" w:hAnsi="Arial Narrow"/>
                <w:noProof/>
                <w:color w:val="006100"/>
                <w:sz w:val="20"/>
              </w:rPr>
              <w:t>35 допълнителни услуги, внедрени на институционалния уебсайт на INP (</w:t>
            </w:r>
            <w:hyperlink r:id="rId36" w:history="1">
              <w:r>
                <w:rPr>
                  <w:rStyle w:val="Hyperlink"/>
                  <w:rFonts w:ascii="Arial Narrow" w:hAnsi="Arial Narrow"/>
                  <w:noProof/>
                  <w:sz w:val="20"/>
                </w:rPr>
                <w:t>www.inps.it</w:t>
              </w:r>
            </w:hyperlink>
            <w:r>
              <w:rPr>
                <w:rFonts w:ascii="Arial Narrow" w:hAnsi="Arial Narrow"/>
                <w:noProof/>
                <w:color w:val="006100"/>
                <w:sz w:val="20"/>
              </w:rPr>
              <w:t>).</w:t>
            </w:r>
          </w:p>
          <w:p w14:paraId="3176687E" w14:textId="77777777" w:rsidR="006054AA" w:rsidRDefault="001F7667">
            <w:pPr>
              <w:pStyle w:val="P68B1DB1-Normal11"/>
              <w:spacing w:after="120"/>
              <w:rPr>
                <w:noProof/>
              </w:rPr>
            </w:pPr>
            <w:r>
              <w:rPr>
                <w:noProof/>
              </w:rPr>
              <w:t>Услугите са достъпни на институционалния сайт чрез подходящи логики за профилиране (системата ще предлага услуги от възможен интерес въз основа на възраст, характеристики на работата, предполагаеми ползи и история на ползвателите).</w:t>
            </w:r>
          </w:p>
          <w:p w14:paraId="26937946" w14:textId="77777777" w:rsidR="006054AA" w:rsidRDefault="001F7667">
            <w:pPr>
              <w:pStyle w:val="P68B1DB1-Normal11"/>
              <w:spacing w:after="120"/>
              <w:rPr>
                <w:noProof/>
              </w:rPr>
            </w:pPr>
            <w:r>
              <w:rPr>
                <w:noProof/>
              </w:rPr>
              <w:t>35-те услуги са свързани със следните институционални области на INPS:</w:t>
            </w:r>
          </w:p>
          <w:p w14:paraId="02A0418F" w14:textId="77777777" w:rsidR="006054AA" w:rsidRDefault="001F7667">
            <w:pPr>
              <w:pStyle w:val="P68B1DB1-Normal11"/>
              <w:spacing w:after="120"/>
              <w:contextualSpacing/>
              <w:rPr>
                <w:noProof/>
              </w:rPr>
            </w:pPr>
            <w:r>
              <w:rPr>
                <w:noProof/>
              </w:rPr>
              <w:t>• Пенсионни обезщетения</w:t>
            </w:r>
          </w:p>
          <w:p w14:paraId="58FFB73B" w14:textId="77777777" w:rsidR="006054AA" w:rsidRDefault="001F7667">
            <w:pPr>
              <w:pStyle w:val="P68B1DB1-Normal11"/>
              <w:spacing w:after="120"/>
              <w:contextualSpacing/>
              <w:rPr>
                <w:noProof/>
              </w:rPr>
            </w:pPr>
            <w:r>
              <w:rPr>
                <w:noProof/>
              </w:rPr>
              <w:t>• Лица, занимаващи се със социални придобивки</w:t>
            </w:r>
          </w:p>
          <w:p w14:paraId="652539AF" w14:textId="77777777" w:rsidR="006054AA" w:rsidRDefault="001F7667">
            <w:pPr>
              <w:pStyle w:val="P68B1DB1-Normal11"/>
              <w:spacing w:after="120"/>
              <w:contextualSpacing/>
              <w:rPr>
                <w:noProof/>
              </w:rPr>
            </w:pPr>
            <w:r>
              <w:rPr>
                <w:noProof/>
              </w:rPr>
              <w:t>• Обезщетения за безработица</w:t>
            </w:r>
          </w:p>
          <w:p w14:paraId="6022EAF4" w14:textId="77777777" w:rsidR="006054AA" w:rsidRDefault="001F7667">
            <w:pPr>
              <w:pStyle w:val="P68B1DB1-Normal11"/>
              <w:spacing w:after="120"/>
              <w:contextualSpacing/>
              <w:rPr>
                <w:noProof/>
              </w:rPr>
            </w:pPr>
            <w:r>
              <w:rPr>
                <w:noProof/>
              </w:rPr>
              <w:t>• Обезщетения за инвалидност</w:t>
            </w:r>
          </w:p>
          <w:p w14:paraId="369C8090" w14:textId="77777777" w:rsidR="006054AA" w:rsidRDefault="001F7667">
            <w:pPr>
              <w:pStyle w:val="P68B1DB1-Normal11"/>
              <w:spacing w:after="120"/>
              <w:contextualSpacing/>
              <w:rPr>
                <w:noProof/>
              </w:rPr>
            </w:pPr>
            <w:r>
              <w:rPr>
                <w:noProof/>
              </w:rPr>
              <w:t>• Откупуване</w:t>
            </w:r>
          </w:p>
          <w:p w14:paraId="2CFCD9B3" w14:textId="77777777" w:rsidR="006054AA" w:rsidRDefault="001F7667">
            <w:pPr>
              <w:pStyle w:val="P68B1DB1-Normal11"/>
              <w:spacing w:after="120"/>
              <w:contextualSpacing/>
              <w:rPr>
                <w:noProof/>
              </w:rPr>
            </w:pPr>
            <w:r>
              <w:rPr>
                <w:noProof/>
              </w:rPr>
              <w:t>• Събиране на приноса на дружеството</w:t>
            </w:r>
          </w:p>
          <w:p w14:paraId="7B386324" w14:textId="77777777" w:rsidR="006054AA" w:rsidRDefault="001F7667">
            <w:pPr>
              <w:pStyle w:val="P68B1DB1-Normal11"/>
              <w:spacing w:after="120"/>
              <w:contextualSpacing/>
              <w:rPr>
                <w:noProof/>
              </w:rPr>
            </w:pPr>
            <w:r>
              <w:rPr>
                <w:noProof/>
              </w:rPr>
              <w:t>• Услуги, свързани със селскостопански работници</w:t>
            </w:r>
          </w:p>
          <w:p w14:paraId="3D406858" w14:textId="77777777" w:rsidR="006054AA" w:rsidRDefault="001F7667">
            <w:pPr>
              <w:pStyle w:val="P68B1DB1-Normal11"/>
              <w:spacing w:after="120"/>
              <w:rPr>
                <w:noProof/>
              </w:rPr>
            </w:pPr>
            <w:r>
              <w:rPr>
                <w:noProof/>
              </w:rPr>
              <w:t>• Услуги за борба с измамите, корупция и прозрачност</w:t>
            </w:r>
          </w:p>
          <w:p w14:paraId="6AEFD301" w14:textId="77777777" w:rsidR="006054AA" w:rsidRDefault="001F7667">
            <w:pPr>
              <w:pStyle w:val="P68B1DB1-Normal11"/>
              <w:spacing w:before="120" w:after="120"/>
              <w:rPr>
                <w:noProof/>
              </w:rPr>
            </w:pPr>
            <w:r>
              <w:rPr>
                <w:noProof/>
              </w:rPr>
              <w:t>В изброените институционални области услугите, които ще се прилагат, ще се отнасят до цифровото подаване на заявки за услуги, проверката на изискванията в полза на потребителите, наблюдението на състоянието на практиката от страна на потребителите, проактивното предлагане на услуги въз основа на нуждите на потребителите, автоматичното подновяване на ползите, без да са необходими нови приложения.</w:t>
            </w:r>
          </w:p>
          <w:p w14:paraId="0D7EC1CE" w14:textId="77777777" w:rsidR="006054AA" w:rsidRDefault="001F7667">
            <w:pPr>
              <w:pStyle w:val="P68B1DB1-Normal11"/>
              <w:spacing w:after="120"/>
              <w:rPr>
                <w:noProof/>
              </w:rPr>
            </w:pPr>
            <w:r>
              <w:rPr>
                <w:noProof/>
              </w:rPr>
              <w:t>И накрая, трябва да има информационни табла за мониторинг, които да позволяват както наблюдението от страна на INPS на предоставените ползи, така и основаната на данни подкрепа за решенията на създателите на политики.</w:t>
            </w:r>
          </w:p>
        </w:tc>
      </w:tr>
      <w:tr w:rsidR="006054AA" w14:paraId="2BF47167" w14:textId="77777777">
        <w:trPr>
          <w:trHeight w:val="309"/>
        </w:trPr>
        <w:tc>
          <w:tcPr>
            <w:tcW w:w="1284" w:type="dxa"/>
            <w:shd w:val="clear" w:color="auto" w:fill="C6EFCE"/>
            <w:noWrap/>
            <w:vAlign w:val="center"/>
          </w:tcPr>
          <w:p w14:paraId="1F2DCFA2" w14:textId="77777777" w:rsidR="006054AA" w:rsidRDefault="001F7667">
            <w:pPr>
              <w:pStyle w:val="P68B1DB1-Normal11"/>
              <w:jc w:val="center"/>
              <w:rPr>
                <w:noProof/>
              </w:rPr>
            </w:pPr>
            <w:r>
              <w:rPr>
                <w:noProof/>
              </w:rPr>
              <w:t>M1C1—124</w:t>
            </w:r>
          </w:p>
        </w:tc>
        <w:tc>
          <w:tcPr>
            <w:tcW w:w="1746" w:type="dxa"/>
            <w:shd w:val="clear" w:color="auto" w:fill="C6EFCE"/>
            <w:noWrap/>
            <w:vAlign w:val="center"/>
          </w:tcPr>
          <w:p w14:paraId="3B832B61" w14:textId="77777777" w:rsidR="006054AA" w:rsidRDefault="001F7667">
            <w:pPr>
              <w:pStyle w:val="P68B1DB1-Normal11"/>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992" w:type="dxa"/>
            <w:shd w:val="clear" w:color="auto" w:fill="C6EFCE"/>
            <w:noWrap/>
            <w:vAlign w:val="center"/>
          </w:tcPr>
          <w:p w14:paraId="3224048D"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2ACF66AC" w14:textId="77777777" w:rsidR="006054AA" w:rsidRDefault="001F7667">
            <w:pPr>
              <w:pStyle w:val="P68B1DB1-Normal11"/>
              <w:jc w:val="center"/>
              <w:rPr>
                <w:noProof/>
              </w:rPr>
            </w:pPr>
            <w:r>
              <w:rPr>
                <w:noProof/>
              </w:rPr>
              <w:t>INPS — Работници с подобрени умения в областта на информационните и комуникационните технологии (ИКТ) T1</w:t>
            </w:r>
          </w:p>
        </w:tc>
        <w:tc>
          <w:tcPr>
            <w:tcW w:w="1701" w:type="dxa"/>
            <w:shd w:val="clear" w:color="auto" w:fill="C6EFCE"/>
            <w:noWrap/>
            <w:vAlign w:val="center"/>
          </w:tcPr>
          <w:p w14:paraId="71A298F7"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05D33CB0"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13CBD048" w14:textId="77777777" w:rsidR="006054AA" w:rsidRDefault="001F7667">
            <w:pPr>
              <w:pStyle w:val="P68B1DB1-Normal11"/>
              <w:jc w:val="center"/>
              <w:rPr>
                <w:noProof/>
              </w:rPr>
            </w:pPr>
            <w:r>
              <w:rPr>
                <w:noProof/>
              </w:rPr>
              <w:t>0</w:t>
            </w:r>
          </w:p>
        </w:tc>
        <w:tc>
          <w:tcPr>
            <w:tcW w:w="1417" w:type="dxa"/>
            <w:shd w:val="clear" w:color="auto" w:fill="C6EFCE"/>
            <w:noWrap/>
            <w:vAlign w:val="center"/>
          </w:tcPr>
          <w:p w14:paraId="0D02114F" w14:textId="77777777" w:rsidR="006054AA" w:rsidRDefault="001F7667">
            <w:pPr>
              <w:pStyle w:val="P68B1DB1-Normal11"/>
              <w:jc w:val="center"/>
              <w:rPr>
                <w:noProof/>
              </w:rPr>
            </w:pPr>
            <w:r>
              <w:rPr>
                <w:noProof/>
              </w:rPr>
              <w:t>4 250</w:t>
            </w:r>
          </w:p>
        </w:tc>
        <w:tc>
          <w:tcPr>
            <w:tcW w:w="793" w:type="dxa"/>
            <w:shd w:val="clear" w:color="auto" w:fill="C6EFCE"/>
            <w:noWrap/>
            <w:vAlign w:val="center"/>
          </w:tcPr>
          <w:p w14:paraId="235EAB30"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01DA1FB7" w14:textId="77777777" w:rsidR="006054AA" w:rsidRDefault="001F7667">
            <w:pPr>
              <w:pStyle w:val="P68B1DB1-Normal11"/>
              <w:jc w:val="center"/>
              <w:rPr>
                <w:noProof/>
              </w:rPr>
            </w:pPr>
            <w:r>
              <w:rPr>
                <w:noProof/>
              </w:rPr>
              <w:t>2022</w:t>
            </w:r>
          </w:p>
        </w:tc>
        <w:tc>
          <w:tcPr>
            <w:tcW w:w="2584" w:type="dxa"/>
            <w:shd w:val="clear" w:color="auto" w:fill="C6EFCE"/>
            <w:noWrap/>
            <w:vAlign w:val="center"/>
          </w:tcPr>
          <w:p w14:paraId="54818958" w14:textId="77777777" w:rsidR="006054AA" w:rsidRDefault="001F7667">
            <w:pPr>
              <w:pStyle w:val="P68B1DB1-Normal11"/>
              <w:spacing w:after="120"/>
              <w:rPr>
                <w:noProof/>
              </w:rPr>
            </w:pPr>
            <w:r>
              <w:rPr>
                <w:noProof/>
              </w:rPr>
              <w:t>Най-малко 4 250 служители на INPS, оценени по отношение на тяхната информация и със сертифицирани подобрени умения в следните области на Европейската рамка за електронни компетентности: и) план; II) Изграждане; III) работа iv) може да се изпълнява; V) Управление.</w:t>
            </w:r>
          </w:p>
          <w:p w14:paraId="0C86D70B" w14:textId="77777777" w:rsidR="006054AA" w:rsidRDefault="001F7667">
            <w:pPr>
              <w:pStyle w:val="P68B1DB1-Normal11"/>
              <w:spacing w:after="120"/>
              <w:rPr>
                <w:noProof/>
              </w:rPr>
            </w:pPr>
            <w:r>
              <w:rPr>
                <w:noProof/>
              </w:rPr>
              <w:t>Областите за подобряване на компетентностите ще бъдат определени в зависимост от целевата група на учащите се.</w:t>
            </w:r>
          </w:p>
        </w:tc>
      </w:tr>
      <w:tr w:rsidR="006054AA" w14:paraId="1C14BB81" w14:textId="77777777">
        <w:trPr>
          <w:trHeight w:val="309"/>
        </w:trPr>
        <w:tc>
          <w:tcPr>
            <w:tcW w:w="1284" w:type="dxa"/>
            <w:shd w:val="clear" w:color="auto" w:fill="C6EFCE"/>
            <w:noWrap/>
            <w:vAlign w:val="center"/>
          </w:tcPr>
          <w:p w14:paraId="5BAF3CEE" w14:textId="77777777" w:rsidR="006054AA" w:rsidRDefault="001F7667">
            <w:pPr>
              <w:pStyle w:val="P68B1DB1-Normal11"/>
              <w:jc w:val="center"/>
              <w:rPr>
                <w:noProof/>
              </w:rPr>
            </w:pPr>
            <w:r>
              <w:rPr>
                <w:noProof/>
              </w:rPr>
              <w:t>M1C1—125</w:t>
            </w:r>
          </w:p>
        </w:tc>
        <w:tc>
          <w:tcPr>
            <w:tcW w:w="1746" w:type="dxa"/>
            <w:shd w:val="clear" w:color="auto" w:fill="C6EFCE"/>
            <w:noWrap/>
            <w:vAlign w:val="center"/>
          </w:tcPr>
          <w:p w14:paraId="6CC15F5C" w14:textId="77777777" w:rsidR="006054AA" w:rsidRDefault="001F7667">
            <w:pPr>
              <w:pStyle w:val="P68B1DB1-Normal11"/>
              <w:jc w:val="center"/>
              <w:rPr>
                <w:noProof/>
              </w:rPr>
            </w:pPr>
            <w:r>
              <w:rPr>
                <w:noProof/>
              </w:rPr>
              <w:t>Инвестиция 1.2 — Улесняване на изчисленията в облак за местните БКП</w:t>
            </w:r>
          </w:p>
        </w:tc>
        <w:tc>
          <w:tcPr>
            <w:tcW w:w="992" w:type="dxa"/>
            <w:shd w:val="clear" w:color="auto" w:fill="C6EFCE"/>
            <w:noWrap/>
            <w:vAlign w:val="center"/>
          </w:tcPr>
          <w:p w14:paraId="517431A6" w14:textId="77777777" w:rsidR="006054AA" w:rsidRDefault="001F7667">
            <w:pPr>
              <w:pStyle w:val="P68B1DB1-Normal11"/>
              <w:jc w:val="center"/>
              <w:rPr>
                <w:noProof/>
              </w:rPr>
            </w:pPr>
            <w:r>
              <w:rPr>
                <w:noProof/>
              </w:rPr>
              <w:t>Ключов етап</w:t>
            </w:r>
          </w:p>
        </w:tc>
        <w:tc>
          <w:tcPr>
            <w:tcW w:w="2126" w:type="dxa"/>
            <w:shd w:val="clear" w:color="auto" w:fill="C6EFCE"/>
            <w:noWrap/>
            <w:vAlign w:val="center"/>
          </w:tcPr>
          <w:p w14:paraId="71A1966D" w14:textId="77777777" w:rsidR="006054AA" w:rsidRDefault="001F7667">
            <w:pPr>
              <w:pStyle w:val="P68B1DB1-Normal11"/>
              <w:jc w:val="center"/>
              <w:rPr>
                <w:noProof/>
              </w:rPr>
            </w:pPr>
            <w:r>
              <w:rPr>
                <w:noProof/>
              </w:rPr>
              <w:t>Възлагане на (всички) публични покани за представяне на предложения за услуги в облак за участие в търгове на местната публична администрация</w:t>
            </w:r>
          </w:p>
        </w:tc>
        <w:tc>
          <w:tcPr>
            <w:tcW w:w="1701" w:type="dxa"/>
            <w:shd w:val="clear" w:color="auto" w:fill="C6EFCE"/>
            <w:noWrap/>
            <w:vAlign w:val="center"/>
          </w:tcPr>
          <w:p w14:paraId="5F14CDBB" w14:textId="77777777" w:rsidR="006054AA" w:rsidRDefault="001F7667">
            <w:pPr>
              <w:pStyle w:val="P68B1DB1-Normal11"/>
              <w:jc w:val="center"/>
              <w:rPr>
                <w:noProof/>
              </w:rPr>
            </w:pPr>
            <w:r>
              <w:rPr>
                <w:noProof/>
              </w:rPr>
              <w:t>Уведомление за възлагането на (всички) обществени поръчки за компютърни услуги в облак за търгове на местната публична администрация</w:t>
            </w:r>
          </w:p>
        </w:tc>
        <w:tc>
          <w:tcPr>
            <w:tcW w:w="1134" w:type="dxa"/>
            <w:shd w:val="clear" w:color="auto" w:fill="C6EFCE"/>
            <w:noWrap/>
            <w:vAlign w:val="center"/>
          </w:tcPr>
          <w:p w14:paraId="3C255BC5" w14:textId="77777777" w:rsidR="006054AA" w:rsidRDefault="001F7667">
            <w:pPr>
              <w:pStyle w:val="P68B1DB1-Normal11"/>
              <w:jc w:val="center"/>
              <w:rPr>
                <w:noProof/>
              </w:rPr>
            </w:pPr>
            <w:r>
              <w:rPr>
                <w:noProof/>
              </w:rPr>
              <w:t>НЯМА</w:t>
            </w:r>
          </w:p>
        </w:tc>
        <w:tc>
          <w:tcPr>
            <w:tcW w:w="1276" w:type="dxa"/>
            <w:shd w:val="clear" w:color="auto" w:fill="C6EFCE"/>
            <w:noWrap/>
            <w:vAlign w:val="center"/>
          </w:tcPr>
          <w:p w14:paraId="003E706F" w14:textId="77777777" w:rsidR="006054AA" w:rsidRDefault="001F7667">
            <w:pPr>
              <w:pStyle w:val="P68B1DB1-Normal11"/>
              <w:jc w:val="center"/>
              <w:rPr>
                <w:noProof/>
              </w:rPr>
            </w:pPr>
            <w:r>
              <w:rPr>
                <w:noProof/>
              </w:rPr>
              <w:t>НЯМА</w:t>
            </w:r>
          </w:p>
        </w:tc>
        <w:tc>
          <w:tcPr>
            <w:tcW w:w="1417" w:type="dxa"/>
            <w:shd w:val="clear" w:color="auto" w:fill="C6EFCE"/>
            <w:noWrap/>
            <w:vAlign w:val="center"/>
          </w:tcPr>
          <w:p w14:paraId="766BF9F5" w14:textId="77777777" w:rsidR="006054AA" w:rsidRDefault="001F7667">
            <w:pPr>
              <w:pStyle w:val="P68B1DB1-Normal11"/>
              <w:jc w:val="center"/>
              <w:rPr>
                <w:noProof/>
              </w:rPr>
            </w:pPr>
            <w:r>
              <w:rPr>
                <w:noProof/>
              </w:rPr>
              <w:t>НЯМА</w:t>
            </w:r>
          </w:p>
        </w:tc>
        <w:tc>
          <w:tcPr>
            <w:tcW w:w="793" w:type="dxa"/>
            <w:shd w:val="clear" w:color="auto" w:fill="C6EFCE"/>
            <w:noWrap/>
            <w:vAlign w:val="center"/>
          </w:tcPr>
          <w:p w14:paraId="27612F95" w14:textId="77777777" w:rsidR="006054AA" w:rsidRDefault="001F7667">
            <w:pPr>
              <w:pStyle w:val="P68B1DB1-Normal11"/>
              <w:jc w:val="center"/>
              <w:rPr>
                <w:noProof/>
              </w:rPr>
            </w:pPr>
            <w:r>
              <w:rPr>
                <w:noProof/>
              </w:rPr>
              <w:t>Т1 Г.</w:t>
            </w:r>
          </w:p>
        </w:tc>
        <w:tc>
          <w:tcPr>
            <w:tcW w:w="625" w:type="dxa"/>
            <w:shd w:val="clear" w:color="auto" w:fill="C6EFCE"/>
            <w:noWrap/>
            <w:vAlign w:val="center"/>
          </w:tcPr>
          <w:p w14:paraId="566B277E"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67D6E7BC" w14:textId="77777777" w:rsidR="006054AA" w:rsidRDefault="001F7667">
            <w:pPr>
              <w:pStyle w:val="P68B1DB1-Normal11"/>
              <w:spacing w:after="120"/>
              <w:rPr>
                <w:noProof/>
              </w:rPr>
            </w:pPr>
            <w:r>
              <w:rPr>
                <w:noProof/>
              </w:rPr>
              <w:t>Уведомяване за възлагането на (всички) публични покани за представяне на предложения за всеки вид участваща публична администрация (общини, училища, местни здравни агенции) за събиране и оценка на миграционните планове. Издаването на три специални покани за представяне на предложения ще позволи на Министерството на технологичните иновации и цифровия преход да направи оценка на много специфичните нужди на всеки вид участваща публична администрация.</w:t>
            </w:r>
          </w:p>
          <w:p w14:paraId="3A8504C5" w14:textId="77777777" w:rsidR="006054AA" w:rsidRDefault="001F7667">
            <w:pPr>
              <w:pStyle w:val="P68B1DB1-Normal11"/>
              <w:spacing w:after="120"/>
              <w:rPr>
                <w:noProof/>
              </w:rPr>
            </w:pPr>
            <w:r>
              <w:rPr>
                <w:noProof/>
              </w:rPr>
              <w:t>Възложени търгове (т.е. публикуване на списъка на публичните администрации, допуснати да получат финансиране), свързани с три публични покани за представяне на предложения, съответно за общини, училища и местни здравни агенции, за събиране и оценка на планове за миграция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0E7C9058" w14:textId="77777777">
        <w:trPr>
          <w:trHeight w:val="309"/>
        </w:trPr>
        <w:tc>
          <w:tcPr>
            <w:tcW w:w="1284" w:type="dxa"/>
            <w:shd w:val="clear" w:color="auto" w:fill="C6EFCE"/>
            <w:noWrap/>
            <w:vAlign w:val="center"/>
          </w:tcPr>
          <w:p w14:paraId="626A17B5" w14:textId="77777777" w:rsidR="006054AA" w:rsidRDefault="001F7667">
            <w:pPr>
              <w:pStyle w:val="P68B1DB1-Normal11"/>
              <w:jc w:val="center"/>
              <w:rPr>
                <w:noProof/>
              </w:rPr>
            </w:pPr>
            <w:r>
              <w:rPr>
                <w:noProof/>
              </w:rPr>
              <w:t>M1C1—126</w:t>
            </w:r>
          </w:p>
        </w:tc>
        <w:tc>
          <w:tcPr>
            <w:tcW w:w="1746" w:type="dxa"/>
            <w:shd w:val="clear" w:color="auto" w:fill="C6EFCE"/>
            <w:noWrap/>
            <w:vAlign w:val="center"/>
          </w:tcPr>
          <w:p w14:paraId="1B1C5E69" w14:textId="77777777" w:rsidR="006054AA" w:rsidRDefault="001F7667">
            <w:pPr>
              <w:pStyle w:val="P68B1DB1-Normal11"/>
              <w:jc w:val="center"/>
              <w:rPr>
                <w:noProof/>
              </w:rPr>
            </w:pPr>
            <w:r>
              <w:rPr>
                <w:noProof/>
              </w:rPr>
              <w:t>Инвестиция 1.4.3 — Приемане на разширяването на услугите на платформата PagoPA и приложението IO</w:t>
            </w:r>
          </w:p>
        </w:tc>
        <w:tc>
          <w:tcPr>
            <w:tcW w:w="992" w:type="dxa"/>
            <w:shd w:val="clear" w:color="auto" w:fill="C6EFCE"/>
            <w:noWrap/>
            <w:vAlign w:val="center"/>
          </w:tcPr>
          <w:p w14:paraId="2A5EABF3"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0CF75FE6" w14:textId="77777777" w:rsidR="006054AA" w:rsidRDefault="001F7667">
            <w:pPr>
              <w:pStyle w:val="P68B1DB1-Normal11"/>
              <w:jc w:val="center"/>
              <w:rPr>
                <w:noProof/>
              </w:rPr>
            </w:pPr>
            <w:r>
              <w:rPr>
                <w:noProof/>
              </w:rPr>
              <w:t>Приемане на разширяване на услугите на платформата PagoPA T1</w:t>
            </w:r>
          </w:p>
        </w:tc>
        <w:tc>
          <w:tcPr>
            <w:tcW w:w="1701" w:type="dxa"/>
            <w:shd w:val="clear" w:color="auto" w:fill="C6EFCE"/>
            <w:noWrap/>
            <w:vAlign w:val="center"/>
          </w:tcPr>
          <w:p w14:paraId="0926AD23"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2BCCBC22"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685A2277" w14:textId="77777777" w:rsidR="006054AA" w:rsidRDefault="001F7667">
            <w:pPr>
              <w:pStyle w:val="P68B1DB1-Normal11"/>
              <w:jc w:val="center"/>
              <w:rPr>
                <w:noProof/>
              </w:rPr>
            </w:pPr>
            <w:r>
              <w:rPr>
                <w:noProof/>
              </w:rPr>
              <w:t>9 000</w:t>
            </w:r>
          </w:p>
        </w:tc>
        <w:tc>
          <w:tcPr>
            <w:tcW w:w="1417" w:type="dxa"/>
            <w:shd w:val="clear" w:color="auto" w:fill="C6EFCE"/>
            <w:noWrap/>
            <w:vAlign w:val="center"/>
          </w:tcPr>
          <w:p w14:paraId="64E91F52" w14:textId="77777777" w:rsidR="006054AA" w:rsidRDefault="001F7667">
            <w:pPr>
              <w:pStyle w:val="P68B1DB1-Normal11"/>
              <w:jc w:val="center"/>
              <w:rPr>
                <w:noProof/>
              </w:rPr>
            </w:pPr>
            <w:r>
              <w:rPr>
                <w:noProof/>
              </w:rPr>
              <w:t xml:space="preserve">11 450 </w:t>
            </w:r>
          </w:p>
        </w:tc>
        <w:tc>
          <w:tcPr>
            <w:tcW w:w="793" w:type="dxa"/>
            <w:shd w:val="clear" w:color="auto" w:fill="C6EFCE"/>
            <w:noWrap/>
            <w:vAlign w:val="center"/>
          </w:tcPr>
          <w:p w14:paraId="5E6382CD"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2A9DCF89"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032F852D" w14:textId="77777777" w:rsidR="006054AA" w:rsidRDefault="001F7667">
            <w:pPr>
              <w:pStyle w:val="P68B1DB1-Normal11"/>
              <w:spacing w:after="120"/>
              <w:rPr>
                <w:noProof/>
              </w:rPr>
            </w:pPr>
            <w:r>
              <w:rPr>
                <w:noProof/>
              </w:rPr>
              <w:t>Осигуряване на увеличаване на броя на услугите, интегрирани в платформата, за:</w:t>
            </w:r>
          </w:p>
          <w:p w14:paraId="5114D0FC" w14:textId="77777777" w:rsidR="006054AA" w:rsidRDefault="001F7667">
            <w:pPr>
              <w:pStyle w:val="P68B1DB1-Normal11"/>
              <w:rPr>
                <w:noProof/>
              </w:rPr>
            </w:pPr>
            <w:r>
              <w:rPr>
                <w:noProof/>
              </w:rPr>
              <w:t>публични администрации, които вече са в базовия сценарий (9 000 субекта)</w:t>
            </w:r>
          </w:p>
          <w:p w14:paraId="26A231E3" w14:textId="77777777" w:rsidR="006054AA" w:rsidRDefault="001F7667">
            <w:pPr>
              <w:pStyle w:val="P68B1DB1-Normal11"/>
              <w:spacing w:after="120"/>
              <w:rPr>
                <w:noProof/>
              </w:rPr>
            </w:pPr>
            <w:r>
              <w:rPr>
                <w:noProof/>
              </w:rPr>
              <w:t>— нови публични администрации, които се присъединяват към платформата (2 450 нови субекта).</w:t>
            </w:r>
          </w:p>
          <w:p w14:paraId="37608FE2" w14:textId="20BEA91E" w:rsidR="006054AA" w:rsidRDefault="001F7667">
            <w:pPr>
              <w:pStyle w:val="P68B1DB1-Normal11"/>
              <w:spacing w:before="120" w:after="120"/>
              <w:rPr>
                <w:noProof/>
              </w:rPr>
            </w:pPr>
            <w:r>
              <w:rPr>
                <w:noProof/>
              </w:rPr>
              <w:t>И в двата случая общият брой на услугите на публичните администрации, присъединяващи се към платформата, трябва да се увеличи с най-малко 20 % в сравнение с базовия сценарий за услугите от 2021 г. (31.3.2021 г.). Броят на услугите, които ще бъдат интегрирани, зависи от вида администрация (крайната цел за 2026 г. е да има средно 35 услуги за общините, 15 услуги за регионите, 15 услуги за здравните органи, 8 услуги за училища и университети).</w:t>
            </w:r>
          </w:p>
        </w:tc>
      </w:tr>
      <w:tr w:rsidR="006054AA" w14:paraId="33AD25EA" w14:textId="77777777">
        <w:trPr>
          <w:trHeight w:val="309"/>
        </w:trPr>
        <w:tc>
          <w:tcPr>
            <w:tcW w:w="1284" w:type="dxa"/>
            <w:shd w:val="clear" w:color="auto" w:fill="C6EFCE"/>
            <w:noWrap/>
            <w:vAlign w:val="center"/>
          </w:tcPr>
          <w:p w14:paraId="5BBA3F22" w14:textId="77777777" w:rsidR="006054AA" w:rsidRDefault="001F7667">
            <w:pPr>
              <w:pStyle w:val="P68B1DB1-Normal11"/>
              <w:jc w:val="center"/>
              <w:rPr>
                <w:noProof/>
              </w:rPr>
            </w:pPr>
            <w:r>
              <w:rPr>
                <w:noProof/>
              </w:rPr>
              <w:t>M1C1—127</w:t>
            </w:r>
          </w:p>
        </w:tc>
        <w:tc>
          <w:tcPr>
            <w:tcW w:w="1746" w:type="dxa"/>
            <w:shd w:val="clear" w:color="auto" w:fill="C6EFCE"/>
            <w:noWrap/>
            <w:vAlign w:val="center"/>
          </w:tcPr>
          <w:p w14:paraId="1314D9EA" w14:textId="77777777" w:rsidR="006054AA" w:rsidRDefault="001F7667">
            <w:pPr>
              <w:pStyle w:val="P68B1DB1-Normal11"/>
              <w:jc w:val="center"/>
              <w:rPr>
                <w:noProof/>
              </w:rPr>
            </w:pPr>
            <w:r>
              <w:rPr>
                <w:noProof/>
              </w:rPr>
              <w:t>Инвестиция 1.4.3 — Приемане на разширяването на услугите на платформата PagoPA и приложението IO</w:t>
            </w:r>
          </w:p>
        </w:tc>
        <w:tc>
          <w:tcPr>
            <w:tcW w:w="992" w:type="dxa"/>
            <w:shd w:val="clear" w:color="auto" w:fill="C6EFCE"/>
            <w:noWrap/>
            <w:vAlign w:val="center"/>
          </w:tcPr>
          <w:p w14:paraId="21F8A254"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5A782C75" w14:textId="77777777" w:rsidR="006054AA" w:rsidRDefault="001F7667">
            <w:pPr>
              <w:pStyle w:val="P68B1DB1-Normal11"/>
              <w:jc w:val="center"/>
              <w:rPr>
                <w:noProof/>
              </w:rPr>
            </w:pPr>
            <w:r>
              <w:rPr>
                <w:noProof/>
              </w:rPr>
              <w:t>Приемане на приложение „IO“ T1</w:t>
            </w:r>
          </w:p>
        </w:tc>
        <w:tc>
          <w:tcPr>
            <w:tcW w:w="1701" w:type="dxa"/>
            <w:shd w:val="clear" w:color="auto" w:fill="C6EFCE"/>
            <w:noWrap/>
            <w:vAlign w:val="center"/>
          </w:tcPr>
          <w:p w14:paraId="4F4E6A55"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0E5212F4"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7DADC678" w14:textId="77777777" w:rsidR="006054AA" w:rsidRDefault="001F7667">
            <w:pPr>
              <w:pStyle w:val="P68B1DB1-Normal11"/>
              <w:jc w:val="center"/>
              <w:rPr>
                <w:noProof/>
              </w:rPr>
            </w:pPr>
            <w:r>
              <w:rPr>
                <w:noProof/>
              </w:rPr>
              <w:t>2 700</w:t>
            </w:r>
          </w:p>
        </w:tc>
        <w:tc>
          <w:tcPr>
            <w:tcW w:w="1417" w:type="dxa"/>
            <w:shd w:val="clear" w:color="auto" w:fill="C6EFCE"/>
            <w:noWrap/>
            <w:vAlign w:val="center"/>
          </w:tcPr>
          <w:p w14:paraId="0EA3F3C4" w14:textId="7AB74CB6" w:rsidR="006054AA" w:rsidRDefault="001F7667">
            <w:pPr>
              <w:pStyle w:val="P68B1DB1-Normal11"/>
              <w:jc w:val="center"/>
              <w:rPr>
                <w:noProof/>
              </w:rPr>
            </w:pPr>
            <w:r>
              <w:rPr>
                <w:noProof/>
              </w:rPr>
              <w:t>7 000</w:t>
            </w:r>
          </w:p>
        </w:tc>
        <w:tc>
          <w:tcPr>
            <w:tcW w:w="793" w:type="dxa"/>
            <w:shd w:val="clear" w:color="auto" w:fill="C6EFCE"/>
            <w:noWrap/>
            <w:vAlign w:val="center"/>
          </w:tcPr>
          <w:p w14:paraId="42CB5795"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0DEBBD82"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27D1D78E" w14:textId="77777777" w:rsidR="006054AA" w:rsidRDefault="001F7667">
            <w:pPr>
              <w:pStyle w:val="P68B1DB1-Normal11"/>
              <w:spacing w:after="120"/>
              <w:rPr>
                <w:noProof/>
              </w:rPr>
            </w:pPr>
            <w:r>
              <w:rPr>
                <w:noProof/>
              </w:rPr>
              <w:t>Гарантиране на увеличаване на броя на услугите, интегрирани в приложението IO за:</w:t>
            </w:r>
          </w:p>
          <w:p w14:paraId="38472652" w14:textId="77777777" w:rsidR="006054AA" w:rsidRDefault="001F7667">
            <w:pPr>
              <w:pStyle w:val="P68B1DB1-Normal11"/>
              <w:spacing w:before="120" w:after="120"/>
              <w:rPr>
                <w:noProof/>
              </w:rPr>
            </w:pPr>
            <w:r>
              <w:rPr>
                <w:noProof/>
              </w:rPr>
              <w:t>публични администрации, които вече са в базовия сценарий (2 700 субекта)</w:t>
            </w:r>
          </w:p>
          <w:p w14:paraId="1C95F96C" w14:textId="77777777" w:rsidR="006054AA" w:rsidRDefault="001F7667">
            <w:pPr>
              <w:pStyle w:val="P68B1DB1-Normal11"/>
              <w:spacing w:before="120" w:after="120"/>
              <w:rPr>
                <w:noProof/>
              </w:rPr>
            </w:pPr>
            <w:r>
              <w:rPr>
                <w:noProof/>
              </w:rPr>
              <w:t>— нови публични администрации, които се присъединяват към платформата (4 300 нови субекта).</w:t>
            </w:r>
          </w:p>
          <w:p w14:paraId="408E71B6" w14:textId="3DCE8CD9" w:rsidR="006054AA" w:rsidRDefault="001F7667">
            <w:pPr>
              <w:pStyle w:val="P68B1DB1-Normal11"/>
              <w:spacing w:before="120" w:after="120"/>
              <w:rPr>
                <w:noProof/>
              </w:rPr>
            </w:pPr>
            <w:r>
              <w:rPr>
                <w:noProof/>
              </w:rPr>
              <w:t>И в двата случая общият брой на услугите на публичните администрации, присъединяващи се към платформата, трябва да се увеличи с най-малко 20 % в сравнение с базовия сценарий за услугите от 2021 г. (31.3.2021 г.). Броят на услугите, които ще бъдат интегрирани, зависи от вида администрация (крайната цел за 2026 г. е да има средно 35 услуги за общините, 15 услуги за регионите, 15 услуги за здравните органи, 8 услуги за училища и университети).</w:t>
            </w:r>
          </w:p>
        </w:tc>
      </w:tr>
      <w:tr w:rsidR="006054AA" w14:paraId="00B6E001" w14:textId="77777777">
        <w:trPr>
          <w:trHeight w:val="309"/>
        </w:trPr>
        <w:tc>
          <w:tcPr>
            <w:tcW w:w="1284" w:type="dxa"/>
            <w:shd w:val="clear" w:color="auto" w:fill="C6EFCE"/>
            <w:noWrap/>
            <w:vAlign w:val="center"/>
          </w:tcPr>
          <w:p w14:paraId="149450D6" w14:textId="77777777" w:rsidR="006054AA" w:rsidRDefault="001F7667">
            <w:pPr>
              <w:pStyle w:val="P68B1DB1-Normal11"/>
              <w:jc w:val="center"/>
              <w:rPr>
                <w:noProof/>
              </w:rPr>
            </w:pPr>
            <w:r>
              <w:rPr>
                <w:noProof/>
              </w:rPr>
              <w:t>M1C1—128</w:t>
            </w:r>
          </w:p>
        </w:tc>
        <w:tc>
          <w:tcPr>
            <w:tcW w:w="1746" w:type="dxa"/>
            <w:shd w:val="clear" w:color="auto" w:fill="C6EFCE"/>
            <w:noWrap/>
            <w:vAlign w:val="center"/>
          </w:tcPr>
          <w:p w14:paraId="18EDD884" w14:textId="77777777" w:rsidR="006054AA" w:rsidRDefault="001F7667">
            <w:pPr>
              <w:pStyle w:val="P68B1DB1-Normal11"/>
              <w:jc w:val="center"/>
              <w:rPr>
                <w:noProof/>
              </w:rPr>
            </w:pPr>
            <w:r>
              <w:rPr>
                <w:noProof/>
              </w:rPr>
              <w:t>Инвестиция 1.4.5 — Цифровизация на публични обявления</w:t>
            </w:r>
          </w:p>
        </w:tc>
        <w:tc>
          <w:tcPr>
            <w:tcW w:w="992" w:type="dxa"/>
            <w:shd w:val="clear" w:color="auto" w:fill="C6EFCE"/>
            <w:noWrap/>
            <w:vAlign w:val="center"/>
          </w:tcPr>
          <w:p w14:paraId="77981152"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1FDD8109" w14:textId="77777777" w:rsidR="006054AA" w:rsidRDefault="001F7667">
            <w:pPr>
              <w:pStyle w:val="P68B1DB1-Normal11"/>
              <w:jc w:val="center"/>
              <w:rPr>
                <w:noProof/>
              </w:rPr>
            </w:pPr>
            <w:r>
              <w:rPr>
                <w:noProof/>
              </w:rPr>
              <w:t>Приемане на разрастване на цифровите публични обявления T1</w:t>
            </w:r>
          </w:p>
        </w:tc>
        <w:tc>
          <w:tcPr>
            <w:tcW w:w="1701" w:type="dxa"/>
            <w:shd w:val="clear" w:color="auto" w:fill="C6EFCE"/>
            <w:noWrap/>
            <w:vAlign w:val="center"/>
          </w:tcPr>
          <w:p w14:paraId="0FABEEB2"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51F0CD86"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1E0963A0" w14:textId="77777777" w:rsidR="006054AA" w:rsidRDefault="001F7667">
            <w:pPr>
              <w:pStyle w:val="P68B1DB1-Normal11"/>
              <w:jc w:val="center"/>
              <w:rPr>
                <w:noProof/>
              </w:rPr>
            </w:pPr>
            <w:r>
              <w:rPr>
                <w:noProof/>
              </w:rPr>
              <w:t>0</w:t>
            </w:r>
          </w:p>
        </w:tc>
        <w:tc>
          <w:tcPr>
            <w:tcW w:w="1417" w:type="dxa"/>
            <w:shd w:val="clear" w:color="auto" w:fill="C6EFCE"/>
            <w:noWrap/>
            <w:vAlign w:val="center"/>
          </w:tcPr>
          <w:p w14:paraId="693FB1B6" w14:textId="77777777" w:rsidR="006054AA" w:rsidRDefault="001F7667">
            <w:pPr>
              <w:pStyle w:val="P68B1DB1-Normal11"/>
              <w:jc w:val="center"/>
              <w:rPr>
                <w:noProof/>
              </w:rPr>
            </w:pPr>
            <w:r>
              <w:rPr>
                <w:noProof/>
              </w:rPr>
              <w:t>800</w:t>
            </w:r>
          </w:p>
        </w:tc>
        <w:tc>
          <w:tcPr>
            <w:tcW w:w="793" w:type="dxa"/>
            <w:shd w:val="clear" w:color="auto" w:fill="C6EFCE"/>
            <w:noWrap/>
            <w:vAlign w:val="center"/>
          </w:tcPr>
          <w:p w14:paraId="4B9182FC"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285ADEA8"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411C9618" w14:textId="77777777" w:rsidR="006054AA" w:rsidRDefault="001F7667">
            <w:pPr>
              <w:pStyle w:val="P68B1DB1-Normal11"/>
              <w:spacing w:after="120"/>
              <w:rPr>
                <w:noProof/>
              </w:rPr>
            </w:pPr>
            <w:r>
              <w:rPr>
                <w:noProof/>
              </w:rPr>
              <w:t>Най-малко 800 централни публични администрации и общини по отношение на цифровата платформа за уведомяване (DNP) предоставят цифрови правно обвързващи уведомления на гражданите, правните субекти, сдруженията и всички други публични или частни субекти.</w:t>
            </w:r>
          </w:p>
        </w:tc>
      </w:tr>
      <w:tr w:rsidR="006054AA" w14:paraId="27E292D6" w14:textId="77777777">
        <w:trPr>
          <w:trHeight w:val="309"/>
        </w:trPr>
        <w:tc>
          <w:tcPr>
            <w:tcW w:w="1284" w:type="dxa"/>
            <w:shd w:val="clear" w:color="auto" w:fill="C6EFCE"/>
            <w:noWrap/>
            <w:vAlign w:val="center"/>
          </w:tcPr>
          <w:p w14:paraId="02BC2C35" w14:textId="77777777" w:rsidR="006054AA" w:rsidRDefault="001F7667">
            <w:pPr>
              <w:pStyle w:val="P68B1DB1-Normal11"/>
              <w:jc w:val="center"/>
              <w:rPr>
                <w:noProof/>
              </w:rPr>
            </w:pPr>
            <w:r>
              <w:rPr>
                <w:noProof/>
              </w:rPr>
              <w:t>M1C1—129</w:t>
            </w:r>
          </w:p>
        </w:tc>
        <w:tc>
          <w:tcPr>
            <w:tcW w:w="1746" w:type="dxa"/>
            <w:shd w:val="clear" w:color="auto" w:fill="C6EFCE"/>
            <w:noWrap/>
            <w:vAlign w:val="center"/>
          </w:tcPr>
          <w:p w14:paraId="07F89652" w14:textId="77777777" w:rsidR="006054AA" w:rsidRDefault="001F7667">
            <w:pPr>
              <w:pStyle w:val="P68B1DB1-Normal11"/>
              <w:jc w:val="center"/>
              <w:rPr>
                <w:noProof/>
              </w:rPr>
            </w:pPr>
            <w:r>
              <w:rPr>
                <w:noProof/>
              </w:rPr>
              <w:t>Инвестиция 1.6.1 — Цифровизация на Министерството на вътрешните работи</w:t>
            </w:r>
          </w:p>
        </w:tc>
        <w:tc>
          <w:tcPr>
            <w:tcW w:w="992" w:type="dxa"/>
            <w:shd w:val="clear" w:color="auto" w:fill="C6EFCE"/>
            <w:noWrap/>
            <w:vAlign w:val="center"/>
          </w:tcPr>
          <w:p w14:paraId="66AB7514"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5AB7750D" w14:textId="77777777" w:rsidR="006054AA" w:rsidRDefault="001F7667">
            <w:pPr>
              <w:pStyle w:val="P68B1DB1-Normal11"/>
              <w:jc w:val="center"/>
              <w:rPr>
                <w:noProof/>
              </w:rPr>
            </w:pPr>
            <w:r>
              <w:rPr>
                <w:noProof/>
              </w:rPr>
              <w:t>Министерство на вътрешните работи — Пълно реконструирани и цифровизирани процеси Т1</w:t>
            </w:r>
          </w:p>
        </w:tc>
        <w:tc>
          <w:tcPr>
            <w:tcW w:w="1701" w:type="dxa"/>
            <w:shd w:val="clear" w:color="auto" w:fill="C6EFCE"/>
            <w:noWrap/>
            <w:vAlign w:val="center"/>
          </w:tcPr>
          <w:p w14:paraId="4B124CF6"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181F6006"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06B373D1" w14:textId="77777777" w:rsidR="006054AA" w:rsidRDefault="001F7667">
            <w:pPr>
              <w:pStyle w:val="P68B1DB1-Normal11"/>
              <w:jc w:val="center"/>
              <w:rPr>
                <w:noProof/>
              </w:rPr>
            </w:pPr>
            <w:r>
              <w:rPr>
                <w:noProof/>
              </w:rPr>
              <w:t>0</w:t>
            </w:r>
          </w:p>
        </w:tc>
        <w:tc>
          <w:tcPr>
            <w:tcW w:w="1417" w:type="dxa"/>
            <w:shd w:val="clear" w:color="auto" w:fill="C6EFCE"/>
            <w:noWrap/>
            <w:vAlign w:val="center"/>
          </w:tcPr>
          <w:p w14:paraId="2D6EBDCB" w14:textId="77777777" w:rsidR="006054AA" w:rsidRDefault="001F7667">
            <w:pPr>
              <w:pStyle w:val="P68B1DB1-Normal11"/>
              <w:jc w:val="center"/>
              <w:rPr>
                <w:noProof/>
              </w:rPr>
            </w:pPr>
            <w:r>
              <w:rPr>
                <w:noProof/>
              </w:rPr>
              <w:t>7</w:t>
            </w:r>
          </w:p>
        </w:tc>
        <w:tc>
          <w:tcPr>
            <w:tcW w:w="793" w:type="dxa"/>
            <w:shd w:val="clear" w:color="auto" w:fill="C6EFCE"/>
            <w:noWrap/>
            <w:vAlign w:val="center"/>
          </w:tcPr>
          <w:p w14:paraId="0C73D650"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52F16C11"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12CB9A13" w14:textId="77777777" w:rsidR="006054AA" w:rsidRDefault="001F7667">
            <w:pPr>
              <w:pStyle w:val="P68B1DB1-Normal11"/>
              <w:spacing w:after="120"/>
              <w:rPr>
                <w:noProof/>
              </w:rPr>
            </w:pPr>
            <w:r>
              <w:rPr>
                <w:noProof/>
              </w:rPr>
              <w:t>Напълно реконструирани вътрешни процедури и процеси (общо 7 процеса до 31 декември 2023 г.), които могат да бъдат завършени изцяло онлайн (като автоматизация на офисите, услуги за мобилност и електронно обучение).</w:t>
            </w:r>
          </w:p>
        </w:tc>
      </w:tr>
      <w:tr w:rsidR="006054AA" w14:paraId="64DB2BAA" w14:textId="77777777">
        <w:trPr>
          <w:trHeight w:val="309"/>
        </w:trPr>
        <w:tc>
          <w:tcPr>
            <w:tcW w:w="1284" w:type="dxa"/>
            <w:shd w:val="clear" w:color="auto" w:fill="C6EFCE"/>
            <w:noWrap/>
            <w:vAlign w:val="center"/>
          </w:tcPr>
          <w:p w14:paraId="3A27DD9B" w14:textId="77777777" w:rsidR="006054AA" w:rsidRDefault="001F7667">
            <w:pPr>
              <w:pStyle w:val="P68B1DB1-Normal11"/>
              <w:jc w:val="center"/>
              <w:rPr>
                <w:noProof/>
              </w:rPr>
            </w:pPr>
            <w:r>
              <w:rPr>
                <w:noProof/>
              </w:rPr>
              <w:t>M1C1—130</w:t>
            </w:r>
          </w:p>
        </w:tc>
        <w:tc>
          <w:tcPr>
            <w:tcW w:w="1746" w:type="dxa"/>
            <w:shd w:val="clear" w:color="auto" w:fill="C6EFCE"/>
            <w:noWrap/>
            <w:vAlign w:val="center"/>
          </w:tcPr>
          <w:p w14:paraId="266D5030" w14:textId="77777777" w:rsidR="006054AA" w:rsidRDefault="001F7667">
            <w:pPr>
              <w:pStyle w:val="P68B1DB1-Normal11"/>
              <w:jc w:val="center"/>
              <w:rPr>
                <w:noProof/>
              </w:rPr>
            </w:pPr>
            <w:r>
              <w:rPr>
                <w:noProof/>
              </w:rPr>
              <w:t>Инвестиция 1.6.2 — Цифровизация на Министерството на правосъдието</w:t>
            </w:r>
          </w:p>
        </w:tc>
        <w:tc>
          <w:tcPr>
            <w:tcW w:w="992" w:type="dxa"/>
            <w:shd w:val="clear" w:color="auto" w:fill="C6EFCE"/>
            <w:noWrap/>
            <w:vAlign w:val="center"/>
          </w:tcPr>
          <w:p w14:paraId="4AAA02D9"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773C2E9F" w14:textId="77777777" w:rsidR="006054AA" w:rsidRDefault="001F7667">
            <w:pPr>
              <w:pStyle w:val="P68B1DB1-Normal11"/>
              <w:jc w:val="center"/>
              <w:rPr>
                <w:noProof/>
              </w:rPr>
            </w:pPr>
            <w:r>
              <w:rPr>
                <w:noProof/>
              </w:rPr>
              <w:t>Цифровизирани съдебни досиета T1</w:t>
            </w:r>
          </w:p>
        </w:tc>
        <w:tc>
          <w:tcPr>
            <w:tcW w:w="1701" w:type="dxa"/>
            <w:shd w:val="clear" w:color="auto" w:fill="C6EFCE"/>
            <w:noWrap/>
            <w:vAlign w:val="center"/>
          </w:tcPr>
          <w:p w14:paraId="5AD58A43"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4D2619F6"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49BEC23E" w14:textId="77777777" w:rsidR="006054AA" w:rsidRDefault="001F7667">
            <w:pPr>
              <w:pStyle w:val="P68B1DB1-Normal11"/>
              <w:jc w:val="center"/>
              <w:rPr>
                <w:noProof/>
              </w:rPr>
            </w:pPr>
            <w:r>
              <w:rPr>
                <w:noProof/>
              </w:rPr>
              <w:t>0</w:t>
            </w:r>
          </w:p>
        </w:tc>
        <w:tc>
          <w:tcPr>
            <w:tcW w:w="1417" w:type="dxa"/>
            <w:shd w:val="clear" w:color="auto" w:fill="C6EFCE"/>
            <w:noWrap/>
            <w:vAlign w:val="center"/>
          </w:tcPr>
          <w:p w14:paraId="362E9021" w14:textId="339F791C" w:rsidR="006054AA" w:rsidRDefault="001F7667">
            <w:pPr>
              <w:pStyle w:val="P68B1DB1-Normal12"/>
              <w:jc w:val="center"/>
              <w:rPr>
                <w:rFonts w:ascii="Arial Narrow" w:hAnsi="Arial Narrow"/>
                <w:noProof/>
              </w:rPr>
            </w:pPr>
            <w:r>
              <w:rPr>
                <w:rFonts w:ascii="Arial Narrow" w:hAnsi="Arial Narrow"/>
                <w:noProof/>
              </w:rPr>
              <w:t>3 500</w:t>
            </w:r>
            <w:r>
              <w:rPr>
                <w:noProof/>
              </w:rPr>
              <w:t xml:space="preserve"> </w:t>
            </w:r>
            <w:r>
              <w:rPr>
                <w:rFonts w:ascii="Arial Narrow" w:hAnsi="Arial Narrow"/>
                <w:noProof/>
              </w:rPr>
              <w:t>000</w:t>
            </w:r>
          </w:p>
        </w:tc>
        <w:tc>
          <w:tcPr>
            <w:tcW w:w="793" w:type="dxa"/>
            <w:shd w:val="clear" w:color="auto" w:fill="C6EFCE"/>
            <w:noWrap/>
            <w:vAlign w:val="center"/>
          </w:tcPr>
          <w:p w14:paraId="335C0008"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6B79F5AA"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40D274E4" w14:textId="0241B772" w:rsidR="006054AA" w:rsidRDefault="001F7667">
            <w:pPr>
              <w:pStyle w:val="P68B1DB1-Normal12"/>
              <w:spacing w:after="120"/>
              <w:rPr>
                <w:rFonts w:ascii="Arial Narrow" w:hAnsi="Arial Narrow"/>
                <w:noProof/>
              </w:rPr>
            </w:pPr>
            <w:r>
              <w:rPr>
                <w:rFonts w:ascii="Arial Narrow" w:hAnsi="Arial Narrow"/>
                <w:noProof/>
              </w:rPr>
              <w:t>Цифровизация на 3</w:t>
            </w:r>
            <w:r>
              <w:rPr>
                <w:noProof/>
              </w:rPr>
              <w:t xml:space="preserve"> </w:t>
            </w:r>
            <w:r>
              <w:rPr>
                <w:rFonts w:ascii="Arial Narrow" w:hAnsi="Arial Narrow"/>
                <w:noProof/>
              </w:rPr>
              <w:t>500</w:t>
            </w:r>
            <w:r>
              <w:rPr>
                <w:noProof/>
              </w:rPr>
              <w:t xml:space="preserve"> </w:t>
            </w:r>
            <w:r>
              <w:rPr>
                <w:rFonts w:ascii="Arial Narrow" w:hAnsi="Arial Narrow"/>
                <w:noProof/>
              </w:rPr>
              <w:t>000 съдебни преписки, отнасящи се до последните 20 години (01/01/2006—30/06/2026), свързани с приключени или текущи съдебни процеси в съдилищата.</w:t>
            </w:r>
          </w:p>
        </w:tc>
      </w:tr>
      <w:tr w:rsidR="006054AA" w14:paraId="23B3FE24" w14:textId="77777777">
        <w:trPr>
          <w:trHeight w:val="309"/>
        </w:trPr>
        <w:tc>
          <w:tcPr>
            <w:tcW w:w="1284" w:type="dxa"/>
            <w:shd w:val="clear" w:color="auto" w:fill="C6EFCE"/>
            <w:noWrap/>
            <w:vAlign w:val="center"/>
          </w:tcPr>
          <w:p w14:paraId="4726F49F" w14:textId="77777777" w:rsidR="006054AA" w:rsidRDefault="001F7667">
            <w:pPr>
              <w:pStyle w:val="P68B1DB1-Normal11"/>
              <w:jc w:val="center"/>
              <w:rPr>
                <w:noProof/>
              </w:rPr>
            </w:pPr>
            <w:r>
              <w:rPr>
                <w:noProof/>
              </w:rPr>
              <w:t>M1C1—131</w:t>
            </w:r>
          </w:p>
        </w:tc>
        <w:tc>
          <w:tcPr>
            <w:tcW w:w="1746" w:type="dxa"/>
            <w:shd w:val="clear" w:color="auto" w:fill="C6EFCE"/>
            <w:noWrap/>
            <w:vAlign w:val="center"/>
          </w:tcPr>
          <w:p w14:paraId="3C8345C3" w14:textId="77777777" w:rsidR="006054AA" w:rsidRDefault="001F7667">
            <w:pPr>
              <w:pStyle w:val="P68B1DB1-Normal11"/>
              <w:jc w:val="center"/>
              <w:rPr>
                <w:noProof/>
              </w:rPr>
            </w:pPr>
            <w:r>
              <w:rPr>
                <w:noProof/>
              </w:rPr>
              <w:t>Инвестиция 1.6.2 — Цифровизация на Министерството на правосъдието</w:t>
            </w:r>
          </w:p>
        </w:tc>
        <w:tc>
          <w:tcPr>
            <w:tcW w:w="992" w:type="dxa"/>
            <w:shd w:val="clear" w:color="auto" w:fill="C6EFCE"/>
            <w:noWrap/>
            <w:vAlign w:val="center"/>
          </w:tcPr>
          <w:p w14:paraId="1318270E" w14:textId="77777777" w:rsidR="006054AA" w:rsidRDefault="001F7667">
            <w:pPr>
              <w:pStyle w:val="P68B1DB1-Normal11"/>
              <w:jc w:val="center"/>
              <w:rPr>
                <w:noProof/>
              </w:rPr>
            </w:pPr>
            <w:r>
              <w:rPr>
                <w:noProof/>
              </w:rPr>
              <w:t>Ключов етап</w:t>
            </w:r>
          </w:p>
        </w:tc>
        <w:tc>
          <w:tcPr>
            <w:tcW w:w="2126" w:type="dxa"/>
            <w:shd w:val="clear" w:color="auto" w:fill="C6EFCE"/>
            <w:noWrap/>
            <w:vAlign w:val="center"/>
          </w:tcPr>
          <w:p w14:paraId="209EF611" w14:textId="77777777" w:rsidR="006054AA" w:rsidRDefault="001F7667">
            <w:pPr>
              <w:pStyle w:val="P68B1DB1-Normal11"/>
              <w:jc w:val="center"/>
              <w:rPr>
                <w:noProof/>
              </w:rPr>
            </w:pPr>
            <w:r>
              <w:rPr>
                <w:noProof/>
              </w:rPr>
              <w:t>Системи за знания в областта на данните в областта на правосъдието за езерото Т1</w:t>
            </w:r>
          </w:p>
        </w:tc>
        <w:tc>
          <w:tcPr>
            <w:tcW w:w="1701" w:type="dxa"/>
            <w:shd w:val="clear" w:color="auto" w:fill="C6EFCE"/>
            <w:noWrap/>
            <w:vAlign w:val="center"/>
          </w:tcPr>
          <w:p w14:paraId="0D52A393" w14:textId="77777777" w:rsidR="006054AA" w:rsidRDefault="001F7667">
            <w:pPr>
              <w:pStyle w:val="P68B1DB1-Normal11"/>
              <w:jc w:val="center"/>
              <w:rPr>
                <w:noProof/>
              </w:rPr>
            </w:pPr>
            <w:r>
              <w:rPr>
                <w:noProof/>
              </w:rPr>
              <w:t>Доклад, удостоверяващ началото на изпълнението на договора</w:t>
            </w:r>
          </w:p>
        </w:tc>
        <w:tc>
          <w:tcPr>
            <w:tcW w:w="1134" w:type="dxa"/>
            <w:shd w:val="clear" w:color="auto" w:fill="C6EFCE"/>
            <w:noWrap/>
            <w:vAlign w:val="center"/>
          </w:tcPr>
          <w:p w14:paraId="3659F720" w14:textId="77777777" w:rsidR="006054AA" w:rsidRDefault="001F7667">
            <w:pPr>
              <w:pStyle w:val="P68B1DB1-Normal11"/>
              <w:jc w:val="center"/>
              <w:rPr>
                <w:noProof/>
              </w:rPr>
            </w:pPr>
            <w:r>
              <w:rPr>
                <w:noProof/>
              </w:rPr>
              <w:t>НЯМА</w:t>
            </w:r>
          </w:p>
        </w:tc>
        <w:tc>
          <w:tcPr>
            <w:tcW w:w="1276" w:type="dxa"/>
            <w:shd w:val="clear" w:color="auto" w:fill="C6EFCE"/>
            <w:noWrap/>
            <w:vAlign w:val="center"/>
          </w:tcPr>
          <w:p w14:paraId="346A4D5C" w14:textId="77777777" w:rsidR="006054AA" w:rsidRDefault="001F7667">
            <w:pPr>
              <w:pStyle w:val="P68B1DB1-Normal11"/>
              <w:jc w:val="center"/>
              <w:rPr>
                <w:noProof/>
              </w:rPr>
            </w:pPr>
            <w:r>
              <w:rPr>
                <w:noProof/>
              </w:rPr>
              <w:t>НЯМА</w:t>
            </w:r>
          </w:p>
        </w:tc>
        <w:tc>
          <w:tcPr>
            <w:tcW w:w="1417" w:type="dxa"/>
            <w:shd w:val="clear" w:color="auto" w:fill="C6EFCE"/>
            <w:noWrap/>
            <w:vAlign w:val="center"/>
          </w:tcPr>
          <w:p w14:paraId="6D2687E1" w14:textId="77777777" w:rsidR="006054AA" w:rsidRDefault="001F7667">
            <w:pPr>
              <w:pStyle w:val="P68B1DB1-Normal11"/>
              <w:jc w:val="center"/>
              <w:rPr>
                <w:noProof/>
              </w:rPr>
            </w:pPr>
            <w:r>
              <w:rPr>
                <w:noProof/>
              </w:rPr>
              <w:t>НЯМА</w:t>
            </w:r>
          </w:p>
        </w:tc>
        <w:tc>
          <w:tcPr>
            <w:tcW w:w="793" w:type="dxa"/>
            <w:shd w:val="clear" w:color="auto" w:fill="C6EFCE"/>
            <w:noWrap/>
            <w:vAlign w:val="center"/>
          </w:tcPr>
          <w:p w14:paraId="7A37AB2F"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44AF325E"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102C2993" w14:textId="77777777" w:rsidR="006054AA" w:rsidRDefault="001F7667">
            <w:pPr>
              <w:pStyle w:val="P68B1DB1-Normal11"/>
              <w:spacing w:after="120"/>
              <w:rPr>
                <w:noProof/>
              </w:rPr>
            </w:pPr>
            <w:r>
              <w:rPr>
                <w:noProof/>
              </w:rPr>
              <w:t>Начало на изпълнението на договора за реализацията на шест нови системи за знания за езерото Data Lake:</w:t>
            </w:r>
          </w:p>
          <w:p w14:paraId="0943B5B0" w14:textId="77777777" w:rsidR="006054AA" w:rsidRDefault="001F7667">
            <w:pPr>
              <w:pStyle w:val="P68B1DB1-ListParagraph13"/>
              <w:numPr>
                <w:ilvl w:val="0"/>
                <w:numId w:val="79"/>
              </w:numPr>
              <w:spacing w:before="0"/>
              <w:ind w:left="357" w:hanging="357"/>
              <w:jc w:val="left"/>
              <w:rPr>
                <w:noProof/>
              </w:rPr>
            </w:pPr>
            <w:r>
              <w:rPr>
                <w:noProof/>
              </w:rPr>
              <w:t>Система за анонимизиране на гражданските и наказателните присъди</w:t>
            </w:r>
          </w:p>
          <w:p w14:paraId="059DC6C8" w14:textId="77777777" w:rsidR="006054AA" w:rsidRDefault="001F7667">
            <w:pPr>
              <w:pStyle w:val="P68B1DB1-ListParagraph13"/>
              <w:numPr>
                <w:ilvl w:val="0"/>
                <w:numId w:val="79"/>
              </w:numPr>
              <w:spacing w:before="0"/>
              <w:ind w:left="357" w:hanging="357"/>
              <w:jc w:val="left"/>
              <w:rPr>
                <w:noProof/>
              </w:rPr>
            </w:pPr>
            <w:r>
              <w:rPr>
                <w:noProof/>
              </w:rPr>
              <w:t>Интегрирана система за управление</w:t>
            </w:r>
          </w:p>
          <w:p w14:paraId="10DF8FB8" w14:textId="77777777" w:rsidR="006054AA" w:rsidRDefault="001F7667">
            <w:pPr>
              <w:pStyle w:val="P68B1DB1-ListParagraph13"/>
              <w:numPr>
                <w:ilvl w:val="0"/>
                <w:numId w:val="79"/>
              </w:numPr>
              <w:spacing w:before="0"/>
              <w:ind w:left="357" w:hanging="357"/>
              <w:jc w:val="left"/>
              <w:rPr>
                <w:noProof/>
              </w:rPr>
            </w:pPr>
            <w:r>
              <w:rPr>
                <w:noProof/>
              </w:rPr>
              <w:t>Система за управление и анализ на граждански съдебни процеси</w:t>
            </w:r>
          </w:p>
          <w:p w14:paraId="6B994DFF" w14:textId="77777777" w:rsidR="006054AA" w:rsidRDefault="001F7667">
            <w:pPr>
              <w:pStyle w:val="P68B1DB1-ListParagraph13"/>
              <w:numPr>
                <w:ilvl w:val="0"/>
                <w:numId w:val="79"/>
              </w:numPr>
              <w:spacing w:before="0"/>
              <w:ind w:left="357" w:hanging="357"/>
              <w:jc w:val="left"/>
              <w:rPr>
                <w:noProof/>
              </w:rPr>
            </w:pPr>
            <w:r>
              <w:rPr>
                <w:noProof/>
              </w:rPr>
              <w:t>Система за управление и анализ на наказателните дела</w:t>
            </w:r>
          </w:p>
          <w:p w14:paraId="73522CC4" w14:textId="77777777" w:rsidR="006054AA" w:rsidRDefault="001F7667">
            <w:pPr>
              <w:pStyle w:val="P68B1DB1-ListParagraph13"/>
              <w:numPr>
                <w:ilvl w:val="0"/>
                <w:numId w:val="79"/>
              </w:numPr>
              <w:spacing w:before="0"/>
              <w:ind w:left="357" w:hanging="357"/>
              <w:jc w:val="left"/>
              <w:rPr>
                <w:noProof/>
              </w:rPr>
            </w:pPr>
            <w:r>
              <w:rPr>
                <w:noProof/>
              </w:rPr>
              <w:t>Усъвършенствана статистическа система за гражданските и наказателните съдебни процеси</w:t>
            </w:r>
          </w:p>
          <w:p w14:paraId="328C423B" w14:textId="77777777" w:rsidR="006054AA" w:rsidRDefault="001F7667">
            <w:pPr>
              <w:pStyle w:val="P68B1DB1-ListParagraph13"/>
              <w:numPr>
                <w:ilvl w:val="0"/>
                <w:numId w:val="79"/>
              </w:numPr>
              <w:spacing w:before="0"/>
              <w:ind w:left="357" w:hanging="357"/>
              <w:jc w:val="left"/>
              <w:rPr>
                <w:noProof/>
              </w:rPr>
            </w:pPr>
            <w:r>
              <w:rPr>
                <w:noProof/>
              </w:rPr>
              <w:t xml:space="preserve">Автоматизирана система за установяване на връзка между жертва и вина. </w:t>
            </w:r>
          </w:p>
          <w:p w14:paraId="49D5A1FB" w14:textId="77777777" w:rsidR="006054AA" w:rsidRDefault="001F7667">
            <w:pPr>
              <w:pStyle w:val="P68B1DB1-Normal11"/>
              <w:spacing w:after="120"/>
              <w:rPr>
                <w:noProof/>
              </w:rPr>
            </w:pPr>
            <w:r>
              <w:rPr>
                <w:noProof/>
              </w:rPr>
              <w:t>Изпълнението на всяка обществена поръчка започва с конкретен административен акт на отговорния за процедурата орган, наречен „начало на изпълнението“.</w:t>
            </w:r>
          </w:p>
        </w:tc>
      </w:tr>
      <w:tr w:rsidR="006054AA" w14:paraId="6A9D850D" w14:textId="77777777">
        <w:trPr>
          <w:trHeight w:val="309"/>
        </w:trPr>
        <w:tc>
          <w:tcPr>
            <w:tcW w:w="1284" w:type="dxa"/>
            <w:shd w:val="clear" w:color="auto" w:fill="C6EFCE"/>
            <w:noWrap/>
            <w:vAlign w:val="center"/>
          </w:tcPr>
          <w:p w14:paraId="4B296A64" w14:textId="77777777" w:rsidR="006054AA" w:rsidRDefault="001F7667">
            <w:pPr>
              <w:pStyle w:val="P68B1DB1-Normal11"/>
              <w:jc w:val="center"/>
              <w:rPr>
                <w:noProof/>
              </w:rPr>
            </w:pPr>
            <w:r>
              <w:rPr>
                <w:noProof/>
              </w:rPr>
              <w:t>M1C1—132</w:t>
            </w:r>
          </w:p>
        </w:tc>
        <w:tc>
          <w:tcPr>
            <w:tcW w:w="1746" w:type="dxa"/>
            <w:shd w:val="clear" w:color="auto" w:fill="C6EFCE"/>
            <w:noWrap/>
            <w:vAlign w:val="center"/>
          </w:tcPr>
          <w:p w14:paraId="0EE36AD4" w14:textId="77777777" w:rsidR="006054AA" w:rsidRDefault="001F7667">
            <w:pPr>
              <w:pStyle w:val="P68B1DB1-Normal11"/>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992" w:type="dxa"/>
            <w:shd w:val="clear" w:color="auto" w:fill="C6EFCE"/>
            <w:noWrap/>
            <w:vAlign w:val="center"/>
          </w:tcPr>
          <w:p w14:paraId="4585FB17"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3FFE8469" w14:textId="77777777" w:rsidR="006054AA" w:rsidRDefault="001F7667">
            <w:pPr>
              <w:pStyle w:val="P68B1DB1-Normal11"/>
              <w:jc w:val="center"/>
              <w:rPr>
                <w:noProof/>
              </w:rPr>
            </w:pPr>
            <w:r>
              <w:rPr>
                <w:noProof/>
              </w:rPr>
              <w:t>INPS — Услуги/съдържание T2 „Едно кликнете върху дизайна“</w:t>
            </w:r>
          </w:p>
        </w:tc>
        <w:tc>
          <w:tcPr>
            <w:tcW w:w="1701" w:type="dxa"/>
            <w:shd w:val="clear" w:color="auto" w:fill="C6EFCE"/>
            <w:noWrap/>
            <w:vAlign w:val="center"/>
          </w:tcPr>
          <w:p w14:paraId="222A8EEE"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55BA11AF"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5E453C84" w14:textId="77777777" w:rsidR="006054AA" w:rsidRDefault="001F7667">
            <w:pPr>
              <w:pStyle w:val="P68B1DB1-Normal11"/>
              <w:jc w:val="center"/>
              <w:rPr>
                <w:noProof/>
              </w:rPr>
            </w:pPr>
            <w:r>
              <w:rPr>
                <w:noProof/>
              </w:rPr>
              <w:t>35</w:t>
            </w:r>
          </w:p>
        </w:tc>
        <w:tc>
          <w:tcPr>
            <w:tcW w:w="1417" w:type="dxa"/>
            <w:shd w:val="clear" w:color="auto" w:fill="C6EFCE"/>
            <w:noWrap/>
            <w:vAlign w:val="center"/>
          </w:tcPr>
          <w:p w14:paraId="212F7AE8" w14:textId="77777777" w:rsidR="006054AA" w:rsidRDefault="001F7667">
            <w:pPr>
              <w:pStyle w:val="P68B1DB1-Normal11"/>
              <w:jc w:val="center"/>
              <w:rPr>
                <w:noProof/>
              </w:rPr>
            </w:pPr>
            <w:r>
              <w:rPr>
                <w:noProof/>
              </w:rPr>
              <w:t>70</w:t>
            </w:r>
          </w:p>
        </w:tc>
        <w:tc>
          <w:tcPr>
            <w:tcW w:w="793" w:type="dxa"/>
            <w:shd w:val="clear" w:color="auto" w:fill="C6EFCE"/>
            <w:noWrap/>
            <w:vAlign w:val="center"/>
          </w:tcPr>
          <w:p w14:paraId="358ADFC9"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2BB80321"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4D5CCC0C" w14:textId="77777777" w:rsidR="006054AA" w:rsidRDefault="001F7667">
            <w:pPr>
              <w:spacing w:after="120"/>
              <w:rPr>
                <w:rFonts w:ascii="Arial Narrow" w:hAnsi="Arial Narrow"/>
                <w:noProof/>
                <w:color w:val="006100"/>
                <w:sz w:val="20"/>
              </w:rPr>
            </w:pPr>
            <w:r>
              <w:rPr>
                <w:rFonts w:ascii="Arial Narrow" w:hAnsi="Arial Narrow"/>
                <w:noProof/>
                <w:color w:val="006100"/>
                <w:sz w:val="20"/>
              </w:rPr>
              <w:t>35 допълнителни услуги, внедрени на институционалния уебсайт на Inps (</w:t>
            </w:r>
            <w:hyperlink r:id="rId37" w:history="1">
              <w:r>
                <w:rPr>
                  <w:rStyle w:val="Hyperlink"/>
                  <w:rFonts w:ascii="Arial Narrow" w:hAnsi="Arial Narrow"/>
                  <w:noProof/>
                  <w:sz w:val="20"/>
                </w:rPr>
                <w:t>www.inps.it</w:t>
              </w:r>
            </w:hyperlink>
            <w:r>
              <w:rPr>
                <w:rFonts w:ascii="Arial Narrow" w:hAnsi="Arial Narrow"/>
                <w:noProof/>
                <w:color w:val="006100"/>
                <w:sz w:val="20"/>
              </w:rPr>
              <w:t>).</w:t>
            </w:r>
          </w:p>
          <w:p w14:paraId="7C0CD800" w14:textId="77777777" w:rsidR="006054AA" w:rsidRDefault="001F7667">
            <w:pPr>
              <w:pStyle w:val="P68B1DB1-Normal11"/>
              <w:rPr>
                <w:noProof/>
              </w:rPr>
            </w:pPr>
            <w:r>
              <w:rPr>
                <w:noProof/>
              </w:rPr>
              <w:t>Услугите са достъпни на институционалния сайт чрез подходящи логики за профилиране (системата предлага услуги от възможен интерес въз основа на възраст, характеристики на работата, предполагаеми ползи и история на ползвателите).</w:t>
            </w:r>
          </w:p>
          <w:p w14:paraId="13C76A92" w14:textId="77777777" w:rsidR="006054AA" w:rsidRDefault="001F7667">
            <w:pPr>
              <w:pStyle w:val="P68B1DB1-Normal11"/>
              <w:spacing w:before="120"/>
              <w:rPr>
                <w:noProof/>
              </w:rPr>
            </w:pPr>
            <w:r>
              <w:rPr>
                <w:noProof/>
              </w:rPr>
              <w:t>35-те услуги са свързани със следните институционални области на INPS:</w:t>
            </w:r>
          </w:p>
          <w:p w14:paraId="64500C2C" w14:textId="77777777" w:rsidR="006054AA" w:rsidRDefault="001F7667">
            <w:pPr>
              <w:pStyle w:val="P68B1DB1-Normal11"/>
              <w:ind w:left="292" w:hanging="76"/>
              <w:rPr>
                <w:noProof/>
              </w:rPr>
            </w:pPr>
            <w:r>
              <w:rPr>
                <w:noProof/>
              </w:rPr>
              <w:t>• Пенсионни обезщетения</w:t>
            </w:r>
          </w:p>
          <w:p w14:paraId="6DEFE978" w14:textId="77777777" w:rsidR="006054AA" w:rsidRDefault="001F7667">
            <w:pPr>
              <w:pStyle w:val="P68B1DB1-Normal11"/>
              <w:ind w:left="292" w:hanging="76"/>
              <w:rPr>
                <w:noProof/>
              </w:rPr>
            </w:pPr>
            <w:r>
              <w:rPr>
                <w:noProof/>
              </w:rPr>
              <w:t>• Лица, занимаващи се със социални придобивки</w:t>
            </w:r>
          </w:p>
          <w:p w14:paraId="27DC999B" w14:textId="77777777" w:rsidR="006054AA" w:rsidRDefault="001F7667">
            <w:pPr>
              <w:pStyle w:val="P68B1DB1-Normal11"/>
              <w:ind w:left="292" w:hanging="76"/>
              <w:rPr>
                <w:noProof/>
              </w:rPr>
            </w:pPr>
            <w:r>
              <w:rPr>
                <w:noProof/>
              </w:rPr>
              <w:t>• Обезщетения за безработица</w:t>
            </w:r>
          </w:p>
          <w:p w14:paraId="54FD9045" w14:textId="77777777" w:rsidR="006054AA" w:rsidRDefault="001F7667">
            <w:pPr>
              <w:pStyle w:val="P68B1DB1-Normal11"/>
              <w:ind w:left="292" w:hanging="76"/>
              <w:rPr>
                <w:noProof/>
              </w:rPr>
            </w:pPr>
            <w:r>
              <w:rPr>
                <w:noProof/>
              </w:rPr>
              <w:t>• Обезщетения за инвалидност</w:t>
            </w:r>
          </w:p>
          <w:p w14:paraId="1E94936A" w14:textId="77777777" w:rsidR="006054AA" w:rsidRDefault="001F7667">
            <w:pPr>
              <w:pStyle w:val="P68B1DB1-Normal11"/>
              <w:ind w:left="292" w:hanging="76"/>
              <w:rPr>
                <w:noProof/>
              </w:rPr>
            </w:pPr>
            <w:r>
              <w:rPr>
                <w:noProof/>
              </w:rPr>
              <w:t>• Откупуване</w:t>
            </w:r>
          </w:p>
          <w:p w14:paraId="44E81602" w14:textId="77777777" w:rsidR="006054AA" w:rsidRDefault="001F7667">
            <w:pPr>
              <w:pStyle w:val="P68B1DB1-Normal11"/>
              <w:ind w:left="292" w:hanging="76"/>
              <w:rPr>
                <w:noProof/>
              </w:rPr>
            </w:pPr>
            <w:r>
              <w:rPr>
                <w:noProof/>
              </w:rPr>
              <w:t>• Събиране на приноса на дружеството</w:t>
            </w:r>
          </w:p>
          <w:p w14:paraId="16A13607" w14:textId="77777777" w:rsidR="006054AA" w:rsidRDefault="001F7667">
            <w:pPr>
              <w:pStyle w:val="P68B1DB1-Normal11"/>
              <w:ind w:left="292" w:hanging="76"/>
              <w:rPr>
                <w:noProof/>
              </w:rPr>
            </w:pPr>
            <w:r>
              <w:rPr>
                <w:noProof/>
              </w:rPr>
              <w:t>• Услуги, свързани със селскостопански работници</w:t>
            </w:r>
          </w:p>
          <w:p w14:paraId="41A26237" w14:textId="77777777" w:rsidR="006054AA" w:rsidRDefault="001F7667">
            <w:pPr>
              <w:pStyle w:val="P68B1DB1-Normal11"/>
              <w:ind w:left="292" w:hanging="76"/>
              <w:rPr>
                <w:noProof/>
              </w:rPr>
            </w:pPr>
            <w:r>
              <w:rPr>
                <w:noProof/>
              </w:rPr>
              <w:t>• Услуги за борба с измамите, корупция и прозрачност</w:t>
            </w:r>
          </w:p>
          <w:p w14:paraId="0D9EB040" w14:textId="77777777" w:rsidR="006054AA" w:rsidRDefault="001F7667">
            <w:pPr>
              <w:pStyle w:val="P68B1DB1-Normal11"/>
              <w:spacing w:before="120"/>
              <w:rPr>
                <w:noProof/>
              </w:rPr>
            </w:pPr>
            <w:r>
              <w:rPr>
                <w:noProof/>
              </w:rPr>
              <w:t>В изброените институционални области услугите, които ще се прилагат, се отнасят до цифровото подаване на заявки за услуги, проверката на изискванията в полза на потребителите, наблюдението на състоянието на практиката от страна на потребителите, проактивното предложение за услуги въз основа на нуждите на потребителя, автоматичното подновяване на ползите, без да е необходимо да се подават нови приложения.</w:t>
            </w:r>
          </w:p>
          <w:p w14:paraId="1BDC39AE" w14:textId="77777777" w:rsidR="006054AA" w:rsidRDefault="001F7667">
            <w:pPr>
              <w:pStyle w:val="P68B1DB1-Normal11"/>
              <w:spacing w:before="120" w:after="120"/>
              <w:rPr>
                <w:noProof/>
              </w:rPr>
            </w:pPr>
            <w:r>
              <w:rPr>
                <w:noProof/>
              </w:rPr>
              <w:t>И накрая, трябва да има информационни табла за мониторинг, които да позволяват както наблюдението от страна на INPS на предоставените ползи, така и основаната на данни подкрепа за решенията на създателите на политики.</w:t>
            </w:r>
          </w:p>
        </w:tc>
      </w:tr>
      <w:tr w:rsidR="006054AA" w14:paraId="6C2F823A" w14:textId="77777777">
        <w:trPr>
          <w:trHeight w:val="4119"/>
        </w:trPr>
        <w:tc>
          <w:tcPr>
            <w:tcW w:w="1284" w:type="dxa"/>
            <w:shd w:val="clear" w:color="auto" w:fill="C6EFCE"/>
            <w:noWrap/>
            <w:vAlign w:val="center"/>
          </w:tcPr>
          <w:p w14:paraId="38063072" w14:textId="77777777" w:rsidR="006054AA" w:rsidRDefault="001F7667">
            <w:pPr>
              <w:pStyle w:val="P68B1DB1-Normal11"/>
              <w:jc w:val="center"/>
              <w:rPr>
                <w:noProof/>
              </w:rPr>
            </w:pPr>
            <w:r>
              <w:rPr>
                <w:noProof/>
              </w:rPr>
              <w:t>M1C1—133</w:t>
            </w:r>
          </w:p>
        </w:tc>
        <w:tc>
          <w:tcPr>
            <w:tcW w:w="1746" w:type="dxa"/>
            <w:shd w:val="clear" w:color="auto" w:fill="C6EFCE"/>
            <w:noWrap/>
            <w:vAlign w:val="center"/>
          </w:tcPr>
          <w:p w14:paraId="607D4E64" w14:textId="77777777" w:rsidR="006054AA" w:rsidRDefault="001F7667">
            <w:pPr>
              <w:pStyle w:val="P68B1DB1-Normal11"/>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992" w:type="dxa"/>
            <w:shd w:val="clear" w:color="auto" w:fill="C6EFCE"/>
            <w:noWrap/>
            <w:vAlign w:val="center"/>
          </w:tcPr>
          <w:p w14:paraId="42354F62"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12334283" w14:textId="77777777" w:rsidR="006054AA" w:rsidRDefault="001F7667">
            <w:pPr>
              <w:pStyle w:val="P68B1DB1-Normal11"/>
              <w:jc w:val="center"/>
              <w:rPr>
                <w:noProof/>
              </w:rPr>
            </w:pPr>
            <w:r>
              <w:rPr>
                <w:noProof/>
              </w:rPr>
              <w:t>INPS — Работници с подобрени умения в областта на информационните и комуникационните технологии (ИКТ) T2</w:t>
            </w:r>
          </w:p>
        </w:tc>
        <w:tc>
          <w:tcPr>
            <w:tcW w:w="1701" w:type="dxa"/>
            <w:shd w:val="clear" w:color="auto" w:fill="C6EFCE"/>
            <w:noWrap/>
            <w:vAlign w:val="center"/>
          </w:tcPr>
          <w:p w14:paraId="538B623F"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2544EFBE"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60AE123B" w14:textId="77777777" w:rsidR="006054AA" w:rsidRDefault="001F7667">
            <w:pPr>
              <w:pStyle w:val="P68B1DB1-Normal11"/>
              <w:jc w:val="center"/>
              <w:rPr>
                <w:noProof/>
              </w:rPr>
            </w:pPr>
            <w:r>
              <w:rPr>
                <w:noProof/>
              </w:rPr>
              <w:t>4 250</w:t>
            </w:r>
          </w:p>
        </w:tc>
        <w:tc>
          <w:tcPr>
            <w:tcW w:w="1417" w:type="dxa"/>
            <w:shd w:val="clear" w:color="auto" w:fill="C6EFCE"/>
            <w:noWrap/>
            <w:vAlign w:val="center"/>
          </w:tcPr>
          <w:p w14:paraId="10FE42D8" w14:textId="77777777" w:rsidR="006054AA" w:rsidRDefault="001F7667">
            <w:pPr>
              <w:pStyle w:val="P68B1DB1-Normal11"/>
              <w:jc w:val="center"/>
              <w:rPr>
                <w:noProof/>
              </w:rPr>
            </w:pPr>
            <w:r>
              <w:rPr>
                <w:noProof/>
              </w:rPr>
              <w:t>8 500</w:t>
            </w:r>
          </w:p>
        </w:tc>
        <w:tc>
          <w:tcPr>
            <w:tcW w:w="793" w:type="dxa"/>
            <w:shd w:val="clear" w:color="auto" w:fill="C6EFCE"/>
            <w:noWrap/>
            <w:vAlign w:val="center"/>
          </w:tcPr>
          <w:p w14:paraId="0557110B"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78358BCA"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3940B873" w14:textId="77777777" w:rsidR="006054AA" w:rsidRDefault="001F7667">
            <w:pPr>
              <w:pStyle w:val="P68B1DB1-Normal11"/>
              <w:spacing w:after="120"/>
              <w:rPr>
                <w:noProof/>
              </w:rPr>
            </w:pPr>
            <w:r>
              <w:rPr>
                <w:noProof/>
              </w:rPr>
              <w:t>Допълнителни 4 250 служители на INPS са оценили със сертифицирани подобрени умения в следните области на Европейската рамка за електронни компетентности: и) план; II) Изграждане; III) работа iv) може да се изпълнява; V) Управление.</w:t>
            </w:r>
          </w:p>
          <w:p w14:paraId="02F0D532" w14:textId="77777777" w:rsidR="006054AA" w:rsidRDefault="001F7667">
            <w:pPr>
              <w:pStyle w:val="P68B1DB1-Normal11"/>
              <w:spacing w:after="120"/>
              <w:rPr>
                <w:noProof/>
              </w:rPr>
            </w:pPr>
            <w:r>
              <w:rPr>
                <w:noProof/>
              </w:rPr>
              <w:t>Областите за подобряване на компетентностите се определят в зависимост от целевата група учащи се.</w:t>
            </w:r>
          </w:p>
        </w:tc>
      </w:tr>
      <w:tr w:rsidR="006054AA" w14:paraId="51073374" w14:textId="77777777">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EB92" w14:textId="77777777" w:rsidR="006054AA" w:rsidRDefault="001F7667">
            <w:pPr>
              <w:pStyle w:val="P68B1DB1-Normal11"/>
              <w:jc w:val="center"/>
              <w:rPr>
                <w:noProof/>
              </w:rPr>
            </w:pPr>
            <w:r>
              <w:rPr>
                <w:noProof/>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14497" w14:textId="77777777" w:rsidR="006054AA" w:rsidRDefault="001F7667">
            <w:pPr>
              <w:pStyle w:val="P68B1DB1-Normal11"/>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114C5" w14:textId="77777777" w:rsidR="006054AA" w:rsidRDefault="001F7667">
            <w:pPr>
              <w:pStyle w:val="P68B1DB1-Normal11"/>
              <w:jc w:val="center"/>
              <w:rPr>
                <w:noProof/>
              </w:rPr>
            </w:pPr>
            <w:r>
              <w:rPr>
                <w:noProof/>
              </w:rPr>
              <w:t>Целеви</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86A115" w14:textId="77777777" w:rsidR="006054AA" w:rsidRDefault="001F7667">
            <w:pPr>
              <w:pStyle w:val="P68B1DB1-Normal11"/>
              <w:jc w:val="center"/>
              <w:rPr>
                <w:noProof/>
              </w:rPr>
            </w:pPr>
            <w:r>
              <w:rPr>
                <w:noProof/>
              </w:rPr>
              <w:t>INAIL — Пълно реконструирани и цифровизирани процеси/услуги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E8277" w14:textId="77777777" w:rsidR="006054AA" w:rsidRDefault="001F7667">
            <w:pPr>
              <w:pStyle w:val="P68B1DB1-Normal11"/>
              <w:jc w:val="center"/>
              <w:rPr>
                <w:noProof/>
              </w:rPr>
            </w:pPr>
            <w:r>
              <w:rPr>
                <w:noProof/>
              </w:rPr>
              <w:t>НЯМА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FCEEB" w14:textId="77777777" w:rsidR="006054AA" w:rsidRDefault="001F7667">
            <w:pPr>
              <w:pStyle w:val="P68B1DB1-Normal11"/>
              <w:jc w:val="center"/>
              <w:rPr>
                <w:noProof/>
              </w:rPr>
            </w:pPr>
            <w:r>
              <w:rPr>
                <w:noProof/>
              </w:rPr>
              <w:t>Брой</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1F659" w14:textId="77777777" w:rsidR="006054AA" w:rsidRDefault="001F7667">
            <w:pPr>
              <w:pStyle w:val="P68B1DB1-Normal11"/>
              <w:jc w:val="center"/>
              <w:rPr>
                <w:noProof/>
              </w:rPr>
            </w:pPr>
            <w:r>
              <w:rPr>
                <w:noProof/>
              </w:rPr>
              <w:t>29</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47A3D" w14:textId="77777777" w:rsidR="006054AA" w:rsidRDefault="001F7667">
            <w:pPr>
              <w:pStyle w:val="P68B1DB1-Normal11"/>
              <w:jc w:val="center"/>
              <w:rPr>
                <w:noProof/>
              </w:rPr>
            </w:pPr>
            <w:r>
              <w:rPr>
                <w:noProof/>
              </w:rPr>
              <w:t>53</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2620E" w14:textId="77777777" w:rsidR="006054AA" w:rsidRDefault="001F7667">
            <w:pPr>
              <w:pStyle w:val="P68B1DB1-Normal11"/>
              <w:jc w:val="center"/>
              <w:rPr>
                <w:noProof/>
              </w:rPr>
            </w:pPr>
            <w:r>
              <w:rPr>
                <w:noProof/>
              </w:rPr>
              <w:t>Т4 Г.</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A282" w14:textId="77777777" w:rsidR="006054AA" w:rsidRDefault="001F7667">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0C86" w14:textId="77777777" w:rsidR="006054AA" w:rsidRDefault="001F7667">
            <w:pPr>
              <w:pStyle w:val="P68B1DB1-Normal11"/>
              <w:spacing w:after="120"/>
              <w:rPr>
                <w:noProof/>
              </w:rPr>
            </w:pPr>
            <w:r>
              <w:rPr>
                <w:noProof/>
              </w:rPr>
              <w:t xml:space="preserve">Целта е да се постигнат 53 (52 %) преструктурирани институционални процеси и услуги, за да станат те напълно цифровизирани. </w:t>
            </w:r>
          </w:p>
          <w:p w14:paraId="07204C78" w14:textId="77777777" w:rsidR="006054AA" w:rsidRDefault="001F7667">
            <w:pPr>
              <w:pStyle w:val="P68B1DB1-Normal11"/>
              <w:spacing w:after="120"/>
              <w:rPr>
                <w:noProof/>
              </w:rPr>
            </w:pPr>
            <w:r>
              <w:rPr>
                <w:noProof/>
              </w:rPr>
              <w:t>Включените области на INAIL са: Застрахователни, социални и здравни услуги, Превенция и безопасност, Сертификати и проверки.</w:t>
            </w:r>
          </w:p>
          <w:p w14:paraId="7D225E9F" w14:textId="77777777" w:rsidR="006054AA" w:rsidRDefault="001F7667">
            <w:pPr>
              <w:pStyle w:val="P68B1DB1-Normal11"/>
              <w:spacing w:after="120"/>
              <w:rPr>
                <w:noProof/>
              </w:rPr>
            </w:pPr>
            <w:r>
              <w:rPr>
                <w:noProof/>
              </w:rPr>
              <w:t xml:space="preserve">По-специално, очакваната цел за всяка област е изразена по-горе: </w:t>
            </w:r>
          </w:p>
          <w:p w14:paraId="2A950175" w14:textId="77777777" w:rsidR="006054AA" w:rsidRDefault="001F7667">
            <w:pPr>
              <w:pStyle w:val="P68B1DB1-ListParagraph13"/>
              <w:numPr>
                <w:ilvl w:val="0"/>
                <w:numId w:val="84"/>
              </w:numPr>
              <w:ind w:left="377" w:hanging="283"/>
              <w:jc w:val="left"/>
              <w:rPr>
                <w:noProof/>
              </w:rPr>
            </w:pPr>
            <w:r>
              <w:rPr>
                <w:noProof/>
              </w:rPr>
              <w:t xml:space="preserve">Застраховане: 8 (25 %); </w:t>
            </w:r>
          </w:p>
          <w:p w14:paraId="3165BD8C" w14:textId="77777777" w:rsidR="006054AA" w:rsidRDefault="001F7667">
            <w:pPr>
              <w:pStyle w:val="P68B1DB1-ListParagraph13"/>
              <w:numPr>
                <w:ilvl w:val="0"/>
                <w:numId w:val="84"/>
              </w:numPr>
              <w:ind w:left="377" w:hanging="283"/>
              <w:jc w:val="left"/>
              <w:rPr>
                <w:noProof/>
              </w:rPr>
            </w:pPr>
            <w:r>
              <w:rPr>
                <w:noProof/>
              </w:rPr>
              <w:t>Социални и здравни услуги: 18 (50 %);</w:t>
            </w:r>
          </w:p>
          <w:p w14:paraId="272567BF" w14:textId="77777777" w:rsidR="006054AA" w:rsidRDefault="001F7667">
            <w:pPr>
              <w:pStyle w:val="P68B1DB1-ListParagraph13"/>
              <w:numPr>
                <w:ilvl w:val="0"/>
                <w:numId w:val="84"/>
              </w:numPr>
              <w:ind w:left="377" w:hanging="283"/>
              <w:jc w:val="left"/>
              <w:rPr>
                <w:noProof/>
              </w:rPr>
            </w:pPr>
            <w:r>
              <w:rPr>
                <w:noProof/>
              </w:rPr>
              <w:t>Дейности по превенция и безопасност: 9 (80 %);</w:t>
            </w:r>
          </w:p>
          <w:p w14:paraId="6109D397" w14:textId="77777777" w:rsidR="006054AA" w:rsidRDefault="001F7667">
            <w:pPr>
              <w:pStyle w:val="P68B1DB1-ListParagraph13"/>
              <w:numPr>
                <w:ilvl w:val="0"/>
                <w:numId w:val="84"/>
              </w:numPr>
              <w:ind w:left="377" w:hanging="283"/>
              <w:jc w:val="left"/>
              <w:rPr>
                <w:noProof/>
              </w:rPr>
            </w:pPr>
            <w:r>
              <w:rPr>
                <w:noProof/>
              </w:rPr>
              <w:t>Сертифициране и проверки: 18 Г. (80 %).</w:t>
            </w:r>
          </w:p>
        </w:tc>
      </w:tr>
      <w:tr w:rsidR="006054AA" w14:paraId="343029C7" w14:textId="77777777">
        <w:trPr>
          <w:trHeight w:val="309"/>
        </w:trPr>
        <w:tc>
          <w:tcPr>
            <w:tcW w:w="1284" w:type="dxa"/>
            <w:shd w:val="clear" w:color="auto" w:fill="C6EFCE"/>
            <w:noWrap/>
            <w:vAlign w:val="center"/>
          </w:tcPr>
          <w:p w14:paraId="1C4DBCB0" w14:textId="77777777" w:rsidR="006054AA" w:rsidRDefault="001F7667">
            <w:pPr>
              <w:pStyle w:val="P68B1DB1-Normal11"/>
              <w:jc w:val="center"/>
              <w:rPr>
                <w:noProof/>
              </w:rPr>
            </w:pPr>
            <w:r>
              <w:rPr>
                <w:noProof/>
              </w:rPr>
              <w:t>M1C1—135</w:t>
            </w:r>
          </w:p>
        </w:tc>
        <w:tc>
          <w:tcPr>
            <w:tcW w:w="1746" w:type="dxa"/>
            <w:shd w:val="clear" w:color="auto" w:fill="C6EFCE"/>
            <w:noWrap/>
            <w:vAlign w:val="center"/>
          </w:tcPr>
          <w:p w14:paraId="6D4C73B7" w14:textId="77777777" w:rsidR="006054AA" w:rsidRDefault="001F7667">
            <w:pPr>
              <w:pStyle w:val="P68B1DB1-Normal11"/>
              <w:jc w:val="center"/>
              <w:rPr>
                <w:noProof/>
              </w:rPr>
            </w:pPr>
            <w:r>
              <w:rPr>
                <w:noProof/>
              </w:rPr>
              <w:t>Инвестиция 1.6.4 — Цифровизация на Министерството на отбраната</w:t>
            </w:r>
          </w:p>
        </w:tc>
        <w:tc>
          <w:tcPr>
            <w:tcW w:w="992" w:type="dxa"/>
            <w:shd w:val="clear" w:color="auto" w:fill="C6EFCE"/>
            <w:noWrap/>
            <w:vAlign w:val="center"/>
          </w:tcPr>
          <w:p w14:paraId="29003422"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07DCD18C" w14:textId="77777777" w:rsidR="006054AA" w:rsidRDefault="001F7667">
            <w:pPr>
              <w:pStyle w:val="P68B1DB1-Normal11"/>
              <w:jc w:val="center"/>
              <w:rPr>
                <w:noProof/>
              </w:rPr>
            </w:pPr>
            <w:r>
              <w:rPr>
                <w:noProof/>
              </w:rPr>
              <w:t>Министерство на отбраната — Цифровизация на процедурите T1</w:t>
            </w:r>
          </w:p>
        </w:tc>
        <w:tc>
          <w:tcPr>
            <w:tcW w:w="1701" w:type="dxa"/>
            <w:shd w:val="clear" w:color="auto" w:fill="C6EFCE"/>
            <w:noWrap/>
            <w:vAlign w:val="center"/>
          </w:tcPr>
          <w:p w14:paraId="3D5FAF7E"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1ADC4121"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0EBB45FD" w14:textId="77777777" w:rsidR="006054AA" w:rsidRDefault="001F7667">
            <w:pPr>
              <w:pStyle w:val="P68B1DB1-Normal11"/>
              <w:jc w:val="center"/>
              <w:rPr>
                <w:noProof/>
              </w:rPr>
            </w:pPr>
            <w:r>
              <w:rPr>
                <w:noProof/>
              </w:rPr>
              <w:t>4</w:t>
            </w:r>
          </w:p>
        </w:tc>
        <w:tc>
          <w:tcPr>
            <w:tcW w:w="1417" w:type="dxa"/>
            <w:shd w:val="clear" w:color="auto" w:fill="C6EFCE"/>
            <w:noWrap/>
            <w:vAlign w:val="center"/>
          </w:tcPr>
          <w:p w14:paraId="4178BAD3" w14:textId="77777777" w:rsidR="006054AA" w:rsidRDefault="001F7667">
            <w:pPr>
              <w:pStyle w:val="P68B1DB1-Normal11"/>
              <w:jc w:val="center"/>
              <w:rPr>
                <w:noProof/>
              </w:rPr>
            </w:pPr>
            <w:r>
              <w:rPr>
                <w:noProof/>
              </w:rPr>
              <w:t>15</w:t>
            </w:r>
          </w:p>
        </w:tc>
        <w:tc>
          <w:tcPr>
            <w:tcW w:w="793" w:type="dxa"/>
            <w:shd w:val="clear" w:color="auto" w:fill="C6EFCE"/>
            <w:noWrap/>
            <w:vAlign w:val="center"/>
          </w:tcPr>
          <w:p w14:paraId="4FA4082B"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62DA3974"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68DAFD31" w14:textId="77777777" w:rsidR="006054AA" w:rsidRDefault="001F7667">
            <w:pPr>
              <w:pStyle w:val="P68B1DB1-Normal11"/>
              <w:spacing w:after="120"/>
              <w:rPr>
                <w:noProof/>
              </w:rPr>
            </w:pPr>
            <w:r>
              <w:rPr>
                <w:noProof/>
              </w:rPr>
              <w:t>Цифровизация, преразглеждане и автоматизация на 15 процедури, свързани с управлението на персонала на отбраната (като набиране на персонал, заетост и пенсиониране, здраве на служителите), като се започне от базово равнище от четири вече цифровизирани процедури.</w:t>
            </w:r>
          </w:p>
        </w:tc>
      </w:tr>
      <w:tr w:rsidR="006054AA" w14:paraId="73256F26" w14:textId="77777777">
        <w:trPr>
          <w:trHeight w:val="309"/>
        </w:trPr>
        <w:tc>
          <w:tcPr>
            <w:tcW w:w="1284" w:type="dxa"/>
            <w:shd w:val="clear" w:color="auto" w:fill="C6EFCE"/>
            <w:noWrap/>
            <w:vAlign w:val="center"/>
          </w:tcPr>
          <w:p w14:paraId="36BF7D21" w14:textId="77777777" w:rsidR="006054AA" w:rsidRDefault="001F7667">
            <w:pPr>
              <w:pStyle w:val="P68B1DB1-Normal11"/>
              <w:jc w:val="center"/>
              <w:rPr>
                <w:noProof/>
              </w:rPr>
            </w:pPr>
            <w:r>
              <w:rPr>
                <w:noProof/>
              </w:rPr>
              <w:t>M1C1—136</w:t>
            </w:r>
          </w:p>
        </w:tc>
        <w:tc>
          <w:tcPr>
            <w:tcW w:w="1746" w:type="dxa"/>
            <w:shd w:val="clear" w:color="auto" w:fill="C6EFCE"/>
            <w:noWrap/>
            <w:vAlign w:val="center"/>
          </w:tcPr>
          <w:p w14:paraId="6B30198D" w14:textId="77777777" w:rsidR="006054AA" w:rsidRDefault="001F7667">
            <w:pPr>
              <w:pStyle w:val="P68B1DB1-Normal11"/>
              <w:jc w:val="center"/>
              <w:rPr>
                <w:noProof/>
              </w:rPr>
            </w:pPr>
            <w:r>
              <w:rPr>
                <w:noProof/>
              </w:rPr>
              <w:t>Инвестиция 1.6.4 — Цифровизация на Министерството на отбраната</w:t>
            </w:r>
          </w:p>
        </w:tc>
        <w:tc>
          <w:tcPr>
            <w:tcW w:w="992" w:type="dxa"/>
            <w:shd w:val="clear" w:color="auto" w:fill="C6EFCE"/>
            <w:noWrap/>
            <w:vAlign w:val="center"/>
          </w:tcPr>
          <w:p w14:paraId="2F5129C3"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57BBFB46" w14:textId="77777777" w:rsidR="006054AA" w:rsidRDefault="001F7667">
            <w:pPr>
              <w:pStyle w:val="P68B1DB1-Normal11"/>
              <w:jc w:val="center"/>
              <w:rPr>
                <w:noProof/>
              </w:rPr>
            </w:pPr>
            <w:r>
              <w:rPr>
                <w:noProof/>
              </w:rPr>
              <w:t>Министерство на отбраната — Цифровизация на сертификатите T1</w:t>
            </w:r>
          </w:p>
        </w:tc>
        <w:tc>
          <w:tcPr>
            <w:tcW w:w="1701" w:type="dxa"/>
            <w:shd w:val="clear" w:color="auto" w:fill="C6EFCE"/>
            <w:noWrap/>
            <w:vAlign w:val="center"/>
          </w:tcPr>
          <w:p w14:paraId="61A399AC"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5C4B553E" w14:textId="77777777" w:rsidR="006054AA" w:rsidRDefault="001F7667">
            <w:pPr>
              <w:pStyle w:val="P68B1DB1-Normal11"/>
              <w:jc w:val="center"/>
              <w:rPr>
                <w:noProof/>
              </w:rPr>
            </w:pPr>
            <w:r>
              <w:rPr>
                <w:noProof/>
              </w:rPr>
              <w:t>Брой на цифровизираните сертификати</w:t>
            </w:r>
          </w:p>
        </w:tc>
        <w:tc>
          <w:tcPr>
            <w:tcW w:w="1276" w:type="dxa"/>
            <w:shd w:val="clear" w:color="auto" w:fill="C6EFCE"/>
            <w:noWrap/>
            <w:vAlign w:val="center"/>
          </w:tcPr>
          <w:p w14:paraId="51120BBB" w14:textId="77777777" w:rsidR="006054AA" w:rsidRDefault="001F7667">
            <w:pPr>
              <w:pStyle w:val="P68B1DB1-Normal11"/>
              <w:jc w:val="center"/>
              <w:rPr>
                <w:noProof/>
              </w:rPr>
            </w:pPr>
            <w:r>
              <w:rPr>
                <w:noProof/>
              </w:rPr>
              <w:t>190 000</w:t>
            </w:r>
          </w:p>
        </w:tc>
        <w:tc>
          <w:tcPr>
            <w:tcW w:w="1417" w:type="dxa"/>
            <w:shd w:val="clear" w:color="auto" w:fill="C6EFCE"/>
            <w:noWrap/>
            <w:vAlign w:val="center"/>
          </w:tcPr>
          <w:p w14:paraId="3C58E777" w14:textId="77777777" w:rsidR="006054AA" w:rsidRDefault="001F7667">
            <w:pPr>
              <w:pStyle w:val="P68B1DB1-Normal11"/>
              <w:jc w:val="center"/>
              <w:rPr>
                <w:noProof/>
              </w:rPr>
            </w:pPr>
            <w:r>
              <w:rPr>
                <w:noProof/>
              </w:rPr>
              <w:t>450 000</w:t>
            </w:r>
          </w:p>
        </w:tc>
        <w:tc>
          <w:tcPr>
            <w:tcW w:w="793" w:type="dxa"/>
            <w:shd w:val="clear" w:color="auto" w:fill="C6EFCE"/>
            <w:noWrap/>
            <w:vAlign w:val="center"/>
          </w:tcPr>
          <w:p w14:paraId="39B4949A"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5FB59FA6"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55BA9CFD" w14:textId="77777777" w:rsidR="006054AA" w:rsidRDefault="001F7667">
            <w:pPr>
              <w:pStyle w:val="P68B1DB1-Normal11"/>
              <w:spacing w:after="120"/>
              <w:rPr>
                <w:noProof/>
              </w:rPr>
            </w:pPr>
            <w:r>
              <w:rPr>
                <w:noProof/>
              </w:rPr>
              <w:t>Брой на цифровизираните удостоверения за самоличност (450 000 г.), издадени от Министерството на отбраната и влизащи в инфраструктурата, допълнени от сайт за възстановяване при бедствия, като се започне от базова линия от 190 000 вече цифровизирани сертификата.</w:t>
            </w:r>
          </w:p>
        </w:tc>
      </w:tr>
      <w:tr w:rsidR="006054AA" w14:paraId="338C8004" w14:textId="77777777">
        <w:trPr>
          <w:trHeight w:val="309"/>
        </w:trPr>
        <w:tc>
          <w:tcPr>
            <w:tcW w:w="1284" w:type="dxa"/>
            <w:shd w:val="clear" w:color="auto" w:fill="C6EFCE"/>
            <w:noWrap/>
            <w:vAlign w:val="center"/>
          </w:tcPr>
          <w:p w14:paraId="7E25EB74" w14:textId="77777777" w:rsidR="006054AA" w:rsidRDefault="001F7667">
            <w:pPr>
              <w:pStyle w:val="P68B1DB1-Normal11"/>
              <w:jc w:val="center"/>
              <w:rPr>
                <w:noProof/>
              </w:rPr>
            </w:pPr>
            <w:r>
              <w:rPr>
                <w:noProof/>
              </w:rPr>
              <w:t>M1C1—137</w:t>
            </w:r>
          </w:p>
        </w:tc>
        <w:tc>
          <w:tcPr>
            <w:tcW w:w="1746" w:type="dxa"/>
            <w:shd w:val="clear" w:color="auto" w:fill="C6EFCE"/>
            <w:noWrap/>
            <w:vAlign w:val="center"/>
          </w:tcPr>
          <w:p w14:paraId="0FC6BBA7" w14:textId="77777777" w:rsidR="006054AA" w:rsidRDefault="001F7667">
            <w:pPr>
              <w:pStyle w:val="P68B1DB1-Normal11"/>
              <w:jc w:val="center"/>
              <w:rPr>
                <w:noProof/>
              </w:rPr>
            </w:pPr>
            <w:r>
              <w:rPr>
                <w:noProof/>
              </w:rPr>
              <w:t>Инвестиция 1.6.4 — Цифровизация на Министерството на отбраната</w:t>
            </w:r>
          </w:p>
        </w:tc>
        <w:tc>
          <w:tcPr>
            <w:tcW w:w="992" w:type="dxa"/>
            <w:shd w:val="clear" w:color="auto" w:fill="C6EFCE"/>
            <w:noWrap/>
            <w:vAlign w:val="center"/>
          </w:tcPr>
          <w:p w14:paraId="5619A88B" w14:textId="77777777" w:rsidR="006054AA" w:rsidRDefault="001F7667">
            <w:pPr>
              <w:pStyle w:val="P68B1DB1-Normal11"/>
              <w:jc w:val="center"/>
              <w:rPr>
                <w:noProof/>
              </w:rPr>
            </w:pPr>
            <w:r>
              <w:rPr>
                <w:noProof/>
              </w:rPr>
              <w:t>Ключов етап</w:t>
            </w:r>
          </w:p>
        </w:tc>
        <w:tc>
          <w:tcPr>
            <w:tcW w:w="2126" w:type="dxa"/>
            <w:shd w:val="clear" w:color="auto" w:fill="C6EFCE"/>
            <w:noWrap/>
            <w:vAlign w:val="center"/>
          </w:tcPr>
          <w:p w14:paraId="3163C326" w14:textId="77777777" w:rsidR="006054AA" w:rsidRDefault="001F7667">
            <w:pPr>
              <w:pStyle w:val="P68B1DB1-Normal11"/>
              <w:jc w:val="center"/>
              <w:rPr>
                <w:noProof/>
              </w:rPr>
            </w:pPr>
            <w:r>
              <w:rPr>
                <w:noProof/>
              </w:rPr>
              <w:t>Министерство на отбраната — възлагане на институционални уеб портали и интранет портали</w:t>
            </w:r>
          </w:p>
        </w:tc>
        <w:tc>
          <w:tcPr>
            <w:tcW w:w="1701" w:type="dxa"/>
            <w:shd w:val="clear" w:color="auto" w:fill="C6EFCE"/>
            <w:noWrap/>
            <w:vAlign w:val="center"/>
          </w:tcPr>
          <w:p w14:paraId="5B425CCC" w14:textId="77777777" w:rsidR="006054AA" w:rsidRDefault="001F7667">
            <w:pPr>
              <w:pStyle w:val="P68B1DB1-Normal11"/>
              <w:jc w:val="center"/>
              <w:rPr>
                <w:noProof/>
              </w:rPr>
            </w:pPr>
            <w:r>
              <w:rPr>
                <w:noProof/>
              </w:rPr>
              <w:t>Напълно функциониращи институционални уеб портали и интранет уеб портали</w:t>
            </w:r>
          </w:p>
        </w:tc>
        <w:tc>
          <w:tcPr>
            <w:tcW w:w="1134" w:type="dxa"/>
            <w:shd w:val="clear" w:color="auto" w:fill="C6EFCE"/>
            <w:noWrap/>
            <w:vAlign w:val="center"/>
          </w:tcPr>
          <w:p w14:paraId="1BEEEFB4" w14:textId="77777777" w:rsidR="006054AA" w:rsidRDefault="001F7667">
            <w:pPr>
              <w:pStyle w:val="P68B1DB1-Normal11"/>
              <w:jc w:val="center"/>
              <w:rPr>
                <w:noProof/>
              </w:rPr>
            </w:pPr>
            <w:r>
              <w:rPr>
                <w:noProof/>
              </w:rPr>
              <w:t>НЯМА</w:t>
            </w:r>
          </w:p>
        </w:tc>
        <w:tc>
          <w:tcPr>
            <w:tcW w:w="1276" w:type="dxa"/>
            <w:shd w:val="clear" w:color="auto" w:fill="C6EFCE"/>
            <w:noWrap/>
            <w:vAlign w:val="center"/>
          </w:tcPr>
          <w:p w14:paraId="386E8DF4" w14:textId="77777777" w:rsidR="006054AA" w:rsidRDefault="001F7667">
            <w:pPr>
              <w:pStyle w:val="P68B1DB1-Normal11"/>
              <w:jc w:val="center"/>
              <w:rPr>
                <w:noProof/>
              </w:rPr>
            </w:pPr>
            <w:r>
              <w:rPr>
                <w:noProof/>
              </w:rPr>
              <w:t>НЯМА</w:t>
            </w:r>
          </w:p>
        </w:tc>
        <w:tc>
          <w:tcPr>
            <w:tcW w:w="1417" w:type="dxa"/>
            <w:shd w:val="clear" w:color="auto" w:fill="C6EFCE"/>
            <w:noWrap/>
            <w:vAlign w:val="center"/>
          </w:tcPr>
          <w:p w14:paraId="0448A103" w14:textId="77777777" w:rsidR="006054AA" w:rsidRDefault="001F7667">
            <w:pPr>
              <w:pStyle w:val="P68B1DB1-Normal11"/>
              <w:jc w:val="center"/>
              <w:rPr>
                <w:noProof/>
              </w:rPr>
            </w:pPr>
            <w:r>
              <w:rPr>
                <w:noProof/>
              </w:rPr>
              <w:t>НЯМА</w:t>
            </w:r>
          </w:p>
        </w:tc>
        <w:tc>
          <w:tcPr>
            <w:tcW w:w="793" w:type="dxa"/>
            <w:shd w:val="clear" w:color="auto" w:fill="C6EFCE"/>
            <w:noWrap/>
            <w:vAlign w:val="center"/>
          </w:tcPr>
          <w:p w14:paraId="71559B9F"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7C40110E"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40DB2E50" w14:textId="77777777" w:rsidR="006054AA" w:rsidRDefault="001F7667">
            <w:pPr>
              <w:pStyle w:val="P68B1DB1-Normal11"/>
              <w:spacing w:after="120"/>
              <w:rPr>
                <w:noProof/>
              </w:rPr>
            </w:pPr>
            <w:r>
              <w:rPr>
                <w:noProof/>
              </w:rPr>
              <w:t>Разработване и внедряване на i) институционални уеб портали и ii) интранет портали за специфични нужди от вътрешна комуникация.</w:t>
            </w:r>
          </w:p>
        </w:tc>
      </w:tr>
      <w:tr w:rsidR="006054AA" w14:paraId="4493EB78" w14:textId="77777777">
        <w:trPr>
          <w:trHeight w:val="309"/>
        </w:trPr>
        <w:tc>
          <w:tcPr>
            <w:tcW w:w="1284" w:type="dxa"/>
            <w:shd w:val="clear" w:color="auto" w:fill="C6EFCE"/>
            <w:noWrap/>
            <w:vAlign w:val="center"/>
          </w:tcPr>
          <w:p w14:paraId="3017E1D6" w14:textId="77777777" w:rsidR="006054AA" w:rsidRDefault="001F7667">
            <w:pPr>
              <w:pStyle w:val="P68B1DB1-Normal11"/>
              <w:jc w:val="center"/>
              <w:rPr>
                <w:noProof/>
              </w:rPr>
            </w:pPr>
            <w:r>
              <w:rPr>
                <w:noProof/>
              </w:rPr>
              <w:t>M1C1—138</w:t>
            </w:r>
          </w:p>
        </w:tc>
        <w:tc>
          <w:tcPr>
            <w:tcW w:w="1746" w:type="dxa"/>
            <w:shd w:val="clear" w:color="auto" w:fill="C6EFCE"/>
            <w:noWrap/>
            <w:vAlign w:val="center"/>
          </w:tcPr>
          <w:p w14:paraId="1F3F940E" w14:textId="77777777" w:rsidR="006054AA" w:rsidRDefault="001F7667">
            <w:pPr>
              <w:pStyle w:val="P68B1DB1-Normal11"/>
              <w:jc w:val="center"/>
              <w:rPr>
                <w:noProof/>
              </w:rPr>
            </w:pPr>
            <w:r>
              <w:rPr>
                <w:noProof/>
              </w:rPr>
              <w:t>Инвестиция 1.6.4 — Цифровизация на Министерството на отбраната</w:t>
            </w:r>
          </w:p>
        </w:tc>
        <w:tc>
          <w:tcPr>
            <w:tcW w:w="992" w:type="dxa"/>
            <w:shd w:val="clear" w:color="auto" w:fill="C6EFCE"/>
            <w:noWrap/>
            <w:vAlign w:val="center"/>
          </w:tcPr>
          <w:p w14:paraId="651F913C"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071394D3" w14:textId="77777777" w:rsidR="006054AA" w:rsidRDefault="001F7667">
            <w:pPr>
              <w:pStyle w:val="P68B1DB1-Normal11"/>
              <w:jc w:val="center"/>
              <w:rPr>
                <w:noProof/>
              </w:rPr>
            </w:pPr>
            <w:r>
              <w:rPr>
                <w:noProof/>
              </w:rPr>
              <w:t>Министерство на отбраната — Миграция на приложения от критично значение, които не са от значение за мисията, в решение за пълна защита на информацията чрез откритост на инфраструктурата (S.C.I.P.I.O.) T1</w:t>
            </w:r>
          </w:p>
        </w:tc>
        <w:tc>
          <w:tcPr>
            <w:tcW w:w="1701" w:type="dxa"/>
            <w:shd w:val="clear" w:color="auto" w:fill="C6EFCE"/>
            <w:noWrap/>
            <w:vAlign w:val="center"/>
          </w:tcPr>
          <w:p w14:paraId="154116F5"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7D1A603C"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77EAD694" w14:textId="77777777" w:rsidR="006054AA" w:rsidRDefault="001F7667">
            <w:pPr>
              <w:pStyle w:val="P68B1DB1-Normal11"/>
              <w:jc w:val="center"/>
              <w:rPr>
                <w:noProof/>
              </w:rPr>
            </w:pPr>
            <w:r>
              <w:rPr>
                <w:noProof/>
              </w:rPr>
              <w:t>0</w:t>
            </w:r>
          </w:p>
        </w:tc>
        <w:tc>
          <w:tcPr>
            <w:tcW w:w="1417" w:type="dxa"/>
            <w:shd w:val="clear" w:color="auto" w:fill="C6EFCE"/>
            <w:noWrap/>
            <w:vAlign w:val="center"/>
          </w:tcPr>
          <w:p w14:paraId="0736E47B" w14:textId="77777777" w:rsidR="006054AA" w:rsidRDefault="001F7667">
            <w:pPr>
              <w:pStyle w:val="P68B1DB1-Normal11"/>
              <w:jc w:val="center"/>
              <w:rPr>
                <w:noProof/>
              </w:rPr>
            </w:pPr>
            <w:r>
              <w:rPr>
                <w:noProof/>
              </w:rPr>
              <w:t>10</w:t>
            </w:r>
          </w:p>
        </w:tc>
        <w:tc>
          <w:tcPr>
            <w:tcW w:w="793" w:type="dxa"/>
            <w:shd w:val="clear" w:color="auto" w:fill="C6EFCE"/>
            <w:noWrap/>
            <w:vAlign w:val="center"/>
          </w:tcPr>
          <w:p w14:paraId="5FE7E7C5"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5EB36D65" w14:textId="77777777" w:rsidR="006054AA" w:rsidRDefault="001F7667">
            <w:pPr>
              <w:pStyle w:val="P68B1DB1-Normal11"/>
              <w:jc w:val="center"/>
              <w:rPr>
                <w:noProof/>
              </w:rPr>
            </w:pPr>
            <w:r>
              <w:rPr>
                <w:noProof/>
              </w:rPr>
              <w:t>2023</w:t>
            </w:r>
          </w:p>
        </w:tc>
        <w:tc>
          <w:tcPr>
            <w:tcW w:w="2584" w:type="dxa"/>
            <w:shd w:val="clear" w:color="auto" w:fill="C6EFCE"/>
            <w:noWrap/>
            <w:vAlign w:val="center"/>
          </w:tcPr>
          <w:p w14:paraId="2478AD0F" w14:textId="2D96C4CE" w:rsidR="006054AA" w:rsidRDefault="001F7667">
            <w:pPr>
              <w:pStyle w:val="P68B1DB1-Normal11"/>
              <w:spacing w:after="120"/>
              <w:rPr>
                <w:noProof/>
              </w:rPr>
            </w:pPr>
            <w:r>
              <w:rPr>
                <w:noProof/>
              </w:rPr>
              <w:t>Първоначална миграция и оперативна наличност на приложения от критично значение, които не са от ключово значение за мисията, към нова инфраструктура с отворен код. Това включва внедряването на хардуерна среда, инсталирането на мидълуер компоненти с отворен код и препроектирането на приложения.</w:t>
            </w:r>
          </w:p>
        </w:tc>
      </w:tr>
      <w:tr w:rsidR="006054AA" w14:paraId="719AAC2A" w14:textId="77777777">
        <w:trPr>
          <w:trHeight w:val="309"/>
        </w:trPr>
        <w:tc>
          <w:tcPr>
            <w:tcW w:w="1284" w:type="dxa"/>
            <w:shd w:val="clear" w:color="auto" w:fill="C6EFCE"/>
            <w:noWrap/>
            <w:vAlign w:val="center"/>
          </w:tcPr>
          <w:p w14:paraId="79BD3E52" w14:textId="77777777" w:rsidR="006054AA" w:rsidRDefault="001F7667">
            <w:pPr>
              <w:pStyle w:val="P68B1DB1-Normal11"/>
              <w:jc w:val="center"/>
              <w:rPr>
                <w:noProof/>
              </w:rPr>
            </w:pPr>
            <w:r>
              <w:rPr>
                <w:noProof/>
              </w:rPr>
              <w:t>M1C1—139</w:t>
            </w:r>
          </w:p>
        </w:tc>
        <w:tc>
          <w:tcPr>
            <w:tcW w:w="1746" w:type="dxa"/>
            <w:shd w:val="clear" w:color="auto" w:fill="C6EFCE"/>
            <w:noWrap/>
            <w:vAlign w:val="center"/>
          </w:tcPr>
          <w:p w14:paraId="6C0CC6EC" w14:textId="77777777" w:rsidR="006054AA" w:rsidRDefault="001F7667">
            <w:pPr>
              <w:pStyle w:val="P68B1DB1-Normal11"/>
              <w:jc w:val="center"/>
              <w:rPr>
                <w:noProof/>
              </w:rPr>
            </w:pPr>
            <w:r>
              <w:rPr>
                <w:noProof/>
              </w:rPr>
              <w:t>Инвестиция 1.2 — Улесняване на изчисленията в облак за местните БКП</w:t>
            </w:r>
          </w:p>
        </w:tc>
        <w:tc>
          <w:tcPr>
            <w:tcW w:w="992" w:type="dxa"/>
            <w:shd w:val="clear" w:color="auto" w:fill="C6EFCE"/>
            <w:noWrap/>
            <w:vAlign w:val="center"/>
          </w:tcPr>
          <w:p w14:paraId="413844BE"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26B2145A" w14:textId="77777777" w:rsidR="006054AA" w:rsidRDefault="001F7667">
            <w:pPr>
              <w:pStyle w:val="P68B1DB1-Normal11"/>
              <w:jc w:val="center"/>
              <w:rPr>
                <w:noProof/>
              </w:rPr>
            </w:pPr>
            <w:r>
              <w:rPr>
                <w:noProof/>
              </w:rPr>
              <w:t>Възможност за изчисления в облак за местната публична администрация T1</w:t>
            </w:r>
          </w:p>
        </w:tc>
        <w:tc>
          <w:tcPr>
            <w:tcW w:w="1701" w:type="dxa"/>
            <w:shd w:val="clear" w:color="auto" w:fill="C6EFCE"/>
            <w:noWrap/>
            <w:vAlign w:val="center"/>
          </w:tcPr>
          <w:p w14:paraId="18C386AE"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20128DB7"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02D36A6B" w14:textId="77777777" w:rsidR="006054AA" w:rsidRDefault="001F7667">
            <w:pPr>
              <w:pStyle w:val="P68B1DB1-Normal11"/>
              <w:jc w:val="center"/>
              <w:rPr>
                <w:noProof/>
              </w:rPr>
            </w:pPr>
            <w:r>
              <w:rPr>
                <w:noProof/>
              </w:rPr>
              <w:t>0</w:t>
            </w:r>
          </w:p>
        </w:tc>
        <w:tc>
          <w:tcPr>
            <w:tcW w:w="1417" w:type="dxa"/>
            <w:shd w:val="clear" w:color="auto" w:fill="C6EFCE"/>
            <w:noWrap/>
            <w:vAlign w:val="center"/>
          </w:tcPr>
          <w:p w14:paraId="03A6428C" w14:textId="77777777" w:rsidR="006054AA" w:rsidRDefault="001F7667">
            <w:pPr>
              <w:pStyle w:val="P68B1DB1-Normal11"/>
              <w:jc w:val="center"/>
              <w:rPr>
                <w:noProof/>
              </w:rPr>
            </w:pPr>
            <w:r>
              <w:rPr>
                <w:noProof/>
              </w:rPr>
              <w:t>4 083</w:t>
            </w:r>
          </w:p>
        </w:tc>
        <w:tc>
          <w:tcPr>
            <w:tcW w:w="793" w:type="dxa"/>
            <w:shd w:val="clear" w:color="auto" w:fill="C6EFCE"/>
            <w:noWrap/>
            <w:vAlign w:val="center"/>
          </w:tcPr>
          <w:p w14:paraId="1C53A6C4" w14:textId="77777777" w:rsidR="006054AA" w:rsidRDefault="001F7667">
            <w:pPr>
              <w:pStyle w:val="P68B1DB1-Normal11"/>
              <w:jc w:val="center"/>
              <w:rPr>
                <w:noProof/>
              </w:rPr>
            </w:pPr>
            <w:r>
              <w:rPr>
                <w:noProof/>
              </w:rPr>
              <w:t>Т3 Г.</w:t>
            </w:r>
          </w:p>
        </w:tc>
        <w:tc>
          <w:tcPr>
            <w:tcW w:w="625" w:type="dxa"/>
            <w:shd w:val="clear" w:color="auto" w:fill="C6EFCE"/>
            <w:noWrap/>
            <w:vAlign w:val="center"/>
          </w:tcPr>
          <w:p w14:paraId="5031769F" w14:textId="77777777" w:rsidR="006054AA" w:rsidRDefault="001F7667">
            <w:pPr>
              <w:pStyle w:val="P68B1DB1-Normal11"/>
              <w:jc w:val="center"/>
              <w:rPr>
                <w:noProof/>
              </w:rPr>
            </w:pPr>
            <w:r>
              <w:rPr>
                <w:noProof/>
              </w:rPr>
              <w:t>2024</w:t>
            </w:r>
          </w:p>
        </w:tc>
        <w:tc>
          <w:tcPr>
            <w:tcW w:w="2584" w:type="dxa"/>
            <w:shd w:val="clear" w:color="auto" w:fill="C6EFCE"/>
            <w:noWrap/>
            <w:vAlign w:val="center"/>
          </w:tcPr>
          <w:p w14:paraId="14A0A305" w14:textId="0F42F1BF" w:rsidR="006054AA" w:rsidRDefault="001F7667">
            <w:pPr>
              <w:pStyle w:val="P68B1DB1-Normal12"/>
              <w:spacing w:after="120"/>
              <w:rPr>
                <w:rFonts w:ascii="Arial Narrow" w:hAnsi="Arial Narrow"/>
                <w:noProof/>
              </w:rPr>
            </w:pPr>
            <w:r>
              <w:rPr>
                <w:rFonts w:ascii="Arial Narrow" w:hAnsi="Arial Narrow"/>
                <w:noProof/>
              </w:rPr>
              <w:t>Миграцията на 4</w:t>
            </w:r>
            <w:r>
              <w:rPr>
                <w:noProof/>
              </w:rPr>
              <w:t xml:space="preserve"> </w:t>
            </w:r>
            <w:r>
              <w:rPr>
                <w:rFonts w:ascii="Arial Narrow" w:hAnsi="Arial Narrow"/>
                <w:noProof/>
              </w:rPr>
              <w:t>083 местни публични администрации към сертифицирани облачни среди се счита за постигната, когато изпитването на всички системи, набори от данни и миграция на приложенията, включени във всеки план за миграция, е успешно.</w:t>
            </w:r>
          </w:p>
        </w:tc>
      </w:tr>
      <w:tr w:rsidR="006054AA" w14:paraId="003659B2" w14:textId="77777777">
        <w:trPr>
          <w:trHeight w:val="309"/>
        </w:trPr>
        <w:tc>
          <w:tcPr>
            <w:tcW w:w="1284" w:type="dxa"/>
            <w:shd w:val="clear" w:color="auto" w:fill="C6EFCE"/>
            <w:noWrap/>
            <w:vAlign w:val="center"/>
          </w:tcPr>
          <w:p w14:paraId="55CBADAF" w14:textId="77777777" w:rsidR="006054AA" w:rsidRDefault="001F7667">
            <w:pPr>
              <w:pStyle w:val="P68B1DB1-Normal11"/>
              <w:jc w:val="center"/>
              <w:rPr>
                <w:noProof/>
              </w:rPr>
            </w:pPr>
            <w:r>
              <w:rPr>
                <w:noProof/>
              </w:rPr>
              <w:t>M1C1—140</w:t>
            </w:r>
          </w:p>
        </w:tc>
        <w:tc>
          <w:tcPr>
            <w:tcW w:w="1746" w:type="dxa"/>
            <w:shd w:val="clear" w:color="auto" w:fill="C6EFCE"/>
            <w:noWrap/>
            <w:vAlign w:val="center"/>
          </w:tcPr>
          <w:p w14:paraId="01D2F81B" w14:textId="77777777" w:rsidR="006054AA" w:rsidRDefault="001F7667">
            <w:pPr>
              <w:pStyle w:val="P68B1DB1-Normal11"/>
              <w:jc w:val="center"/>
              <w:rPr>
                <w:noProof/>
              </w:rPr>
            </w:pPr>
            <w:r>
              <w:rPr>
                <w:noProof/>
              </w:rPr>
              <w:t>Инвестиция 1.4.1 — Опитът на гражданите — Подобряване на качеството и използваемостта на цифровите обществени услуги</w:t>
            </w:r>
          </w:p>
        </w:tc>
        <w:tc>
          <w:tcPr>
            <w:tcW w:w="992" w:type="dxa"/>
            <w:shd w:val="clear" w:color="auto" w:fill="C6EFCE"/>
            <w:noWrap/>
            <w:vAlign w:val="center"/>
          </w:tcPr>
          <w:p w14:paraId="1584DC02"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24F8F50C" w14:textId="77777777" w:rsidR="006054AA" w:rsidRDefault="001F7667">
            <w:pPr>
              <w:pStyle w:val="P68B1DB1-Normal11"/>
              <w:jc w:val="center"/>
              <w:rPr>
                <w:noProof/>
              </w:rPr>
            </w:pPr>
            <w:r>
              <w:rPr>
                <w:noProof/>
              </w:rPr>
              <w:t>Подобряване на качеството и използваемостта на цифровите обществени услуги T1</w:t>
            </w:r>
          </w:p>
        </w:tc>
        <w:tc>
          <w:tcPr>
            <w:tcW w:w="1701" w:type="dxa"/>
            <w:shd w:val="clear" w:color="auto" w:fill="C6EFCE"/>
            <w:noWrap/>
            <w:vAlign w:val="center"/>
          </w:tcPr>
          <w:p w14:paraId="7DDDA04D"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3A5BAD19" w14:textId="77777777" w:rsidR="006054AA" w:rsidRDefault="001F7667">
            <w:pPr>
              <w:pStyle w:val="P68B1DB1-Normal11"/>
              <w:jc w:val="center"/>
              <w:rPr>
                <w:noProof/>
              </w:rPr>
            </w:pPr>
            <w:r>
              <w:rPr>
                <w:noProof/>
              </w:rPr>
              <w:t>Проценти</w:t>
            </w:r>
          </w:p>
        </w:tc>
        <w:tc>
          <w:tcPr>
            <w:tcW w:w="1276" w:type="dxa"/>
            <w:shd w:val="clear" w:color="auto" w:fill="C6EFCE"/>
            <w:noWrap/>
            <w:vAlign w:val="center"/>
          </w:tcPr>
          <w:p w14:paraId="6A0C6D20" w14:textId="77777777" w:rsidR="006054AA" w:rsidRDefault="001F7667">
            <w:pPr>
              <w:pStyle w:val="P68B1DB1-Normal11"/>
              <w:jc w:val="center"/>
              <w:rPr>
                <w:noProof/>
              </w:rPr>
            </w:pPr>
            <w:r>
              <w:rPr>
                <w:noProof/>
              </w:rPr>
              <w:t>0,1</w:t>
            </w:r>
          </w:p>
        </w:tc>
        <w:tc>
          <w:tcPr>
            <w:tcW w:w="1417" w:type="dxa"/>
            <w:shd w:val="clear" w:color="auto" w:fill="C6EFCE"/>
            <w:noWrap/>
            <w:vAlign w:val="center"/>
          </w:tcPr>
          <w:p w14:paraId="79C344AE" w14:textId="77777777" w:rsidR="006054AA" w:rsidRDefault="001F7667">
            <w:pPr>
              <w:pStyle w:val="P68B1DB1-Normal11"/>
              <w:jc w:val="center"/>
              <w:rPr>
                <w:noProof/>
              </w:rPr>
            </w:pPr>
            <w:r>
              <w:rPr>
                <w:noProof/>
              </w:rPr>
              <w:t>40</w:t>
            </w:r>
          </w:p>
        </w:tc>
        <w:tc>
          <w:tcPr>
            <w:tcW w:w="793" w:type="dxa"/>
            <w:shd w:val="clear" w:color="auto" w:fill="C6EFCE"/>
            <w:noWrap/>
            <w:vAlign w:val="center"/>
          </w:tcPr>
          <w:p w14:paraId="532EC22B"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43DBC84F" w14:textId="77777777" w:rsidR="006054AA" w:rsidRDefault="001F7667">
            <w:pPr>
              <w:pStyle w:val="P68B1DB1-Normal11"/>
              <w:jc w:val="center"/>
              <w:rPr>
                <w:noProof/>
              </w:rPr>
            </w:pPr>
            <w:r>
              <w:rPr>
                <w:noProof/>
              </w:rPr>
              <w:t>2024</w:t>
            </w:r>
          </w:p>
        </w:tc>
        <w:tc>
          <w:tcPr>
            <w:tcW w:w="2584" w:type="dxa"/>
            <w:shd w:val="clear" w:color="auto" w:fill="C6EFCE"/>
            <w:noWrap/>
            <w:vAlign w:val="center"/>
          </w:tcPr>
          <w:p w14:paraId="61A04C9F" w14:textId="77777777" w:rsidR="006054AA" w:rsidRDefault="001F7667">
            <w:pPr>
              <w:pStyle w:val="P68B1DB1-Normal11"/>
              <w:spacing w:after="120"/>
              <w:rPr>
                <w:noProof/>
              </w:rPr>
            </w:pPr>
            <w:r>
              <w:rPr>
                <w:noProof/>
              </w:rPr>
              <w:t xml:space="preserve">Администрации (общини, основни и средни образователни институции от 1-и и 2-ри клас и специфични пилотни структури в областта на здравеопазването и културното наследство), които се придържат към общ модел и система за проектиране, опростяват взаимодействието между потребителите и улесняват поддръжката през идните години. </w:t>
            </w:r>
          </w:p>
          <w:p w14:paraId="5DA86C5E" w14:textId="77777777" w:rsidR="006054AA" w:rsidRDefault="001F7667">
            <w:pPr>
              <w:pStyle w:val="P68B1DB1-Normal11"/>
              <w:spacing w:after="120"/>
              <w:rPr>
                <w:noProof/>
              </w:rPr>
            </w:pPr>
            <w:r>
              <w:rPr>
                <w:noProof/>
              </w:rPr>
              <w:t xml:space="preserve">Придържането към общия дизайн/модел на компонентите на уебсайтове/услуги се състои от: </w:t>
            </w:r>
          </w:p>
          <w:p w14:paraId="21522E9D" w14:textId="77777777" w:rsidR="006054AA" w:rsidRDefault="001F7667">
            <w:pPr>
              <w:pStyle w:val="P68B1DB1-Normal11"/>
              <w:spacing w:after="120"/>
              <w:rPr>
                <w:noProof/>
              </w:rPr>
            </w:pPr>
            <w:r>
              <w:rPr>
                <w:noProof/>
              </w:rPr>
              <w:t>(1) Оценка на представените проекти;</w:t>
            </w:r>
          </w:p>
          <w:p w14:paraId="68D2F60E" w14:textId="77777777" w:rsidR="006054AA" w:rsidRDefault="001F7667">
            <w:pPr>
              <w:pStyle w:val="P68B1DB1-Normal11"/>
              <w:spacing w:after="120"/>
              <w:rPr>
                <w:noProof/>
              </w:rPr>
            </w:pPr>
            <w:r>
              <w:rPr>
                <w:noProof/>
              </w:rPr>
              <w:t>(2) Оценка на приключването на проекта по ключови показатели за използваемост (цифрови оценки на използваемостта) чрез вече налична специална платформа.</w:t>
            </w:r>
          </w:p>
        </w:tc>
      </w:tr>
      <w:tr w:rsidR="006054AA" w14:paraId="2D55F0F0" w14:textId="77777777">
        <w:trPr>
          <w:trHeight w:val="309"/>
        </w:trPr>
        <w:tc>
          <w:tcPr>
            <w:tcW w:w="1284" w:type="dxa"/>
            <w:shd w:val="clear" w:color="auto" w:fill="C6EFCE"/>
            <w:noWrap/>
            <w:vAlign w:val="center"/>
          </w:tcPr>
          <w:p w14:paraId="401BB6A4" w14:textId="77777777" w:rsidR="006054AA" w:rsidRDefault="001F7667">
            <w:pPr>
              <w:pStyle w:val="P68B1DB1-Normal11"/>
              <w:jc w:val="center"/>
              <w:rPr>
                <w:noProof/>
              </w:rPr>
            </w:pPr>
            <w:r>
              <w:rPr>
                <w:noProof/>
              </w:rPr>
              <w:t>M1C1—141</w:t>
            </w:r>
          </w:p>
        </w:tc>
        <w:tc>
          <w:tcPr>
            <w:tcW w:w="1746" w:type="dxa"/>
            <w:shd w:val="clear" w:color="auto" w:fill="C6EFCE"/>
            <w:noWrap/>
            <w:vAlign w:val="center"/>
          </w:tcPr>
          <w:p w14:paraId="023A752B" w14:textId="77777777" w:rsidR="006054AA" w:rsidRDefault="001F7667">
            <w:pPr>
              <w:pStyle w:val="P68B1DB1-Normal11"/>
              <w:jc w:val="center"/>
              <w:rPr>
                <w:noProof/>
              </w:rPr>
            </w:pPr>
            <w:r>
              <w:rPr>
                <w:noProof/>
              </w:rPr>
              <w:t>Инвестиция 1.6.4 — Цифровизация на Министерството на отбраната</w:t>
            </w:r>
          </w:p>
        </w:tc>
        <w:tc>
          <w:tcPr>
            <w:tcW w:w="992" w:type="dxa"/>
            <w:shd w:val="clear" w:color="auto" w:fill="C6EFCE"/>
            <w:noWrap/>
            <w:vAlign w:val="center"/>
          </w:tcPr>
          <w:p w14:paraId="17ADAE57"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7D061087" w14:textId="77777777" w:rsidR="006054AA" w:rsidRDefault="001F7667">
            <w:pPr>
              <w:pStyle w:val="P68B1DB1-Normal11"/>
              <w:jc w:val="center"/>
              <w:rPr>
                <w:noProof/>
              </w:rPr>
            </w:pPr>
            <w:r>
              <w:rPr>
                <w:noProof/>
              </w:rPr>
              <w:t>Цифровизация на процедурите на Министерството на отбраната Т2</w:t>
            </w:r>
          </w:p>
        </w:tc>
        <w:tc>
          <w:tcPr>
            <w:tcW w:w="1701" w:type="dxa"/>
            <w:shd w:val="clear" w:color="auto" w:fill="C6EFCE"/>
            <w:noWrap/>
            <w:vAlign w:val="center"/>
          </w:tcPr>
          <w:p w14:paraId="6CB5027A"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772CF0D6"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12203EF3" w14:textId="77777777" w:rsidR="006054AA" w:rsidRDefault="001F7667">
            <w:pPr>
              <w:pStyle w:val="P68B1DB1-Normal11"/>
              <w:jc w:val="center"/>
              <w:rPr>
                <w:noProof/>
              </w:rPr>
            </w:pPr>
            <w:r>
              <w:rPr>
                <w:noProof/>
              </w:rPr>
              <w:t>15</w:t>
            </w:r>
          </w:p>
        </w:tc>
        <w:tc>
          <w:tcPr>
            <w:tcW w:w="1417" w:type="dxa"/>
            <w:shd w:val="clear" w:color="auto" w:fill="C6EFCE"/>
            <w:noWrap/>
            <w:vAlign w:val="center"/>
          </w:tcPr>
          <w:p w14:paraId="7A1BB7D5" w14:textId="77777777" w:rsidR="006054AA" w:rsidRDefault="001F7667">
            <w:pPr>
              <w:pStyle w:val="P68B1DB1-Normal11"/>
              <w:jc w:val="center"/>
              <w:rPr>
                <w:noProof/>
              </w:rPr>
            </w:pPr>
            <w:r>
              <w:rPr>
                <w:noProof/>
              </w:rPr>
              <w:t>20</w:t>
            </w:r>
          </w:p>
        </w:tc>
        <w:tc>
          <w:tcPr>
            <w:tcW w:w="793" w:type="dxa"/>
            <w:shd w:val="clear" w:color="auto" w:fill="C6EFCE"/>
            <w:noWrap/>
            <w:vAlign w:val="center"/>
          </w:tcPr>
          <w:p w14:paraId="14685221"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01237743" w14:textId="77777777" w:rsidR="006054AA" w:rsidRDefault="001F7667">
            <w:pPr>
              <w:pStyle w:val="P68B1DB1-Normal11"/>
              <w:jc w:val="center"/>
              <w:rPr>
                <w:noProof/>
              </w:rPr>
            </w:pPr>
            <w:r>
              <w:rPr>
                <w:noProof/>
              </w:rPr>
              <w:t>2024</w:t>
            </w:r>
          </w:p>
        </w:tc>
        <w:tc>
          <w:tcPr>
            <w:tcW w:w="2584" w:type="dxa"/>
            <w:shd w:val="clear" w:color="auto" w:fill="C6EFCE"/>
            <w:noWrap/>
            <w:vAlign w:val="center"/>
          </w:tcPr>
          <w:p w14:paraId="48A2EC74" w14:textId="77777777" w:rsidR="006054AA" w:rsidRDefault="001F7667">
            <w:pPr>
              <w:pStyle w:val="P68B1DB1-Normal11"/>
              <w:spacing w:after="120"/>
              <w:rPr>
                <w:noProof/>
              </w:rPr>
            </w:pPr>
            <w:r>
              <w:rPr>
                <w:noProof/>
              </w:rPr>
              <w:t>Цифровизация, преразглеждане и автоматизация на 20 процедури, свързани с управлението на персонала на отбраната (като набиране на персонал, заетост и пенсиониране, здравеопазване на служителите), като се започне от базовото равнище от петнадесет вече цифровизирани процедури с цел 1.</w:t>
            </w:r>
          </w:p>
        </w:tc>
      </w:tr>
      <w:tr w:rsidR="006054AA" w14:paraId="0120E029" w14:textId="77777777">
        <w:trPr>
          <w:trHeight w:val="309"/>
        </w:trPr>
        <w:tc>
          <w:tcPr>
            <w:tcW w:w="1284" w:type="dxa"/>
            <w:shd w:val="clear" w:color="auto" w:fill="C6EFCE"/>
            <w:noWrap/>
            <w:vAlign w:val="center"/>
          </w:tcPr>
          <w:p w14:paraId="5509017A" w14:textId="77777777" w:rsidR="006054AA" w:rsidRDefault="001F7667">
            <w:pPr>
              <w:pStyle w:val="P68B1DB1-Normal11"/>
              <w:jc w:val="center"/>
              <w:rPr>
                <w:noProof/>
              </w:rPr>
            </w:pPr>
            <w:r>
              <w:rPr>
                <w:noProof/>
              </w:rPr>
              <w:t>M1C1—142</w:t>
            </w:r>
          </w:p>
        </w:tc>
        <w:tc>
          <w:tcPr>
            <w:tcW w:w="1746" w:type="dxa"/>
            <w:shd w:val="clear" w:color="auto" w:fill="C6EFCE"/>
            <w:noWrap/>
            <w:vAlign w:val="center"/>
          </w:tcPr>
          <w:p w14:paraId="558A7A70" w14:textId="77777777" w:rsidR="006054AA" w:rsidRDefault="001F7667">
            <w:pPr>
              <w:pStyle w:val="P68B1DB1-Normal11"/>
              <w:jc w:val="center"/>
              <w:rPr>
                <w:noProof/>
              </w:rPr>
            </w:pPr>
            <w:r>
              <w:rPr>
                <w:noProof/>
              </w:rPr>
              <w:t>Инвестиция 1.6.4 — Цифровизация на Министерството на отбраната</w:t>
            </w:r>
          </w:p>
        </w:tc>
        <w:tc>
          <w:tcPr>
            <w:tcW w:w="992" w:type="dxa"/>
            <w:shd w:val="clear" w:color="auto" w:fill="C6EFCE"/>
            <w:noWrap/>
            <w:vAlign w:val="center"/>
          </w:tcPr>
          <w:p w14:paraId="3C8801B7"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48B699F4" w14:textId="77777777" w:rsidR="006054AA" w:rsidRDefault="001F7667">
            <w:pPr>
              <w:pStyle w:val="P68B1DB1-Normal11"/>
              <w:jc w:val="center"/>
              <w:rPr>
                <w:noProof/>
              </w:rPr>
            </w:pPr>
            <w:r>
              <w:rPr>
                <w:noProof/>
              </w:rPr>
              <w:t>Цифровизация на сертификатите на Министерството на отбраната Т2</w:t>
            </w:r>
          </w:p>
        </w:tc>
        <w:tc>
          <w:tcPr>
            <w:tcW w:w="1701" w:type="dxa"/>
            <w:shd w:val="clear" w:color="auto" w:fill="C6EFCE"/>
            <w:noWrap/>
            <w:vAlign w:val="center"/>
          </w:tcPr>
          <w:p w14:paraId="203D02A1"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5F9A9DEC" w14:textId="77777777" w:rsidR="006054AA" w:rsidRDefault="001F7667">
            <w:pPr>
              <w:pStyle w:val="P68B1DB1-Normal11"/>
              <w:jc w:val="center"/>
              <w:rPr>
                <w:noProof/>
              </w:rPr>
            </w:pPr>
            <w:r>
              <w:rPr>
                <w:noProof/>
              </w:rPr>
              <w:t>Брой на цифровизираните сертификати</w:t>
            </w:r>
          </w:p>
        </w:tc>
        <w:tc>
          <w:tcPr>
            <w:tcW w:w="1276" w:type="dxa"/>
            <w:shd w:val="clear" w:color="auto" w:fill="C6EFCE"/>
            <w:noWrap/>
            <w:vAlign w:val="center"/>
          </w:tcPr>
          <w:p w14:paraId="49A952DB" w14:textId="77777777" w:rsidR="006054AA" w:rsidRDefault="001F7667">
            <w:pPr>
              <w:pStyle w:val="P68B1DB1-Normal11"/>
              <w:jc w:val="center"/>
              <w:rPr>
                <w:noProof/>
              </w:rPr>
            </w:pPr>
            <w:r>
              <w:rPr>
                <w:noProof/>
              </w:rPr>
              <w:t>450 000</w:t>
            </w:r>
          </w:p>
        </w:tc>
        <w:tc>
          <w:tcPr>
            <w:tcW w:w="1417" w:type="dxa"/>
            <w:shd w:val="clear" w:color="auto" w:fill="C6EFCE"/>
            <w:noWrap/>
            <w:vAlign w:val="center"/>
          </w:tcPr>
          <w:p w14:paraId="7FDC7984" w14:textId="77777777" w:rsidR="006054AA" w:rsidRDefault="001F7667">
            <w:pPr>
              <w:pStyle w:val="P68B1DB1-Normal11"/>
              <w:jc w:val="center"/>
              <w:rPr>
                <w:noProof/>
              </w:rPr>
            </w:pPr>
            <w:r>
              <w:rPr>
                <w:noProof/>
              </w:rPr>
              <w:t>750 000</w:t>
            </w:r>
          </w:p>
        </w:tc>
        <w:tc>
          <w:tcPr>
            <w:tcW w:w="793" w:type="dxa"/>
            <w:shd w:val="clear" w:color="auto" w:fill="C6EFCE"/>
            <w:noWrap/>
            <w:vAlign w:val="center"/>
          </w:tcPr>
          <w:p w14:paraId="482EB49D"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42D3C805" w14:textId="77777777" w:rsidR="006054AA" w:rsidRDefault="001F7667">
            <w:pPr>
              <w:pStyle w:val="P68B1DB1-Normal11"/>
              <w:jc w:val="center"/>
              <w:rPr>
                <w:noProof/>
              </w:rPr>
            </w:pPr>
            <w:r>
              <w:rPr>
                <w:noProof/>
              </w:rPr>
              <w:t>2024</w:t>
            </w:r>
          </w:p>
        </w:tc>
        <w:tc>
          <w:tcPr>
            <w:tcW w:w="2584" w:type="dxa"/>
            <w:shd w:val="clear" w:color="auto" w:fill="C6EFCE"/>
            <w:noWrap/>
            <w:vAlign w:val="center"/>
          </w:tcPr>
          <w:p w14:paraId="51AD519D" w14:textId="77777777" w:rsidR="006054AA" w:rsidRDefault="001F7667">
            <w:pPr>
              <w:pStyle w:val="P68B1DB1-Normal11"/>
              <w:spacing w:after="120"/>
              <w:rPr>
                <w:noProof/>
              </w:rPr>
            </w:pPr>
            <w:r>
              <w:rPr>
                <w:noProof/>
              </w:rPr>
              <w:t>Брой на цифровизираните сертификати за самоличност (750 000 г.), издадени от Министерството на отбраната и влизащи в инфраструктурата, допълнени от обект за възстановяване при бедствия, като се започне от базова линия от 450 000 вече цифровизирани сертификата с цел 1.</w:t>
            </w:r>
          </w:p>
        </w:tc>
      </w:tr>
      <w:tr w:rsidR="006054AA" w14:paraId="6077FB90" w14:textId="77777777">
        <w:trPr>
          <w:trHeight w:val="309"/>
        </w:trPr>
        <w:tc>
          <w:tcPr>
            <w:tcW w:w="1284" w:type="dxa"/>
            <w:shd w:val="clear" w:color="auto" w:fill="C6EFCE"/>
            <w:noWrap/>
            <w:vAlign w:val="center"/>
          </w:tcPr>
          <w:p w14:paraId="65443C7D" w14:textId="77777777" w:rsidR="006054AA" w:rsidRDefault="001F7667">
            <w:pPr>
              <w:pStyle w:val="P68B1DB1-Normal11"/>
              <w:jc w:val="center"/>
              <w:rPr>
                <w:noProof/>
              </w:rPr>
            </w:pPr>
            <w:r>
              <w:rPr>
                <w:noProof/>
              </w:rPr>
              <w:t>M1C1—143</w:t>
            </w:r>
          </w:p>
        </w:tc>
        <w:tc>
          <w:tcPr>
            <w:tcW w:w="1746" w:type="dxa"/>
            <w:shd w:val="clear" w:color="auto" w:fill="C6EFCE"/>
            <w:noWrap/>
            <w:vAlign w:val="center"/>
          </w:tcPr>
          <w:p w14:paraId="05D17F13" w14:textId="77777777" w:rsidR="006054AA" w:rsidRDefault="001F7667">
            <w:pPr>
              <w:pStyle w:val="P68B1DB1-Normal11"/>
              <w:jc w:val="center"/>
              <w:rPr>
                <w:noProof/>
              </w:rPr>
            </w:pPr>
            <w:r>
              <w:rPr>
                <w:noProof/>
              </w:rPr>
              <w:t>Инвестиция 1.6.4 — Цифровизация на Министерството на отбраната</w:t>
            </w:r>
          </w:p>
        </w:tc>
        <w:tc>
          <w:tcPr>
            <w:tcW w:w="992" w:type="dxa"/>
            <w:shd w:val="clear" w:color="auto" w:fill="C6EFCE"/>
            <w:noWrap/>
            <w:vAlign w:val="center"/>
          </w:tcPr>
          <w:p w14:paraId="5104BDEA"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3DF694D2" w14:textId="77777777" w:rsidR="006054AA" w:rsidRDefault="001F7667">
            <w:pPr>
              <w:pStyle w:val="P68B1DB1-Normal11"/>
              <w:jc w:val="center"/>
              <w:rPr>
                <w:noProof/>
              </w:rPr>
            </w:pPr>
            <w:r>
              <w:rPr>
                <w:noProof/>
              </w:rPr>
              <w:t>Министерство на отбраната — Миграция на приложения от критично значение, които не са от значение за мисията, в решение за пълна защита на информацията чрез откритост на инфраструктурата (S.C.I.P.I.O.) T2</w:t>
            </w:r>
          </w:p>
        </w:tc>
        <w:tc>
          <w:tcPr>
            <w:tcW w:w="1701" w:type="dxa"/>
            <w:shd w:val="clear" w:color="auto" w:fill="C6EFCE"/>
            <w:noWrap/>
            <w:vAlign w:val="center"/>
          </w:tcPr>
          <w:p w14:paraId="37B81BD3"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2D1037D5"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623AB979" w14:textId="77777777" w:rsidR="006054AA" w:rsidRDefault="001F7667">
            <w:pPr>
              <w:pStyle w:val="P68B1DB1-Normal11"/>
              <w:jc w:val="center"/>
              <w:rPr>
                <w:noProof/>
              </w:rPr>
            </w:pPr>
            <w:r>
              <w:rPr>
                <w:noProof/>
              </w:rPr>
              <w:t>10</w:t>
            </w:r>
          </w:p>
        </w:tc>
        <w:tc>
          <w:tcPr>
            <w:tcW w:w="1417" w:type="dxa"/>
            <w:shd w:val="clear" w:color="auto" w:fill="C6EFCE"/>
            <w:noWrap/>
            <w:vAlign w:val="center"/>
          </w:tcPr>
          <w:p w14:paraId="01EA41A9" w14:textId="77777777" w:rsidR="006054AA" w:rsidRDefault="001F7667">
            <w:pPr>
              <w:pStyle w:val="P68B1DB1-Normal11"/>
              <w:jc w:val="center"/>
              <w:rPr>
                <w:noProof/>
              </w:rPr>
            </w:pPr>
            <w:r>
              <w:rPr>
                <w:noProof/>
              </w:rPr>
              <w:t>15</w:t>
            </w:r>
          </w:p>
        </w:tc>
        <w:tc>
          <w:tcPr>
            <w:tcW w:w="793" w:type="dxa"/>
            <w:shd w:val="clear" w:color="auto" w:fill="C6EFCE"/>
            <w:noWrap/>
            <w:vAlign w:val="center"/>
          </w:tcPr>
          <w:p w14:paraId="12E596B0"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0CD28A73" w14:textId="77777777" w:rsidR="006054AA" w:rsidRDefault="001F7667">
            <w:pPr>
              <w:pStyle w:val="P68B1DB1-Normal11"/>
              <w:jc w:val="center"/>
              <w:rPr>
                <w:noProof/>
              </w:rPr>
            </w:pPr>
            <w:r>
              <w:rPr>
                <w:noProof/>
              </w:rPr>
              <w:t>2024</w:t>
            </w:r>
          </w:p>
        </w:tc>
        <w:tc>
          <w:tcPr>
            <w:tcW w:w="2584" w:type="dxa"/>
            <w:shd w:val="clear" w:color="auto" w:fill="C6EFCE"/>
            <w:noWrap/>
            <w:vAlign w:val="center"/>
          </w:tcPr>
          <w:p w14:paraId="04162437" w14:textId="495EC935" w:rsidR="006054AA" w:rsidRDefault="001F7667">
            <w:pPr>
              <w:pStyle w:val="P68B1DB1-Normal11"/>
              <w:spacing w:after="120"/>
              <w:rPr>
                <w:noProof/>
              </w:rPr>
            </w:pPr>
            <w:r>
              <w:rPr>
                <w:noProof/>
              </w:rPr>
              <w:t>Окончателна миграция на четири критични и единадесет приложения, които не са от критично значение за мисията, към нова инфраструктура с отворен код, обхващаща внедряването на хардуерна среда, инсталирането на мидълуер компоненти с отворен код, преустройството на приложенията, като се започне от базова линия от десет вече мигрирани с цел 1.</w:t>
            </w:r>
          </w:p>
        </w:tc>
      </w:tr>
      <w:tr w:rsidR="006054AA" w14:paraId="30C34615" w14:textId="77777777">
        <w:trPr>
          <w:trHeight w:val="309"/>
        </w:trPr>
        <w:tc>
          <w:tcPr>
            <w:tcW w:w="1284" w:type="dxa"/>
            <w:shd w:val="clear" w:color="auto" w:fill="C6EFCE"/>
            <w:noWrap/>
            <w:vAlign w:val="center"/>
          </w:tcPr>
          <w:p w14:paraId="75FABC3E" w14:textId="77777777" w:rsidR="006054AA" w:rsidRDefault="001F7667">
            <w:pPr>
              <w:pStyle w:val="P68B1DB1-Normal11"/>
              <w:jc w:val="center"/>
              <w:rPr>
                <w:noProof/>
              </w:rPr>
            </w:pPr>
            <w:r>
              <w:rPr>
                <w:noProof/>
              </w:rPr>
              <w:t>M1C1—144</w:t>
            </w:r>
          </w:p>
        </w:tc>
        <w:tc>
          <w:tcPr>
            <w:tcW w:w="1746" w:type="dxa"/>
            <w:shd w:val="clear" w:color="auto" w:fill="C6EFCE"/>
            <w:noWrap/>
            <w:vAlign w:val="center"/>
          </w:tcPr>
          <w:p w14:paraId="2F149D2C" w14:textId="77777777" w:rsidR="006054AA" w:rsidRDefault="001F7667">
            <w:pPr>
              <w:pStyle w:val="P68B1DB1-Normal11"/>
              <w:jc w:val="center"/>
              <w:rPr>
                <w:noProof/>
              </w:rPr>
            </w:pPr>
            <w:r>
              <w:rPr>
                <w:noProof/>
              </w:rPr>
              <w:t>Инвестиция 1.4.2 — Приобщаване на гражданите — Подобряване на достъпността на цифровите обществени услуги</w:t>
            </w:r>
          </w:p>
        </w:tc>
        <w:tc>
          <w:tcPr>
            <w:tcW w:w="992" w:type="dxa"/>
            <w:shd w:val="clear" w:color="auto" w:fill="C6EFCE"/>
            <w:noWrap/>
            <w:vAlign w:val="center"/>
          </w:tcPr>
          <w:p w14:paraId="44DE6432"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22B6A962" w14:textId="77777777" w:rsidR="006054AA" w:rsidRDefault="001F7667">
            <w:pPr>
              <w:pStyle w:val="P68B1DB1-Normal11"/>
              <w:jc w:val="center"/>
              <w:rPr>
                <w:noProof/>
              </w:rPr>
            </w:pPr>
            <w:r>
              <w:rPr>
                <w:noProof/>
              </w:rPr>
              <w:t>Подобряване на достъпността на цифровите обществени услуги</w:t>
            </w:r>
          </w:p>
        </w:tc>
        <w:tc>
          <w:tcPr>
            <w:tcW w:w="1701" w:type="dxa"/>
            <w:shd w:val="clear" w:color="auto" w:fill="C6EFCE"/>
            <w:noWrap/>
            <w:vAlign w:val="center"/>
          </w:tcPr>
          <w:p w14:paraId="548CD890"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3A5CDC7D"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17836887" w14:textId="77777777" w:rsidR="006054AA" w:rsidRDefault="001F7667">
            <w:pPr>
              <w:pStyle w:val="P68B1DB1-Normal11"/>
              <w:jc w:val="center"/>
              <w:rPr>
                <w:noProof/>
              </w:rPr>
            </w:pPr>
            <w:r>
              <w:rPr>
                <w:noProof/>
              </w:rPr>
              <w:t>0</w:t>
            </w:r>
          </w:p>
        </w:tc>
        <w:tc>
          <w:tcPr>
            <w:tcW w:w="1417" w:type="dxa"/>
            <w:shd w:val="clear" w:color="auto" w:fill="C6EFCE"/>
            <w:noWrap/>
            <w:vAlign w:val="center"/>
          </w:tcPr>
          <w:p w14:paraId="274DB09A" w14:textId="77777777" w:rsidR="006054AA" w:rsidRDefault="001F7667">
            <w:pPr>
              <w:pStyle w:val="P68B1DB1-Normal11"/>
              <w:jc w:val="center"/>
              <w:rPr>
                <w:noProof/>
              </w:rPr>
            </w:pPr>
            <w:r>
              <w:rPr>
                <w:noProof/>
              </w:rPr>
              <w:t>55</w:t>
            </w:r>
          </w:p>
        </w:tc>
        <w:tc>
          <w:tcPr>
            <w:tcW w:w="793" w:type="dxa"/>
            <w:shd w:val="clear" w:color="auto" w:fill="C6EFCE"/>
            <w:noWrap/>
            <w:vAlign w:val="center"/>
          </w:tcPr>
          <w:p w14:paraId="6A7CC834" w14:textId="77777777" w:rsidR="006054AA" w:rsidRDefault="001F7667">
            <w:pPr>
              <w:pStyle w:val="P68B1DB1-Normal11"/>
              <w:jc w:val="center"/>
              <w:rPr>
                <w:noProof/>
              </w:rPr>
            </w:pPr>
            <w:r>
              <w:rPr>
                <w:noProof/>
              </w:rPr>
              <w:t>Т2 Г.</w:t>
            </w:r>
          </w:p>
        </w:tc>
        <w:tc>
          <w:tcPr>
            <w:tcW w:w="625" w:type="dxa"/>
            <w:shd w:val="clear" w:color="auto" w:fill="C6EFCE"/>
            <w:noWrap/>
            <w:vAlign w:val="center"/>
          </w:tcPr>
          <w:p w14:paraId="50195EF0" w14:textId="77777777" w:rsidR="006054AA" w:rsidRDefault="001F7667">
            <w:pPr>
              <w:pStyle w:val="P68B1DB1-Normal11"/>
              <w:jc w:val="center"/>
              <w:rPr>
                <w:noProof/>
              </w:rPr>
            </w:pPr>
            <w:r>
              <w:rPr>
                <w:noProof/>
              </w:rPr>
              <w:t>2025</w:t>
            </w:r>
          </w:p>
        </w:tc>
        <w:tc>
          <w:tcPr>
            <w:tcW w:w="2584" w:type="dxa"/>
            <w:shd w:val="clear" w:color="auto" w:fill="C6EFCE"/>
            <w:noWrap/>
            <w:vAlign w:val="center"/>
          </w:tcPr>
          <w:p w14:paraId="785BF42D" w14:textId="77777777" w:rsidR="006054AA" w:rsidRDefault="001F7667">
            <w:pPr>
              <w:pStyle w:val="P68B1DB1-Normal11"/>
              <w:spacing w:after="120"/>
              <w:rPr>
                <w:noProof/>
              </w:rPr>
            </w:pPr>
            <w:r>
              <w:rPr>
                <w:noProof/>
              </w:rPr>
              <w:t>До Q2—2025 AgID предоставя подкрепа на 55 местни публични администрации с цел:</w:t>
            </w:r>
          </w:p>
          <w:p w14:paraId="7AB35E20" w14:textId="77777777" w:rsidR="006054AA" w:rsidRDefault="001F7667">
            <w:pPr>
              <w:pStyle w:val="P68B1DB1-Normal11"/>
              <w:spacing w:after="120"/>
              <w:rPr>
                <w:noProof/>
              </w:rPr>
            </w:pPr>
            <w:r>
              <w:rPr>
                <w:noProof/>
              </w:rPr>
              <w:t>— Осигуряване 28 технически и професионални експерти</w:t>
            </w:r>
          </w:p>
          <w:p w14:paraId="4E2EF486" w14:textId="77777777" w:rsidR="006054AA" w:rsidRDefault="001F7667">
            <w:pPr>
              <w:pStyle w:val="P68B1DB1-Normal11"/>
              <w:spacing w:after="120"/>
              <w:rPr>
                <w:noProof/>
              </w:rPr>
            </w:pPr>
            <w:r>
              <w:rPr>
                <w:noProof/>
              </w:rPr>
              <w:t>Намаляване на броя на грешките с 50 % при най-малко 2 цифрови услуги, предоставяни от всяка администрация</w:t>
            </w:r>
          </w:p>
          <w:p w14:paraId="7A679F1A" w14:textId="77777777" w:rsidR="006054AA" w:rsidRDefault="001F7667">
            <w:pPr>
              <w:pStyle w:val="P68B1DB1-Normal11"/>
              <w:spacing w:after="120"/>
              <w:rPr>
                <w:noProof/>
              </w:rPr>
            </w:pPr>
            <w:r>
              <w:rPr>
                <w:noProof/>
              </w:rPr>
              <w:t>— Разпространение и обучение на най-малко 3 инструмента, насочени към препроектиране и разработване на най-използваните цифрови услуги, притежавани от всяка администрация</w:t>
            </w:r>
          </w:p>
          <w:p w14:paraId="744FB442" w14:textId="77777777" w:rsidR="006054AA" w:rsidRDefault="001F7667">
            <w:pPr>
              <w:pStyle w:val="P68B1DB1-Normal11"/>
              <w:spacing w:before="120" w:after="120"/>
              <w:rPr>
                <w:noProof/>
              </w:rPr>
            </w:pPr>
            <w:r>
              <w:rPr>
                <w:noProof/>
              </w:rPr>
              <w:t>— Гарантиране, че най-малко 50 % от нуждите от помощни технологии и софтуер са предназначени за работници с увреждания.</w:t>
            </w:r>
          </w:p>
        </w:tc>
      </w:tr>
      <w:tr w:rsidR="006054AA" w14:paraId="5809D984" w14:textId="77777777">
        <w:trPr>
          <w:trHeight w:val="309"/>
        </w:trPr>
        <w:tc>
          <w:tcPr>
            <w:tcW w:w="1284" w:type="dxa"/>
            <w:shd w:val="clear" w:color="auto" w:fill="C6EFCE"/>
            <w:noWrap/>
            <w:vAlign w:val="center"/>
          </w:tcPr>
          <w:p w14:paraId="4E646214" w14:textId="77777777" w:rsidR="006054AA" w:rsidRDefault="001F7667">
            <w:pPr>
              <w:pStyle w:val="P68B1DB1-Normal11"/>
              <w:jc w:val="center"/>
              <w:rPr>
                <w:noProof/>
              </w:rPr>
            </w:pPr>
            <w:r>
              <w:rPr>
                <w:noProof/>
              </w:rPr>
              <w:t>M1C1—145</w:t>
            </w:r>
          </w:p>
        </w:tc>
        <w:tc>
          <w:tcPr>
            <w:tcW w:w="1746" w:type="dxa"/>
            <w:shd w:val="clear" w:color="auto" w:fill="C6EFCE"/>
            <w:noWrap/>
            <w:vAlign w:val="center"/>
          </w:tcPr>
          <w:p w14:paraId="7C1379EB" w14:textId="77777777" w:rsidR="006054AA" w:rsidRDefault="001F7667">
            <w:pPr>
              <w:pStyle w:val="P68B1DB1-Normal11"/>
              <w:jc w:val="center"/>
              <w:rPr>
                <w:noProof/>
              </w:rPr>
            </w:pPr>
            <w:r>
              <w:rPr>
                <w:noProof/>
              </w:rPr>
              <w:t>Инвестиция 1.4.4 — Увеличаване на приемането на националните платформи за цифрова самоличност (SPID, CIE) и националния регистър (ANPR)</w:t>
            </w:r>
          </w:p>
        </w:tc>
        <w:tc>
          <w:tcPr>
            <w:tcW w:w="992" w:type="dxa"/>
            <w:shd w:val="clear" w:color="auto" w:fill="C6EFCE"/>
            <w:noWrap/>
            <w:vAlign w:val="center"/>
          </w:tcPr>
          <w:p w14:paraId="123938B7"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38418033" w14:textId="77777777" w:rsidR="006054AA" w:rsidRDefault="001F7667">
            <w:pPr>
              <w:pStyle w:val="P68B1DB1-Normal11"/>
              <w:jc w:val="center"/>
              <w:rPr>
                <w:noProof/>
              </w:rPr>
            </w:pPr>
            <w:r>
              <w:rPr>
                <w:noProof/>
              </w:rPr>
              <w:t>Национални платформи за цифрова самоличност (SPID, CIE) и национален регистър (ANPR)</w:t>
            </w:r>
          </w:p>
        </w:tc>
        <w:tc>
          <w:tcPr>
            <w:tcW w:w="1701" w:type="dxa"/>
            <w:shd w:val="clear" w:color="auto" w:fill="C6EFCE"/>
            <w:noWrap/>
            <w:vAlign w:val="center"/>
          </w:tcPr>
          <w:p w14:paraId="43DFF573"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01D81D37" w14:textId="77777777" w:rsidR="006054AA" w:rsidRDefault="001F7667">
            <w:pPr>
              <w:pStyle w:val="P68B1DB1-Normal11"/>
              <w:jc w:val="center"/>
              <w:rPr>
                <w:noProof/>
              </w:rPr>
            </w:pPr>
            <w:r>
              <w:rPr>
                <w:noProof/>
              </w:rPr>
              <w:t>Брой на гражданите с електронна идентификация</w:t>
            </w:r>
          </w:p>
        </w:tc>
        <w:tc>
          <w:tcPr>
            <w:tcW w:w="1276" w:type="dxa"/>
            <w:shd w:val="clear" w:color="auto" w:fill="C6EFCE"/>
            <w:noWrap/>
            <w:vAlign w:val="center"/>
          </w:tcPr>
          <w:p w14:paraId="5AE571B0" w14:textId="24C3F8F7" w:rsidR="006054AA" w:rsidRDefault="001F7667">
            <w:pPr>
              <w:pStyle w:val="P68B1DB1-Normal11"/>
              <w:jc w:val="center"/>
              <w:rPr>
                <w:noProof/>
              </w:rPr>
            </w:pPr>
            <w:r>
              <w:rPr>
                <w:noProof/>
              </w:rPr>
              <w:t>17 500 000</w:t>
            </w:r>
          </w:p>
        </w:tc>
        <w:tc>
          <w:tcPr>
            <w:tcW w:w="1417" w:type="dxa"/>
            <w:shd w:val="clear" w:color="auto" w:fill="C6EFCE"/>
            <w:noWrap/>
            <w:vAlign w:val="center"/>
          </w:tcPr>
          <w:p w14:paraId="2F475B50" w14:textId="39455118" w:rsidR="006054AA" w:rsidRDefault="001F7667">
            <w:pPr>
              <w:pStyle w:val="P68B1DB1-Normal11"/>
              <w:jc w:val="center"/>
              <w:rPr>
                <w:noProof/>
              </w:rPr>
            </w:pPr>
            <w:r>
              <w:rPr>
                <w:noProof/>
              </w:rPr>
              <w:t>42 300 000</w:t>
            </w:r>
          </w:p>
        </w:tc>
        <w:tc>
          <w:tcPr>
            <w:tcW w:w="793" w:type="dxa"/>
            <w:shd w:val="clear" w:color="auto" w:fill="C6EFCE"/>
            <w:noWrap/>
            <w:vAlign w:val="center"/>
          </w:tcPr>
          <w:p w14:paraId="5F86C588" w14:textId="77777777" w:rsidR="006054AA" w:rsidRDefault="001F7667">
            <w:pPr>
              <w:pStyle w:val="P68B1DB1-Normal11"/>
              <w:jc w:val="center"/>
              <w:rPr>
                <w:noProof/>
              </w:rPr>
            </w:pPr>
            <w:r>
              <w:rPr>
                <w:noProof/>
              </w:rPr>
              <w:t>Т4 Г.</w:t>
            </w:r>
          </w:p>
        </w:tc>
        <w:tc>
          <w:tcPr>
            <w:tcW w:w="625" w:type="dxa"/>
            <w:shd w:val="clear" w:color="auto" w:fill="C6EFCE"/>
            <w:noWrap/>
            <w:vAlign w:val="center"/>
          </w:tcPr>
          <w:p w14:paraId="5054D875" w14:textId="77777777" w:rsidR="006054AA" w:rsidRDefault="001F7667">
            <w:pPr>
              <w:pStyle w:val="P68B1DB1-Normal11"/>
              <w:jc w:val="center"/>
              <w:rPr>
                <w:noProof/>
              </w:rPr>
            </w:pPr>
            <w:r>
              <w:rPr>
                <w:noProof/>
              </w:rPr>
              <w:t>2025</w:t>
            </w:r>
          </w:p>
        </w:tc>
        <w:tc>
          <w:tcPr>
            <w:tcW w:w="2584" w:type="dxa"/>
            <w:shd w:val="clear" w:color="auto" w:fill="C6EFCE"/>
            <w:noWrap/>
            <w:vAlign w:val="center"/>
          </w:tcPr>
          <w:p w14:paraId="6200E97A" w14:textId="77777777" w:rsidR="006054AA" w:rsidRDefault="001F7667">
            <w:pPr>
              <w:pStyle w:val="P68B1DB1-Normal11"/>
              <w:spacing w:after="120"/>
              <w:rPr>
                <w:noProof/>
              </w:rPr>
            </w:pPr>
            <w:r>
              <w:rPr>
                <w:noProof/>
              </w:rPr>
              <w:t>Брой италиански граждани с валидна цифрова самоличност на националната платформа за цифрова самоличност.</w:t>
            </w:r>
          </w:p>
        </w:tc>
      </w:tr>
      <w:tr w:rsidR="006054AA" w14:paraId="480062A5" w14:textId="77777777">
        <w:trPr>
          <w:trHeight w:val="309"/>
        </w:trPr>
        <w:tc>
          <w:tcPr>
            <w:tcW w:w="1284" w:type="dxa"/>
            <w:shd w:val="clear" w:color="auto" w:fill="C6EFCE"/>
            <w:noWrap/>
            <w:vAlign w:val="center"/>
          </w:tcPr>
          <w:p w14:paraId="0CEA81E3" w14:textId="77777777" w:rsidR="006054AA" w:rsidRDefault="001F7667">
            <w:pPr>
              <w:pStyle w:val="P68B1DB1-Normal11"/>
              <w:jc w:val="center"/>
              <w:rPr>
                <w:noProof/>
              </w:rPr>
            </w:pPr>
            <w:r>
              <w:rPr>
                <w:noProof/>
              </w:rPr>
              <w:t>M1C1—146</w:t>
            </w:r>
          </w:p>
        </w:tc>
        <w:tc>
          <w:tcPr>
            <w:tcW w:w="1746" w:type="dxa"/>
            <w:shd w:val="clear" w:color="auto" w:fill="C6EFCE"/>
            <w:noWrap/>
            <w:vAlign w:val="center"/>
          </w:tcPr>
          <w:p w14:paraId="1B858848" w14:textId="77777777" w:rsidR="006054AA" w:rsidRDefault="001F7667">
            <w:pPr>
              <w:pStyle w:val="P68B1DB1-Normal11"/>
              <w:jc w:val="center"/>
              <w:rPr>
                <w:noProof/>
              </w:rPr>
            </w:pPr>
            <w:r>
              <w:rPr>
                <w:noProof/>
              </w:rPr>
              <w:t>Инвестиция 1.4.4 — Разширяване на националните платформи за цифрова самоличност (SPID, CIE) и националния регистър (ANPR)</w:t>
            </w:r>
          </w:p>
        </w:tc>
        <w:tc>
          <w:tcPr>
            <w:tcW w:w="992" w:type="dxa"/>
            <w:shd w:val="clear" w:color="auto" w:fill="C6EFCE"/>
            <w:noWrap/>
            <w:vAlign w:val="center"/>
          </w:tcPr>
          <w:p w14:paraId="6CC9E914"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18FF8394" w14:textId="77777777" w:rsidR="006054AA" w:rsidRDefault="001F7667">
            <w:pPr>
              <w:pStyle w:val="P68B1DB1-Normal11"/>
              <w:jc w:val="center"/>
              <w:rPr>
                <w:noProof/>
              </w:rPr>
            </w:pPr>
            <w:r>
              <w:rPr>
                <w:noProof/>
              </w:rPr>
              <w:t>Национални платформи за цифрова самоличност (SPID, CIE) и национален регистър (ANPR)</w:t>
            </w:r>
          </w:p>
        </w:tc>
        <w:tc>
          <w:tcPr>
            <w:tcW w:w="1701" w:type="dxa"/>
            <w:shd w:val="clear" w:color="auto" w:fill="C6EFCE"/>
            <w:noWrap/>
            <w:vAlign w:val="center"/>
          </w:tcPr>
          <w:p w14:paraId="1D677A0B"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25C1B118"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12B3A8EF" w14:textId="77777777" w:rsidR="006054AA" w:rsidRDefault="001F7667">
            <w:pPr>
              <w:pStyle w:val="P68B1DB1-Normal11"/>
              <w:jc w:val="center"/>
              <w:rPr>
                <w:noProof/>
              </w:rPr>
            </w:pPr>
            <w:r>
              <w:rPr>
                <w:noProof/>
              </w:rPr>
              <w:t>6 283</w:t>
            </w:r>
          </w:p>
        </w:tc>
        <w:tc>
          <w:tcPr>
            <w:tcW w:w="1417" w:type="dxa"/>
            <w:shd w:val="clear" w:color="auto" w:fill="C6EFCE"/>
            <w:noWrap/>
            <w:vAlign w:val="center"/>
          </w:tcPr>
          <w:p w14:paraId="116489AE" w14:textId="77777777" w:rsidR="006054AA" w:rsidRDefault="001F7667">
            <w:pPr>
              <w:pStyle w:val="P68B1DB1-Normal11"/>
              <w:jc w:val="center"/>
              <w:rPr>
                <w:noProof/>
              </w:rPr>
            </w:pPr>
            <w:r>
              <w:rPr>
                <w:noProof/>
              </w:rPr>
              <w:t>16 500</w:t>
            </w:r>
          </w:p>
        </w:tc>
        <w:tc>
          <w:tcPr>
            <w:tcW w:w="793" w:type="dxa"/>
            <w:shd w:val="clear" w:color="auto" w:fill="C6EFCE"/>
            <w:noWrap/>
            <w:vAlign w:val="center"/>
          </w:tcPr>
          <w:p w14:paraId="59029C2B" w14:textId="77777777" w:rsidR="006054AA" w:rsidRDefault="001F7667">
            <w:pPr>
              <w:pStyle w:val="P68B1DB1-Normal11"/>
              <w:jc w:val="center"/>
              <w:rPr>
                <w:noProof/>
              </w:rPr>
            </w:pPr>
            <w:r>
              <w:rPr>
                <w:noProof/>
              </w:rPr>
              <w:t>Т1 Г.</w:t>
            </w:r>
          </w:p>
        </w:tc>
        <w:tc>
          <w:tcPr>
            <w:tcW w:w="625" w:type="dxa"/>
            <w:shd w:val="clear" w:color="auto" w:fill="C6EFCE"/>
            <w:noWrap/>
            <w:vAlign w:val="center"/>
          </w:tcPr>
          <w:p w14:paraId="542E1428" w14:textId="77777777" w:rsidR="006054AA" w:rsidRDefault="001F7667">
            <w:pPr>
              <w:pStyle w:val="P68B1DB1-Normal11"/>
              <w:jc w:val="center"/>
              <w:rPr>
                <w:noProof/>
              </w:rPr>
            </w:pPr>
            <w:r>
              <w:rPr>
                <w:noProof/>
              </w:rPr>
              <w:t>2026</w:t>
            </w:r>
          </w:p>
        </w:tc>
        <w:tc>
          <w:tcPr>
            <w:tcW w:w="2584" w:type="dxa"/>
            <w:shd w:val="clear" w:color="auto" w:fill="C6EFCE"/>
            <w:noWrap/>
            <w:vAlign w:val="center"/>
          </w:tcPr>
          <w:p w14:paraId="06C82A03" w14:textId="77777777" w:rsidR="006054AA" w:rsidRDefault="001F7667">
            <w:pPr>
              <w:pStyle w:val="P68B1DB1-Normal11"/>
              <w:spacing w:after="120"/>
              <w:rPr>
                <w:noProof/>
              </w:rPr>
            </w:pPr>
            <w:r>
              <w:rPr>
                <w:noProof/>
              </w:rPr>
              <w:t>Брой на публичните администрации (от общо 16 500), които приемат електронна идентификация (eID) (SPID или CIE).</w:t>
            </w:r>
          </w:p>
        </w:tc>
      </w:tr>
      <w:tr w:rsidR="006054AA" w14:paraId="3222B5FF" w14:textId="77777777">
        <w:trPr>
          <w:trHeight w:val="309"/>
        </w:trPr>
        <w:tc>
          <w:tcPr>
            <w:tcW w:w="1284" w:type="dxa"/>
            <w:shd w:val="clear" w:color="auto" w:fill="C6EFCE"/>
            <w:noWrap/>
            <w:vAlign w:val="center"/>
          </w:tcPr>
          <w:p w14:paraId="51D53E90" w14:textId="77777777" w:rsidR="006054AA" w:rsidRDefault="001F7667">
            <w:pPr>
              <w:pStyle w:val="P68B1DB1-Normal11"/>
              <w:jc w:val="center"/>
              <w:rPr>
                <w:noProof/>
              </w:rPr>
            </w:pPr>
            <w:r>
              <w:rPr>
                <w:noProof/>
              </w:rPr>
              <w:t>M1C1—147</w:t>
            </w:r>
          </w:p>
        </w:tc>
        <w:tc>
          <w:tcPr>
            <w:tcW w:w="1746" w:type="dxa"/>
            <w:shd w:val="clear" w:color="auto" w:fill="C6EFCE"/>
            <w:noWrap/>
            <w:vAlign w:val="center"/>
          </w:tcPr>
          <w:p w14:paraId="7CCE065B" w14:textId="77777777" w:rsidR="006054AA" w:rsidRDefault="001F7667">
            <w:pPr>
              <w:pStyle w:val="P68B1DB1-Normal11"/>
              <w:jc w:val="center"/>
              <w:rPr>
                <w:noProof/>
              </w:rPr>
            </w:pPr>
            <w:r>
              <w:rPr>
                <w:noProof/>
              </w:rPr>
              <w:t>Инвестиция 1.2 — Улесняване на изчисленията в облак за местните БКП</w:t>
            </w:r>
          </w:p>
        </w:tc>
        <w:tc>
          <w:tcPr>
            <w:tcW w:w="992" w:type="dxa"/>
            <w:shd w:val="clear" w:color="auto" w:fill="C6EFCE"/>
            <w:noWrap/>
            <w:vAlign w:val="center"/>
          </w:tcPr>
          <w:p w14:paraId="06D6CE6B"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79B98DFF" w14:textId="77777777" w:rsidR="006054AA" w:rsidRDefault="001F7667">
            <w:pPr>
              <w:pStyle w:val="P68B1DB1-Normal11"/>
              <w:jc w:val="center"/>
              <w:rPr>
                <w:noProof/>
              </w:rPr>
            </w:pPr>
            <w:r>
              <w:rPr>
                <w:noProof/>
              </w:rPr>
              <w:t>Възможност за изчисления в облак за местната публична администрация T2</w:t>
            </w:r>
          </w:p>
        </w:tc>
        <w:tc>
          <w:tcPr>
            <w:tcW w:w="1701" w:type="dxa"/>
            <w:shd w:val="clear" w:color="auto" w:fill="C6EFCE"/>
            <w:noWrap/>
            <w:vAlign w:val="center"/>
          </w:tcPr>
          <w:p w14:paraId="5E897981"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5B072C18"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3D337394" w14:textId="77777777" w:rsidR="006054AA" w:rsidRDefault="001F7667">
            <w:pPr>
              <w:pStyle w:val="P68B1DB1-Normal11"/>
              <w:jc w:val="center"/>
              <w:rPr>
                <w:noProof/>
              </w:rPr>
            </w:pPr>
            <w:r>
              <w:rPr>
                <w:noProof/>
              </w:rPr>
              <w:t>4 083</w:t>
            </w:r>
          </w:p>
        </w:tc>
        <w:tc>
          <w:tcPr>
            <w:tcW w:w="1417" w:type="dxa"/>
            <w:shd w:val="clear" w:color="auto" w:fill="C6EFCE"/>
            <w:noWrap/>
            <w:vAlign w:val="center"/>
          </w:tcPr>
          <w:p w14:paraId="79E5CCF4" w14:textId="77777777" w:rsidR="006054AA" w:rsidRDefault="001F7667">
            <w:pPr>
              <w:pStyle w:val="P68B1DB1-Normal11"/>
              <w:jc w:val="center"/>
              <w:rPr>
                <w:noProof/>
              </w:rPr>
            </w:pPr>
            <w:r>
              <w:rPr>
                <w:noProof/>
              </w:rPr>
              <w:t>12 464</w:t>
            </w:r>
          </w:p>
        </w:tc>
        <w:tc>
          <w:tcPr>
            <w:tcW w:w="793" w:type="dxa"/>
            <w:shd w:val="clear" w:color="auto" w:fill="C6EFCE"/>
            <w:noWrap/>
            <w:vAlign w:val="center"/>
          </w:tcPr>
          <w:p w14:paraId="7FF4A4D2" w14:textId="77777777" w:rsidR="006054AA" w:rsidRDefault="001F7667">
            <w:pPr>
              <w:pStyle w:val="P68B1DB1-Normal11"/>
              <w:jc w:val="center"/>
              <w:rPr>
                <w:noProof/>
              </w:rPr>
            </w:pPr>
            <w:r>
              <w:rPr>
                <w:noProof/>
              </w:rPr>
              <w:t>Т2 Г.</w:t>
            </w:r>
          </w:p>
        </w:tc>
        <w:tc>
          <w:tcPr>
            <w:tcW w:w="625" w:type="dxa"/>
            <w:shd w:val="clear" w:color="auto" w:fill="C6EFCE"/>
            <w:noWrap/>
            <w:vAlign w:val="center"/>
          </w:tcPr>
          <w:p w14:paraId="676419FA" w14:textId="77777777" w:rsidR="006054AA" w:rsidRDefault="001F7667">
            <w:pPr>
              <w:pStyle w:val="P68B1DB1-Normal11"/>
              <w:jc w:val="center"/>
              <w:rPr>
                <w:noProof/>
              </w:rPr>
            </w:pPr>
            <w:r>
              <w:rPr>
                <w:noProof/>
              </w:rPr>
              <w:t>2026</w:t>
            </w:r>
          </w:p>
        </w:tc>
        <w:tc>
          <w:tcPr>
            <w:tcW w:w="2584" w:type="dxa"/>
            <w:shd w:val="clear" w:color="auto" w:fill="C6EFCE"/>
            <w:noWrap/>
            <w:vAlign w:val="center"/>
          </w:tcPr>
          <w:p w14:paraId="0645783F" w14:textId="77777777" w:rsidR="006054AA" w:rsidRDefault="001F7667">
            <w:pPr>
              <w:pStyle w:val="P68B1DB1-Normal11"/>
              <w:spacing w:after="120"/>
              <w:rPr>
                <w:noProof/>
              </w:rPr>
            </w:pPr>
            <w:r>
              <w:rPr>
                <w:noProof/>
              </w:rPr>
              <w:t>Миграцията на 12 464 местни публични администрации към сертифицирани облачни среди се счита за постигната, когато изпитването на всички системи, набори от данни и миграция на приложенията, включени във всеки план за миграция, е успешно.</w:t>
            </w:r>
          </w:p>
        </w:tc>
      </w:tr>
      <w:tr w:rsidR="006054AA" w14:paraId="72830464" w14:textId="77777777">
        <w:trPr>
          <w:trHeight w:val="309"/>
        </w:trPr>
        <w:tc>
          <w:tcPr>
            <w:tcW w:w="1284" w:type="dxa"/>
            <w:shd w:val="clear" w:color="auto" w:fill="C6EFCE"/>
            <w:noWrap/>
            <w:vAlign w:val="center"/>
          </w:tcPr>
          <w:p w14:paraId="78ACB872" w14:textId="77777777" w:rsidR="006054AA" w:rsidRDefault="001F7667">
            <w:pPr>
              <w:pStyle w:val="P68B1DB1-Normal11"/>
              <w:jc w:val="center"/>
              <w:rPr>
                <w:noProof/>
              </w:rPr>
            </w:pPr>
            <w:r>
              <w:rPr>
                <w:noProof/>
              </w:rPr>
              <w:t>M1C1—148</w:t>
            </w:r>
          </w:p>
        </w:tc>
        <w:tc>
          <w:tcPr>
            <w:tcW w:w="1746" w:type="dxa"/>
            <w:shd w:val="clear" w:color="auto" w:fill="C6EFCE"/>
            <w:noWrap/>
            <w:vAlign w:val="center"/>
          </w:tcPr>
          <w:p w14:paraId="152CF231" w14:textId="77777777" w:rsidR="006054AA" w:rsidRDefault="001F7667">
            <w:pPr>
              <w:pStyle w:val="P68B1DB1-Normal11"/>
              <w:jc w:val="center"/>
              <w:rPr>
                <w:noProof/>
              </w:rPr>
            </w:pPr>
            <w:r>
              <w:rPr>
                <w:noProof/>
              </w:rPr>
              <w:t>Инвестиция 1.4.1 — Опитът на гражданите — Подобряване на качеството и използваемостта на цифровите обществени услуги</w:t>
            </w:r>
          </w:p>
        </w:tc>
        <w:tc>
          <w:tcPr>
            <w:tcW w:w="992" w:type="dxa"/>
            <w:shd w:val="clear" w:color="auto" w:fill="C6EFCE"/>
            <w:noWrap/>
            <w:vAlign w:val="center"/>
          </w:tcPr>
          <w:p w14:paraId="7853F02E"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4731FF42" w14:textId="77777777" w:rsidR="006054AA" w:rsidRDefault="001F7667">
            <w:pPr>
              <w:pStyle w:val="P68B1DB1-Normal11"/>
              <w:jc w:val="center"/>
              <w:rPr>
                <w:noProof/>
              </w:rPr>
            </w:pPr>
            <w:r>
              <w:rPr>
                <w:noProof/>
              </w:rPr>
              <w:t>Подобряване на качеството и използваемостта на цифровите обществени услуги T2</w:t>
            </w:r>
          </w:p>
        </w:tc>
        <w:tc>
          <w:tcPr>
            <w:tcW w:w="1701" w:type="dxa"/>
            <w:shd w:val="clear" w:color="auto" w:fill="C6EFCE"/>
            <w:noWrap/>
            <w:vAlign w:val="center"/>
          </w:tcPr>
          <w:p w14:paraId="641A6C34"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64B5EFF0" w14:textId="77777777" w:rsidR="006054AA" w:rsidRDefault="001F7667">
            <w:pPr>
              <w:pStyle w:val="P68B1DB1-Normal11"/>
              <w:jc w:val="center"/>
              <w:rPr>
                <w:noProof/>
              </w:rPr>
            </w:pPr>
            <w:r>
              <w:rPr>
                <w:noProof/>
              </w:rPr>
              <w:t>Проценти</w:t>
            </w:r>
          </w:p>
        </w:tc>
        <w:tc>
          <w:tcPr>
            <w:tcW w:w="1276" w:type="dxa"/>
            <w:shd w:val="clear" w:color="auto" w:fill="C6EFCE"/>
            <w:noWrap/>
            <w:vAlign w:val="center"/>
          </w:tcPr>
          <w:p w14:paraId="32C2BD5A" w14:textId="77777777" w:rsidR="006054AA" w:rsidRDefault="001F7667">
            <w:pPr>
              <w:pStyle w:val="P68B1DB1-Normal11"/>
              <w:jc w:val="center"/>
              <w:rPr>
                <w:noProof/>
              </w:rPr>
            </w:pPr>
            <w:r>
              <w:rPr>
                <w:noProof/>
              </w:rPr>
              <w:t>40</w:t>
            </w:r>
          </w:p>
        </w:tc>
        <w:tc>
          <w:tcPr>
            <w:tcW w:w="1417" w:type="dxa"/>
            <w:shd w:val="clear" w:color="auto" w:fill="C6EFCE"/>
            <w:noWrap/>
            <w:vAlign w:val="center"/>
          </w:tcPr>
          <w:p w14:paraId="73E70680" w14:textId="77777777" w:rsidR="006054AA" w:rsidRDefault="001F7667">
            <w:pPr>
              <w:pStyle w:val="P68B1DB1-Normal11"/>
              <w:jc w:val="center"/>
              <w:rPr>
                <w:noProof/>
              </w:rPr>
            </w:pPr>
            <w:r>
              <w:rPr>
                <w:noProof/>
              </w:rPr>
              <w:t>80</w:t>
            </w:r>
          </w:p>
        </w:tc>
        <w:tc>
          <w:tcPr>
            <w:tcW w:w="793" w:type="dxa"/>
            <w:shd w:val="clear" w:color="auto" w:fill="C6EFCE"/>
            <w:noWrap/>
            <w:vAlign w:val="center"/>
          </w:tcPr>
          <w:p w14:paraId="00F1506B" w14:textId="77777777" w:rsidR="006054AA" w:rsidRDefault="001F7667">
            <w:pPr>
              <w:pStyle w:val="P68B1DB1-Normal11"/>
              <w:jc w:val="center"/>
              <w:rPr>
                <w:noProof/>
              </w:rPr>
            </w:pPr>
            <w:r>
              <w:rPr>
                <w:noProof/>
              </w:rPr>
              <w:t>Т2 Г.</w:t>
            </w:r>
          </w:p>
        </w:tc>
        <w:tc>
          <w:tcPr>
            <w:tcW w:w="625" w:type="dxa"/>
            <w:shd w:val="clear" w:color="auto" w:fill="C6EFCE"/>
            <w:noWrap/>
            <w:vAlign w:val="center"/>
          </w:tcPr>
          <w:p w14:paraId="44A6CC59" w14:textId="77777777" w:rsidR="006054AA" w:rsidRDefault="001F7667">
            <w:pPr>
              <w:pStyle w:val="P68B1DB1-Normal11"/>
              <w:jc w:val="center"/>
              <w:rPr>
                <w:noProof/>
              </w:rPr>
            </w:pPr>
            <w:r>
              <w:rPr>
                <w:noProof/>
              </w:rPr>
              <w:t>2026</w:t>
            </w:r>
          </w:p>
        </w:tc>
        <w:tc>
          <w:tcPr>
            <w:tcW w:w="2584" w:type="dxa"/>
            <w:shd w:val="clear" w:color="auto" w:fill="C6EFCE"/>
            <w:noWrap/>
            <w:vAlign w:val="center"/>
          </w:tcPr>
          <w:p w14:paraId="4DFA4401" w14:textId="369D4FBF" w:rsidR="006054AA" w:rsidRDefault="001F7667">
            <w:pPr>
              <w:pStyle w:val="P68B1DB1-Normal11"/>
              <w:spacing w:after="120"/>
              <w:rPr>
                <w:noProof/>
              </w:rPr>
            </w:pPr>
            <w:r>
              <w:rPr>
                <w:noProof/>
              </w:rPr>
              <w:t>Администрации (общини, начални и средни образователни институции</w:t>
            </w:r>
            <w:r>
              <w:rPr>
                <w:noProof/>
                <w:vertAlign w:val="superscript"/>
              </w:rPr>
              <w:t>от</w:t>
            </w:r>
            <w:r>
              <w:rPr>
                <w:noProof/>
              </w:rPr>
              <w:t xml:space="preserve"> 1-ви и 2-ви</w:t>
            </w:r>
            <w:r>
              <w:rPr>
                <w:noProof/>
                <w:vertAlign w:val="superscript"/>
              </w:rPr>
              <w:t>клас</w:t>
            </w:r>
            <w:r>
              <w:rPr>
                <w:noProof/>
              </w:rPr>
              <w:t xml:space="preserve"> и специфични пилотни структури в областта на здравеопазването и културното наследство), които се придържат към общ модел и система за проектиране, опростяват взаимодействието между потребителите и улесняват поддръжката през идните години.</w:t>
            </w:r>
          </w:p>
          <w:p w14:paraId="150FBF38" w14:textId="77777777" w:rsidR="006054AA" w:rsidRDefault="001F7667">
            <w:pPr>
              <w:pStyle w:val="P68B1DB1-Normal11"/>
              <w:spacing w:after="120"/>
              <w:rPr>
                <w:noProof/>
              </w:rPr>
            </w:pPr>
            <w:r>
              <w:rPr>
                <w:noProof/>
              </w:rPr>
              <w:t xml:space="preserve">Придържането към общия дизайн/модел на компонентите на уебсайтове/услуги се състои от: </w:t>
            </w:r>
          </w:p>
          <w:p w14:paraId="18278D8E" w14:textId="77777777" w:rsidR="006054AA" w:rsidRDefault="001F7667">
            <w:pPr>
              <w:pStyle w:val="P68B1DB1-Normal11"/>
              <w:spacing w:after="120"/>
              <w:rPr>
                <w:noProof/>
              </w:rPr>
            </w:pPr>
            <w:r>
              <w:rPr>
                <w:noProof/>
              </w:rPr>
              <w:t>(1) Оценка на представените проекти;</w:t>
            </w:r>
          </w:p>
          <w:p w14:paraId="406E3BA1" w14:textId="77777777" w:rsidR="006054AA" w:rsidRDefault="001F7667">
            <w:pPr>
              <w:pStyle w:val="P68B1DB1-Normal11"/>
              <w:spacing w:after="120"/>
              <w:rPr>
                <w:noProof/>
              </w:rPr>
            </w:pPr>
            <w:r>
              <w:rPr>
                <w:noProof/>
              </w:rPr>
              <w:t>(2) Оценка на приключването на проекта по ключови показатели за използваемост (цифрови оценки на използваемостта) чрез вече налична специална платформа.</w:t>
            </w:r>
          </w:p>
          <w:p w14:paraId="5FF26E6C" w14:textId="77777777" w:rsidR="006054AA" w:rsidRDefault="001F7667">
            <w:pPr>
              <w:pStyle w:val="P68B1DB1-Normal11"/>
              <w:spacing w:after="120"/>
              <w:rPr>
                <w:noProof/>
              </w:rPr>
            </w:pPr>
            <w:r>
              <w:rPr>
                <w:noProof/>
              </w:rPr>
              <w:t>Общините трябва да гарантират, че се придържат към общия модел на проектантски услуги средно за най-малко 3.5 услуги от всички общини, които допринасят за постигането на целта.</w:t>
            </w:r>
          </w:p>
        </w:tc>
      </w:tr>
      <w:tr w:rsidR="006054AA" w14:paraId="61EF54D4" w14:textId="77777777">
        <w:trPr>
          <w:trHeight w:val="309"/>
        </w:trPr>
        <w:tc>
          <w:tcPr>
            <w:tcW w:w="1284" w:type="dxa"/>
            <w:shd w:val="clear" w:color="auto" w:fill="C6EFCE"/>
            <w:noWrap/>
            <w:vAlign w:val="center"/>
          </w:tcPr>
          <w:p w14:paraId="274C6465" w14:textId="77777777" w:rsidR="006054AA" w:rsidRDefault="001F7667">
            <w:pPr>
              <w:pStyle w:val="P68B1DB1-Normal11"/>
              <w:jc w:val="center"/>
              <w:rPr>
                <w:noProof/>
              </w:rPr>
            </w:pPr>
            <w:r>
              <w:rPr>
                <w:noProof/>
              </w:rPr>
              <w:t>M1C1—149</w:t>
            </w:r>
          </w:p>
        </w:tc>
        <w:tc>
          <w:tcPr>
            <w:tcW w:w="1746" w:type="dxa"/>
            <w:shd w:val="clear" w:color="auto" w:fill="C6EFCE"/>
            <w:noWrap/>
            <w:vAlign w:val="center"/>
          </w:tcPr>
          <w:p w14:paraId="38B4381B" w14:textId="77777777" w:rsidR="006054AA" w:rsidRDefault="001F7667">
            <w:pPr>
              <w:pStyle w:val="P68B1DB1-Normal11"/>
              <w:jc w:val="center"/>
              <w:rPr>
                <w:noProof/>
              </w:rPr>
            </w:pPr>
            <w:r>
              <w:rPr>
                <w:noProof/>
              </w:rPr>
              <w:t>Инвестиция 1.4.3 — Приемане на разширяването на услугите на платформата PagoPA и приложението IO</w:t>
            </w:r>
          </w:p>
        </w:tc>
        <w:tc>
          <w:tcPr>
            <w:tcW w:w="992" w:type="dxa"/>
            <w:shd w:val="clear" w:color="auto" w:fill="C6EFCE"/>
            <w:noWrap/>
            <w:vAlign w:val="center"/>
          </w:tcPr>
          <w:p w14:paraId="74D92D3C"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4AA9574C" w14:textId="77777777" w:rsidR="006054AA" w:rsidRDefault="001F7667">
            <w:pPr>
              <w:pStyle w:val="P68B1DB1-Normal11"/>
              <w:jc w:val="center"/>
              <w:rPr>
                <w:noProof/>
              </w:rPr>
            </w:pPr>
            <w:r>
              <w:rPr>
                <w:noProof/>
              </w:rPr>
              <w:t>Приемане на разширяване на услугите на платформата PagoPA T2</w:t>
            </w:r>
          </w:p>
        </w:tc>
        <w:tc>
          <w:tcPr>
            <w:tcW w:w="1701" w:type="dxa"/>
            <w:shd w:val="clear" w:color="auto" w:fill="C6EFCE"/>
            <w:noWrap/>
            <w:vAlign w:val="center"/>
          </w:tcPr>
          <w:p w14:paraId="5D86EC3A"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1C21634F"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47EB994D" w14:textId="77777777" w:rsidR="006054AA" w:rsidRDefault="001F7667">
            <w:pPr>
              <w:pStyle w:val="P68B1DB1-Normal11"/>
              <w:jc w:val="center"/>
              <w:rPr>
                <w:noProof/>
              </w:rPr>
            </w:pPr>
            <w:r>
              <w:rPr>
                <w:noProof/>
              </w:rPr>
              <w:t>11 450</w:t>
            </w:r>
          </w:p>
        </w:tc>
        <w:tc>
          <w:tcPr>
            <w:tcW w:w="1417" w:type="dxa"/>
            <w:shd w:val="clear" w:color="auto" w:fill="C6EFCE"/>
            <w:noWrap/>
            <w:vAlign w:val="center"/>
          </w:tcPr>
          <w:p w14:paraId="34650361" w14:textId="77777777" w:rsidR="006054AA" w:rsidRDefault="001F7667">
            <w:pPr>
              <w:pStyle w:val="P68B1DB1-Normal11"/>
              <w:jc w:val="center"/>
              <w:rPr>
                <w:noProof/>
              </w:rPr>
            </w:pPr>
            <w:r>
              <w:rPr>
                <w:noProof/>
              </w:rPr>
              <w:t>14 100</w:t>
            </w:r>
          </w:p>
        </w:tc>
        <w:tc>
          <w:tcPr>
            <w:tcW w:w="793" w:type="dxa"/>
            <w:shd w:val="clear" w:color="auto" w:fill="C6EFCE"/>
            <w:noWrap/>
            <w:vAlign w:val="center"/>
          </w:tcPr>
          <w:p w14:paraId="223F6300" w14:textId="77777777" w:rsidR="006054AA" w:rsidRDefault="001F7667">
            <w:pPr>
              <w:pStyle w:val="P68B1DB1-Normal11"/>
              <w:jc w:val="center"/>
              <w:rPr>
                <w:noProof/>
              </w:rPr>
            </w:pPr>
            <w:r>
              <w:rPr>
                <w:noProof/>
              </w:rPr>
              <w:t>Т2 Г.</w:t>
            </w:r>
          </w:p>
        </w:tc>
        <w:tc>
          <w:tcPr>
            <w:tcW w:w="625" w:type="dxa"/>
            <w:shd w:val="clear" w:color="auto" w:fill="C6EFCE"/>
            <w:noWrap/>
            <w:vAlign w:val="center"/>
          </w:tcPr>
          <w:p w14:paraId="74C5CAC4" w14:textId="77777777" w:rsidR="006054AA" w:rsidRDefault="001F7667">
            <w:pPr>
              <w:pStyle w:val="P68B1DB1-Normal11"/>
              <w:jc w:val="center"/>
              <w:rPr>
                <w:noProof/>
              </w:rPr>
            </w:pPr>
            <w:r>
              <w:rPr>
                <w:noProof/>
              </w:rPr>
              <w:t>2026</w:t>
            </w:r>
          </w:p>
        </w:tc>
        <w:tc>
          <w:tcPr>
            <w:tcW w:w="2584" w:type="dxa"/>
            <w:shd w:val="clear" w:color="auto" w:fill="C6EFCE"/>
            <w:noWrap/>
            <w:vAlign w:val="center"/>
          </w:tcPr>
          <w:p w14:paraId="6300C440" w14:textId="77777777" w:rsidR="006054AA" w:rsidRDefault="001F7667">
            <w:pPr>
              <w:pStyle w:val="P68B1DB1-Normal11"/>
              <w:spacing w:after="120"/>
              <w:rPr>
                <w:noProof/>
              </w:rPr>
            </w:pPr>
            <w:r>
              <w:rPr>
                <w:noProof/>
              </w:rPr>
              <w:t>Осигуряване на увеличаване на броя на услугите, интегрирани в платформата, за:</w:t>
            </w:r>
          </w:p>
          <w:p w14:paraId="2F75BF9D" w14:textId="77777777" w:rsidR="006054AA" w:rsidRDefault="001F7667">
            <w:pPr>
              <w:pStyle w:val="P68B1DB1-Normal11"/>
              <w:spacing w:after="120"/>
              <w:rPr>
                <w:noProof/>
              </w:rPr>
            </w:pPr>
            <w:r>
              <w:rPr>
                <w:noProof/>
              </w:rPr>
              <w:t>публични администрации, които вече се присъединяват към платформата (11 450 субекта);</w:t>
            </w:r>
          </w:p>
          <w:p w14:paraId="5344C73F" w14:textId="77777777" w:rsidR="006054AA" w:rsidRDefault="001F7667">
            <w:pPr>
              <w:pStyle w:val="P68B1DB1-Normal11"/>
              <w:spacing w:after="120"/>
              <w:rPr>
                <w:noProof/>
              </w:rPr>
            </w:pPr>
            <w:r>
              <w:rPr>
                <w:noProof/>
              </w:rPr>
              <w:t>— нови публични администрации, които се присъединяват към платформата (2 650 нови субекта).</w:t>
            </w:r>
          </w:p>
          <w:p w14:paraId="109C943B" w14:textId="77777777" w:rsidR="006054AA" w:rsidRDefault="001F7667">
            <w:pPr>
              <w:pStyle w:val="P68B1DB1-Normal11"/>
              <w:spacing w:after="120"/>
              <w:rPr>
                <w:noProof/>
              </w:rPr>
            </w:pPr>
            <w:r>
              <w:rPr>
                <w:noProof/>
              </w:rPr>
              <w:t>Броят на услугите, които ще бъдат интегрирани, зависи от вида администрация (крайната цел е да има средно 35 услуги за общините, 15 услуги за регионите, 15 услуги за здравните органи, 8 услуги за училища и университети).</w:t>
            </w:r>
          </w:p>
        </w:tc>
      </w:tr>
      <w:tr w:rsidR="006054AA" w14:paraId="5A3A7C45" w14:textId="77777777">
        <w:trPr>
          <w:trHeight w:val="309"/>
        </w:trPr>
        <w:tc>
          <w:tcPr>
            <w:tcW w:w="1284" w:type="dxa"/>
            <w:shd w:val="clear" w:color="auto" w:fill="C6EFCE"/>
            <w:noWrap/>
            <w:vAlign w:val="center"/>
          </w:tcPr>
          <w:p w14:paraId="3596281A" w14:textId="77777777" w:rsidR="006054AA" w:rsidRDefault="001F7667">
            <w:pPr>
              <w:pStyle w:val="P68B1DB1-Normal11"/>
              <w:jc w:val="center"/>
              <w:rPr>
                <w:noProof/>
              </w:rPr>
            </w:pPr>
            <w:r>
              <w:rPr>
                <w:noProof/>
              </w:rPr>
              <w:t>M1C1—150</w:t>
            </w:r>
          </w:p>
        </w:tc>
        <w:tc>
          <w:tcPr>
            <w:tcW w:w="1746" w:type="dxa"/>
            <w:shd w:val="clear" w:color="auto" w:fill="C6EFCE"/>
            <w:noWrap/>
            <w:vAlign w:val="center"/>
          </w:tcPr>
          <w:p w14:paraId="5C8D342D" w14:textId="77777777" w:rsidR="006054AA" w:rsidRDefault="001F7667">
            <w:pPr>
              <w:pStyle w:val="P68B1DB1-Normal11"/>
              <w:jc w:val="center"/>
              <w:rPr>
                <w:noProof/>
              </w:rPr>
            </w:pPr>
            <w:r>
              <w:rPr>
                <w:noProof/>
              </w:rPr>
              <w:t>Инвестиция 1.4.3 — Приемане на разширяването на услугите на платформата PagoPA и приложението IO</w:t>
            </w:r>
          </w:p>
        </w:tc>
        <w:tc>
          <w:tcPr>
            <w:tcW w:w="992" w:type="dxa"/>
            <w:shd w:val="clear" w:color="auto" w:fill="C6EFCE"/>
            <w:noWrap/>
            <w:vAlign w:val="center"/>
          </w:tcPr>
          <w:p w14:paraId="30178E2C"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12B5F013" w14:textId="77777777" w:rsidR="006054AA" w:rsidRDefault="001F7667">
            <w:pPr>
              <w:pStyle w:val="P68B1DB1-Normal11"/>
              <w:jc w:val="center"/>
              <w:rPr>
                <w:noProof/>
              </w:rPr>
            </w:pPr>
            <w:r>
              <w:rPr>
                <w:noProof/>
              </w:rPr>
              <w:t>Приемане на приложение „IO“ T2</w:t>
            </w:r>
          </w:p>
        </w:tc>
        <w:tc>
          <w:tcPr>
            <w:tcW w:w="1701" w:type="dxa"/>
            <w:shd w:val="clear" w:color="auto" w:fill="C6EFCE"/>
            <w:noWrap/>
            <w:vAlign w:val="center"/>
          </w:tcPr>
          <w:p w14:paraId="68C7C451"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52C35933"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2B41EA72" w14:textId="77777777" w:rsidR="006054AA" w:rsidRDefault="001F7667">
            <w:pPr>
              <w:pStyle w:val="P68B1DB1-Normal11"/>
              <w:jc w:val="center"/>
              <w:rPr>
                <w:noProof/>
              </w:rPr>
            </w:pPr>
            <w:r>
              <w:rPr>
                <w:noProof/>
              </w:rPr>
              <w:t>7 000</w:t>
            </w:r>
          </w:p>
        </w:tc>
        <w:tc>
          <w:tcPr>
            <w:tcW w:w="1417" w:type="dxa"/>
            <w:shd w:val="clear" w:color="auto" w:fill="C6EFCE"/>
            <w:noWrap/>
            <w:vAlign w:val="center"/>
          </w:tcPr>
          <w:p w14:paraId="1ACBE6FE" w14:textId="77777777" w:rsidR="006054AA" w:rsidRDefault="001F7667">
            <w:pPr>
              <w:pStyle w:val="P68B1DB1-Normal11"/>
              <w:jc w:val="center"/>
              <w:rPr>
                <w:noProof/>
              </w:rPr>
            </w:pPr>
            <w:r>
              <w:rPr>
                <w:noProof/>
              </w:rPr>
              <w:t>14 100</w:t>
            </w:r>
          </w:p>
        </w:tc>
        <w:tc>
          <w:tcPr>
            <w:tcW w:w="793" w:type="dxa"/>
            <w:shd w:val="clear" w:color="auto" w:fill="C6EFCE"/>
            <w:noWrap/>
            <w:vAlign w:val="center"/>
          </w:tcPr>
          <w:p w14:paraId="1B694E01" w14:textId="77777777" w:rsidR="006054AA" w:rsidRDefault="001F7667">
            <w:pPr>
              <w:pStyle w:val="P68B1DB1-Normal11"/>
              <w:jc w:val="center"/>
              <w:rPr>
                <w:noProof/>
              </w:rPr>
            </w:pPr>
            <w:r>
              <w:rPr>
                <w:noProof/>
              </w:rPr>
              <w:t>Т2 Г.</w:t>
            </w:r>
          </w:p>
        </w:tc>
        <w:tc>
          <w:tcPr>
            <w:tcW w:w="625" w:type="dxa"/>
            <w:shd w:val="clear" w:color="auto" w:fill="C6EFCE"/>
            <w:noWrap/>
            <w:vAlign w:val="center"/>
          </w:tcPr>
          <w:p w14:paraId="31E24AE4" w14:textId="77777777" w:rsidR="006054AA" w:rsidRDefault="001F7667">
            <w:pPr>
              <w:pStyle w:val="P68B1DB1-Normal11"/>
              <w:jc w:val="center"/>
              <w:rPr>
                <w:noProof/>
              </w:rPr>
            </w:pPr>
            <w:r>
              <w:rPr>
                <w:noProof/>
              </w:rPr>
              <w:t>2026</w:t>
            </w:r>
          </w:p>
        </w:tc>
        <w:tc>
          <w:tcPr>
            <w:tcW w:w="2584" w:type="dxa"/>
            <w:shd w:val="clear" w:color="auto" w:fill="C6EFCE"/>
            <w:noWrap/>
            <w:vAlign w:val="center"/>
          </w:tcPr>
          <w:p w14:paraId="515FCE17" w14:textId="77777777" w:rsidR="006054AA" w:rsidRDefault="001F7667">
            <w:pPr>
              <w:pStyle w:val="P68B1DB1-Normal11"/>
              <w:spacing w:after="120"/>
              <w:rPr>
                <w:noProof/>
              </w:rPr>
            </w:pPr>
            <w:r>
              <w:rPr>
                <w:noProof/>
              </w:rPr>
              <w:t>Гарантиране на увеличаване на броя на услугите, интегрирани в приложението IO за:</w:t>
            </w:r>
          </w:p>
          <w:p w14:paraId="63722A36" w14:textId="77777777" w:rsidR="006054AA" w:rsidRDefault="001F7667">
            <w:pPr>
              <w:pStyle w:val="P68B1DB1-Normal11"/>
              <w:spacing w:after="120"/>
              <w:rPr>
                <w:noProof/>
              </w:rPr>
            </w:pPr>
            <w:r>
              <w:rPr>
                <w:noProof/>
              </w:rPr>
              <w:t>публични администрации, които вече използват IO (7 000 субекта);</w:t>
            </w:r>
          </w:p>
          <w:p w14:paraId="2DCA3C00" w14:textId="77777777" w:rsidR="006054AA" w:rsidRDefault="001F7667">
            <w:pPr>
              <w:pStyle w:val="P68B1DB1-Normal11"/>
              <w:spacing w:after="120"/>
              <w:rPr>
                <w:noProof/>
              </w:rPr>
            </w:pPr>
            <w:r>
              <w:rPr>
                <w:noProof/>
              </w:rPr>
              <w:t>— нови публични администрации, които се присъединяват към платформата (около 7 100 нови субекта).</w:t>
            </w:r>
          </w:p>
          <w:p w14:paraId="426C926F" w14:textId="77777777" w:rsidR="006054AA" w:rsidRDefault="001F7667">
            <w:pPr>
              <w:pStyle w:val="P68B1DB1-Normal11"/>
              <w:spacing w:after="120"/>
              <w:rPr>
                <w:noProof/>
              </w:rPr>
            </w:pPr>
            <w:r>
              <w:rPr>
                <w:noProof/>
              </w:rPr>
              <w:t>Броят на услугите, които ще бъдат интегрирани, зависи от вида администрация (крайната цел е да има средно 35 услуги за общините, 15 услуги за регионите, 15 услуги за здравните органи, 8 услуги за училища и университети).</w:t>
            </w:r>
          </w:p>
        </w:tc>
      </w:tr>
      <w:tr w:rsidR="006054AA" w14:paraId="7D7B3BBF" w14:textId="77777777">
        <w:trPr>
          <w:trHeight w:val="309"/>
        </w:trPr>
        <w:tc>
          <w:tcPr>
            <w:tcW w:w="1284" w:type="dxa"/>
            <w:shd w:val="clear" w:color="auto" w:fill="C6EFCE"/>
            <w:noWrap/>
            <w:vAlign w:val="center"/>
          </w:tcPr>
          <w:p w14:paraId="10BE5C01" w14:textId="77777777" w:rsidR="006054AA" w:rsidRDefault="001F7667">
            <w:pPr>
              <w:pStyle w:val="P68B1DB1-Normal11"/>
              <w:jc w:val="center"/>
              <w:rPr>
                <w:noProof/>
              </w:rPr>
            </w:pPr>
            <w:r>
              <w:rPr>
                <w:noProof/>
              </w:rPr>
              <w:t>M1C1—151</w:t>
            </w:r>
          </w:p>
        </w:tc>
        <w:tc>
          <w:tcPr>
            <w:tcW w:w="1746" w:type="dxa"/>
            <w:shd w:val="clear" w:color="auto" w:fill="C6EFCE"/>
            <w:noWrap/>
            <w:vAlign w:val="center"/>
          </w:tcPr>
          <w:p w14:paraId="71DC4C48" w14:textId="77777777" w:rsidR="006054AA" w:rsidRDefault="001F7667">
            <w:pPr>
              <w:pStyle w:val="P68B1DB1-Normal11"/>
              <w:jc w:val="center"/>
              <w:rPr>
                <w:noProof/>
              </w:rPr>
            </w:pPr>
            <w:r>
              <w:rPr>
                <w:noProof/>
              </w:rPr>
              <w:t>Инвестиция 1.4.5 — Цифровизация на публични обявления</w:t>
            </w:r>
          </w:p>
        </w:tc>
        <w:tc>
          <w:tcPr>
            <w:tcW w:w="992" w:type="dxa"/>
            <w:shd w:val="clear" w:color="auto" w:fill="C6EFCE"/>
            <w:noWrap/>
            <w:vAlign w:val="center"/>
          </w:tcPr>
          <w:p w14:paraId="2B674FA8"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3567B048" w14:textId="77777777" w:rsidR="006054AA" w:rsidRDefault="001F7667">
            <w:pPr>
              <w:pStyle w:val="P68B1DB1-Normal11"/>
              <w:jc w:val="center"/>
              <w:rPr>
                <w:noProof/>
              </w:rPr>
            </w:pPr>
            <w:r>
              <w:rPr>
                <w:noProof/>
              </w:rPr>
              <w:t>Приемане на разрастване на цифровите публични обявления T2</w:t>
            </w:r>
          </w:p>
        </w:tc>
        <w:tc>
          <w:tcPr>
            <w:tcW w:w="1701" w:type="dxa"/>
            <w:shd w:val="clear" w:color="auto" w:fill="C6EFCE"/>
            <w:noWrap/>
            <w:vAlign w:val="center"/>
          </w:tcPr>
          <w:p w14:paraId="65E2823C"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3DAB2DF6"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6B0EFB00" w14:textId="77777777" w:rsidR="006054AA" w:rsidRDefault="001F7667">
            <w:pPr>
              <w:pStyle w:val="P68B1DB1-Normal11"/>
              <w:jc w:val="center"/>
              <w:rPr>
                <w:noProof/>
              </w:rPr>
            </w:pPr>
            <w:r>
              <w:rPr>
                <w:noProof/>
              </w:rPr>
              <w:t>800</w:t>
            </w:r>
          </w:p>
        </w:tc>
        <w:tc>
          <w:tcPr>
            <w:tcW w:w="1417" w:type="dxa"/>
            <w:shd w:val="clear" w:color="auto" w:fill="C6EFCE"/>
            <w:noWrap/>
            <w:vAlign w:val="center"/>
          </w:tcPr>
          <w:p w14:paraId="38C01787" w14:textId="77777777" w:rsidR="006054AA" w:rsidRDefault="001F7667">
            <w:pPr>
              <w:pStyle w:val="P68B1DB1-Normal11"/>
              <w:jc w:val="center"/>
              <w:rPr>
                <w:noProof/>
              </w:rPr>
            </w:pPr>
            <w:r>
              <w:rPr>
                <w:noProof/>
              </w:rPr>
              <w:t>6 400</w:t>
            </w:r>
          </w:p>
        </w:tc>
        <w:tc>
          <w:tcPr>
            <w:tcW w:w="793" w:type="dxa"/>
            <w:shd w:val="clear" w:color="auto" w:fill="C6EFCE"/>
            <w:noWrap/>
            <w:vAlign w:val="center"/>
          </w:tcPr>
          <w:p w14:paraId="3C535881" w14:textId="77777777" w:rsidR="006054AA" w:rsidRDefault="001F7667">
            <w:pPr>
              <w:pStyle w:val="P68B1DB1-Normal11"/>
              <w:jc w:val="center"/>
              <w:rPr>
                <w:noProof/>
              </w:rPr>
            </w:pPr>
            <w:r>
              <w:rPr>
                <w:noProof/>
              </w:rPr>
              <w:t>Т2 Г.</w:t>
            </w:r>
          </w:p>
        </w:tc>
        <w:tc>
          <w:tcPr>
            <w:tcW w:w="625" w:type="dxa"/>
            <w:shd w:val="clear" w:color="auto" w:fill="C6EFCE"/>
            <w:noWrap/>
            <w:vAlign w:val="center"/>
          </w:tcPr>
          <w:p w14:paraId="64772B1F" w14:textId="77777777" w:rsidR="006054AA" w:rsidRDefault="001F7667">
            <w:pPr>
              <w:pStyle w:val="P68B1DB1-Normal11"/>
              <w:jc w:val="center"/>
              <w:rPr>
                <w:noProof/>
              </w:rPr>
            </w:pPr>
            <w:r>
              <w:rPr>
                <w:noProof/>
              </w:rPr>
              <w:t>2026</w:t>
            </w:r>
          </w:p>
        </w:tc>
        <w:tc>
          <w:tcPr>
            <w:tcW w:w="2584" w:type="dxa"/>
            <w:shd w:val="clear" w:color="auto" w:fill="C6EFCE"/>
            <w:noWrap/>
            <w:vAlign w:val="center"/>
          </w:tcPr>
          <w:p w14:paraId="4ABE316F" w14:textId="77777777" w:rsidR="006054AA" w:rsidRDefault="001F7667">
            <w:pPr>
              <w:pStyle w:val="P68B1DB1-Normal11"/>
              <w:spacing w:after="120"/>
              <w:rPr>
                <w:noProof/>
              </w:rPr>
            </w:pPr>
            <w:r>
              <w:rPr>
                <w:noProof/>
              </w:rPr>
              <w:t>Най-малко 6 400 централни публични администрации и общини, по отношение на цифровата платформа за уведомяване (DNP), предоставят цифрови правно обвързващи уведомления на гражданите, правните субекти, сдруженията и всички други публични или частни субекти.</w:t>
            </w:r>
          </w:p>
        </w:tc>
      </w:tr>
      <w:tr w:rsidR="006054AA" w14:paraId="53515213" w14:textId="77777777">
        <w:trPr>
          <w:trHeight w:val="309"/>
        </w:trPr>
        <w:tc>
          <w:tcPr>
            <w:tcW w:w="1284" w:type="dxa"/>
            <w:shd w:val="clear" w:color="auto" w:fill="C6EFCE"/>
            <w:noWrap/>
            <w:vAlign w:val="center"/>
            <w:hideMark/>
          </w:tcPr>
          <w:p w14:paraId="7BB01913" w14:textId="77777777" w:rsidR="006054AA" w:rsidRDefault="001F7667">
            <w:pPr>
              <w:pStyle w:val="P68B1DB1-Normal11"/>
              <w:jc w:val="center"/>
              <w:rPr>
                <w:noProof/>
              </w:rPr>
            </w:pPr>
            <w:r>
              <w:rPr>
                <w:noProof/>
              </w:rPr>
              <w:t>M1C1—152</w:t>
            </w:r>
          </w:p>
        </w:tc>
        <w:tc>
          <w:tcPr>
            <w:tcW w:w="1746" w:type="dxa"/>
            <w:shd w:val="clear" w:color="auto" w:fill="C6EFCE"/>
            <w:noWrap/>
            <w:vAlign w:val="center"/>
            <w:hideMark/>
          </w:tcPr>
          <w:p w14:paraId="2DBEF680" w14:textId="77777777" w:rsidR="006054AA" w:rsidRDefault="001F7667">
            <w:pPr>
              <w:pStyle w:val="P68B1DB1-Normal11"/>
              <w:jc w:val="center"/>
              <w:rPr>
                <w:noProof/>
              </w:rPr>
            </w:pPr>
            <w:r>
              <w:rPr>
                <w:noProof/>
              </w:rPr>
              <w:t>Инвестиция 1.6.1 — Цифровизация на Министерството на вътрешните работи</w:t>
            </w:r>
          </w:p>
        </w:tc>
        <w:tc>
          <w:tcPr>
            <w:tcW w:w="992" w:type="dxa"/>
            <w:shd w:val="clear" w:color="auto" w:fill="C6EFCE"/>
            <w:noWrap/>
            <w:vAlign w:val="center"/>
            <w:hideMark/>
          </w:tcPr>
          <w:p w14:paraId="12034513" w14:textId="77777777" w:rsidR="006054AA" w:rsidRDefault="001F7667">
            <w:pPr>
              <w:pStyle w:val="P68B1DB1-Normal11"/>
              <w:jc w:val="center"/>
              <w:rPr>
                <w:noProof/>
              </w:rPr>
            </w:pPr>
            <w:r>
              <w:rPr>
                <w:noProof/>
              </w:rPr>
              <w:t>Целеви</w:t>
            </w:r>
          </w:p>
        </w:tc>
        <w:tc>
          <w:tcPr>
            <w:tcW w:w="2126" w:type="dxa"/>
            <w:shd w:val="clear" w:color="auto" w:fill="C6EFCE"/>
            <w:noWrap/>
            <w:vAlign w:val="center"/>
            <w:hideMark/>
          </w:tcPr>
          <w:p w14:paraId="227DA2B3" w14:textId="77777777" w:rsidR="006054AA" w:rsidRDefault="001F7667">
            <w:pPr>
              <w:pStyle w:val="P68B1DB1-Normal11"/>
              <w:jc w:val="center"/>
              <w:rPr>
                <w:noProof/>
              </w:rPr>
            </w:pPr>
            <w:r>
              <w:rPr>
                <w:noProof/>
              </w:rPr>
              <w:t>Министерство на вътрешните работи — изцяло реконструирани и цифровизирани процеси Т2</w:t>
            </w:r>
          </w:p>
        </w:tc>
        <w:tc>
          <w:tcPr>
            <w:tcW w:w="1701" w:type="dxa"/>
            <w:shd w:val="clear" w:color="auto" w:fill="C6EFCE"/>
            <w:noWrap/>
            <w:vAlign w:val="center"/>
            <w:hideMark/>
          </w:tcPr>
          <w:p w14:paraId="48D77ABA"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0D8C1946" w14:textId="77777777" w:rsidR="006054AA" w:rsidRDefault="001F7667">
            <w:pPr>
              <w:pStyle w:val="P68B1DB1-Normal11"/>
              <w:jc w:val="center"/>
              <w:rPr>
                <w:noProof/>
              </w:rPr>
            </w:pPr>
            <w:r>
              <w:rPr>
                <w:noProof/>
              </w:rPr>
              <w:t>Брой</w:t>
            </w:r>
          </w:p>
        </w:tc>
        <w:tc>
          <w:tcPr>
            <w:tcW w:w="1276" w:type="dxa"/>
            <w:shd w:val="clear" w:color="auto" w:fill="C6EFCE"/>
            <w:noWrap/>
            <w:vAlign w:val="center"/>
            <w:hideMark/>
          </w:tcPr>
          <w:p w14:paraId="52B254E4" w14:textId="77777777" w:rsidR="006054AA" w:rsidRDefault="001F7667">
            <w:pPr>
              <w:pStyle w:val="P68B1DB1-Normal11"/>
              <w:jc w:val="center"/>
              <w:rPr>
                <w:noProof/>
              </w:rPr>
            </w:pPr>
            <w:r>
              <w:rPr>
                <w:noProof/>
              </w:rPr>
              <w:t>7</w:t>
            </w:r>
          </w:p>
        </w:tc>
        <w:tc>
          <w:tcPr>
            <w:tcW w:w="1417" w:type="dxa"/>
            <w:shd w:val="clear" w:color="auto" w:fill="C6EFCE"/>
            <w:noWrap/>
            <w:vAlign w:val="center"/>
            <w:hideMark/>
          </w:tcPr>
          <w:p w14:paraId="1E6F8D17" w14:textId="77777777" w:rsidR="006054AA" w:rsidRDefault="001F7667">
            <w:pPr>
              <w:pStyle w:val="P68B1DB1-Normal11"/>
              <w:jc w:val="center"/>
              <w:rPr>
                <w:noProof/>
              </w:rPr>
            </w:pPr>
            <w:r>
              <w:rPr>
                <w:noProof/>
              </w:rPr>
              <w:t>45</w:t>
            </w:r>
          </w:p>
        </w:tc>
        <w:tc>
          <w:tcPr>
            <w:tcW w:w="793" w:type="dxa"/>
            <w:shd w:val="clear" w:color="auto" w:fill="C6EFCE"/>
            <w:noWrap/>
            <w:vAlign w:val="center"/>
            <w:hideMark/>
          </w:tcPr>
          <w:p w14:paraId="3884722A" w14:textId="77777777" w:rsidR="006054AA" w:rsidRDefault="001F7667">
            <w:pPr>
              <w:pStyle w:val="P68B1DB1-Normal11"/>
              <w:jc w:val="center"/>
              <w:rPr>
                <w:noProof/>
              </w:rPr>
            </w:pPr>
            <w:r>
              <w:rPr>
                <w:noProof/>
              </w:rPr>
              <w:t>Т2 Г.</w:t>
            </w:r>
          </w:p>
        </w:tc>
        <w:tc>
          <w:tcPr>
            <w:tcW w:w="625" w:type="dxa"/>
            <w:shd w:val="clear" w:color="auto" w:fill="C6EFCE"/>
            <w:noWrap/>
            <w:vAlign w:val="center"/>
            <w:hideMark/>
          </w:tcPr>
          <w:p w14:paraId="4C1C81AF" w14:textId="77777777" w:rsidR="006054AA" w:rsidRDefault="001F7667">
            <w:pPr>
              <w:pStyle w:val="P68B1DB1-Normal11"/>
              <w:jc w:val="center"/>
              <w:rPr>
                <w:noProof/>
              </w:rPr>
            </w:pPr>
            <w:r>
              <w:rPr>
                <w:noProof/>
              </w:rPr>
              <w:t>2026</w:t>
            </w:r>
          </w:p>
        </w:tc>
        <w:tc>
          <w:tcPr>
            <w:tcW w:w="2584" w:type="dxa"/>
            <w:shd w:val="clear" w:color="auto" w:fill="C6EFCE"/>
            <w:noWrap/>
            <w:vAlign w:val="center"/>
            <w:hideMark/>
          </w:tcPr>
          <w:p w14:paraId="7CA7FAE6" w14:textId="77777777" w:rsidR="006054AA" w:rsidRDefault="001F7667">
            <w:pPr>
              <w:pStyle w:val="P68B1DB1-Normal11"/>
              <w:spacing w:after="120"/>
              <w:rPr>
                <w:noProof/>
              </w:rPr>
            </w:pPr>
            <w:r>
              <w:rPr>
                <w:noProof/>
              </w:rPr>
              <w:t>Напълно реконструирани вътрешни процедури и процеси (общо 45 процеса до 31 август 2026 г.), които могат да бъдат завършени изцяло онлайн (като автоматизация на офисите, услуги за мобилност и електронно обучение).</w:t>
            </w:r>
          </w:p>
        </w:tc>
      </w:tr>
      <w:tr w:rsidR="006054AA" w14:paraId="594C6B5C" w14:textId="77777777">
        <w:trPr>
          <w:trHeight w:val="309"/>
        </w:trPr>
        <w:tc>
          <w:tcPr>
            <w:tcW w:w="1284" w:type="dxa"/>
            <w:shd w:val="clear" w:color="auto" w:fill="C6EFCE"/>
            <w:noWrap/>
            <w:vAlign w:val="center"/>
            <w:hideMark/>
          </w:tcPr>
          <w:p w14:paraId="71C67AF1" w14:textId="77777777" w:rsidR="006054AA" w:rsidRDefault="001F7667">
            <w:pPr>
              <w:pStyle w:val="P68B1DB1-Normal11"/>
              <w:jc w:val="center"/>
              <w:rPr>
                <w:noProof/>
              </w:rPr>
            </w:pPr>
            <w:r>
              <w:rPr>
                <w:noProof/>
              </w:rPr>
              <w:t>M1C1—153</w:t>
            </w:r>
          </w:p>
        </w:tc>
        <w:tc>
          <w:tcPr>
            <w:tcW w:w="1746" w:type="dxa"/>
            <w:shd w:val="clear" w:color="auto" w:fill="C6EFCE"/>
            <w:noWrap/>
            <w:vAlign w:val="center"/>
            <w:hideMark/>
          </w:tcPr>
          <w:p w14:paraId="666759CC" w14:textId="77777777" w:rsidR="006054AA" w:rsidRDefault="001F7667">
            <w:pPr>
              <w:pStyle w:val="P68B1DB1-Normal11"/>
              <w:jc w:val="center"/>
              <w:rPr>
                <w:noProof/>
              </w:rPr>
            </w:pPr>
            <w:r>
              <w:rPr>
                <w:noProof/>
              </w:rPr>
              <w:t>Инвестиция 1.6.2 — Цифровизация на Министерството на правосъдието</w:t>
            </w:r>
          </w:p>
        </w:tc>
        <w:tc>
          <w:tcPr>
            <w:tcW w:w="992" w:type="dxa"/>
            <w:shd w:val="clear" w:color="auto" w:fill="C6EFCE"/>
            <w:noWrap/>
            <w:vAlign w:val="center"/>
            <w:hideMark/>
          </w:tcPr>
          <w:p w14:paraId="25ECD6D4" w14:textId="77777777" w:rsidR="006054AA" w:rsidRDefault="001F7667">
            <w:pPr>
              <w:pStyle w:val="P68B1DB1-Normal11"/>
              <w:jc w:val="center"/>
              <w:rPr>
                <w:noProof/>
              </w:rPr>
            </w:pPr>
            <w:r>
              <w:rPr>
                <w:noProof/>
              </w:rPr>
              <w:t>Целеви</w:t>
            </w:r>
          </w:p>
        </w:tc>
        <w:tc>
          <w:tcPr>
            <w:tcW w:w="2126" w:type="dxa"/>
            <w:shd w:val="clear" w:color="auto" w:fill="C6EFCE"/>
            <w:noWrap/>
            <w:vAlign w:val="center"/>
            <w:hideMark/>
          </w:tcPr>
          <w:p w14:paraId="09FA5631" w14:textId="77777777" w:rsidR="006054AA" w:rsidRDefault="001F7667">
            <w:pPr>
              <w:pStyle w:val="P68B1DB1-Normal11"/>
              <w:jc w:val="center"/>
              <w:rPr>
                <w:noProof/>
              </w:rPr>
            </w:pPr>
            <w:r>
              <w:rPr>
                <w:noProof/>
              </w:rPr>
              <w:t>Цифровизирани съдебни досиета T2</w:t>
            </w:r>
          </w:p>
        </w:tc>
        <w:tc>
          <w:tcPr>
            <w:tcW w:w="1701" w:type="dxa"/>
            <w:shd w:val="clear" w:color="auto" w:fill="C6EFCE"/>
            <w:noWrap/>
            <w:vAlign w:val="center"/>
            <w:hideMark/>
          </w:tcPr>
          <w:p w14:paraId="63C93ABD"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39DF538E" w14:textId="77777777" w:rsidR="006054AA" w:rsidRDefault="001F7667">
            <w:pPr>
              <w:pStyle w:val="P68B1DB1-Normal11"/>
              <w:jc w:val="center"/>
              <w:rPr>
                <w:noProof/>
              </w:rPr>
            </w:pPr>
            <w:r>
              <w:rPr>
                <w:noProof/>
              </w:rPr>
              <w:t>Брой</w:t>
            </w:r>
          </w:p>
        </w:tc>
        <w:tc>
          <w:tcPr>
            <w:tcW w:w="1276" w:type="dxa"/>
            <w:shd w:val="clear" w:color="auto" w:fill="C6EFCE"/>
            <w:noWrap/>
            <w:vAlign w:val="center"/>
            <w:hideMark/>
          </w:tcPr>
          <w:p w14:paraId="479541D5" w14:textId="77777777" w:rsidR="006054AA" w:rsidRDefault="001F7667">
            <w:pPr>
              <w:pStyle w:val="P68B1DB1-Normal11"/>
              <w:jc w:val="center"/>
              <w:rPr>
                <w:noProof/>
              </w:rPr>
            </w:pPr>
            <w:r>
              <w:rPr>
                <w:noProof/>
              </w:rPr>
              <w:t>3 500 000</w:t>
            </w:r>
          </w:p>
        </w:tc>
        <w:tc>
          <w:tcPr>
            <w:tcW w:w="1417" w:type="dxa"/>
            <w:shd w:val="clear" w:color="auto" w:fill="C6EFCE"/>
            <w:noWrap/>
            <w:vAlign w:val="center"/>
            <w:hideMark/>
          </w:tcPr>
          <w:p w14:paraId="08483BE4" w14:textId="26F3D5ED" w:rsidR="006054AA" w:rsidRDefault="001F7667">
            <w:pPr>
              <w:pStyle w:val="P68B1DB1-Normal11"/>
              <w:jc w:val="center"/>
              <w:rPr>
                <w:noProof/>
              </w:rPr>
            </w:pPr>
            <w:r>
              <w:rPr>
                <w:noProof/>
              </w:rPr>
              <w:t>7 750 000</w:t>
            </w:r>
          </w:p>
        </w:tc>
        <w:tc>
          <w:tcPr>
            <w:tcW w:w="793" w:type="dxa"/>
            <w:shd w:val="clear" w:color="auto" w:fill="C6EFCE"/>
            <w:noWrap/>
            <w:vAlign w:val="center"/>
            <w:hideMark/>
          </w:tcPr>
          <w:p w14:paraId="562E4237" w14:textId="77777777" w:rsidR="006054AA" w:rsidRDefault="001F7667">
            <w:pPr>
              <w:pStyle w:val="P68B1DB1-Normal11"/>
              <w:jc w:val="center"/>
              <w:rPr>
                <w:noProof/>
              </w:rPr>
            </w:pPr>
            <w:r>
              <w:rPr>
                <w:noProof/>
              </w:rPr>
              <w:t>Т2 Г.</w:t>
            </w:r>
          </w:p>
        </w:tc>
        <w:tc>
          <w:tcPr>
            <w:tcW w:w="625" w:type="dxa"/>
            <w:shd w:val="clear" w:color="auto" w:fill="C6EFCE"/>
            <w:noWrap/>
            <w:vAlign w:val="center"/>
            <w:hideMark/>
          </w:tcPr>
          <w:p w14:paraId="47AF2524" w14:textId="77777777" w:rsidR="006054AA" w:rsidRDefault="001F7667">
            <w:pPr>
              <w:pStyle w:val="P68B1DB1-Normal11"/>
              <w:jc w:val="center"/>
              <w:rPr>
                <w:noProof/>
              </w:rPr>
            </w:pPr>
            <w:r>
              <w:rPr>
                <w:noProof/>
              </w:rPr>
              <w:t>2026</w:t>
            </w:r>
          </w:p>
        </w:tc>
        <w:tc>
          <w:tcPr>
            <w:tcW w:w="2584" w:type="dxa"/>
            <w:shd w:val="clear" w:color="auto" w:fill="C6EFCE"/>
            <w:noWrap/>
            <w:vAlign w:val="center"/>
            <w:hideMark/>
          </w:tcPr>
          <w:p w14:paraId="2530B996" w14:textId="26D5C103" w:rsidR="006054AA" w:rsidRDefault="001F7667">
            <w:pPr>
              <w:pStyle w:val="P68B1DB1-Normal12"/>
              <w:spacing w:after="120"/>
              <w:rPr>
                <w:rFonts w:ascii="Arial Narrow" w:hAnsi="Arial Narrow"/>
                <w:noProof/>
              </w:rPr>
            </w:pPr>
            <w:r>
              <w:rPr>
                <w:rFonts w:ascii="Arial Narrow" w:hAnsi="Arial Narrow"/>
                <w:noProof/>
              </w:rPr>
              <w:t>Цифровизация на 7</w:t>
            </w:r>
            <w:r>
              <w:rPr>
                <w:noProof/>
              </w:rPr>
              <w:t xml:space="preserve"> </w:t>
            </w:r>
            <w:r>
              <w:rPr>
                <w:rFonts w:ascii="Arial Narrow" w:hAnsi="Arial Narrow"/>
                <w:noProof/>
              </w:rPr>
              <w:t>750</w:t>
            </w:r>
            <w:r>
              <w:rPr>
                <w:noProof/>
              </w:rPr>
              <w:t xml:space="preserve"> </w:t>
            </w:r>
            <w:r>
              <w:rPr>
                <w:rFonts w:ascii="Arial Narrow" w:hAnsi="Arial Narrow"/>
                <w:noProof/>
              </w:rPr>
              <w:t>000 съдебни преписки, отнасящи се до последните 20 години (01/01/2006—30/06/2026), свързани с приключени или текущи съдебни процеси в съдилищата.</w:t>
            </w:r>
          </w:p>
        </w:tc>
      </w:tr>
      <w:tr w:rsidR="006054AA" w14:paraId="74DD238B" w14:textId="77777777">
        <w:trPr>
          <w:trHeight w:val="309"/>
        </w:trPr>
        <w:tc>
          <w:tcPr>
            <w:tcW w:w="1284" w:type="dxa"/>
            <w:shd w:val="clear" w:color="auto" w:fill="C6EFCE"/>
            <w:noWrap/>
            <w:vAlign w:val="center"/>
          </w:tcPr>
          <w:p w14:paraId="63BF8747" w14:textId="77777777" w:rsidR="006054AA" w:rsidRDefault="001F7667">
            <w:pPr>
              <w:pStyle w:val="P68B1DB1-Normal11"/>
              <w:jc w:val="center"/>
              <w:rPr>
                <w:noProof/>
              </w:rPr>
            </w:pPr>
            <w:r>
              <w:rPr>
                <w:noProof/>
              </w:rPr>
              <w:t>M1C1—154</w:t>
            </w:r>
          </w:p>
        </w:tc>
        <w:tc>
          <w:tcPr>
            <w:tcW w:w="1746" w:type="dxa"/>
            <w:shd w:val="clear" w:color="auto" w:fill="C6EFCE"/>
            <w:noWrap/>
            <w:vAlign w:val="center"/>
          </w:tcPr>
          <w:p w14:paraId="45B5AD59" w14:textId="77777777" w:rsidR="006054AA" w:rsidRDefault="001F7667">
            <w:pPr>
              <w:pStyle w:val="P68B1DB1-Normal11"/>
              <w:jc w:val="center"/>
              <w:rPr>
                <w:noProof/>
              </w:rPr>
            </w:pPr>
            <w:r>
              <w:rPr>
                <w:noProof/>
              </w:rPr>
              <w:t>Инвестиция 1.6.2 — Цифровизация на Министерството на правосъдието</w:t>
            </w:r>
          </w:p>
        </w:tc>
        <w:tc>
          <w:tcPr>
            <w:tcW w:w="992" w:type="dxa"/>
            <w:shd w:val="clear" w:color="auto" w:fill="C6EFCE"/>
            <w:noWrap/>
            <w:vAlign w:val="center"/>
          </w:tcPr>
          <w:p w14:paraId="65C80127"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44E11C7E" w14:textId="77777777" w:rsidR="006054AA" w:rsidRDefault="001F7667">
            <w:pPr>
              <w:pStyle w:val="P68B1DB1-Normal11"/>
              <w:jc w:val="center"/>
              <w:rPr>
                <w:noProof/>
              </w:rPr>
            </w:pPr>
            <w:r>
              <w:rPr>
                <w:noProof/>
              </w:rPr>
              <w:t>Системи за знания в областта на данните в областта на правосъдието за езерото Т2</w:t>
            </w:r>
          </w:p>
        </w:tc>
        <w:tc>
          <w:tcPr>
            <w:tcW w:w="1701" w:type="dxa"/>
            <w:shd w:val="clear" w:color="auto" w:fill="C6EFCE"/>
            <w:noWrap/>
            <w:vAlign w:val="center"/>
          </w:tcPr>
          <w:p w14:paraId="0B0EFA20"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589E43C3"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4A9A7B23" w14:textId="77777777" w:rsidR="006054AA" w:rsidRDefault="001F7667">
            <w:pPr>
              <w:pStyle w:val="P68B1DB1-Normal11"/>
              <w:jc w:val="center"/>
              <w:rPr>
                <w:noProof/>
              </w:rPr>
            </w:pPr>
            <w:r>
              <w:rPr>
                <w:noProof/>
              </w:rPr>
              <w:t>0</w:t>
            </w:r>
          </w:p>
        </w:tc>
        <w:tc>
          <w:tcPr>
            <w:tcW w:w="1417" w:type="dxa"/>
            <w:shd w:val="clear" w:color="auto" w:fill="C6EFCE"/>
            <w:noWrap/>
            <w:vAlign w:val="center"/>
          </w:tcPr>
          <w:p w14:paraId="2372CBC0" w14:textId="77777777" w:rsidR="006054AA" w:rsidRDefault="001F7667">
            <w:pPr>
              <w:pStyle w:val="P68B1DB1-Normal11"/>
              <w:jc w:val="center"/>
              <w:rPr>
                <w:noProof/>
              </w:rPr>
            </w:pPr>
            <w:r>
              <w:rPr>
                <w:noProof/>
              </w:rPr>
              <w:t>6</w:t>
            </w:r>
          </w:p>
        </w:tc>
        <w:tc>
          <w:tcPr>
            <w:tcW w:w="793" w:type="dxa"/>
            <w:shd w:val="clear" w:color="auto" w:fill="C6EFCE"/>
            <w:noWrap/>
            <w:vAlign w:val="center"/>
          </w:tcPr>
          <w:p w14:paraId="05FF5D05" w14:textId="77777777" w:rsidR="006054AA" w:rsidRDefault="001F7667">
            <w:pPr>
              <w:pStyle w:val="P68B1DB1-Normal11"/>
              <w:jc w:val="center"/>
              <w:rPr>
                <w:noProof/>
              </w:rPr>
            </w:pPr>
            <w:r>
              <w:rPr>
                <w:noProof/>
              </w:rPr>
              <w:t>Т2 Г.</w:t>
            </w:r>
          </w:p>
        </w:tc>
        <w:tc>
          <w:tcPr>
            <w:tcW w:w="625" w:type="dxa"/>
            <w:shd w:val="clear" w:color="auto" w:fill="C6EFCE"/>
            <w:noWrap/>
            <w:vAlign w:val="center"/>
          </w:tcPr>
          <w:p w14:paraId="30A03B3F" w14:textId="77777777" w:rsidR="006054AA" w:rsidRDefault="001F7667">
            <w:pPr>
              <w:pStyle w:val="P68B1DB1-Normal11"/>
              <w:jc w:val="center"/>
              <w:rPr>
                <w:noProof/>
              </w:rPr>
            </w:pPr>
            <w:r>
              <w:rPr>
                <w:noProof/>
              </w:rPr>
              <w:t>2026</w:t>
            </w:r>
          </w:p>
        </w:tc>
        <w:tc>
          <w:tcPr>
            <w:tcW w:w="2584" w:type="dxa"/>
            <w:shd w:val="clear" w:color="auto" w:fill="C6EFCE"/>
            <w:noWrap/>
            <w:vAlign w:val="center"/>
          </w:tcPr>
          <w:p w14:paraId="0E0D9CBB" w14:textId="77777777" w:rsidR="006054AA" w:rsidRDefault="001F7667">
            <w:pPr>
              <w:pStyle w:val="P68B1DB1-Normal11"/>
              <w:spacing w:after="120"/>
              <w:rPr>
                <w:noProof/>
              </w:rPr>
            </w:pPr>
            <w:r>
              <w:rPr>
                <w:noProof/>
              </w:rPr>
              <w:t>Въвеждане на шест нови системи за знания за езера на данни.</w:t>
            </w:r>
          </w:p>
          <w:p w14:paraId="3B42784B" w14:textId="77777777" w:rsidR="006054AA" w:rsidRDefault="001F7667">
            <w:pPr>
              <w:pStyle w:val="P68B1DB1-ListParagraph13"/>
              <w:numPr>
                <w:ilvl w:val="0"/>
                <w:numId w:val="81"/>
              </w:numPr>
              <w:spacing w:before="0" w:after="0"/>
              <w:ind w:left="357" w:hanging="357"/>
              <w:contextualSpacing w:val="0"/>
              <w:jc w:val="left"/>
              <w:rPr>
                <w:noProof/>
              </w:rPr>
            </w:pPr>
            <w:r>
              <w:rPr>
                <w:noProof/>
              </w:rPr>
              <w:t>Система за анонимизиране на гражданските и наказателните присъди</w:t>
            </w:r>
          </w:p>
          <w:p w14:paraId="000D9E3B" w14:textId="77777777" w:rsidR="006054AA" w:rsidRDefault="001F7667">
            <w:pPr>
              <w:pStyle w:val="P68B1DB1-ListParagraph13"/>
              <w:numPr>
                <w:ilvl w:val="0"/>
                <w:numId w:val="81"/>
              </w:numPr>
              <w:spacing w:before="0" w:after="0"/>
              <w:ind w:left="357" w:hanging="357"/>
              <w:contextualSpacing w:val="0"/>
              <w:jc w:val="left"/>
              <w:rPr>
                <w:noProof/>
              </w:rPr>
            </w:pPr>
            <w:r>
              <w:rPr>
                <w:noProof/>
              </w:rPr>
              <w:t>Интегрирана система за управление</w:t>
            </w:r>
          </w:p>
          <w:p w14:paraId="257BEDC4" w14:textId="77777777" w:rsidR="006054AA" w:rsidRDefault="001F7667">
            <w:pPr>
              <w:pStyle w:val="P68B1DB1-ListParagraph13"/>
              <w:numPr>
                <w:ilvl w:val="0"/>
                <w:numId w:val="81"/>
              </w:numPr>
              <w:spacing w:before="0" w:after="0"/>
              <w:ind w:left="357" w:hanging="357"/>
              <w:contextualSpacing w:val="0"/>
              <w:jc w:val="left"/>
              <w:rPr>
                <w:noProof/>
              </w:rPr>
            </w:pPr>
            <w:r>
              <w:rPr>
                <w:noProof/>
              </w:rPr>
              <w:t>Система за управление и анализ на граждански съдебни процеси</w:t>
            </w:r>
          </w:p>
          <w:p w14:paraId="1E5D31C0" w14:textId="77777777" w:rsidR="006054AA" w:rsidRDefault="001F7667">
            <w:pPr>
              <w:pStyle w:val="P68B1DB1-ListParagraph13"/>
              <w:numPr>
                <w:ilvl w:val="0"/>
                <w:numId w:val="81"/>
              </w:numPr>
              <w:spacing w:before="0" w:after="0"/>
              <w:ind w:left="357" w:hanging="357"/>
              <w:contextualSpacing w:val="0"/>
              <w:jc w:val="left"/>
              <w:rPr>
                <w:noProof/>
              </w:rPr>
            </w:pPr>
            <w:r>
              <w:rPr>
                <w:noProof/>
              </w:rPr>
              <w:t>Система за управление и анализ на наказателните дела</w:t>
            </w:r>
          </w:p>
          <w:p w14:paraId="784A670B" w14:textId="77777777" w:rsidR="006054AA" w:rsidRDefault="001F7667">
            <w:pPr>
              <w:pStyle w:val="P68B1DB1-ListParagraph13"/>
              <w:numPr>
                <w:ilvl w:val="0"/>
                <w:numId w:val="81"/>
              </w:numPr>
              <w:spacing w:before="0" w:after="0"/>
              <w:ind w:left="357" w:hanging="357"/>
              <w:contextualSpacing w:val="0"/>
              <w:jc w:val="left"/>
              <w:rPr>
                <w:noProof/>
              </w:rPr>
            </w:pPr>
            <w:r>
              <w:rPr>
                <w:noProof/>
              </w:rPr>
              <w:t>Усъвършенствана статистическа система за гражданските и наказателните съдебни процеси</w:t>
            </w:r>
          </w:p>
          <w:p w14:paraId="595FF819" w14:textId="77777777" w:rsidR="006054AA" w:rsidRDefault="001F7667">
            <w:pPr>
              <w:pStyle w:val="P68B1DB1-ListParagraph13"/>
              <w:numPr>
                <w:ilvl w:val="0"/>
                <w:numId w:val="81"/>
              </w:numPr>
              <w:spacing w:before="0" w:after="0"/>
              <w:ind w:left="357" w:hanging="357"/>
              <w:contextualSpacing w:val="0"/>
              <w:jc w:val="left"/>
              <w:rPr>
                <w:noProof/>
              </w:rPr>
            </w:pPr>
            <w:r>
              <w:rPr>
                <w:noProof/>
              </w:rPr>
              <w:t xml:space="preserve">Автоматизирана система за установяване на връзка между жертва и вина. </w:t>
            </w:r>
          </w:p>
          <w:p w14:paraId="51BDAE86" w14:textId="32A6CD85" w:rsidR="006054AA" w:rsidRDefault="001F7667">
            <w:pPr>
              <w:pStyle w:val="P68B1DB1-Normal11"/>
              <w:spacing w:before="120"/>
              <w:rPr>
                <w:noProof/>
              </w:rPr>
            </w:pPr>
            <w:r>
              <w:rPr>
                <w:noProof/>
              </w:rPr>
              <w:t>Шестте елемента са отделни системи, използващи сходни технологии. Рамката на системите е същата: свързване на данни и документи, идващи от вътрешни и външни източници; моделите на системите са различни според потребителите (напр. съдии по граждански и наказателни дела) и целите (напр. статистически данни и съдебни решения).</w:t>
            </w:r>
          </w:p>
        </w:tc>
      </w:tr>
      <w:tr w:rsidR="006054AA" w14:paraId="3470DAE8" w14:textId="77777777">
        <w:trPr>
          <w:trHeight w:val="309"/>
        </w:trPr>
        <w:tc>
          <w:tcPr>
            <w:tcW w:w="1284" w:type="dxa"/>
            <w:shd w:val="clear" w:color="auto" w:fill="C6EFCE"/>
            <w:noWrap/>
            <w:vAlign w:val="center"/>
          </w:tcPr>
          <w:p w14:paraId="62A975AB" w14:textId="77777777" w:rsidR="006054AA" w:rsidRDefault="001F7667">
            <w:pPr>
              <w:pStyle w:val="P68B1DB1-Normal11"/>
              <w:jc w:val="center"/>
              <w:rPr>
                <w:noProof/>
              </w:rPr>
            </w:pPr>
            <w:r>
              <w:rPr>
                <w:noProof/>
              </w:rPr>
              <w:t>M1C1—155</w:t>
            </w:r>
          </w:p>
        </w:tc>
        <w:tc>
          <w:tcPr>
            <w:tcW w:w="1746" w:type="dxa"/>
            <w:shd w:val="clear" w:color="auto" w:fill="C6EFCE"/>
            <w:noWrap/>
            <w:vAlign w:val="center"/>
          </w:tcPr>
          <w:p w14:paraId="1A1409CC" w14:textId="77777777" w:rsidR="006054AA" w:rsidRDefault="001F7667">
            <w:pPr>
              <w:pStyle w:val="P68B1DB1-Normal11"/>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992" w:type="dxa"/>
            <w:shd w:val="clear" w:color="auto" w:fill="C6EFCE"/>
            <w:noWrap/>
            <w:vAlign w:val="center"/>
          </w:tcPr>
          <w:p w14:paraId="0DC8A770" w14:textId="77777777" w:rsidR="006054AA" w:rsidRDefault="001F7667">
            <w:pPr>
              <w:pStyle w:val="P68B1DB1-Normal11"/>
              <w:jc w:val="center"/>
              <w:rPr>
                <w:noProof/>
              </w:rPr>
            </w:pPr>
            <w:r>
              <w:rPr>
                <w:noProof/>
              </w:rPr>
              <w:t>Целеви</w:t>
            </w:r>
          </w:p>
        </w:tc>
        <w:tc>
          <w:tcPr>
            <w:tcW w:w="2126" w:type="dxa"/>
            <w:shd w:val="clear" w:color="auto" w:fill="C6EFCE"/>
            <w:noWrap/>
            <w:vAlign w:val="center"/>
          </w:tcPr>
          <w:p w14:paraId="65CC1C5F" w14:textId="77777777" w:rsidR="006054AA" w:rsidRDefault="001F7667">
            <w:pPr>
              <w:pStyle w:val="P68B1DB1-Normal11"/>
              <w:jc w:val="center"/>
              <w:rPr>
                <w:noProof/>
              </w:rPr>
            </w:pPr>
            <w:r>
              <w:rPr>
                <w:noProof/>
              </w:rPr>
              <w:t>INAIL — Пълно реконструирани и цифровизирани процеси/услуги T2</w:t>
            </w:r>
          </w:p>
        </w:tc>
        <w:tc>
          <w:tcPr>
            <w:tcW w:w="1701" w:type="dxa"/>
            <w:shd w:val="clear" w:color="auto" w:fill="C6EFCE"/>
            <w:noWrap/>
            <w:vAlign w:val="center"/>
          </w:tcPr>
          <w:p w14:paraId="62695A8D"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7EC3BE97"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3673B239" w14:textId="77777777" w:rsidR="006054AA" w:rsidRDefault="001F7667">
            <w:pPr>
              <w:pStyle w:val="P68B1DB1-Normal11"/>
              <w:jc w:val="center"/>
              <w:rPr>
                <w:noProof/>
              </w:rPr>
            </w:pPr>
            <w:r>
              <w:rPr>
                <w:noProof/>
              </w:rPr>
              <w:t>53</w:t>
            </w:r>
          </w:p>
        </w:tc>
        <w:tc>
          <w:tcPr>
            <w:tcW w:w="1417" w:type="dxa"/>
            <w:shd w:val="clear" w:color="auto" w:fill="C6EFCE"/>
            <w:noWrap/>
            <w:vAlign w:val="center"/>
          </w:tcPr>
          <w:p w14:paraId="0F8908DB" w14:textId="77777777" w:rsidR="006054AA" w:rsidRDefault="001F7667">
            <w:pPr>
              <w:pStyle w:val="P68B1DB1-Normal11"/>
              <w:jc w:val="center"/>
              <w:rPr>
                <w:noProof/>
              </w:rPr>
            </w:pPr>
            <w:r>
              <w:rPr>
                <w:noProof/>
              </w:rPr>
              <w:t>82</w:t>
            </w:r>
          </w:p>
        </w:tc>
        <w:tc>
          <w:tcPr>
            <w:tcW w:w="793" w:type="dxa"/>
            <w:shd w:val="clear" w:color="auto" w:fill="C6EFCE"/>
            <w:noWrap/>
            <w:vAlign w:val="center"/>
          </w:tcPr>
          <w:p w14:paraId="17256C5D" w14:textId="77777777" w:rsidR="006054AA" w:rsidRDefault="001F7667">
            <w:pPr>
              <w:pStyle w:val="P68B1DB1-Normal11"/>
              <w:jc w:val="center"/>
              <w:rPr>
                <w:noProof/>
              </w:rPr>
            </w:pPr>
            <w:r>
              <w:rPr>
                <w:noProof/>
              </w:rPr>
              <w:t>Т2 Г.</w:t>
            </w:r>
          </w:p>
        </w:tc>
        <w:tc>
          <w:tcPr>
            <w:tcW w:w="625" w:type="dxa"/>
            <w:shd w:val="clear" w:color="auto" w:fill="C6EFCE"/>
            <w:noWrap/>
            <w:vAlign w:val="center"/>
          </w:tcPr>
          <w:p w14:paraId="11BAE51C" w14:textId="77777777" w:rsidR="006054AA" w:rsidRDefault="001F7667">
            <w:pPr>
              <w:pStyle w:val="P68B1DB1-Normal11"/>
              <w:jc w:val="center"/>
              <w:rPr>
                <w:noProof/>
              </w:rPr>
            </w:pPr>
            <w:r>
              <w:rPr>
                <w:noProof/>
              </w:rPr>
              <w:t>2026</w:t>
            </w:r>
          </w:p>
        </w:tc>
        <w:tc>
          <w:tcPr>
            <w:tcW w:w="2584" w:type="dxa"/>
            <w:shd w:val="clear" w:color="auto" w:fill="C6EFCE"/>
            <w:noWrap/>
            <w:vAlign w:val="center"/>
          </w:tcPr>
          <w:p w14:paraId="49F414ED" w14:textId="77777777" w:rsidR="006054AA" w:rsidRDefault="001F7667">
            <w:pPr>
              <w:pStyle w:val="P68B1DB1-Normal11"/>
              <w:spacing w:after="120"/>
              <w:rPr>
                <w:noProof/>
              </w:rPr>
            </w:pPr>
            <w:r>
              <w:rPr>
                <w:noProof/>
              </w:rPr>
              <w:t>Целта е да се постигнат 82 (80 %) преструктурирани институционални процеси и услуги, за да станат те напълно цифровизирани. Включените области на INAIL са: Застрахователни, социални и здравни услуги, Превенция и безопасност, Сертификати и проверки.</w:t>
            </w:r>
          </w:p>
          <w:p w14:paraId="33D392F4" w14:textId="77777777" w:rsidR="006054AA" w:rsidRDefault="001F7667">
            <w:pPr>
              <w:pStyle w:val="P68B1DB1-Normal11"/>
              <w:rPr>
                <w:noProof/>
              </w:rPr>
            </w:pPr>
            <w:r>
              <w:rPr>
                <w:noProof/>
              </w:rPr>
              <w:t xml:space="preserve">По-специално, очакваната цел за всяка област е изразена по-горе: </w:t>
            </w:r>
          </w:p>
          <w:p w14:paraId="56B95FB9" w14:textId="77777777" w:rsidR="006054AA" w:rsidRDefault="001F7667">
            <w:pPr>
              <w:pStyle w:val="P68B1DB1-ListParagraph13"/>
              <w:numPr>
                <w:ilvl w:val="0"/>
                <w:numId w:val="80"/>
              </w:numPr>
              <w:spacing w:after="0"/>
              <w:ind w:left="399" w:hanging="283"/>
              <w:jc w:val="left"/>
              <w:rPr>
                <w:noProof/>
              </w:rPr>
            </w:pPr>
            <w:r>
              <w:rPr>
                <w:noProof/>
              </w:rPr>
              <w:t>Застраховане: 26 (80 %);</w:t>
            </w:r>
          </w:p>
          <w:p w14:paraId="209A282E" w14:textId="77777777" w:rsidR="006054AA" w:rsidRDefault="001F7667">
            <w:pPr>
              <w:pStyle w:val="P68B1DB1-ListParagraph13"/>
              <w:numPr>
                <w:ilvl w:val="0"/>
                <w:numId w:val="80"/>
              </w:numPr>
              <w:spacing w:after="0"/>
              <w:ind w:left="399" w:hanging="283"/>
              <w:jc w:val="left"/>
              <w:rPr>
                <w:noProof/>
              </w:rPr>
            </w:pPr>
            <w:r>
              <w:rPr>
                <w:noProof/>
              </w:rPr>
              <w:t>Социални и здравни услуги: 29 (80 %);</w:t>
            </w:r>
          </w:p>
          <w:p w14:paraId="55043CBC" w14:textId="77777777" w:rsidR="006054AA" w:rsidRDefault="001F7667">
            <w:pPr>
              <w:pStyle w:val="P68B1DB1-ListParagraph13"/>
              <w:numPr>
                <w:ilvl w:val="0"/>
                <w:numId w:val="80"/>
              </w:numPr>
              <w:spacing w:after="0"/>
              <w:ind w:left="399" w:hanging="283"/>
              <w:jc w:val="left"/>
              <w:rPr>
                <w:noProof/>
              </w:rPr>
            </w:pPr>
            <w:r>
              <w:rPr>
                <w:noProof/>
              </w:rPr>
              <w:t>Дейности по превенция и безопасност: 9 (80 %);</w:t>
            </w:r>
          </w:p>
          <w:p w14:paraId="1E9AD1D7" w14:textId="77777777" w:rsidR="006054AA" w:rsidRDefault="001F7667">
            <w:pPr>
              <w:pStyle w:val="P68B1DB1-ListParagraph13"/>
              <w:numPr>
                <w:ilvl w:val="0"/>
                <w:numId w:val="80"/>
              </w:numPr>
              <w:ind w:left="397" w:hanging="284"/>
              <w:jc w:val="left"/>
              <w:rPr>
                <w:noProof/>
              </w:rPr>
            </w:pPr>
            <w:r>
              <w:rPr>
                <w:noProof/>
              </w:rPr>
              <w:t>Сертифициране и проверки: 18 Г. (80 %).</w:t>
            </w:r>
          </w:p>
        </w:tc>
      </w:tr>
    </w:tbl>
    <w:p w14:paraId="688AB9CA" w14:textId="77777777" w:rsidR="006054AA" w:rsidRDefault="006054AA">
      <w:pPr>
        <w:spacing w:before="120" w:after="120"/>
        <w:jc w:val="both"/>
        <w:rPr>
          <w:noProof/>
        </w:rPr>
      </w:pPr>
    </w:p>
    <w:p w14:paraId="2D066D79" w14:textId="77777777" w:rsidR="006054AA" w:rsidRDefault="006054AA">
      <w:pPr>
        <w:spacing w:before="120" w:after="120"/>
        <w:jc w:val="both"/>
        <w:rPr>
          <w:noProof/>
        </w:rPr>
      </w:pPr>
    </w:p>
    <w:p w14:paraId="6AA294CB" w14:textId="77777777" w:rsidR="006054AA" w:rsidRDefault="006054AA">
      <w:pPr>
        <w:spacing w:before="120" w:after="120"/>
        <w:jc w:val="both"/>
        <w:rPr>
          <w:noProof/>
        </w:rPr>
        <w:sectPr w:rsidR="006054AA" w:rsidSect="001354D1">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6A195D33" w14:textId="0616DCBC" w:rsidR="006054AA" w:rsidRDefault="001F7667">
      <w:pPr>
        <w:pStyle w:val="Heading2"/>
        <w:numPr>
          <w:ilvl w:val="1"/>
          <w:numId w:val="0"/>
        </w:numPr>
        <w:ind w:left="850" w:hanging="850"/>
        <w:rPr>
          <w:noProof/>
        </w:rPr>
      </w:pPr>
      <w:r>
        <w:rPr>
          <w:noProof/>
        </w:rPr>
        <w:t>Б. МИСИЯ 1 КОМПОНЕНТ 2:</w:t>
      </w:r>
    </w:p>
    <w:p w14:paraId="6A195886" w14:textId="77777777" w:rsidR="006054AA" w:rsidRDefault="001F7667">
      <w:pPr>
        <w:pStyle w:val="P68B1DB1-Normal14"/>
        <w:spacing w:before="120" w:after="120"/>
        <w:jc w:val="both"/>
        <w:rPr>
          <w:noProof/>
        </w:rPr>
      </w:pPr>
      <w:r>
        <w:rPr>
          <w:noProof/>
        </w:rPr>
        <w:t>Ос 1 — Цифровизация, иновации и конкурентоспособност на производствената система</w:t>
      </w:r>
    </w:p>
    <w:p w14:paraId="6965F534" w14:textId="77777777" w:rsidR="006054AA" w:rsidRDefault="001F7667">
      <w:pPr>
        <w:spacing w:before="120" w:after="120"/>
        <w:jc w:val="both"/>
        <w:rPr>
          <w:noProof/>
        </w:rPr>
      </w:pPr>
      <w:r>
        <w:rPr>
          <w:noProof/>
        </w:rPr>
        <w:t>Ос 1 от мисия 1, компонент 2 от италианския план за възстановяване и устойчивост се отнася до инвестиции и реформи, насочени главно към i) подпомагане на цифровия преход и иновациите в производствената система чрез стимули за инвестиции в технологии, научни изследвания, развойна дейност и иновации; II) разгръщане на свръхвисокоскоростни широколентови и 5G мрежи за намаляване на цифровото разделение, както и на спътникови мрежи и услуги; насърчаване на развитието на стратегически вериги за създаване на стойност и подкрепа за конкурентоспособността на дружествата, с акцент върху МСП.</w:t>
      </w:r>
    </w:p>
    <w:p w14:paraId="077CB4A5" w14:textId="77777777" w:rsidR="006054AA" w:rsidRDefault="001F7667">
      <w:pPr>
        <w:spacing w:before="120" w:after="120"/>
        <w:jc w:val="both"/>
        <w:rPr>
          <w:noProof/>
        </w:rPr>
      </w:pPr>
      <w:r>
        <w:rPr>
          <w:noProof/>
        </w:rPr>
        <w:t>Мерките по този компонент имат за цел да се преодолеят пропуските, произтичащи от индекса за навлизането на цифровите технологии в икономиката и обществото (DESI) за 2020 г. по отношение на цифровата трансформация на предприятията и недостатъците в свързаността, с оглед на укрепването на социалната и икономическата устойчивост на страната.</w:t>
      </w:r>
    </w:p>
    <w:p w14:paraId="562ACEDE" w14:textId="77777777" w:rsidR="006054AA" w:rsidRDefault="001F7667">
      <w:pPr>
        <w:spacing w:before="120" w:after="120"/>
        <w:jc w:val="both"/>
        <w:rPr>
          <w:noProof/>
        </w:rPr>
      </w:pPr>
      <w:r>
        <w:rPr>
          <w:noProof/>
        </w:rPr>
        <w:t xml:space="preserve">Инвестициите и реформите по този компонент допринасят за изпълнението на специфичните за всяка държава препоръки, отправени към Италия през 2020 г. и 2019 г., относно необходимостта от „укрепване на дистанционното обучение и уменията, включително цифровите умения „(Специфична за държавата препоръка 2, 2020), „насърчаване на частните инвестиции за насърчаване на икономическото възстановяване„(Специфични за всяка държава препоръки 3 и 2020), за „съсредоточаване на инвестициите върху екологичния и цифровия преход, по-специално върху [...] укрепената цифрова инфраструктура, за да се гарантира предоставянето на основни услуги“ (Специфични за всяка държава препоръки 3, 2020), насърчаване на повишаването на квалификацията, включително чрез укрепване на цифровите умения (специфични за всяка държава препоръки 2, 2019), „съсредоточаване на свързаната с инвестициите икономическа политика върху научните изследвания и иновациите и качеството на инфраструктурата, като се вземат предвид и регионалните различия „(Специфични за всяка държава препоръки 3, 2019) и до известна степен „подкрепа за небанковия достъп на иновативни и по-малки предприятия до финансиране“ (Специфични за всяка държава препоръки 5, 2019). </w:t>
      </w:r>
    </w:p>
    <w:p w14:paraId="434F0BF1" w14:textId="77777777" w:rsidR="006054AA" w:rsidRDefault="001F7667">
      <w:pPr>
        <w:spacing w:before="120" w:after="120"/>
        <w:jc w:val="both"/>
        <w:rPr>
          <w:noProof/>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за прилагането на принципа за „ненанасяне на значителни вреди“ (2021/C58/01).</w:t>
      </w:r>
    </w:p>
    <w:p w14:paraId="4A89E89A" w14:textId="77777777" w:rsidR="006054AA" w:rsidRDefault="001F7667">
      <w:pPr>
        <w:pStyle w:val="P68B1DB1-Normal14"/>
        <w:spacing w:before="120" w:after="120"/>
        <w:jc w:val="both"/>
        <w:rPr>
          <w:noProof/>
        </w:rPr>
      </w:pPr>
      <w:r>
        <w:rPr>
          <w:noProof/>
        </w:rPr>
        <w:t>Ос 2 — Подобряване на бизнес средата и конкуренцията</w:t>
      </w:r>
    </w:p>
    <w:p w14:paraId="27AD43CC" w14:textId="77777777" w:rsidR="006054AA" w:rsidRDefault="001F7667">
      <w:pPr>
        <w:spacing w:before="120" w:after="120"/>
        <w:jc w:val="both"/>
        <w:rPr>
          <w:noProof/>
        </w:rPr>
      </w:pPr>
      <w:r>
        <w:rPr>
          <w:noProof/>
        </w:rPr>
        <w:t xml:space="preserve">Основната цел на ос 2 на Мисия 1, компонент 2 е да се подобри бизнес средата, за да се улесни предприемачеството, а рамковите условия за конкуренция да благоприятстват по-ефективното разпределение на ресурсите и повишаването на производителността. Основният инструмент за постигане на тези цели е годишният закон за конкуренцията, който се приема всяка година. </w:t>
      </w:r>
    </w:p>
    <w:p w14:paraId="3D0EB982" w14:textId="77777777" w:rsidR="006054AA" w:rsidRDefault="001F7667">
      <w:pPr>
        <w:spacing w:before="120" w:after="120"/>
        <w:jc w:val="both"/>
        <w:rPr>
          <w:noProof/>
        </w:rPr>
      </w:pPr>
      <w:r>
        <w:rPr>
          <w:noProof/>
        </w:rPr>
        <w:t>Инвестициите и реформите по този компонент допринасят за изпълнението на специфичните за всяка държава препоръки, отправени към Италия през 2019 г., относно необходимостта от „преодоляване на ограниченията пред конкуренцията [...], включително чрез ново годишно законодателство в областта на конкуренцията“ (Специфична за всяка държава препоръка 3, 2019 г.).</w:t>
      </w:r>
    </w:p>
    <w:p w14:paraId="78EF863E" w14:textId="77777777" w:rsidR="006054AA" w:rsidRDefault="001F7667">
      <w:pPr>
        <w:pStyle w:val="Heading3"/>
        <w:numPr>
          <w:ilvl w:val="2"/>
          <w:numId w:val="0"/>
        </w:numPr>
        <w:ind w:left="850" w:hanging="850"/>
        <w:rPr>
          <w:b/>
          <w:i w:val="0"/>
          <w:noProof/>
          <w:u w:val="single"/>
        </w:rPr>
      </w:pPr>
      <w:r>
        <w:rPr>
          <w:b/>
          <w:i w:val="0"/>
          <w:noProof/>
          <w:u w:val="single"/>
        </w:rPr>
        <w:t xml:space="preserve">Б.1. </w:t>
      </w:r>
      <w:r>
        <w:rPr>
          <w:noProof/>
        </w:rPr>
        <w:tab/>
      </w:r>
      <w:r>
        <w:rPr>
          <w:b/>
          <w:i w:val="0"/>
          <w:noProof/>
          <w:u w:val="single"/>
        </w:rPr>
        <w:t>Описание на реформите и инвестициите за безвъзмездна финансова подкрепа</w:t>
      </w:r>
    </w:p>
    <w:p w14:paraId="17FDE672" w14:textId="77777777" w:rsidR="006054AA" w:rsidRDefault="001F7667">
      <w:pPr>
        <w:pStyle w:val="P68B1DB1-Normal15"/>
        <w:spacing w:before="120" w:after="120"/>
        <w:jc w:val="both"/>
        <w:rPr>
          <w:noProof/>
          <w:color w:val="4F81BD" w:themeColor="accent1"/>
        </w:rPr>
      </w:pPr>
      <w:r>
        <w:rPr>
          <w:noProof/>
        </w:rPr>
        <w:t xml:space="preserve">Ос 1 — </w:t>
      </w:r>
      <w:r>
        <w:rPr>
          <w:noProof/>
          <w:u w:val="single"/>
        </w:rPr>
        <w:t>Цифровизация, иновации и конкурентоспособност на производствената система</w:t>
      </w:r>
    </w:p>
    <w:p w14:paraId="027E68E0" w14:textId="77777777" w:rsidR="006054AA" w:rsidRDefault="001F7667">
      <w:pPr>
        <w:pStyle w:val="P68B1DB1-Normal2"/>
        <w:spacing w:before="120" w:after="120"/>
        <w:jc w:val="both"/>
        <w:rPr>
          <w:i/>
          <w:noProof/>
        </w:rPr>
      </w:pPr>
      <w:r>
        <w:rPr>
          <w:noProof/>
        </w:rPr>
        <w:t>Инвестиция 1: Преход 4.0</w:t>
      </w:r>
    </w:p>
    <w:p w14:paraId="468A1B76" w14:textId="77777777" w:rsidR="006054AA" w:rsidRDefault="001F7667">
      <w:pPr>
        <w:spacing w:before="120" w:after="120"/>
        <w:jc w:val="both"/>
        <w:rPr>
          <w:i/>
          <w:noProof/>
          <w:u w:val="single"/>
        </w:rPr>
      </w:pPr>
      <w:r>
        <w:rPr>
          <w:noProof/>
        </w:rPr>
        <w:t>Целта на мярката е да се подкрепи цифровата трансформация на предприятията чрез стимулиране на частните инвестиции в активи и дейности в подкрепа на цифровизацията. Мярката, финансирана в рамките на италианския план за възстановяване и устойчивост, е част от по-широк план „Преход 4.0“, който включва други мерки за подкрепа, финансирани на национално равнище за насърчаване на цифровата трансформация на предприятията.</w:t>
      </w:r>
    </w:p>
    <w:p w14:paraId="3B4C5FA7" w14:textId="77777777" w:rsidR="006054AA" w:rsidRDefault="001F7667">
      <w:pPr>
        <w:spacing w:before="120" w:after="120"/>
        <w:jc w:val="both"/>
        <w:rPr>
          <w:noProof/>
        </w:rPr>
      </w:pPr>
      <w:r>
        <w:rPr>
          <w:noProof/>
        </w:rPr>
        <w:t xml:space="preserve">Мярката се състои от схема за данъчен кредит и покрива разходите, които трябва да бъдат декларирани в данъчните декларации, представени в периода между 1 януари 2021 г. и 31 декември 2023 г. (30 ноември 2024 г. за предприятия, чиято данъчна година не съответства на календарната година). Мярката включва и определение на кодове за данъчни кредити, които се определят чрез решение на Агенцията за приходите, за да се даде възможност на бенефициерите да използват данъчните кредити по модела на плащане F24. </w:t>
      </w:r>
    </w:p>
    <w:p w14:paraId="7BFE55B8" w14:textId="77777777" w:rsidR="006054AA" w:rsidRDefault="001F7667">
      <w:pPr>
        <w:spacing w:before="120" w:after="120"/>
        <w:jc w:val="both"/>
        <w:rPr>
          <w:noProof/>
        </w:rPr>
      </w:pPr>
      <w:r>
        <w:rPr>
          <w:noProof/>
        </w:rPr>
        <w:t>Подкрепяните данъчни кредити обхващат следните активи и дейности:</w:t>
      </w:r>
    </w:p>
    <w:p w14:paraId="672B5BB1" w14:textId="3CA53F9F" w:rsidR="006054AA" w:rsidRDefault="001F7667">
      <w:pPr>
        <w:pStyle w:val="ListParagraph"/>
        <w:numPr>
          <w:ilvl w:val="0"/>
          <w:numId w:val="72"/>
        </w:numPr>
        <w:ind w:left="360"/>
        <w:rPr>
          <w:rFonts w:eastAsiaTheme="minorEastAsia"/>
          <w:noProof/>
        </w:rPr>
      </w:pPr>
      <w:r>
        <w:rPr>
          <w:noProof/>
        </w:rPr>
        <w:t xml:space="preserve">дълготрайни активи, състоящи се от: I) 4.0 (т.е. технологично напреднали) материални средства за производство, като например производствени машини, чиято дейност се контролира от компютризирани системи или сензори/дискове, машини и системи, използвани за контрол на продукти или процеси, и интерактивни системи; всички те трябва да се характеризират с цифрови характеристики, като например автоматизирано интегриране и интерфейс човек — машина; II) 4.0 нематериални капиталови стоки, като 3D моделиране, вътрешнофабрични комуникационни системи и софтуер, системи, платформи и приложения за изкуствен интелект и машинно самообучение; III) стандартни нематериални капиталови активи, като софтуер, свързан със стопанско управление. Това обхваща данъчните кредити, представени в данъчните декларации между 1 януари 2021 г. и 31 декември 2023 г. (30 ноември 2024 г. за предприятия, чиято данъчна година не съответства на календарната година). </w:t>
      </w:r>
    </w:p>
    <w:p w14:paraId="05698C37" w14:textId="77777777" w:rsidR="006054AA" w:rsidRDefault="001F7667">
      <w:pPr>
        <w:pStyle w:val="ListParagraph"/>
        <w:numPr>
          <w:ilvl w:val="0"/>
          <w:numId w:val="72"/>
        </w:numPr>
        <w:ind w:left="360"/>
        <w:rPr>
          <w:rFonts w:eastAsiaTheme="minorEastAsia"/>
          <w:noProof/>
        </w:rPr>
      </w:pPr>
      <w:r>
        <w:rPr>
          <w:noProof/>
        </w:rPr>
        <w:t xml:space="preserve">научноизследователски, развойни и иновационни дейности, състоящи се от научноизследователска и развойна дейност, технологични иновации, екологични и цифрови иновации и дейности по проектиране. Това обхваща данъчните кредити, представени в данъчните декларации между 1 януари 2022 г. и 31 декември 2023 г. (30 ноември 2024 г. за предприятия, чиято данъчна година не съответства на календарната година). </w:t>
      </w:r>
    </w:p>
    <w:p w14:paraId="3D34D792" w14:textId="77777777" w:rsidR="006054AA" w:rsidRDefault="001F7667">
      <w:pPr>
        <w:pStyle w:val="ListParagraph"/>
        <w:numPr>
          <w:ilvl w:val="0"/>
          <w:numId w:val="72"/>
        </w:numPr>
        <w:ind w:left="360"/>
        <w:rPr>
          <w:rFonts w:eastAsiaTheme="minorEastAsia"/>
          <w:noProof/>
        </w:rPr>
      </w:pPr>
      <w:r>
        <w:rPr>
          <w:noProof/>
        </w:rPr>
        <w:t xml:space="preserve">дейности по обучение, извършвани с цел придобиване или консолидиране на знанията за съответните технологии, като например анализ на големи информационни масиви и данни, интерфейс човек-машина, интернет на нещата, цифрова интеграция на бизнес процесите, киберсигурност. Това обхваща данъчните кредити, представени в данъчните декларации между 1 януари 2022 г. и 31 декември 2023 г. (30 ноември 2024 г. за предприятия, чиято данъчна година не съответства на календарната година). </w:t>
      </w:r>
    </w:p>
    <w:p w14:paraId="2F3EE1B8" w14:textId="77777777" w:rsidR="006054AA" w:rsidRDefault="001F7667">
      <w:pPr>
        <w:spacing w:before="120" w:after="120"/>
        <w:jc w:val="both"/>
        <w:rPr>
          <w:noProof/>
        </w:rPr>
      </w:pPr>
      <w:r>
        <w:rPr>
          <w:noProof/>
        </w:rPr>
        <w:t>Мярката включва създаването на научен комитет, включващ експерти от Министерството на икономиката и финансите, Министерството на икономическото развитие и Централната банка на Италия, който да оценява икономическото въздействие на схемата.</w:t>
      </w:r>
    </w:p>
    <w:p w14:paraId="1A6615FB" w14:textId="77777777" w:rsidR="006054AA" w:rsidRDefault="001F7667">
      <w:pPr>
        <w:pStyle w:val="P68B1DB1-Normal2"/>
        <w:spacing w:before="120" w:after="120"/>
        <w:jc w:val="both"/>
        <w:rPr>
          <w:noProof/>
        </w:rPr>
      </w:pPr>
      <w:r>
        <w:rPr>
          <w:noProof/>
        </w:rPr>
        <w:t xml:space="preserve">Реформа 1: Реформа на системата за индустриална собственост </w:t>
      </w:r>
    </w:p>
    <w:p w14:paraId="5965F242" w14:textId="77777777" w:rsidR="006054AA" w:rsidRDefault="001F7667">
      <w:pPr>
        <w:pStyle w:val="P68B1DB1-Normal16"/>
        <w:spacing w:before="120" w:after="120"/>
        <w:jc w:val="both"/>
        <w:rPr>
          <w:noProof/>
        </w:rPr>
      </w:pPr>
      <w:r>
        <w:rPr>
          <w:noProof/>
        </w:rPr>
        <w:t>Основната цел на реформата е да се адаптира системата на индустриалната собственост към съвременните предизвикателства и да се гарантира, че потенциалът за иновации допринася ефективно за възстановяването и устойчивостта на страната. По-конкретно тя има за цел да преследва следните цели: подобряване на системата за защита на индустриалната собственост; насърчаване на използването и разпространението на индустриалната собственост, особено от МСП; улесняване на достъпа до нематериални активи и тяхното споделяне, като същевременно се гарантира справедлива възвръщаемост на инвестициите; гарантиране на по-строго зачитане на индустриалната собственост; и засилване на ролята на Италия в европейските и международните форуми по въпросите на индустриалната собственост.</w:t>
      </w:r>
    </w:p>
    <w:p w14:paraId="370BB108" w14:textId="77777777" w:rsidR="006054AA" w:rsidRDefault="001F7667">
      <w:pPr>
        <w:pStyle w:val="P68B1DB1-Normal16"/>
        <w:spacing w:before="120" w:after="120"/>
        <w:jc w:val="both"/>
        <w:rPr>
          <w:noProof/>
        </w:rPr>
      </w:pPr>
      <w:r>
        <w:rPr>
          <w:noProof/>
        </w:rPr>
        <w:t xml:space="preserve">Мярката се отнася до реформата на италианския кодекс за индустриална собственост, която обхваща най-малко следните области: I) преразглеждане на регулаторната рамка с цел засилване на защитата на правата върху индустриалната собственост и опростяване на процедурите, ii) засилване на подкрепата за дружествата и научноизследователските институции, iii) подобряване на развитието на умения и компетентности, iv) улесняване на трансфера на знания и v) засилване на насърчаването на иновативните услуги. </w:t>
      </w:r>
    </w:p>
    <w:p w14:paraId="56935EB1" w14:textId="77777777" w:rsidR="006054AA" w:rsidRDefault="001F7667">
      <w:pPr>
        <w:pStyle w:val="P68B1DB1-Normal2"/>
        <w:spacing w:before="120" w:after="120"/>
        <w:jc w:val="both"/>
        <w:rPr>
          <w:noProof/>
        </w:rPr>
      </w:pPr>
      <w:r>
        <w:rPr>
          <w:noProof/>
        </w:rPr>
        <w:t>Инвестиция 6: Инвестиции в системата за индустриална собственост</w:t>
      </w:r>
    </w:p>
    <w:p w14:paraId="6EA47D85" w14:textId="77777777" w:rsidR="006054AA" w:rsidRDefault="001F7667">
      <w:pPr>
        <w:pStyle w:val="P68B1DB1-Normal16"/>
        <w:spacing w:before="120" w:after="120"/>
        <w:jc w:val="both"/>
        <w:rPr>
          <w:noProof/>
        </w:rPr>
      </w:pPr>
      <w:r>
        <w:rPr>
          <w:noProof/>
        </w:rPr>
        <w:t xml:space="preserve">Целта на инвестицията е да се подкрепи системата на индустриалната собственост и да се съпътства от нейната реформа, както е предвидено в реформа 1 на този компонент. Мярката включва финансова подкрепа за проекти, свързани с индустриална собственост, на дружества и научноизследователски органи, като например мерки, свързани с патентите (Bredistti +), програми за доказване на концепцията (POC) и укрепване на бюрата за трансфер на технологии (TTO). </w:t>
      </w:r>
    </w:p>
    <w:p w14:paraId="377053A0" w14:textId="7EE26615" w:rsidR="006054AA" w:rsidRDefault="001F7667">
      <w:pPr>
        <w:spacing w:before="120" w:after="120"/>
        <w:jc w:val="both"/>
        <w:rPr>
          <w:noProof/>
        </w:rPr>
      </w:pPr>
      <w:r>
        <w:rPr>
          <w:noProof/>
        </w:rPr>
        <w:t>За да се гарантира, че мярката е в съответствие с техническите насоки за ненанасяне на значителни вреди (2021/C58/01), критериите за допустимост, съдържащи се в заданието за предстоящи покани за представяне на проекти, изключват научноизследователската и развойната дейност, посветена на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2"/>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3"/>
      </w:r>
      <w:r>
        <w:rPr>
          <w:noProof/>
        </w:rPr>
        <w:t>; III) дейности, свързани с депа за отпадъци, инсинератори</w:t>
      </w:r>
      <w:r>
        <w:rPr>
          <w:rStyle w:val="FootnoteReference"/>
          <w:noProof/>
        </w:rPr>
        <w:footnoteReference w:id="4"/>
      </w:r>
      <w:r>
        <w:rPr>
          <w:noProof/>
        </w:rPr>
        <w:t xml:space="preserve"> и инсталации за механично-биологично третиране</w:t>
      </w:r>
      <w:r>
        <w:rPr>
          <w:rStyle w:val="FootnoteReference"/>
          <w:noProof/>
        </w:rPr>
        <w:footnoteReference w:id="5"/>
      </w:r>
      <w:r>
        <w:rPr>
          <w:noProof/>
        </w:rPr>
        <w:t>; и iv) дейности, при които дългосрочното обезвреждане на отпадъци може да причини вреда на околната среда. Освен това в заданието се изисква да могат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6B44E1C9" w14:textId="77777777" w:rsidR="006054AA" w:rsidRDefault="001F7667">
      <w:pPr>
        <w:pStyle w:val="P68B1DB1-Normal17"/>
        <w:spacing w:before="120" w:after="120"/>
        <w:jc w:val="both"/>
        <w:rPr>
          <w:noProof/>
        </w:rPr>
      </w:pPr>
      <w:r>
        <w:rPr>
          <w:noProof/>
        </w:rPr>
        <w:t>Ос 2 — Подобряване на бизнес средата и конкуренцията</w:t>
      </w:r>
    </w:p>
    <w:p w14:paraId="4C96D2DB" w14:textId="77777777" w:rsidR="006054AA" w:rsidRDefault="001F7667">
      <w:pPr>
        <w:pStyle w:val="P68B1DB1-Normal2"/>
        <w:spacing w:before="120" w:after="120"/>
        <w:jc w:val="both"/>
        <w:rPr>
          <w:noProof/>
        </w:rPr>
      </w:pPr>
      <w:r>
        <w:rPr>
          <w:noProof/>
        </w:rPr>
        <w:t>Реформа 2: Годишни закони в областта на конкуренцията от 2021 г., 2022 г., 2023 г. и 2024 г.</w:t>
      </w:r>
    </w:p>
    <w:p w14:paraId="5123F8B2" w14:textId="77777777" w:rsidR="006054AA" w:rsidRDefault="001F7667">
      <w:pPr>
        <w:spacing w:before="120" w:after="120"/>
        <w:jc w:val="both"/>
        <w:rPr>
          <w:noProof/>
        </w:rPr>
      </w:pPr>
      <w:r>
        <w:rPr>
          <w:noProof/>
        </w:rPr>
        <w:t xml:space="preserve">Законът за конкуренцията се приема всяка година, като се увеличават конкурентните процедури за възлагане на обществени поръчки за местни обществени услуги (по-специално в областта на отпадъците и обществения транспорт), като се избягва необоснованото удължаване на концесиите в пристанищата, магистралите, зарядните станции и водноелектрическите централи на заварените оператори в много сектори, като се предвижда правилно регулиране на обществените поръчки за услуги, преразглеждане на правилата за сумиране и прилагане на общия принцип на пропорционалност по отношение на продължителността и правилното компенсиране на договорите за обществени услуги. Законът за конкуренцията също така ще увеличи стимулите за регионите да възлагат обществени поръчки за обществени услуги за регионални железопътни услуги. Въвежда се и ясно разделение между функциите по регулиране/контрол и управлението на договорите. </w:t>
      </w:r>
    </w:p>
    <w:p w14:paraId="6C089609" w14:textId="77777777" w:rsidR="006054AA" w:rsidRDefault="001F7667">
      <w:pPr>
        <w:spacing w:before="120" w:after="120"/>
        <w:jc w:val="both"/>
        <w:rPr>
          <w:noProof/>
        </w:rPr>
      </w:pPr>
      <w:r>
        <w:rPr>
          <w:noProof/>
        </w:rPr>
        <w:t>По отношение на специфичните за сектора мерки, годишните закони в областта на конкуренцията включват мерки в секторите на енергетиката (електроенергия, газ и вода), управлението на отпадъците и транспорта (пристанища, железопътни линии и магистрали), които допълват инвестициите и реформите в рамките на мисии 2 и 3. Съпътстващите мерки за гарантиране на навлизането на конкуренцията на пазарите на дребно на електроенергия влизат в сила най-късно на 31</w:t>
      </w:r>
      <w:r>
        <w:rPr>
          <w:noProof/>
          <w:vertAlign w:val="superscript"/>
        </w:rPr>
        <w:t>декември</w:t>
      </w:r>
      <w:r>
        <w:rPr>
          <w:noProof/>
        </w:rPr>
        <w:t xml:space="preserve"> 2022 г. Годишният закон за конкуренцията за 2022 г. по-специално приема плана за развитие на електроенергийната мрежа и насърчава внедряването на</w:t>
      </w:r>
      <w:r>
        <w:rPr>
          <w:noProof/>
          <w:vertAlign w:val="superscript"/>
        </w:rPr>
        <w:t>интелигентни</w:t>
      </w:r>
      <w:r>
        <w:rPr>
          <w:noProof/>
        </w:rPr>
        <w:t xml:space="preserve"> електромери за 2-ро поколение, които ще достигнат 33 милиона единици в цяла Италия на</w:t>
      </w:r>
      <w:r>
        <w:rPr>
          <w:noProof/>
          <w:vertAlign w:val="superscript"/>
        </w:rPr>
        <w:t>31</w:t>
      </w:r>
      <w:r>
        <w:rPr>
          <w:noProof/>
        </w:rPr>
        <w:t xml:space="preserve"> декември 2025 г.</w:t>
      </w:r>
    </w:p>
    <w:p w14:paraId="2070BB27" w14:textId="77777777" w:rsidR="006054AA" w:rsidRDefault="001F7667">
      <w:pPr>
        <w:spacing w:before="120" w:after="120"/>
        <w:jc w:val="both"/>
        <w:rPr>
          <w:noProof/>
        </w:rPr>
      </w:pPr>
      <w:r>
        <w:rPr>
          <w:noProof/>
        </w:rPr>
        <w:t xml:space="preserve">Освен това законите подобряват бизнес средата най-малко чрез: I) привеждането на правилата за контрол върху сливанията в съответствие с правото на ЕС, ii) консолидирането, цифровизацията и професионализацията на органите за надзор на пазара и iii) намаляването на времето за акредитация за предоставяне на информация за служителите от седем на четири дни, за да се намали броят на дните за създаване на предприятие.  </w:t>
      </w:r>
    </w:p>
    <w:p w14:paraId="1FC87F97" w14:textId="77777777" w:rsidR="006054AA" w:rsidRDefault="001F7667">
      <w:pPr>
        <w:pStyle w:val="P68B1DB1-Normal2"/>
        <w:spacing w:before="120" w:after="120"/>
        <w:jc w:val="both"/>
        <w:rPr>
          <w:noProof/>
        </w:rPr>
      </w:pPr>
      <w:r>
        <w:rPr>
          <w:noProof/>
        </w:rPr>
        <w:t xml:space="preserve">Реформа 3: Рационализиране и опростяване на стимулите за предприятията. </w:t>
      </w:r>
    </w:p>
    <w:p w14:paraId="69D39513" w14:textId="77777777" w:rsidR="006054AA" w:rsidRDefault="001F7667">
      <w:pPr>
        <w:spacing w:before="120" w:after="120"/>
        <w:jc w:val="both"/>
        <w:rPr>
          <w:noProof/>
        </w:rPr>
      </w:pPr>
      <w:r>
        <w:rPr>
          <w:noProof/>
        </w:rPr>
        <w:t xml:space="preserve">Реформата се състои от систематичен преглед на всички национални стимули за дружествата и свързаните с тях инструменти. </w:t>
      </w:r>
    </w:p>
    <w:p w14:paraId="750AF635" w14:textId="77777777" w:rsidR="006054AA" w:rsidRDefault="001F7667">
      <w:pPr>
        <w:spacing w:before="120" w:after="120"/>
        <w:jc w:val="both"/>
        <w:rPr>
          <w:noProof/>
        </w:rPr>
      </w:pPr>
      <w:r>
        <w:rPr>
          <w:noProof/>
        </w:rPr>
        <w:t>Реформата се осъществява на два етапа:</w:t>
      </w:r>
    </w:p>
    <w:p w14:paraId="40943635" w14:textId="77777777" w:rsidR="006054AA" w:rsidRDefault="001F7667">
      <w:pPr>
        <w:pStyle w:val="ListParagraph"/>
        <w:numPr>
          <w:ilvl w:val="0"/>
          <w:numId w:val="108"/>
        </w:numPr>
        <w:spacing w:before="0" w:after="0"/>
        <w:rPr>
          <w:noProof/>
        </w:rPr>
      </w:pPr>
      <w:r>
        <w:rPr>
          <w:noProof/>
        </w:rPr>
        <w:t xml:space="preserve">Публикуване на доклад за оценка на стимулите за предприятията. В доклада се разработват и конкретни предложения за опростяване и рационализиране на стимулите за дружествата. </w:t>
      </w:r>
    </w:p>
    <w:p w14:paraId="10F058E9" w14:textId="77777777" w:rsidR="006054AA" w:rsidRDefault="001F7667">
      <w:pPr>
        <w:jc w:val="both"/>
        <w:rPr>
          <w:noProof/>
        </w:rPr>
      </w:pPr>
      <w:r>
        <w:rPr>
          <w:noProof/>
        </w:rPr>
        <w:t xml:space="preserve"> </w:t>
      </w:r>
    </w:p>
    <w:p w14:paraId="6F8FAB53" w14:textId="0DABE5DA" w:rsidR="006054AA" w:rsidRDefault="001F7667">
      <w:pPr>
        <w:pStyle w:val="ListParagraph"/>
        <w:numPr>
          <w:ilvl w:val="0"/>
          <w:numId w:val="107"/>
        </w:numPr>
        <w:spacing w:before="0" w:after="0"/>
        <w:rPr>
          <w:noProof/>
        </w:rPr>
      </w:pPr>
      <w:r>
        <w:rPr>
          <w:noProof/>
        </w:rPr>
        <w:t>Влизане в сила на законодателните актове за прилагане на закона „Legge delega Incentivi“.  Обхватът на законодателните актове е да се рационализират и рационализират стимулите за дружествата.</w:t>
      </w:r>
    </w:p>
    <w:p w14:paraId="75AC7055" w14:textId="77777777" w:rsidR="006054AA" w:rsidRDefault="001F7667">
      <w:pPr>
        <w:pStyle w:val="P68B1DB1-Normal18"/>
        <w:spacing w:line="276" w:lineRule="auto"/>
        <w:jc w:val="both"/>
        <w:rPr>
          <w:noProof/>
        </w:rPr>
      </w:pPr>
      <w:r>
        <w:rPr>
          <w:noProof/>
        </w:rPr>
        <w:t xml:space="preserve"> </w:t>
      </w:r>
    </w:p>
    <w:p w14:paraId="53C40F5D" w14:textId="626A0492" w:rsidR="006054AA" w:rsidRDefault="001F7667">
      <w:pPr>
        <w:spacing w:line="276" w:lineRule="auto"/>
        <w:jc w:val="both"/>
        <w:rPr>
          <w:noProof/>
        </w:rPr>
      </w:pPr>
      <w:r>
        <w:rPr>
          <w:noProof/>
        </w:rPr>
        <w:t>Реформата включва преструктуриране и по-нататъшно прилагане на два ключови инструмента, управлявани от Министерството на предприятията и произведени в Италия (MIMIT):</w:t>
      </w:r>
    </w:p>
    <w:p w14:paraId="597E4CED" w14:textId="33C5FC11" w:rsidR="006054AA" w:rsidRDefault="001F7667">
      <w:pPr>
        <w:spacing w:line="276" w:lineRule="auto"/>
        <w:jc w:val="both"/>
        <w:rPr>
          <w:noProof/>
        </w:rPr>
      </w:pPr>
      <w:r>
        <w:rPr>
          <w:noProof/>
        </w:rPr>
        <w:t xml:space="preserve"> а) РНК (Национален регистър на държавните помощи) и</w:t>
      </w:r>
    </w:p>
    <w:p w14:paraId="735E5D58" w14:textId="710B4C62" w:rsidR="006054AA" w:rsidRDefault="001F7667">
      <w:pPr>
        <w:spacing w:line="276" w:lineRule="auto"/>
        <w:jc w:val="both"/>
        <w:rPr>
          <w:noProof/>
        </w:rPr>
      </w:pPr>
      <w:r>
        <w:rPr>
          <w:noProof/>
        </w:rPr>
        <w:t xml:space="preserve"> б) платформата за стимули</w:t>
      </w:r>
      <w:r>
        <w:rPr>
          <w:i/>
          <w:noProof/>
        </w:rPr>
        <w:t>,</w:t>
      </w:r>
      <w:r>
        <w:rPr>
          <w:noProof/>
        </w:rPr>
        <w:t xml:space="preserve"> за да се покрият свързаните с това разходи за събиране, мониторинг и анализ на данни.</w:t>
      </w:r>
    </w:p>
    <w:p w14:paraId="062FEB8A" w14:textId="77777777" w:rsidR="006054AA" w:rsidRDefault="001F7667">
      <w:pPr>
        <w:jc w:val="both"/>
        <w:rPr>
          <w:noProof/>
        </w:rPr>
      </w:pPr>
      <w:r>
        <w:rPr>
          <w:noProof/>
        </w:rPr>
        <w:t xml:space="preserve"> </w:t>
      </w:r>
      <w:r>
        <w:rPr>
          <w:noProof/>
        </w:rPr>
        <w:br/>
      </w:r>
    </w:p>
    <w:p w14:paraId="776BB644" w14:textId="77777777" w:rsidR="006054AA" w:rsidRDefault="006054AA">
      <w:pPr>
        <w:spacing w:before="120" w:after="120"/>
        <w:jc w:val="both"/>
        <w:rPr>
          <w:noProof/>
        </w:rPr>
        <w:sectPr w:rsidR="006054AA">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7A3C4430" w14:textId="77777777" w:rsidR="006054AA" w:rsidRDefault="001F7667">
      <w:pPr>
        <w:pStyle w:val="Heading3"/>
        <w:numPr>
          <w:ilvl w:val="2"/>
          <w:numId w:val="0"/>
        </w:numPr>
        <w:ind w:left="850" w:hanging="850"/>
        <w:rPr>
          <w:b/>
          <w:i w:val="0"/>
          <w:noProof/>
          <w:u w:val="single"/>
        </w:rPr>
      </w:pPr>
      <w:r>
        <w:rPr>
          <w:b/>
          <w:i w:val="0"/>
          <w:noProof/>
          <w:u w:val="single"/>
        </w:rPr>
        <w:t xml:space="preserve">Б.2.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701"/>
        <w:gridCol w:w="1456"/>
        <w:gridCol w:w="960"/>
        <w:gridCol w:w="1127"/>
        <w:gridCol w:w="1276"/>
        <w:gridCol w:w="851"/>
        <w:gridCol w:w="708"/>
        <w:gridCol w:w="4094"/>
      </w:tblGrid>
      <w:tr w:rsidR="006054AA" w14:paraId="77911A0B" w14:textId="77777777">
        <w:trPr>
          <w:trHeight w:val="1020"/>
          <w:tblHeader/>
        </w:trPr>
        <w:tc>
          <w:tcPr>
            <w:tcW w:w="1135" w:type="dxa"/>
            <w:vMerge w:val="restart"/>
            <w:shd w:val="clear" w:color="auto" w:fill="C6D9F1"/>
            <w:vAlign w:val="center"/>
          </w:tcPr>
          <w:p w14:paraId="3BAD05C2" w14:textId="2804EF52" w:rsidR="006054AA" w:rsidRDefault="001F7667">
            <w:pPr>
              <w:pStyle w:val="P68B1DB1-Normal9"/>
              <w:spacing w:before="120" w:after="120"/>
              <w:jc w:val="center"/>
              <w:rPr>
                <w:noProof/>
              </w:rPr>
            </w:pPr>
            <w:r>
              <w:rPr>
                <w:noProof/>
              </w:rPr>
              <w:t>Пореден номер</w:t>
            </w:r>
          </w:p>
        </w:tc>
        <w:tc>
          <w:tcPr>
            <w:tcW w:w="1134" w:type="dxa"/>
            <w:vMerge w:val="restart"/>
            <w:shd w:val="clear" w:color="auto" w:fill="C6D9F1"/>
            <w:vAlign w:val="center"/>
          </w:tcPr>
          <w:p w14:paraId="77C2AEC7" w14:textId="605DEB89" w:rsidR="006054AA" w:rsidRDefault="001F7667">
            <w:pPr>
              <w:pStyle w:val="P68B1DB1-Normal9"/>
              <w:spacing w:before="120" w:after="120"/>
              <w:jc w:val="center"/>
              <w:rPr>
                <w:noProof/>
              </w:rPr>
            </w:pPr>
            <w:r>
              <w:rPr>
                <w:noProof/>
              </w:rPr>
              <w:t>Мярка</w:t>
            </w:r>
          </w:p>
        </w:tc>
        <w:tc>
          <w:tcPr>
            <w:tcW w:w="1134" w:type="dxa"/>
            <w:vMerge w:val="restart"/>
            <w:shd w:val="clear" w:color="auto" w:fill="C6D9F1"/>
            <w:vAlign w:val="center"/>
          </w:tcPr>
          <w:p w14:paraId="02B7F731" w14:textId="0E21E34E" w:rsidR="006054AA" w:rsidRDefault="001F7667">
            <w:pPr>
              <w:pStyle w:val="P68B1DB1-Normal9"/>
              <w:spacing w:before="120" w:after="120"/>
              <w:jc w:val="center"/>
              <w:rPr>
                <w:noProof/>
              </w:rPr>
            </w:pPr>
            <w:r>
              <w:rPr>
                <w:noProof/>
              </w:rPr>
              <w:t>Ключов етап/Цел</w:t>
            </w:r>
          </w:p>
        </w:tc>
        <w:tc>
          <w:tcPr>
            <w:tcW w:w="1701" w:type="dxa"/>
            <w:vMerge w:val="restart"/>
            <w:shd w:val="clear" w:color="auto" w:fill="C6D9F1"/>
            <w:vAlign w:val="center"/>
          </w:tcPr>
          <w:p w14:paraId="6692BFAE" w14:textId="4519D677" w:rsidR="006054AA" w:rsidRDefault="001F7667">
            <w:pPr>
              <w:pStyle w:val="P68B1DB1-Normal9"/>
              <w:spacing w:before="120" w:after="120"/>
              <w:jc w:val="center"/>
              <w:rPr>
                <w:noProof/>
              </w:rPr>
            </w:pPr>
            <w:r>
              <w:rPr>
                <w:noProof/>
              </w:rPr>
              <w:t>Име</w:t>
            </w:r>
          </w:p>
        </w:tc>
        <w:tc>
          <w:tcPr>
            <w:tcW w:w="1456" w:type="dxa"/>
            <w:vMerge w:val="restart"/>
            <w:shd w:val="clear" w:color="auto" w:fill="C6D9F1"/>
            <w:vAlign w:val="center"/>
          </w:tcPr>
          <w:p w14:paraId="26D06EDA" w14:textId="0B4576BD" w:rsidR="006054AA" w:rsidRDefault="001F7667">
            <w:pPr>
              <w:pStyle w:val="P68B1DB1-Normal10"/>
              <w:spacing w:before="120" w:after="12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363"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775B39F" w14:textId="14D3DE95" w:rsidR="006054AA" w:rsidRDefault="001F7667">
            <w:pPr>
              <w:pStyle w:val="P68B1DB1-Normal10"/>
              <w:spacing w:before="120" w:after="12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BE54DF2" w14:textId="5D9994ED" w:rsidR="006054AA" w:rsidRDefault="001F7667">
            <w:pPr>
              <w:pStyle w:val="P68B1DB1-Normal9"/>
              <w:spacing w:before="120" w:after="120"/>
              <w:jc w:val="center"/>
              <w:rPr>
                <w:noProof/>
              </w:rPr>
            </w:pPr>
            <w:r>
              <w:rPr>
                <w:noProof/>
              </w:rPr>
              <w:t>Примерен график за приключване</w:t>
            </w:r>
          </w:p>
        </w:tc>
        <w:tc>
          <w:tcPr>
            <w:tcW w:w="4094" w:type="dxa"/>
            <w:vMerge w:val="restart"/>
            <w:tcBorders>
              <w:top w:val="single" w:sz="4" w:space="0" w:color="auto"/>
              <w:left w:val="single" w:sz="4" w:space="0" w:color="auto"/>
              <w:right w:val="single" w:sz="4" w:space="0" w:color="auto"/>
            </w:tcBorders>
            <w:shd w:val="clear" w:color="auto" w:fill="C6D9F1"/>
            <w:vAlign w:val="center"/>
          </w:tcPr>
          <w:p w14:paraId="16EC0539" w14:textId="79492987" w:rsidR="006054AA" w:rsidRDefault="001F7667">
            <w:pPr>
              <w:pStyle w:val="P68B1DB1-Normal9"/>
              <w:spacing w:before="120" w:after="120"/>
              <w:rPr>
                <w:noProof/>
              </w:rPr>
            </w:pPr>
            <w:r>
              <w:rPr>
                <w:noProof/>
              </w:rPr>
              <w:t>Описание на всеки ключов етап и цел</w:t>
            </w:r>
          </w:p>
        </w:tc>
      </w:tr>
      <w:tr w:rsidR="006054AA" w14:paraId="24CD4632" w14:textId="77777777">
        <w:trPr>
          <w:trHeight w:val="718"/>
          <w:tblHeader/>
        </w:trPr>
        <w:tc>
          <w:tcPr>
            <w:tcW w:w="1135" w:type="dxa"/>
            <w:vMerge/>
            <w:shd w:val="clear" w:color="auto" w:fill="C6D9F1"/>
            <w:vAlign w:val="center"/>
          </w:tcPr>
          <w:p w14:paraId="42E05AB3" w14:textId="62199909" w:rsidR="006054AA" w:rsidRDefault="006054AA">
            <w:pPr>
              <w:spacing w:before="120" w:after="120"/>
              <w:jc w:val="center"/>
              <w:rPr>
                <w:rFonts w:ascii="Arial Narrow" w:hAnsi="Arial Narrow"/>
                <w:noProof/>
                <w:sz w:val="20"/>
              </w:rPr>
            </w:pPr>
          </w:p>
        </w:tc>
        <w:tc>
          <w:tcPr>
            <w:tcW w:w="1134" w:type="dxa"/>
            <w:vMerge/>
            <w:shd w:val="clear" w:color="auto" w:fill="C6D9F1"/>
            <w:vAlign w:val="center"/>
          </w:tcPr>
          <w:p w14:paraId="340453B4" w14:textId="00A8ADA1" w:rsidR="006054AA" w:rsidRDefault="006054AA">
            <w:pPr>
              <w:spacing w:before="120" w:after="120"/>
              <w:jc w:val="center"/>
              <w:rPr>
                <w:rFonts w:ascii="Arial Narrow" w:hAnsi="Arial Narrow"/>
                <w:noProof/>
                <w:sz w:val="20"/>
              </w:rPr>
            </w:pPr>
          </w:p>
        </w:tc>
        <w:tc>
          <w:tcPr>
            <w:tcW w:w="1134" w:type="dxa"/>
            <w:vMerge/>
            <w:shd w:val="clear" w:color="auto" w:fill="C6D9F1"/>
            <w:vAlign w:val="center"/>
          </w:tcPr>
          <w:p w14:paraId="250BEF98" w14:textId="01E671CE" w:rsidR="006054AA" w:rsidRDefault="006054AA">
            <w:pPr>
              <w:spacing w:before="120" w:after="120"/>
              <w:jc w:val="center"/>
              <w:rPr>
                <w:rFonts w:ascii="Arial Narrow" w:hAnsi="Arial Narrow"/>
                <w:noProof/>
                <w:sz w:val="20"/>
              </w:rPr>
            </w:pPr>
          </w:p>
        </w:tc>
        <w:tc>
          <w:tcPr>
            <w:tcW w:w="1701" w:type="dxa"/>
            <w:vMerge/>
            <w:shd w:val="clear" w:color="auto" w:fill="C6D9F1"/>
            <w:vAlign w:val="center"/>
          </w:tcPr>
          <w:p w14:paraId="55F34D78" w14:textId="4CCA247B" w:rsidR="006054AA" w:rsidRDefault="006054AA">
            <w:pPr>
              <w:spacing w:before="120" w:after="120"/>
              <w:jc w:val="center"/>
              <w:rPr>
                <w:rFonts w:ascii="Arial Narrow" w:hAnsi="Arial Narrow"/>
                <w:noProof/>
                <w:sz w:val="20"/>
              </w:rPr>
            </w:pPr>
          </w:p>
        </w:tc>
        <w:tc>
          <w:tcPr>
            <w:tcW w:w="1456" w:type="dxa"/>
            <w:vMerge/>
            <w:shd w:val="clear" w:color="auto" w:fill="C6D9F1"/>
            <w:vAlign w:val="center"/>
          </w:tcPr>
          <w:p w14:paraId="71EFD7B9" w14:textId="451EE1D3" w:rsidR="006054AA" w:rsidRDefault="006054AA">
            <w:pPr>
              <w:spacing w:before="120" w:after="120"/>
              <w:jc w:val="center"/>
              <w:rPr>
                <w:rFonts w:ascii="Arial Narrow" w:hAnsi="Arial Narrow"/>
                <w:noProof/>
                <w:sz w:val="20"/>
              </w:rPr>
            </w:pP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tcPr>
          <w:p w14:paraId="1933B9F6" w14:textId="5BE37DC8" w:rsidR="006054AA" w:rsidRDefault="001F7667">
            <w:pPr>
              <w:pStyle w:val="P68B1DB1-Normal9"/>
              <w:spacing w:before="120" w:after="120"/>
              <w:jc w:val="center"/>
              <w:rPr>
                <w:noProof/>
              </w:rPr>
            </w:pPr>
            <w:r>
              <w:rPr>
                <w:noProof/>
              </w:rPr>
              <w:t>Единица мярка</w:t>
            </w:r>
          </w:p>
        </w:tc>
        <w:tc>
          <w:tcPr>
            <w:tcW w:w="1127" w:type="dxa"/>
            <w:tcBorders>
              <w:top w:val="single" w:sz="4" w:space="0" w:color="auto"/>
              <w:left w:val="single" w:sz="4" w:space="0" w:color="auto"/>
              <w:bottom w:val="single" w:sz="4" w:space="0" w:color="auto"/>
              <w:right w:val="single" w:sz="4" w:space="0" w:color="auto"/>
            </w:tcBorders>
            <w:shd w:val="clear" w:color="auto" w:fill="C6D9F1"/>
            <w:vAlign w:val="center"/>
          </w:tcPr>
          <w:p w14:paraId="7071DF9E" w14:textId="415D3A26" w:rsidR="006054AA" w:rsidRDefault="001F7667">
            <w:pPr>
              <w:pStyle w:val="P68B1DB1-Normal9"/>
              <w:spacing w:before="120" w:after="120"/>
              <w:jc w:val="center"/>
              <w:rPr>
                <w:noProof/>
              </w:rPr>
            </w:pPr>
            <w:r>
              <w:rPr>
                <w:noProof/>
              </w:rPr>
              <w:t>Базова линия</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B9C94A7" w14:textId="308C8B23" w:rsidR="006054AA" w:rsidRDefault="001F7667">
            <w:pPr>
              <w:pStyle w:val="P68B1DB1-Normal9"/>
              <w:spacing w:before="120" w:after="120"/>
              <w:jc w:val="center"/>
              <w:rPr>
                <w:noProof/>
              </w:rPr>
            </w:pPr>
            <w:r>
              <w:rPr>
                <w:noProof/>
              </w:rPr>
              <w:t>Цел</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20FFA602" w14:textId="1AC2948F" w:rsidR="006054AA" w:rsidRDefault="001F7667">
            <w:pPr>
              <w:pStyle w:val="P68B1DB1-Normal9"/>
              <w:spacing w:before="120" w:after="120"/>
              <w:jc w:val="center"/>
              <w:rPr>
                <w:noProof/>
              </w:rPr>
            </w:pPr>
            <w:r>
              <w:rPr>
                <w:noProof/>
              </w:rPr>
              <w:t>Тримесечие</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tcPr>
          <w:p w14:paraId="0A905E51" w14:textId="35C9F96F" w:rsidR="006054AA" w:rsidRDefault="001F7667">
            <w:pPr>
              <w:pStyle w:val="P68B1DB1-Normal9"/>
              <w:spacing w:before="120" w:after="120"/>
              <w:jc w:val="center"/>
              <w:rPr>
                <w:noProof/>
              </w:rPr>
            </w:pPr>
            <w:r>
              <w:rPr>
                <w:noProof/>
              </w:rPr>
              <w:t>Година</w:t>
            </w:r>
          </w:p>
        </w:tc>
        <w:tc>
          <w:tcPr>
            <w:tcW w:w="4094" w:type="dxa"/>
            <w:vMerge/>
            <w:tcBorders>
              <w:left w:val="single" w:sz="4" w:space="0" w:color="auto"/>
              <w:bottom w:val="single" w:sz="4" w:space="0" w:color="auto"/>
              <w:right w:val="single" w:sz="4" w:space="0" w:color="auto"/>
            </w:tcBorders>
            <w:shd w:val="clear" w:color="auto" w:fill="C6D9F1"/>
            <w:vAlign w:val="center"/>
          </w:tcPr>
          <w:p w14:paraId="5F7EF6C1" w14:textId="77777777" w:rsidR="006054AA" w:rsidRDefault="006054AA">
            <w:pPr>
              <w:spacing w:before="120" w:after="120"/>
              <w:rPr>
                <w:rFonts w:ascii="Arial Narrow" w:hAnsi="Arial Narrow"/>
                <w:noProof/>
                <w:sz w:val="20"/>
              </w:rPr>
            </w:pPr>
          </w:p>
        </w:tc>
      </w:tr>
      <w:tr w:rsidR="006054AA" w14:paraId="08E774D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CD8173C" w14:textId="77777777" w:rsidR="006054AA" w:rsidRDefault="001F7667">
            <w:pPr>
              <w:pStyle w:val="P68B1DB1-Normal11"/>
              <w:jc w:val="center"/>
              <w:rPr>
                <w:noProof/>
              </w:rPr>
            </w:pPr>
            <w:r>
              <w:rPr>
                <w:noProof/>
              </w:rPr>
              <w:t>M1C2—1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9002106" w14:textId="77777777" w:rsidR="006054AA" w:rsidRDefault="001F7667">
            <w:pPr>
              <w:pStyle w:val="P68B1DB1-Normal11"/>
              <w:jc w:val="center"/>
              <w:rPr>
                <w:noProof/>
              </w:rPr>
            </w:pPr>
            <w:r>
              <w:rPr>
                <w:noProof/>
              </w:rPr>
              <w:t>Инвестиция 1: Преход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FFE748" w14:textId="77777777" w:rsidR="006054AA" w:rsidRDefault="001F7667">
            <w:pPr>
              <w:pStyle w:val="P68B1DB1-Normal11"/>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85871A0" w14:textId="77777777" w:rsidR="006054AA" w:rsidRDefault="001F7667">
            <w:pPr>
              <w:pStyle w:val="P68B1DB1-Normal11"/>
              <w:jc w:val="center"/>
              <w:rPr>
                <w:noProof/>
              </w:rPr>
            </w:pPr>
            <w:r>
              <w:rPr>
                <w:noProof/>
              </w:rPr>
              <w:t>Влизане в сила на правни актове за предоставяне на данъчните кредити по Преход 4.0 на разположение на потенциалните бенефициери и създаване на Научния комитет</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0BD101" w14:textId="77777777" w:rsidR="006054AA" w:rsidRDefault="001F7667">
            <w:pPr>
              <w:pStyle w:val="P68B1DB1-Normal11"/>
              <w:jc w:val="center"/>
              <w:rPr>
                <w:noProof/>
              </w:rPr>
            </w:pPr>
            <w:r>
              <w:rPr>
                <w:noProof/>
              </w:rPr>
              <w:t>Законова разпоредба, указваща влизането в сила на Закона за бюджета, позволяваща данъчните кредити, и разпоредба в съответните актове за изпълнение, указваща влизането им в сила</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45DF0F3" w14:textId="77777777" w:rsidR="006054AA" w:rsidRDefault="001F7667">
            <w:pPr>
              <w:pStyle w:val="P68B1DB1-Normal11"/>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2F16F18" w14:textId="77777777" w:rsidR="006054AA" w:rsidRDefault="001F7667">
            <w:pPr>
              <w:pStyle w:val="P68B1DB1-Normal11"/>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33FDD3C" w14:textId="77777777" w:rsidR="006054AA" w:rsidRDefault="001F7667">
            <w:pPr>
              <w:pStyle w:val="P68B1DB1-Normal11"/>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1727C2" w14:textId="77777777" w:rsidR="006054AA" w:rsidRDefault="001F7667">
            <w:pPr>
              <w:pStyle w:val="P68B1DB1-Normal11"/>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75CF29A" w14:textId="77777777" w:rsidR="006054AA" w:rsidRDefault="001F7667">
            <w:pPr>
              <w:pStyle w:val="P68B1DB1-Normal11"/>
              <w:jc w:val="center"/>
              <w:rPr>
                <w:noProof/>
              </w:rPr>
            </w:pPr>
            <w:r>
              <w:rPr>
                <w:noProof/>
              </w:rPr>
              <w:t>2021</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3D3CF78" w14:textId="77777777" w:rsidR="006054AA" w:rsidRDefault="001F7667">
            <w:pPr>
              <w:pStyle w:val="P68B1DB1-Normal11"/>
              <w:rPr>
                <w:noProof/>
              </w:rPr>
            </w:pPr>
            <w:r>
              <w:rPr>
                <w:noProof/>
              </w:rPr>
              <w:t>С правните актове данъчните кредити по Преход 4.0 се предоставят на потенциалните бенефициери. Това са данъчни кредити за i) 4.0 (т.е. технологично напреднали) материални дълготрайни активи, ii) 4.0 нематериални дълготрайни активи, iii) стандартни нематериални капиталови активи, iv) научноизследователски, развойни и иновационни дейности и v) дейности по обучение.</w:t>
            </w:r>
          </w:p>
          <w:p w14:paraId="5FCAFA0C" w14:textId="77777777" w:rsidR="006054AA" w:rsidRDefault="001F7667">
            <w:pPr>
              <w:pStyle w:val="P68B1DB1-Normal11"/>
              <w:rPr>
                <w:noProof/>
              </w:rPr>
            </w:pPr>
            <w:r>
              <w:rPr>
                <w:noProof/>
              </w:rPr>
              <w:t>Кодовете на данъчните кредити се определят с решение на Агенцията за приходите, за да се даде възможност на бенефициерите да използват данъчните кредити по модела на плащане F24. С приемането на министерско постановление се създава научен комитет, включващ експерти от Министерството на икономиката и финансите, Министерството на икономическото развитие и Централната банка на Италия, за да се оцени икономическото въздействие на данъчните кредити по Преход 4.0.</w:t>
            </w:r>
          </w:p>
        </w:tc>
      </w:tr>
      <w:tr w:rsidR="006054AA" w14:paraId="7744D97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279B405" w14:textId="77777777" w:rsidR="006054AA" w:rsidRDefault="001F7667">
            <w:pPr>
              <w:pStyle w:val="P68B1DB1-Normal11"/>
              <w:spacing w:before="120" w:after="120"/>
              <w:jc w:val="center"/>
              <w:rPr>
                <w:noProof/>
              </w:rPr>
            </w:pPr>
            <w:r>
              <w:rPr>
                <w:noProof/>
              </w:rPr>
              <w:t>M1C2—2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1FBF6D7" w14:textId="77777777" w:rsidR="006054AA" w:rsidRDefault="001F7667">
            <w:pPr>
              <w:pStyle w:val="P68B1DB1-Normal11"/>
              <w:spacing w:before="120" w:after="120"/>
              <w:jc w:val="center"/>
              <w:rPr>
                <w:noProof/>
              </w:rPr>
            </w:pPr>
            <w:r>
              <w:rPr>
                <w:noProof/>
              </w:rPr>
              <w:t>Инвестиция 1: Преход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A395379" w14:textId="77777777" w:rsidR="006054AA" w:rsidRDefault="001F7667">
            <w:pPr>
              <w:pStyle w:val="P68B1DB1-Normal11"/>
              <w:spacing w:before="120" w:after="120"/>
              <w:jc w:val="center"/>
              <w:rPr>
                <w:noProof/>
              </w:rPr>
            </w:pPr>
            <w:r>
              <w:rPr>
                <w:noProof/>
              </w:rPr>
              <w:t>Целеви</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4419BB" w14:textId="77777777" w:rsidR="006054AA" w:rsidRDefault="001F7667">
            <w:pPr>
              <w:pStyle w:val="P68B1DB1-Normal11"/>
              <w:spacing w:before="120" w:after="120"/>
              <w:jc w:val="center"/>
              <w:rPr>
                <w:noProof/>
              </w:rPr>
            </w:pPr>
            <w:r>
              <w:rPr>
                <w:noProof/>
              </w:rPr>
              <w:t>Преход 4.0 данъчни кредити, предоставени на предприятия въз основа на данъчни декларации, представени през 2021—2022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39C0470" w14:textId="77777777" w:rsidR="006054AA" w:rsidRDefault="001F7667">
            <w:pPr>
              <w:pStyle w:val="P68B1DB1-Normal11"/>
              <w:spacing w:before="120" w:after="120"/>
              <w:jc w:val="center"/>
              <w:rPr>
                <w:noProof/>
              </w:rPr>
            </w:pPr>
            <w:r>
              <w:rPr>
                <w:noProof/>
              </w:rPr>
              <w:t>НЯМА</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362E693" w14:textId="77777777" w:rsidR="006054AA" w:rsidRDefault="001F7667">
            <w:pPr>
              <w:pStyle w:val="P68B1DB1-Normal11"/>
              <w:spacing w:before="120" w:after="120"/>
              <w:jc w:val="center"/>
              <w:rPr>
                <w:noProof/>
              </w:rPr>
            </w:pPr>
            <w:r>
              <w:rPr>
                <w:noProof/>
              </w:rPr>
              <w:t>Брой</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4345D7C" w14:textId="77777777" w:rsidR="006054AA" w:rsidRDefault="001F7667">
            <w:pPr>
              <w:pStyle w:val="P68B1DB1-Normal11"/>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F32DD8" w14:textId="75525655" w:rsidR="006054AA" w:rsidRDefault="001F7667">
            <w:pPr>
              <w:pStyle w:val="P68B1DB1-Normal11"/>
              <w:spacing w:before="120" w:after="120"/>
              <w:jc w:val="center"/>
              <w:rPr>
                <w:noProof/>
              </w:rPr>
            </w:pPr>
            <w:r>
              <w:rPr>
                <w:noProof/>
              </w:rPr>
              <w:t>69 900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732A277" w14:textId="77777777" w:rsidR="006054AA" w:rsidRDefault="001F7667">
            <w:pPr>
              <w:pStyle w:val="P68B1DB1-Normal11"/>
              <w:spacing w:before="120" w:after="120"/>
              <w:jc w:val="center"/>
              <w:rPr>
                <w:noProof/>
              </w:rPr>
            </w:pPr>
            <w:r>
              <w:rPr>
                <w:noProof/>
              </w:rPr>
              <w:t>Т2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C8F97C1" w14:textId="77777777" w:rsidR="006054AA" w:rsidRDefault="001F7667">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BBDAFDD" w14:textId="17B4D00D" w:rsidR="006054AA" w:rsidRDefault="001F7667">
            <w:pPr>
              <w:pStyle w:val="P68B1DB1-Normal12"/>
              <w:rPr>
                <w:rFonts w:ascii="Arial Narrow" w:hAnsi="Arial Narrow"/>
                <w:noProof/>
              </w:rPr>
            </w:pPr>
            <w:r>
              <w:rPr>
                <w:rFonts w:ascii="Arial Narrow" w:hAnsi="Arial Narrow"/>
                <w:noProof/>
              </w:rPr>
              <w:t>Най-малко 69</w:t>
            </w:r>
            <w:r>
              <w:rPr>
                <w:noProof/>
              </w:rPr>
              <w:t xml:space="preserve"> </w:t>
            </w:r>
            <w:r>
              <w:rPr>
                <w:rFonts w:ascii="Arial Narrow" w:hAnsi="Arial Narrow"/>
                <w:noProof/>
              </w:rPr>
              <w:t>900 данъчни кредити по Преход 4.0 са предоставени на дружества във връзка с 4.0 материални дълготрайни активи, 4.0 нематериални дълготрайни активи, стандартни нематериални дълготрайни активи, научноизследователски, развойни и иновационни дейности или дейности по обучение въз основа на данъчни декларации, представени между 1 януари 2021 г. и 31 декември 2022 г. Очаква се по-специално:</w:t>
            </w:r>
          </w:p>
          <w:p w14:paraId="271088BA" w14:textId="6AE1E289"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17700 данъчни кредита за 4.0 материални дълготрайни активи въз основа на данъчни декларации, подадени между 1 януари 2021 г. и 31 декември 2022 г.;</w:t>
            </w:r>
          </w:p>
          <w:p w14:paraId="405A2070" w14:textId="3C1D7089"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27300 данъчни кредита за 4.0 нематериални дълготрайни активи въз основа на данъчни декларации, подадени между 1 януари 2021 г. и 31 декември 2022 г.;</w:t>
            </w:r>
          </w:p>
          <w:p w14:paraId="5C9B2C7F" w14:textId="66F93C0D"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13600 данъчни кредита за стандартни нематериални дълготрайни активи въз основа на данъчни декларации, подадени между 1 януари 2021 г. и 31 декември 2022 г.;</w:t>
            </w:r>
          </w:p>
          <w:p w14:paraId="4806ECBD" w14:textId="4594E6A2"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10300 данъчни кредита за научноизследователска, развойна и иновационна дейност въз основа на данъчни декларации, подадени между 1 януари и 31 декември 2022 г.;</w:t>
            </w:r>
          </w:p>
          <w:p w14:paraId="4CB4D804" w14:textId="242BE434"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1000 данъчни кредита за дейности по обучение въз основа на данъчни декларации, подадени между 1 януари и 31 декември 2022 г.</w:t>
            </w:r>
          </w:p>
          <w:p w14:paraId="5282996D" w14:textId="0B315898" w:rsidR="006054AA" w:rsidRDefault="001F7667">
            <w:pPr>
              <w:pStyle w:val="P68B1DB1-Normal11"/>
              <w:rPr>
                <w:noProof/>
              </w:rPr>
            </w:pPr>
            <w:r>
              <w:rPr>
                <w:noProof/>
              </w:rPr>
              <w:t>За дружества, чиято данъчна година не съответства на календарната година, краят на съответния период за представяне на данъчните декларации, свързани с всички горепосочени данъчни кредити, се удължава от 31 декември 2022 г. до 30 ноември 2023 г.</w:t>
            </w:r>
          </w:p>
        </w:tc>
      </w:tr>
      <w:tr w:rsidR="006054AA" w14:paraId="79C117E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7588A05" w14:textId="77777777" w:rsidR="006054AA" w:rsidRDefault="001F7667">
            <w:pPr>
              <w:pStyle w:val="P68B1DB1-Normal11"/>
              <w:spacing w:before="120" w:after="120"/>
              <w:jc w:val="center"/>
              <w:rPr>
                <w:noProof/>
              </w:rPr>
            </w:pPr>
            <w:r>
              <w:rPr>
                <w:noProof/>
              </w:rPr>
              <w:t>M1C2—3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B3B42B" w14:textId="77777777" w:rsidR="006054AA" w:rsidRDefault="001F7667">
            <w:pPr>
              <w:pStyle w:val="P68B1DB1-Normal11"/>
              <w:spacing w:before="120" w:after="120"/>
              <w:jc w:val="center"/>
              <w:rPr>
                <w:noProof/>
              </w:rPr>
            </w:pPr>
            <w:r>
              <w:rPr>
                <w:noProof/>
              </w:rPr>
              <w:t>Инвестиция 1: Преход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137AA3" w14:textId="77777777" w:rsidR="006054AA" w:rsidRDefault="001F7667">
            <w:pPr>
              <w:pStyle w:val="P68B1DB1-Normal11"/>
              <w:spacing w:before="120" w:after="120"/>
              <w:jc w:val="center"/>
              <w:rPr>
                <w:noProof/>
              </w:rPr>
            </w:pPr>
            <w:r>
              <w:rPr>
                <w:noProof/>
              </w:rPr>
              <w:t>Целеви</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5548EB7" w14:textId="77777777" w:rsidR="006054AA" w:rsidRDefault="001F7667">
            <w:pPr>
              <w:pStyle w:val="P68B1DB1-Normal11"/>
              <w:spacing w:before="120" w:after="120"/>
              <w:jc w:val="center"/>
              <w:rPr>
                <w:noProof/>
              </w:rPr>
            </w:pPr>
            <w:r>
              <w:rPr>
                <w:noProof/>
              </w:rPr>
              <w:t>Преход 4.0 данъчни кредити, предоставени на предприятия въз основа на данъчни декларации, представени през 2021—2023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F3D19B" w14:textId="77777777" w:rsidR="006054AA" w:rsidRDefault="001F7667">
            <w:pPr>
              <w:pStyle w:val="P68B1DB1-Normal11"/>
              <w:spacing w:before="120" w:after="120"/>
              <w:jc w:val="center"/>
              <w:rPr>
                <w:noProof/>
              </w:rPr>
            </w:pPr>
            <w:r>
              <w:rPr>
                <w:noProof/>
              </w:rPr>
              <w:t>НЯМА</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FBCF9F5" w14:textId="77777777" w:rsidR="006054AA" w:rsidRDefault="001F7667">
            <w:pPr>
              <w:pStyle w:val="P68B1DB1-Normal11"/>
              <w:spacing w:before="120" w:after="120"/>
              <w:jc w:val="center"/>
              <w:rPr>
                <w:noProof/>
              </w:rPr>
            </w:pPr>
            <w:r>
              <w:rPr>
                <w:noProof/>
              </w:rPr>
              <w:t>Брой</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FCDECE5" w14:textId="555C14A8" w:rsidR="006054AA" w:rsidRDefault="001F7667">
            <w:pPr>
              <w:pStyle w:val="P68B1DB1-Normal11"/>
              <w:spacing w:before="120" w:after="120"/>
              <w:jc w:val="center"/>
              <w:rPr>
                <w:noProof/>
              </w:rPr>
            </w:pPr>
            <w:r>
              <w:rPr>
                <w:noProof/>
              </w:rPr>
              <w:t>69 900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A05CC36" w14:textId="0873A461" w:rsidR="006054AA" w:rsidRDefault="001F7667">
            <w:pPr>
              <w:pStyle w:val="P68B1DB1-Normal11"/>
              <w:spacing w:before="120" w:after="120"/>
              <w:jc w:val="center"/>
              <w:rPr>
                <w:noProof/>
              </w:rPr>
            </w:pPr>
            <w:r>
              <w:rPr>
                <w:noProof/>
              </w:rPr>
              <w:t>111 700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B77DDE1" w14:textId="77777777" w:rsidR="006054AA" w:rsidRDefault="001F7667">
            <w:pPr>
              <w:pStyle w:val="P68B1DB1-Normal11"/>
              <w:spacing w:before="120" w:after="120"/>
              <w:jc w:val="center"/>
              <w:rPr>
                <w:noProof/>
              </w:rPr>
            </w:pPr>
            <w:r>
              <w:rPr>
                <w:noProof/>
              </w:rPr>
              <w:t>Т2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087C54C" w14:textId="77777777" w:rsidR="006054AA" w:rsidRDefault="001F7667">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3A8D62A" w14:textId="66ABAA93" w:rsidR="006054AA" w:rsidRDefault="001F7667">
            <w:pPr>
              <w:pStyle w:val="P68B1DB1-Normal12"/>
              <w:rPr>
                <w:rFonts w:ascii="Arial Narrow" w:hAnsi="Arial Narrow"/>
                <w:noProof/>
              </w:rPr>
            </w:pPr>
            <w:r>
              <w:rPr>
                <w:rFonts w:ascii="Arial Narrow" w:hAnsi="Arial Narrow"/>
                <w:noProof/>
              </w:rPr>
              <w:t>Най-малко 111</w:t>
            </w:r>
            <w:r>
              <w:rPr>
                <w:noProof/>
              </w:rPr>
              <w:t xml:space="preserve"> </w:t>
            </w:r>
            <w:r>
              <w:rPr>
                <w:rFonts w:ascii="Arial Narrow" w:hAnsi="Arial Narrow"/>
                <w:noProof/>
              </w:rPr>
              <w:t>700 данъчни кредити по Преход 4.0 са предоставени на дружества във връзка с 4.0 материални дълготрайни активи, 4.0 нематериални дълготрайни активи, стандартни нематериални дълготрайни активи, научноизследователски, развойни и иновационни дейности или дейности по обучение въз основа на данъчни декларации, представени между 1 януари 2021 г. и 31 декември 2023 г. Очаква се по-специално:</w:t>
            </w:r>
          </w:p>
          <w:p w14:paraId="0F2CF622" w14:textId="5909D2CA"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26900 данъчни кредита за 4.0 материални дълготрайни активи въз основа на данъчни декларации, подадени между 1 януари 2021 г. и 31 декември 2023 г.;</w:t>
            </w:r>
          </w:p>
          <w:p w14:paraId="4AEB26E8" w14:textId="39EDE0CA"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41500 данъчни кредита за 4.0 нематериални дълготрайни активи въз основа на данъчни декларации, подадени между 1 януари 2021 г. и 31 декември 2023 г.;</w:t>
            </w:r>
          </w:p>
          <w:p w14:paraId="3A4060BB" w14:textId="1A05C4D0"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20700 данъчни кредита за стандартни нематериални дълготрайни активи въз основа на данъчни декларации, подадени между 1 януари 2021 г. и 31 декември 2023 г.;</w:t>
            </w:r>
          </w:p>
          <w:p w14:paraId="52CBC697" w14:textId="6C331732"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20600 данъчни кредита за научноизследователска, развойна и иновационна дейност въз основа на данъчни декларации, подадени между 1 януари 2022 г. и 31 декември 2023 г.;</w:t>
            </w:r>
          </w:p>
          <w:p w14:paraId="6E8E74D5" w14:textId="4E679EC7" w:rsidR="006054AA" w:rsidRDefault="001F7667">
            <w:pPr>
              <w:pStyle w:val="P68B1DB1-Normal12"/>
              <w:rPr>
                <w:rFonts w:ascii="Arial Narrow" w:hAnsi="Arial Narrow"/>
                <w:noProof/>
              </w:rPr>
            </w:pPr>
            <w:r>
              <w:rPr>
                <w:rFonts w:ascii="Arial Narrow" w:hAnsi="Arial Narrow"/>
                <w:noProof/>
              </w:rPr>
              <w:t>— на предприятията са предоставени най-малко 2000 данъчни кредита за дейности по обучение въз основа на данъчни декларации, подадени между 1 януари 2022 г. и 31 декември 2023 г.</w:t>
            </w:r>
          </w:p>
          <w:p w14:paraId="6A24F162" w14:textId="77777777" w:rsidR="006054AA" w:rsidRDefault="001F7667">
            <w:pPr>
              <w:pStyle w:val="P68B1DB1-Normal11"/>
              <w:rPr>
                <w:noProof/>
              </w:rPr>
            </w:pPr>
            <w:r>
              <w:rPr>
                <w:noProof/>
              </w:rPr>
              <w:t>За дружества, чиято данъчна година не съответства на календарната година, краят на съответния период за представяне на данъчните декларации, свързани с всички горепосочени данъчни кредити, се удължава от 31 декември 2023 г. до 30 ноември 2024 г.</w:t>
            </w:r>
          </w:p>
          <w:p w14:paraId="264D2CEC" w14:textId="77777777" w:rsidR="006054AA" w:rsidRDefault="001F7667">
            <w:pPr>
              <w:pStyle w:val="P68B1DB1-Normal11"/>
              <w:rPr>
                <w:noProof/>
              </w:rPr>
            </w:pPr>
            <w:r>
              <w:rPr>
                <w:noProof/>
              </w:rPr>
              <w:t>Базовото равнище се отнася до броя на данъчните кредити по Преход 4.0, предоставени на дружества въз основа на данъчни декларации, подадени между 1 януари 2021 г. и 31 декември 2022 г. за 4.0 материални дълготрайни активи, 4.0 нематериални дълготрайни активи и стандартни нематериални стоки и въз основа на данъчни декларации, подадени между 1 януари и 31 декември 2022 г. за научноизследователски, развойни и иновационни дейности и дейности по обучение. За дружества, чиято данъчна година не съответства на календарната година, данъчните декларации, представени до 30 ноември 2023 г., също се включват в базовия сценарий за всички гореизброени данъчни кредити.</w:t>
            </w:r>
          </w:p>
        </w:tc>
      </w:tr>
      <w:tr w:rsidR="006054AA" w14:paraId="4B5575D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FBFAFCB" w14:textId="77777777" w:rsidR="006054AA" w:rsidRDefault="001F7667">
            <w:pPr>
              <w:pStyle w:val="P68B1DB1-Normal11"/>
              <w:spacing w:before="120" w:after="120"/>
              <w:jc w:val="center"/>
              <w:rPr>
                <w:noProof/>
              </w:rPr>
            </w:pPr>
            <w:r>
              <w:rPr>
                <w:noProof/>
              </w:rPr>
              <w:t>M1C2—4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C7F0B5" w14:textId="77777777" w:rsidR="006054AA" w:rsidRDefault="001F7667">
            <w:pPr>
              <w:pStyle w:val="P68B1DB1-Normal11"/>
              <w:spacing w:before="120" w:after="120"/>
              <w:jc w:val="center"/>
              <w:rPr>
                <w:noProof/>
              </w:rPr>
            </w:pPr>
            <w:r>
              <w:rPr>
                <w:noProof/>
              </w:rPr>
              <w:t>Реформа 1: Реформа на системата за индустриална собственост</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6A5A98"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7226963" w14:textId="77777777" w:rsidR="006054AA" w:rsidRDefault="001F7667">
            <w:pPr>
              <w:pStyle w:val="P68B1DB1-Normal11"/>
              <w:spacing w:before="120" w:after="120"/>
              <w:jc w:val="center"/>
              <w:rPr>
                <w:noProof/>
              </w:rPr>
            </w:pPr>
            <w:r>
              <w:rPr>
                <w:noProof/>
              </w:rPr>
              <w:t>Влизане в сила на законодателен декрет, целящ реформиране на италианския Кодекс за индустриалната собственост и на съответните актове за изпълнение</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E31D194" w14:textId="77777777" w:rsidR="006054AA" w:rsidRDefault="001F7667">
            <w:pPr>
              <w:pStyle w:val="P68B1DB1-Normal11"/>
              <w:spacing w:before="120" w:after="120"/>
              <w:jc w:val="center"/>
              <w:rPr>
                <w:noProof/>
              </w:rPr>
            </w:pPr>
            <w:r>
              <w:rPr>
                <w:noProof/>
              </w:rPr>
              <w:t>Законова разпоредба, указваща влизането в сила на новия кодекс за индустриална собственост, и разпоредба в съответните актове за изпълнение, указваща влизането им в сила</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8421A13"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AEEEF64"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B62BAC6"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5A42A0D" w14:textId="77777777" w:rsidR="006054AA" w:rsidRDefault="001F7667">
            <w:pPr>
              <w:pStyle w:val="P68B1DB1-Normal11"/>
              <w:spacing w:before="120" w:after="120"/>
              <w:jc w:val="center"/>
              <w:rPr>
                <w:noProof/>
              </w:rPr>
            </w:pPr>
            <w:r>
              <w:rPr>
                <w:noProof/>
              </w:rPr>
              <w:t>Т3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EE12C2" w14:textId="77777777" w:rsidR="006054AA" w:rsidRDefault="001F7667">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95274BE" w14:textId="77777777" w:rsidR="006054AA" w:rsidRDefault="001F7667">
            <w:pPr>
              <w:pStyle w:val="P68B1DB1-Normal11"/>
              <w:rPr>
                <w:noProof/>
              </w:rPr>
            </w:pPr>
            <w:r>
              <w:rPr>
                <w:noProof/>
              </w:rPr>
              <w:t>Новият законодателен декрет изменя италианския Кодекс за индустриалната собственост (Законодателен декрет № 30 от 10 февруари 2005 г.) и обхваща най-малко следните области: I) преглед на регулаторната рамка с цел засилване на защитата на правата върху индустриалната собственост и опростяване на процедурите, ii) засилване на подкрепата за дружествата и научноизследователските институции, iii) подобряване на развитието на умения и компетентности, iv) улесняване на трансфера на знания, v) засилване на насърчаването на иновативните услуги.</w:t>
            </w:r>
          </w:p>
        </w:tc>
      </w:tr>
      <w:tr w:rsidR="006054AA" w14:paraId="737869E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8958FC5" w14:textId="77777777" w:rsidR="006054AA" w:rsidRDefault="001F7667">
            <w:pPr>
              <w:pStyle w:val="P68B1DB1-Normal11"/>
              <w:spacing w:before="120" w:after="120"/>
              <w:jc w:val="center"/>
              <w:rPr>
                <w:noProof/>
              </w:rPr>
            </w:pPr>
            <w:r>
              <w:rPr>
                <w:noProof/>
              </w:rPr>
              <w:t>M1C2—5</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CB93EED" w14:textId="77777777" w:rsidR="006054AA" w:rsidRDefault="001F7667">
            <w:pPr>
              <w:pStyle w:val="P68B1DB1-Normal11"/>
              <w:spacing w:before="120" w:after="120"/>
              <w:jc w:val="center"/>
              <w:rPr>
                <w:noProof/>
              </w:rPr>
            </w:pPr>
            <w:r>
              <w:rPr>
                <w:noProof/>
              </w:rPr>
              <w:t>Инвестиция 6: Инвестиции в системата за индустриална собственост</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AFD314" w14:textId="77777777" w:rsidR="006054AA" w:rsidRDefault="001F7667">
            <w:pPr>
              <w:pStyle w:val="P68B1DB1-Normal11"/>
              <w:spacing w:before="120" w:after="120"/>
              <w:jc w:val="center"/>
              <w:rPr>
                <w:noProof/>
              </w:rPr>
            </w:pPr>
            <w:r>
              <w:rPr>
                <w:noProof/>
              </w:rPr>
              <w:t>Целеви</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9417CF6" w14:textId="77777777" w:rsidR="006054AA" w:rsidRDefault="001F7667">
            <w:pPr>
              <w:pStyle w:val="P68B1DB1-Normal11"/>
              <w:spacing w:before="120" w:after="120"/>
              <w:jc w:val="center"/>
              <w:rPr>
                <w:noProof/>
              </w:rPr>
            </w:pPr>
            <w:r>
              <w:rPr>
                <w:noProof/>
              </w:rPr>
              <w:t>Проекти, подкрепяни от възможности за финансиране, свързани с промишлените обекти</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063A2E9" w14:textId="77777777" w:rsidR="006054AA" w:rsidRDefault="001F7667">
            <w:pPr>
              <w:pStyle w:val="P68B1DB1-Normal11"/>
              <w:spacing w:before="120" w:after="120"/>
              <w:jc w:val="center"/>
              <w:rPr>
                <w:noProof/>
              </w:rPr>
            </w:pPr>
            <w:r>
              <w:rPr>
                <w:noProof/>
              </w:rPr>
              <w:t>НЯМА</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96DB1AB" w14:textId="77777777" w:rsidR="006054AA" w:rsidRDefault="001F7667">
            <w:pPr>
              <w:pStyle w:val="P68B1DB1-Normal11"/>
              <w:spacing w:before="120" w:after="120"/>
              <w:jc w:val="center"/>
              <w:rPr>
                <w:noProof/>
              </w:rPr>
            </w:pPr>
            <w:r>
              <w:rPr>
                <w:noProof/>
              </w:rPr>
              <w:t>Брой</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045AB9D" w14:textId="77777777" w:rsidR="006054AA" w:rsidRDefault="001F7667">
            <w:pPr>
              <w:pStyle w:val="P68B1DB1-Normal11"/>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BD56C3F" w14:textId="77777777" w:rsidR="006054AA" w:rsidRDefault="001F7667">
            <w:pPr>
              <w:pStyle w:val="P68B1DB1-Normal11"/>
              <w:spacing w:before="120" w:after="120"/>
              <w:jc w:val="center"/>
              <w:rPr>
                <w:noProof/>
              </w:rPr>
            </w:pPr>
            <w:r>
              <w:rPr>
                <w:noProof/>
              </w:rPr>
              <w:t>254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5A667EE"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BEDF465" w14:textId="77777777" w:rsidR="006054AA" w:rsidRDefault="001F7667">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C5A5DB" w14:textId="77777777" w:rsidR="006054AA" w:rsidRDefault="001F7667">
            <w:pPr>
              <w:pStyle w:val="P68B1DB1-Normal19"/>
              <w:spacing w:before="120" w:after="120"/>
              <w:rPr>
                <w:noProof/>
              </w:rPr>
            </w:pPr>
            <w:r>
              <w:rPr>
                <w:noProof/>
                <w:color w:val="006100"/>
              </w:rPr>
              <w:t>Поне 254 допълнителни проекта, подкрепени от възможности за финансиране, свързани с промишлените обекти, за дружества и научноизследователски организации, като например мерки, свързани с патентите (Bredistti +), програми за доказване на концепцията (POC) и бюра за трансфер на технологии (TTO), в съответствие с Техническите насоки за „ненанасяне на значителни вреди“ (2021/C58/01) чрез използването на списък за изключване и изискването за спазване на съответното</w:t>
            </w:r>
            <w:r>
              <w:rPr>
                <w:noProof/>
              </w:rPr>
              <w:t xml:space="preserve"> </w:t>
            </w:r>
            <w:r>
              <w:rPr>
                <w:noProof/>
                <w:color w:val="006100"/>
              </w:rPr>
              <w:t>законодателство на ЕС и национално законодателство в областта на околната среда.</w:t>
            </w:r>
          </w:p>
        </w:tc>
      </w:tr>
      <w:tr w:rsidR="006054AA" w14:paraId="1355106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D835DE4" w14:textId="77777777" w:rsidR="006054AA" w:rsidRDefault="001F7667">
            <w:pPr>
              <w:pStyle w:val="P68B1DB1-Normal11"/>
              <w:spacing w:before="120" w:after="120"/>
              <w:jc w:val="center"/>
              <w:rPr>
                <w:noProof/>
              </w:rPr>
            </w:pPr>
            <w:r>
              <w:rPr>
                <w:noProof/>
              </w:rPr>
              <w:t>M1C2—6</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B5F3BB"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654292B"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5BC4776" w14:textId="77777777" w:rsidR="006054AA" w:rsidRDefault="001F7667">
            <w:pPr>
              <w:pStyle w:val="P68B1DB1-Normal11"/>
              <w:spacing w:before="120" w:after="120"/>
              <w:jc w:val="center"/>
              <w:rPr>
                <w:noProof/>
              </w:rPr>
            </w:pPr>
            <w:r>
              <w:rPr>
                <w:noProof/>
              </w:rPr>
              <w:t>Влизане в сила на годишния закон за конкуренцията за 2021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30E68D6" w14:textId="77777777" w:rsidR="006054AA" w:rsidRDefault="001F7667">
            <w:pPr>
              <w:pStyle w:val="P68B1DB1-Normal11"/>
              <w:spacing w:before="120" w:after="120"/>
              <w:jc w:val="center"/>
              <w:rPr>
                <w:noProof/>
              </w:rPr>
            </w:pPr>
            <w:r>
              <w:rPr>
                <w:noProof/>
              </w:rPr>
              <w:t>Разпоредба, указваща влизането в сила на годишния закон за конкуренцията от 2021 г.</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AD8B407"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67F6C07"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1600935"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C4E06BA"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864EA8E" w14:textId="77777777" w:rsidR="006054AA" w:rsidRDefault="001F7667">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873364" w14:textId="77777777" w:rsidR="006054AA" w:rsidRDefault="001F7667">
            <w:pPr>
              <w:pStyle w:val="P68B1DB1-Normal11"/>
              <w:spacing w:before="120" w:after="120"/>
              <w:rPr>
                <w:noProof/>
              </w:rPr>
            </w:pPr>
            <w:r>
              <w:rPr>
                <w:noProof/>
              </w:rPr>
              <w:t>Годишният закон за конкуренцията включва най-малко следните ключови елементи, чиито мерки за прилагане и вторично законодателство (ако е необходимо) се приемат и влизат в сила не по-късно от 31 декември 2022 г.</w:t>
            </w:r>
          </w:p>
          <w:p w14:paraId="17CB22BA" w14:textId="77777777" w:rsidR="006054AA" w:rsidRDefault="001F7667">
            <w:pPr>
              <w:pStyle w:val="P68B1DB1-Normal10"/>
              <w:spacing w:before="120" w:after="120"/>
              <w:rPr>
                <w:noProof/>
                <w:color w:val="006100"/>
                <w:sz w:val="20"/>
              </w:rPr>
            </w:pPr>
            <w:r>
              <w:rPr>
                <w:noProof/>
                <w:color w:val="006100"/>
                <w:sz w:val="20"/>
              </w:rPr>
              <w:t>Il се отнася до:</w:t>
            </w:r>
            <w:r>
              <w:rPr>
                <w:noProof/>
              </w:rPr>
              <w:t xml:space="preserve"> </w:t>
            </w:r>
            <w:r>
              <w:rPr>
                <w:noProof/>
              </w:rPr>
              <w:br/>
            </w:r>
            <w:r>
              <w:rPr>
                <w:noProof/>
                <w:color w:val="006100"/>
                <w:sz w:val="20"/>
              </w:rPr>
              <w:t>Прилагане на антитръстовото законодателство</w:t>
            </w:r>
            <w:r>
              <w:rPr>
                <w:noProof/>
              </w:rPr>
              <w:t xml:space="preserve"> </w:t>
            </w:r>
            <w:r>
              <w:rPr>
                <w:noProof/>
              </w:rPr>
              <w:br/>
              <w:t xml:space="preserve"> </w:t>
            </w:r>
            <w:r>
              <w:rPr>
                <w:noProof/>
                <w:color w:val="006100"/>
                <w:sz w:val="20"/>
              </w:rPr>
              <w:t>Местни обществени услуги</w:t>
            </w:r>
            <w:r>
              <w:rPr>
                <w:noProof/>
              </w:rPr>
              <w:t xml:space="preserve"> </w:t>
            </w:r>
            <w:r>
              <w:rPr>
                <w:noProof/>
              </w:rPr>
              <w:br/>
              <w:t xml:space="preserve"> </w:t>
            </w:r>
            <w:r>
              <w:rPr>
                <w:noProof/>
                <w:color w:val="006100"/>
                <w:sz w:val="20"/>
              </w:rPr>
              <w:t>Енергия</w:t>
            </w:r>
            <w:r>
              <w:rPr>
                <w:noProof/>
              </w:rPr>
              <w:t xml:space="preserve"> </w:t>
            </w:r>
            <w:r>
              <w:rPr>
                <w:noProof/>
              </w:rPr>
              <w:br/>
              <w:t xml:space="preserve"> </w:t>
            </w:r>
            <w:r>
              <w:rPr>
                <w:noProof/>
                <w:color w:val="006100"/>
                <w:sz w:val="20"/>
              </w:rPr>
              <w:t>Транспорт</w:t>
            </w:r>
            <w:r>
              <w:rPr>
                <w:noProof/>
              </w:rPr>
              <w:t xml:space="preserve"> </w:t>
            </w:r>
            <w:r>
              <w:rPr>
                <w:noProof/>
              </w:rPr>
              <w:br/>
              <w:t xml:space="preserve"> </w:t>
            </w:r>
            <w:r>
              <w:rPr>
                <w:noProof/>
                <w:color w:val="006100"/>
                <w:sz w:val="20"/>
              </w:rPr>
              <w:t>Отпадъци</w:t>
            </w:r>
            <w:r>
              <w:rPr>
                <w:noProof/>
              </w:rPr>
              <w:t xml:space="preserve"> </w:t>
            </w:r>
            <w:r>
              <w:rPr>
                <w:noProof/>
              </w:rPr>
              <w:br/>
              <w:t xml:space="preserve"> </w:t>
            </w:r>
            <w:r>
              <w:rPr>
                <w:noProof/>
                <w:color w:val="006100"/>
                <w:sz w:val="20"/>
              </w:rPr>
              <w:t>Започване на бизнес</w:t>
            </w:r>
            <w:r>
              <w:rPr>
                <w:noProof/>
              </w:rPr>
              <w:t xml:space="preserve"> </w:t>
            </w:r>
            <w:r>
              <w:rPr>
                <w:noProof/>
              </w:rPr>
              <w:br/>
              <w:t xml:space="preserve"> </w:t>
            </w:r>
            <w:r>
              <w:rPr>
                <w:noProof/>
                <w:color w:val="006100"/>
                <w:sz w:val="20"/>
              </w:rPr>
              <w:t>Надзор на пазара</w:t>
            </w:r>
          </w:p>
          <w:p w14:paraId="03D3E6ED" w14:textId="77777777" w:rsidR="006054AA" w:rsidRDefault="001F7667">
            <w:pPr>
              <w:pStyle w:val="P68B1DB1-Normal11"/>
              <w:spacing w:before="120" w:after="120"/>
              <w:rPr>
                <w:noProof/>
              </w:rPr>
            </w:pPr>
            <w:r>
              <w:rPr>
                <w:noProof/>
              </w:rPr>
              <w:t>Прилагане на антитръстовото законодателство:</w:t>
            </w:r>
          </w:p>
          <w:p w14:paraId="734EBF94" w14:textId="77777777" w:rsidR="006054AA" w:rsidRDefault="001F7667">
            <w:pPr>
              <w:pStyle w:val="P68B1DB1-Normal11"/>
              <w:spacing w:before="120" w:after="120"/>
              <w:rPr>
                <w:noProof/>
              </w:rPr>
            </w:pPr>
            <w:r>
              <w:rPr>
                <w:noProof/>
              </w:rPr>
              <w:t>премахване на допълнителните пречки пред контрола на сливането чрез по-нататъшно привеждане в съответствие на италианските правила за контрол на сливанията с правото на ЕС.</w:t>
            </w:r>
          </w:p>
          <w:p w14:paraId="58371D30" w14:textId="77777777" w:rsidR="006054AA" w:rsidRDefault="001F7667">
            <w:pPr>
              <w:pStyle w:val="P68B1DB1-Normal11"/>
              <w:spacing w:before="120" w:after="120"/>
              <w:rPr>
                <w:noProof/>
              </w:rPr>
            </w:pPr>
            <w:r>
              <w:rPr>
                <w:noProof/>
              </w:rPr>
              <w:t>Местни обществени услуги:</w:t>
            </w:r>
          </w:p>
          <w:p w14:paraId="55679EFE" w14:textId="77777777" w:rsidR="006054AA" w:rsidRDefault="001F7667">
            <w:pPr>
              <w:pStyle w:val="P68B1DB1-Normal11"/>
              <w:spacing w:before="120" w:after="120"/>
              <w:rPr>
                <w:noProof/>
              </w:rPr>
            </w:pPr>
            <w:r>
              <w:rPr>
                <w:noProof/>
              </w:rPr>
              <w:t>II. Укрепване и по-широко използване на принципа на конкуренция за местни обществени поръчки за услуги, по-специално в областта на отпадъците и местния обществен транспорт.</w:t>
            </w:r>
          </w:p>
          <w:p w14:paraId="034B46FA" w14:textId="77777777" w:rsidR="006054AA" w:rsidRDefault="001F7667">
            <w:pPr>
              <w:pStyle w:val="P68B1DB1-Normal11"/>
              <w:spacing w:before="120" w:after="120"/>
              <w:rPr>
                <w:noProof/>
              </w:rPr>
            </w:pPr>
            <w:r>
              <w:rPr>
                <w:noProof/>
              </w:rPr>
              <w:t>III. Ограничаване на прякото възлагане, като се изисква от местните публични органи да обосновават всяко отклонение от тръжната процедура за възлагане на обществени поръчки за услуги (съгласно член 192 от Кодекса за обществените поръчки).</w:t>
            </w:r>
          </w:p>
          <w:p w14:paraId="79EE89FB" w14:textId="77777777" w:rsidR="006054AA" w:rsidRDefault="001F7667">
            <w:pPr>
              <w:pStyle w:val="P68B1DB1-Normal11"/>
              <w:spacing w:before="120" w:after="120"/>
              <w:rPr>
                <w:noProof/>
              </w:rPr>
            </w:pPr>
            <w:r>
              <w:rPr>
                <w:noProof/>
              </w:rPr>
              <w:t>IV. Осигуряване на подходящо регулиране на обществените поръчки за услуги чрез прилагане на член 19 от Закон 124/2015 като единен текст относно местните обществени услуги, по-специално в областта на управлението на отпадъците.</w:t>
            </w:r>
          </w:p>
          <w:p w14:paraId="4F3065FC" w14:textId="41ED1F13" w:rsidR="006054AA" w:rsidRDefault="001F7667">
            <w:pPr>
              <w:pStyle w:val="P68B1DB1-Normal12"/>
              <w:spacing w:before="120" w:after="120"/>
              <w:rPr>
                <w:rFonts w:ascii="Arial Narrow" w:hAnsi="Arial Narrow"/>
                <w:noProof/>
              </w:rPr>
            </w:pPr>
            <w:r>
              <w:rPr>
                <w:rFonts w:ascii="Arial Narrow" w:hAnsi="Arial Narrow"/>
                <w:noProof/>
              </w:rPr>
              <w:t>V. Правила и механизми за обединяване стимулират общинските съюзи с цел намаляване на броя на субектите и възлагащите органи чрез свързването им с оптималните териториални агрегати („ambiti territoriali ottimali „) и районите и адекватните равнища на местните и регионалните услуги за обществен транспорт („bacini e livelli adeguati di servizi di trasporto pubblico locale e regionale e regionale“) с най-малко 350</w:t>
            </w:r>
            <w:r>
              <w:rPr>
                <w:noProof/>
              </w:rPr>
              <w:t xml:space="preserve"> </w:t>
            </w:r>
            <w:r>
              <w:rPr>
                <w:rFonts w:ascii="Arial Narrow" w:hAnsi="Arial Narrow"/>
                <w:noProof/>
              </w:rPr>
              <w:t>000 жители.</w:t>
            </w:r>
          </w:p>
          <w:p w14:paraId="42F836A7" w14:textId="77777777" w:rsidR="006054AA" w:rsidRDefault="001F7667">
            <w:pPr>
              <w:pStyle w:val="P68B1DB1-Normal11"/>
              <w:spacing w:before="120" w:after="120"/>
              <w:rPr>
                <w:noProof/>
              </w:rPr>
            </w:pPr>
            <w:r>
              <w:rPr>
                <w:noProof/>
              </w:rPr>
              <w:t>Правният акт относно местните обществени услуги, с който се прилага член 19 от Закон 124/2015, трябва най-малко:</w:t>
            </w:r>
          </w:p>
          <w:p w14:paraId="475585B3" w14:textId="77777777" w:rsidR="006054AA" w:rsidRDefault="001F7667">
            <w:pPr>
              <w:pStyle w:val="P68B1DB1-Normal11"/>
              <w:spacing w:before="120" w:after="120"/>
              <w:rPr>
                <w:noProof/>
              </w:rPr>
            </w:pPr>
            <w:r>
              <w:rPr>
                <w:noProof/>
              </w:rPr>
              <w:t>определяне на обществените услуги въз основа на критериите на правото на ЕС;</w:t>
            </w:r>
          </w:p>
          <w:p w14:paraId="36F7067C" w14:textId="77777777" w:rsidR="006054AA" w:rsidRDefault="001F7667">
            <w:pPr>
              <w:pStyle w:val="P68B1DB1-Normal11"/>
              <w:spacing w:before="120" w:after="120"/>
              <w:rPr>
                <w:noProof/>
              </w:rPr>
            </w:pPr>
            <w:r>
              <w:rPr>
                <w:noProof/>
              </w:rPr>
              <w:t>предвижда общи принципи на предоставяне, регулиране и управление на местните обществени услуги;</w:t>
            </w:r>
          </w:p>
          <w:p w14:paraId="3DC09073" w14:textId="77777777" w:rsidR="006054AA" w:rsidRDefault="001F7667">
            <w:pPr>
              <w:pStyle w:val="P68B1DB1-Normal11"/>
              <w:spacing w:before="120" w:after="120"/>
              <w:rPr>
                <w:noProof/>
              </w:rPr>
            </w:pPr>
            <w:r>
              <w:rPr>
                <w:noProof/>
              </w:rPr>
              <w:t>— установяване на общ принцип на пропорционалност по отношение на продължителността на обществените поръчки за услуги;</w:t>
            </w:r>
          </w:p>
          <w:p w14:paraId="1F72579B" w14:textId="77777777" w:rsidR="006054AA" w:rsidRDefault="001F7667">
            <w:pPr>
              <w:pStyle w:val="P68B1DB1-Normal11"/>
              <w:spacing w:before="120" w:after="120"/>
              <w:rPr>
                <w:noProof/>
              </w:rPr>
            </w:pPr>
            <w:r>
              <w:rPr>
                <w:noProof/>
              </w:rPr>
              <w:t>ясно разделение на функциите по регулиране и контрол и управление на обществените поръчки за услуги;</w:t>
            </w:r>
          </w:p>
          <w:p w14:paraId="0097A842" w14:textId="77777777" w:rsidR="006054AA" w:rsidRDefault="001F7667">
            <w:pPr>
              <w:pStyle w:val="P68B1DB1-Normal11"/>
              <w:spacing w:before="120" w:after="120"/>
              <w:rPr>
                <w:noProof/>
              </w:rPr>
            </w:pPr>
            <w:r>
              <w:rPr>
                <w:noProof/>
              </w:rPr>
              <w:t>— да гарантира, че местните публични органи обосновават увеличаването на дяловете на участващите дружества за вътрешно възлагане;</w:t>
            </w:r>
          </w:p>
          <w:p w14:paraId="551EA260" w14:textId="77777777" w:rsidR="006054AA" w:rsidRDefault="001F7667">
            <w:pPr>
              <w:pStyle w:val="P68B1DB1-Normal11"/>
              <w:spacing w:before="120" w:after="120"/>
              <w:rPr>
                <w:noProof/>
              </w:rPr>
            </w:pPr>
            <w:r>
              <w:rPr>
                <w:noProof/>
              </w:rPr>
              <w:t>— осигуряване на подходяща компенсация за договорите за обществени услуги въз основа на оценка на разходите под надзора на независими регулатори (напр. ARERA за енергия или ART за транспорта);</w:t>
            </w:r>
          </w:p>
          <w:p w14:paraId="134811C6" w14:textId="6B1AB47F" w:rsidR="006054AA" w:rsidRDefault="001F7667">
            <w:pPr>
              <w:pStyle w:val="P68B1DB1-Normal11"/>
              <w:spacing w:before="120" w:after="120"/>
              <w:rPr>
                <w:noProof/>
              </w:rPr>
            </w:pPr>
            <w:r>
              <w:rPr>
                <w:noProof/>
              </w:rPr>
              <w:t>— да ограничи средната продължителност на вътрешните договори и да намали и хармонизира сред възложителите стандартната продължителност на договорите, предмет на тръжната процедура, при условие че тази продължителност гарантира икономическото и финансовото равновесие на договорите, също въз основа на критериите, определени от Транспортния орган.</w:t>
            </w:r>
          </w:p>
          <w:p w14:paraId="4B4CFCFD" w14:textId="77777777" w:rsidR="006054AA" w:rsidRDefault="001F7667">
            <w:pPr>
              <w:pStyle w:val="P68B1DB1-Normal11"/>
              <w:spacing w:before="120" w:after="120"/>
              <w:rPr>
                <w:noProof/>
              </w:rPr>
            </w:pPr>
            <w:r>
              <w:rPr>
                <w:noProof/>
              </w:rPr>
              <w:t>Енергия:</w:t>
            </w:r>
          </w:p>
          <w:p w14:paraId="63924110" w14:textId="35F7E71D" w:rsidR="006054AA" w:rsidRDefault="001F7667">
            <w:pPr>
              <w:pStyle w:val="P68B1DB1-Normal10"/>
              <w:spacing w:before="120" w:after="120"/>
              <w:rPr>
                <w:noProof/>
                <w:color w:val="006100"/>
                <w:sz w:val="20"/>
              </w:rPr>
            </w:pPr>
            <w:r>
              <w:rPr>
                <w:noProof/>
                <w:color w:val="006100"/>
                <w:sz w:val="20"/>
              </w:rPr>
              <w:t>VI.</w:t>
            </w:r>
            <w:r>
              <w:rPr>
                <w:noProof/>
              </w:rPr>
              <w:t xml:space="preserve"> </w:t>
            </w:r>
            <w:r>
              <w:rPr>
                <w:noProof/>
                <w:color w:val="006100"/>
                <w:sz w:val="20"/>
              </w:rPr>
              <w:t>Да направи задължително провеждането на търгове за договори за концесии за водноелектрическа енергия и да определи регулаторната рамка за концесиите за водноелектрическа енергия.</w:t>
            </w:r>
          </w:p>
          <w:p w14:paraId="7CD6E3C4" w14:textId="3A970D53" w:rsidR="006054AA" w:rsidRDefault="001F7667">
            <w:pPr>
              <w:pStyle w:val="P68B1DB1-Normal10"/>
              <w:spacing w:before="120" w:after="120"/>
              <w:rPr>
                <w:noProof/>
                <w:color w:val="006100"/>
                <w:sz w:val="20"/>
              </w:rPr>
            </w:pPr>
            <w:r>
              <w:rPr>
                <w:noProof/>
                <w:color w:val="006100"/>
                <w:sz w:val="20"/>
              </w:rPr>
              <w:t>VII.</w:t>
            </w:r>
            <w:r>
              <w:rPr>
                <w:noProof/>
              </w:rPr>
              <w:t xml:space="preserve"> </w:t>
            </w:r>
            <w:r>
              <w:rPr>
                <w:noProof/>
                <w:color w:val="006100"/>
                <w:sz w:val="20"/>
              </w:rPr>
              <w:t>Да направи задължително провеждането на търгове за договори за концесии за разпределение на газ.</w:t>
            </w:r>
          </w:p>
          <w:p w14:paraId="5AECD80D" w14:textId="6CF4ACBD" w:rsidR="006054AA" w:rsidRDefault="001F7667">
            <w:pPr>
              <w:pStyle w:val="P68B1DB1-Normal10"/>
              <w:spacing w:before="120" w:after="120"/>
              <w:rPr>
                <w:noProof/>
                <w:color w:val="006100"/>
                <w:sz w:val="20"/>
              </w:rPr>
            </w:pPr>
            <w:r>
              <w:rPr>
                <w:noProof/>
                <w:color w:val="006100"/>
                <w:sz w:val="20"/>
              </w:rPr>
              <w:t>VIII.</w:t>
            </w:r>
            <w:r>
              <w:rPr>
                <w:noProof/>
              </w:rPr>
              <w:t xml:space="preserve"> </w:t>
            </w:r>
            <w:r>
              <w:rPr>
                <w:noProof/>
                <w:color w:val="006100"/>
                <w:sz w:val="20"/>
              </w:rPr>
              <w:t>Установяване на прозрачни и недискриминационни изисквания за предоставянето на обществени пространства за зареждане с електроенергия или за операторите на избрани зарядни точки/станции.</w:t>
            </w:r>
          </w:p>
          <w:p w14:paraId="4B2962AF" w14:textId="091F1F73" w:rsidR="006054AA" w:rsidRDefault="001F7667">
            <w:pPr>
              <w:pStyle w:val="P68B1DB1-Normal10"/>
              <w:spacing w:before="120" w:after="120"/>
              <w:rPr>
                <w:noProof/>
                <w:color w:val="006100"/>
                <w:sz w:val="20"/>
              </w:rPr>
            </w:pPr>
            <w:r>
              <w:rPr>
                <w:noProof/>
                <w:color w:val="006100"/>
                <w:sz w:val="20"/>
              </w:rPr>
              <w:t>IX.</w:t>
            </w:r>
            <w:r>
              <w:rPr>
                <w:noProof/>
              </w:rPr>
              <w:t xml:space="preserve"> </w:t>
            </w:r>
            <w:r>
              <w:rPr>
                <w:noProof/>
                <w:color w:val="006100"/>
                <w:sz w:val="20"/>
              </w:rPr>
              <w:t>Премахване на регулираните тарифи за доставка на електроенергия за зареждане на електрически превозни средства.</w:t>
            </w:r>
          </w:p>
          <w:p w14:paraId="72DBF9FB" w14:textId="77777777" w:rsidR="006054AA" w:rsidRDefault="001F7667">
            <w:pPr>
              <w:pStyle w:val="P68B1DB1-Normal11"/>
              <w:spacing w:before="120" w:after="120"/>
              <w:rPr>
                <w:noProof/>
              </w:rPr>
            </w:pPr>
            <w:r>
              <w:rPr>
                <w:noProof/>
              </w:rPr>
              <w:t>Рамката за конкуренция при концесиите за водноелектрическа енергия най-малко:</w:t>
            </w:r>
          </w:p>
          <w:p w14:paraId="7C1203EC" w14:textId="2ADB2830" w:rsidR="006054AA" w:rsidRDefault="001F7667">
            <w:pPr>
              <w:pStyle w:val="P68B1DB1-Normal10"/>
              <w:spacing w:before="120" w:after="120"/>
              <w:rPr>
                <w:noProof/>
                <w:color w:val="006100"/>
                <w:sz w:val="20"/>
              </w:rPr>
            </w:pPr>
            <w:r>
              <w:rPr>
                <w:noProof/>
                <w:color w:val="006100"/>
                <w:sz w:val="20"/>
              </w:rPr>
              <w:t>—</w:t>
            </w:r>
            <w:r>
              <w:rPr>
                <w:noProof/>
              </w:rPr>
              <w:t xml:space="preserve"> </w:t>
            </w:r>
            <w:r>
              <w:rPr>
                <w:noProof/>
                <w:color w:val="006100"/>
                <w:sz w:val="20"/>
              </w:rPr>
              <w:t>Изискване важните водноелектрически съоръжения да бъдат регулирани от общи и единни критерии на централно равнище.</w:t>
            </w:r>
          </w:p>
          <w:p w14:paraId="5A2D6ABF" w14:textId="332AA898" w:rsidR="006054AA" w:rsidRDefault="001F7667">
            <w:pPr>
              <w:pStyle w:val="P68B1DB1-Normal10"/>
              <w:spacing w:before="120" w:after="120"/>
              <w:rPr>
                <w:noProof/>
                <w:color w:val="006100"/>
                <w:sz w:val="20"/>
              </w:rPr>
            </w:pPr>
            <w:r>
              <w:rPr>
                <w:noProof/>
                <w:color w:val="006100"/>
                <w:sz w:val="20"/>
              </w:rPr>
              <w:t>—</w:t>
            </w:r>
            <w:r>
              <w:rPr>
                <w:noProof/>
              </w:rPr>
              <w:t xml:space="preserve"> </w:t>
            </w:r>
            <w:r>
              <w:rPr>
                <w:noProof/>
                <w:color w:val="006100"/>
                <w:sz w:val="20"/>
              </w:rPr>
              <w:t>Изисква от регионите да определят икономическите критерии, на които се основава срокът на договорите за концесия.</w:t>
            </w:r>
          </w:p>
          <w:p w14:paraId="1B64FE86" w14:textId="0692A368" w:rsidR="006054AA" w:rsidRDefault="001F7667">
            <w:pPr>
              <w:pStyle w:val="P68B1DB1-Normal11"/>
              <w:spacing w:before="120" w:after="120"/>
              <w:rPr>
                <w:noProof/>
              </w:rPr>
            </w:pPr>
            <w:r>
              <w:rPr>
                <w:noProof/>
              </w:rPr>
              <w:t>— Постепенно премахване на възможността за удължаване на срока на договорите (както вече е постановено от италианския Конституционен съд).</w:t>
            </w:r>
          </w:p>
          <w:p w14:paraId="0C852C0E" w14:textId="2D3821E8" w:rsidR="006054AA" w:rsidRDefault="001F7667">
            <w:pPr>
              <w:pStyle w:val="P68B1DB1-Normal10"/>
              <w:spacing w:before="120" w:after="120"/>
              <w:rPr>
                <w:noProof/>
                <w:color w:val="006100"/>
                <w:sz w:val="20"/>
              </w:rPr>
            </w:pPr>
            <w:r>
              <w:rPr>
                <w:noProof/>
                <w:color w:val="006100"/>
                <w:sz w:val="20"/>
              </w:rPr>
              <w:t>—</w:t>
            </w:r>
            <w:r>
              <w:rPr>
                <w:noProof/>
              </w:rPr>
              <w:t xml:space="preserve"> </w:t>
            </w:r>
            <w:r>
              <w:rPr>
                <w:noProof/>
                <w:color w:val="006100"/>
                <w:sz w:val="20"/>
              </w:rPr>
              <w:t>Изискване регионите да хармонизират критериите за достъп до критериите за възлагане на обществени поръчки (за да се създаде предвидима бизнес среда).</w:t>
            </w:r>
          </w:p>
          <w:p w14:paraId="1D573CA8" w14:textId="77777777" w:rsidR="006054AA" w:rsidRDefault="001F7667">
            <w:pPr>
              <w:pStyle w:val="P68B1DB1-Normal11"/>
              <w:spacing w:before="120" w:after="120"/>
              <w:rPr>
                <w:noProof/>
              </w:rPr>
            </w:pPr>
            <w:r>
              <w:rPr>
                <w:noProof/>
              </w:rPr>
              <w:t>Транспорт:</w:t>
            </w:r>
          </w:p>
          <w:p w14:paraId="36BEC349" w14:textId="1D0468A7" w:rsidR="006054AA" w:rsidRDefault="001F7667">
            <w:pPr>
              <w:pStyle w:val="P68B1DB1-Normal10"/>
              <w:spacing w:before="120" w:after="120"/>
              <w:rPr>
                <w:noProof/>
                <w:color w:val="006100"/>
                <w:sz w:val="20"/>
              </w:rPr>
            </w:pPr>
            <w:r>
              <w:rPr>
                <w:noProof/>
                <w:color w:val="006100"/>
                <w:sz w:val="20"/>
              </w:rPr>
              <w:t>определяне наясни, недискриминационни и прозрачни критерии за възлагане на пристанищни концесии.</w:t>
            </w:r>
          </w:p>
          <w:p w14:paraId="4F56A195" w14:textId="3407E6F3" w:rsidR="006054AA" w:rsidRDefault="001F7667">
            <w:pPr>
              <w:pStyle w:val="P68B1DB1-Normal10"/>
              <w:spacing w:before="120" w:after="120"/>
              <w:rPr>
                <w:noProof/>
                <w:color w:val="006100"/>
                <w:sz w:val="20"/>
              </w:rPr>
            </w:pPr>
            <w:r>
              <w:rPr>
                <w:noProof/>
                <w:color w:val="006100"/>
                <w:sz w:val="20"/>
              </w:rPr>
              <w:t>XI.</w:t>
            </w:r>
            <w:r>
              <w:rPr>
                <w:noProof/>
              </w:rPr>
              <w:t xml:space="preserve"> </w:t>
            </w:r>
            <w:r>
              <w:rPr>
                <w:noProof/>
                <w:color w:val="006100"/>
                <w:sz w:val="20"/>
              </w:rPr>
              <w:t>Премахване на пречките пред пристанищните концесионери при сливането на пристанищните концесионни дейности в няколко големи и средни пристанища.</w:t>
            </w:r>
          </w:p>
          <w:p w14:paraId="4981B7B5" w14:textId="1289D7AC" w:rsidR="006054AA" w:rsidRDefault="001F7667">
            <w:pPr>
              <w:pStyle w:val="P68B1DB1-Normal10"/>
              <w:spacing w:before="120" w:after="120"/>
              <w:rPr>
                <w:noProof/>
                <w:color w:val="006100"/>
                <w:sz w:val="20"/>
              </w:rPr>
            </w:pPr>
            <w:r>
              <w:rPr>
                <w:noProof/>
                <w:color w:val="006100"/>
                <w:sz w:val="20"/>
              </w:rPr>
              <w:t>XII.</w:t>
            </w:r>
            <w:r>
              <w:rPr>
                <w:noProof/>
              </w:rPr>
              <w:t xml:space="preserve"> </w:t>
            </w:r>
            <w:r>
              <w:rPr>
                <w:noProof/>
                <w:color w:val="006100"/>
                <w:sz w:val="20"/>
              </w:rPr>
              <w:t>Премахване на пречките, които пречат на концесионерите сами да предоставят някои от пристанищните услуги и да използват свое собствено оборудване, без да се засяга безопасността на работниците, при условие че съответните условия, необходими за защита на безопасността на работниците, са необходими и пропорционални на целта за гарантиране на безопасността в пристанищните зони.</w:t>
            </w:r>
          </w:p>
          <w:p w14:paraId="107167C9" w14:textId="69FF4890" w:rsidR="006054AA" w:rsidRDefault="001F7667">
            <w:pPr>
              <w:pStyle w:val="P68B1DB1-Normal10"/>
              <w:spacing w:before="120" w:after="120"/>
              <w:rPr>
                <w:noProof/>
                <w:color w:val="006100"/>
                <w:sz w:val="20"/>
              </w:rPr>
            </w:pPr>
            <w:r>
              <w:rPr>
                <w:noProof/>
                <w:color w:val="006100"/>
                <w:sz w:val="20"/>
              </w:rPr>
              <w:t>XIII.</w:t>
            </w:r>
            <w:r>
              <w:rPr>
                <w:noProof/>
              </w:rPr>
              <w:t xml:space="preserve"> </w:t>
            </w:r>
            <w:r>
              <w:rPr>
                <w:noProof/>
                <w:color w:val="006100"/>
                <w:sz w:val="20"/>
              </w:rPr>
              <w:t>Опростяване на преразглеждането на процедурите за преразглеждане на разрешителните планове на пристанищата.</w:t>
            </w:r>
          </w:p>
          <w:p w14:paraId="69A73301" w14:textId="7E26B4D3" w:rsidR="006054AA" w:rsidRDefault="001F7667">
            <w:pPr>
              <w:pStyle w:val="P68B1DB1-Normal10"/>
              <w:spacing w:before="120" w:after="120"/>
              <w:rPr>
                <w:noProof/>
                <w:color w:val="006100"/>
                <w:sz w:val="20"/>
              </w:rPr>
            </w:pPr>
            <w:r>
              <w:rPr>
                <w:noProof/>
                <w:color w:val="006100"/>
                <w:sz w:val="20"/>
              </w:rPr>
              <w:t>XIV.</w:t>
            </w:r>
            <w:r>
              <w:rPr>
                <w:noProof/>
              </w:rPr>
              <w:t xml:space="preserve"> </w:t>
            </w:r>
            <w:r>
              <w:rPr>
                <w:noProof/>
                <w:color w:val="006100"/>
                <w:sz w:val="20"/>
              </w:rPr>
              <w:t>Прилагане на член 27, параграф 2, буква г) от Наредба-закон 50/2017, която предвижда стимули за регионите да участват в търгове за регионални договори за железопътен транспорт.</w:t>
            </w:r>
          </w:p>
          <w:p w14:paraId="50C9AFE5" w14:textId="77777777" w:rsidR="006054AA" w:rsidRDefault="001F7667">
            <w:pPr>
              <w:pStyle w:val="P68B1DB1-Normal11"/>
              <w:spacing w:before="120" w:after="120"/>
              <w:rPr>
                <w:noProof/>
              </w:rPr>
            </w:pPr>
            <w:r>
              <w:rPr>
                <w:noProof/>
              </w:rPr>
              <w:t>Отпадъци:</w:t>
            </w:r>
          </w:p>
          <w:p w14:paraId="646DCAB1" w14:textId="0640BBB6" w:rsidR="006054AA" w:rsidRDefault="001F7667">
            <w:pPr>
              <w:pStyle w:val="P68B1DB1-Normal10"/>
              <w:spacing w:before="120" w:after="120"/>
              <w:rPr>
                <w:noProof/>
                <w:color w:val="006100"/>
                <w:sz w:val="20"/>
              </w:rPr>
            </w:pPr>
            <w:r>
              <w:rPr>
                <w:noProof/>
                <w:color w:val="006100"/>
                <w:sz w:val="20"/>
              </w:rPr>
              <w:t>XV.</w:t>
            </w:r>
            <w:r>
              <w:rPr>
                <w:noProof/>
              </w:rPr>
              <w:t xml:space="preserve"> </w:t>
            </w:r>
            <w:r>
              <w:rPr>
                <w:noProof/>
                <w:color w:val="006100"/>
                <w:sz w:val="20"/>
              </w:rPr>
              <w:t>Опростяване на процедурите за издаване на разрешения за съоръжения за третиране на отпадъци.</w:t>
            </w:r>
          </w:p>
          <w:p w14:paraId="71BE90AD" w14:textId="77777777" w:rsidR="006054AA" w:rsidRDefault="001F7667">
            <w:pPr>
              <w:pStyle w:val="P68B1DB1-Normal11"/>
              <w:spacing w:before="120" w:after="120"/>
              <w:rPr>
                <w:noProof/>
              </w:rPr>
            </w:pPr>
            <w:r>
              <w:rPr>
                <w:noProof/>
              </w:rPr>
              <w:t>Започване на бизнес:</w:t>
            </w:r>
          </w:p>
          <w:p w14:paraId="36C12406" w14:textId="2024B985" w:rsidR="006054AA" w:rsidRDefault="001F7667">
            <w:pPr>
              <w:pStyle w:val="P68B1DB1-Normal10"/>
              <w:spacing w:before="120" w:after="120"/>
              <w:rPr>
                <w:noProof/>
                <w:color w:val="006100"/>
                <w:sz w:val="20"/>
              </w:rPr>
            </w:pPr>
            <w:r>
              <w:rPr>
                <w:noProof/>
                <w:color w:val="006100"/>
                <w:sz w:val="20"/>
              </w:rPr>
              <w:t>XVI.</w:t>
            </w:r>
            <w:r>
              <w:rPr>
                <w:noProof/>
              </w:rPr>
              <w:t xml:space="preserve"> </w:t>
            </w:r>
            <w:r>
              <w:rPr>
                <w:noProof/>
                <w:color w:val="006100"/>
                <w:sz w:val="20"/>
              </w:rPr>
              <w:t>Намаляване на времето за акредитация за предоставяне на информация за служителите от седем на четири дни, за да се намали броят на дните за започване на стопанска дейност.</w:t>
            </w:r>
          </w:p>
          <w:p w14:paraId="6B77CD78" w14:textId="77777777" w:rsidR="006054AA" w:rsidRDefault="001F7667">
            <w:pPr>
              <w:pStyle w:val="P68B1DB1-Normal11"/>
              <w:spacing w:before="120" w:after="120"/>
              <w:rPr>
                <w:noProof/>
              </w:rPr>
            </w:pPr>
            <w:r>
              <w:rPr>
                <w:noProof/>
              </w:rPr>
              <w:t>Надзор на пазара:</w:t>
            </w:r>
          </w:p>
          <w:p w14:paraId="6E125B05" w14:textId="33524200" w:rsidR="006054AA" w:rsidRDefault="001F7667">
            <w:pPr>
              <w:pStyle w:val="P68B1DB1-Normal10"/>
              <w:spacing w:before="120" w:after="120"/>
              <w:rPr>
                <w:noProof/>
                <w:color w:val="006100"/>
                <w:sz w:val="20"/>
              </w:rPr>
            </w:pPr>
            <w:r>
              <w:rPr>
                <w:noProof/>
                <w:color w:val="006100"/>
                <w:sz w:val="20"/>
              </w:rPr>
              <w:t>XVII.</w:t>
            </w:r>
            <w:r>
              <w:rPr>
                <w:noProof/>
              </w:rPr>
              <w:t xml:space="preserve"> </w:t>
            </w:r>
            <w:r>
              <w:rPr>
                <w:noProof/>
                <w:color w:val="006100"/>
                <w:sz w:val="20"/>
              </w:rPr>
              <w:t>Консолидиране на националните органи за надзор на пазара в не повече от десет агенции, разположени в основните региони на Италия, всяка от които обхваща всички продуктови групи и докладва на единния служител за връзка, създаден съгласно Регламент 2019/1020 („Пакет за стоките“).</w:t>
            </w:r>
          </w:p>
          <w:p w14:paraId="513AB458" w14:textId="174D1F99" w:rsidR="006054AA" w:rsidRDefault="001F7667">
            <w:pPr>
              <w:pStyle w:val="P68B1DB1-Normal10"/>
              <w:spacing w:before="120" w:after="120"/>
              <w:rPr>
                <w:noProof/>
                <w:color w:val="006100"/>
                <w:sz w:val="20"/>
              </w:rPr>
            </w:pPr>
            <w:r>
              <w:rPr>
                <w:noProof/>
                <w:color w:val="006100"/>
                <w:sz w:val="20"/>
              </w:rPr>
              <w:t>XVIII.</w:t>
            </w:r>
            <w:r>
              <w:rPr>
                <w:noProof/>
              </w:rPr>
              <w:t xml:space="preserve"> </w:t>
            </w:r>
            <w:r>
              <w:rPr>
                <w:noProof/>
                <w:color w:val="006100"/>
                <w:sz w:val="20"/>
              </w:rPr>
              <w:t>Да изискват от националните органи за надзор на пазара да извършват цифровизирани продуктови инспекции и събиране на данни, да прилагат изкуствен интелект за проследяване на опасни и незаконни продукти и да идентифицират тенденциите и рисковете на единния пазар.</w:t>
            </w:r>
          </w:p>
          <w:p w14:paraId="5425729A" w14:textId="1C9EED67" w:rsidR="006054AA" w:rsidRDefault="001F7667">
            <w:pPr>
              <w:pStyle w:val="P68B1DB1-Normal10"/>
              <w:spacing w:before="120" w:after="120"/>
              <w:rPr>
                <w:noProof/>
                <w:color w:val="006100"/>
                <w:sz w:val="20"/>
              </w:rPr>
            </w:pPr>
            <w:r>
              <w:rPr>
                <w:noProof/>
                <w:color w:val="006100"/>
                <w:sz w:val="20"/>
              </w:rPr>
              <w:t>XIX.</w:t>
            </w:r>
            <w:r>
              <w:rPr>
                <w:noProof/>
              </w:rPr>
              <w:t xml:space="preserve"> </w:t>
            </w:r>
            <w:r>
              <w:rPr>
                <w:noProof/>
                <w:color w:val="006100"/>
                <w:sz w:val="20"/>
              </w:rPr>
              <w:t>Изисква от националните органи за надзор на пазара да включат обучение и използване на информационната и комуникационна система за общоевропейския надзор на пазара.</w:t>
            </w:r>
          </w:p>
          <w:p w14:paraId="3BAA6798" w14:textId="416B5AEB" w:rsidR="006054AA" w:rsidRDefault="001F7667">
            <w:pPr>
              <w:pStyle w:val="P68B1DB1-Normal10"/>
              <w:spacing w:before="120" w:after="120"/>
              <w:rPr>
                <w:noProof/>
                <w:color w:val="006100"/>
                <w:sz w:val="20"/>
              </w:rPr>
            </w:pPr>
            <w:r>
              <w:rPr>
                <w:noProof/>
                <w:color w:val="006100"/>
                <w:sz w:val="20"/>
              </w:rPr>
              <w:t>XX.</w:t>
            </w:r>
            <w:r>
              <w:rPr>
                <w:noProof/>
              </w:rPr>
              <w:t xml:space="preserve"> </w:t>
            </w:r>
            <w:r>
              <w:rPr>
                <w:noProof/>
                <w:color w:val="006100"/>
                <w:sz w:val="20"/>
              </w:rPr>
              <w:t>Създаване на нови акредитирани лаборатории за изпитване на продукти за всички продуктови групи. Тези лаборатории провеждат изпитвания на електронната търговия, физически лабораторни изпитвания, съвместни действия (митнически органи/органи за надзор на пазара; два или повече национални органа за надзор на пазара, национални органи и органи на пазара на ЕС).</w:t>
            </w:r>
          </w:p>
        </w:tc>
      </w:tr>
      <w:tr w:rsidR="006054AA" w14:paraId="4C62F9D7"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163259F" w14:textId="77777777" w:rsidR="006054AA" w:rsidRDefault="001F7667">
            <w:pPr>
              <w:pStyle w:val="P68B1DB1-Normal11"/>
              <w:spacing w:before="120" w:after="120"/>
              <w:jc w:val="center"/>
              <w:rPr>
                <w:noProof/>
              </w:rPr>
            </w:pPr>
            <w:r>
              <w:rPr>
                <w:noProof/>
              </w:rPr>
              <w:t>M1C2—7</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3A71550"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E95BA8"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26DFB59" w14:textId="77777777" w:rsidR="006054AA" w:rsidRDefault="001F7667">
            <w:pPr>
              <w:pStyle w:val="P68B1DB1-Normal11"/>
              <w:spacing w:before="120" w:after="120"/>
              <w:jc w:val="center"/>
              <w:rPr>
                <w:noProof/>
              </w:rPr>
            </w:pPr>
            <w:r>
              <w:rPr>
                <w:noProof/>
              </w:rPr>
              <w:t>Влизане в сила на всички свързани с енергетиката мерки за прилагане и вторично законодателство (ако е необходимо)</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0504B78" w14:textId="77777777" w:rsidR="006054AA" w:rsidRDefault="001F7667">
            <w:pPr>
              <w:pStyle w:val="P68B1DB1-Normal11"/>
              <w:spacing w:before="120" w:after="120"/>
              <w:jc w:val="center"/>
              <w:rPr>
                <w:noProof/>
              </w:rPr>
            </w:pPr>
            <w:r>
              <w:rPr>
                <w:noProof/>
              </w:rPr>
              <w:t>Влизане в сила на всички свързани с енергетиката мерки за прилагане и вторично законодателство (ако е необходимо)</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36BEEAB"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EAFF92E"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FF71221"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7F7393"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881A458" w14:textId="77777777" w:rsidR="006054AA" w:rsidRDefault="001F7667">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08AAAEC" w14:textId="77777777" w:rsidR="006054AA" w:rsidRDefault="001F7667">
            <w:pPr>
              <w:pStyle w:val="P68B1DB1-Normal11"/>
              <w:spacing w:before="120" w:after="120"/>
              <w:rPr>
                <w:noProof/>
              </w:rPr>
            </w:pPr>
            <w:r>
              <w:rPr>
                <w:noProof/>
              </w:rPr>
              <w:t>Влизане в сила на всички свързани с енергетиката мерки за прилагане и вторично законодателство (ако е необходимо) с цел:</w:t>
            </w:r>
          </w:p>
          <w:p w14:paraId="52CBE93D" w14:textId="5FF860E1" w:rsidR="006054AA" w:rsidRDefault="001F7667">
            <w:pPr>
              <w:pStyle w:val="P68B1DB1-Normal10"/>
              <w:spacing w:before="120" w:after="120"/>
              <w:rPr>
                <w:noProof/>
                <w:color w:val="006100"/>
                <w:sz w:val="20"/>
              </w:rPr>
            </w:pPr>
            <w:r>
              <w:rPr>
                <w:noProof/>
                <w:color w:val="006100"/>
                <w:sz w:val="20"/>
              </w:rPr>
              <w:t>I.</w:t>
            </w:r>
            <w:r>
              <w:rPr>
                <w:noProof/>
              </w:rPr>
              <w:t xml:space="preserve"> </w:t>
            </w:r>
            <w:r>
              <w:rPr>
                <w:noProof/>
                <w:color w:val="006100"/>
                <w:sz w:val="20"/>
              </w:rPr>
              <w:t>Прекратяване на регулираните цени за микропредприятията и домакинствата, считано от 1 януари 2023 г.</w:t>
            </w:r>
          </w:p>
          <w:p w14:paraId="73BFAA44" w14:textId="76134502" w:rsidR="006054AA" w:rsidRDefault="001F7667">
            <w:pPr>
              <w:pStyle w:val="P68B1DB1-Normal10"/>
              <w:spacing w:before="120" w:after="120"/>
              <w:rPr>
                <w:noProof/>
                <w:color w:val="006100"/>
                <w:sz w:val="20"/>
              </w:rPr>
            </w:pPr>
            <w:r>
              <w:rPr>
                <w:noProof/>
                <w:color w:val="006100"/>
                <w:sz w:val="20"/>
              </w:rPr>
              <w:t>II.</w:t>
            </w:r>
            <w:r>
              <w:rPr>
                <w:noProof/>
              </w:rPr>
              <w:t xml:space="preserve"> </w:t>
            </w:r>
            <w:r>
              <w:rPr>
                <w:noProof/>
                <w:color w:val="006100"/>
                <w:sz w:val="20"/>
              </w:rPr>
              <w:t>Приемане на съпътстващи мерки в подкрепа на навлизането на конкуренцията на пазарите на дребно на електроенергия.</w:t>
            </w:r>
          </w:p>
          <w:p w14:paraId="1850A759" w14:textId="77777777" w:rsidR="006054AA" w:rsidRDefault="001F7667">
            <w:pPr>
              <w:pStyle w:val="P68B1DB1-Normal11"/>
              <w:spacing w:before="120" w:after="120"/>
              <w:rPr>
                <w:noProof/>
              </w:rPr>
            </w:pPr>
            <w:r>
              <w:rPr>
                <w:noProof/>
              </w:rPr>
              <w:t>Съпътстващите мерки за гарантиране на навлизането на конкуренцията на пазарите на дребно на електроенергия осигуряват най-малко следното:</w:t>
            </w:r>
          </w:p>
          <w:p w14:paraId="6930AE23" w14:textId="77777777" w:rsidR="006054AA" w:rsidRDefault="001F7667">
            <w:pPr>
              <w:pStyle w:val="P68B1DB1-Normal11"/>
              <w:spacing w:before="120" w:after="120"/>
              <w:rPr>
                <w:noProof/>
              </w:rPr>
            </w:pPr>
            <w:r>
              <w:rPr>
                <w:noProof/>
              </w:rPr>
              <w:t>— Продажба на търг на клиентелата, за да се осигурят еднакви условия на конкуренция за новите участници.</w:t>
            </w:r>
          </w:p>
          <w:p w14:paraId="0B956662" w14:textId="77777777" w:rsidR="006054AA" w:rsidRDefault="001F7667">
            <w:pPr>
              <w:pStyle w:val="P68B1DB1-Normal11"/>
              <w:spacing w:before="120" w:after="120"/>
              <w:rPr>
                <w:noProof/>
              </w:rPr>
            </w:pPr>
            <w:r>
              <w:rPr>
                <w:noProof/>
              </w:rPr>
              <w:t>Определяне на таван като максимален пазарен дял, който е на разположение на всеки доставчик;</w:t>
            </w:r>
          </w:p>
          <w:p w14:paraId="7D858621" w14:textId="77777777" w:rsidR="006054AA" w:rsidRDefault="001F7667">
            <w:pPr>
              <w:pStyle w:val="P68B1DB1-Normal11"/>
              <w:spacing w:before="120" w:after="120"/>
              <w:rPr>
                <w:noProof/>
              </w:rPr>
            </w:pPr>
            <w:r>
              <w:rPr>
                <w:noProof/>
              </w:rPr>
              <w:t>— Позволява на италианските потребители да поискат от своя доставчик на енергия да разкрие данните си за фактурирането на трети страни;</w:t>
            </w:r>
          </w:p>
          <w:p w14:paraId="0677999A" w14:textId="77777777" w:rsidR="006054AA" w:rsidRDefault="001F7667">
            <w:pPr>
              <w:pStyle w:val="P68B1DB1-Normal11"/>
              <w:spacing w:before="120" w:after="120"/>
              <w:rPr>
                <w:noProof/>
              </w:rPr>
            </w:pPr>
            <w:r>
              <w:rPr>
                <w:noProof/>
              </w:rPr>
              <w:t>— Да увеличи прозрачността на сметките за електроенергия, като предостави на потребителите достъп до подкомпонентите на „spesi per oneri di sistema“;</w:t>
            </w:r>
          </w:p>
          <w:p w14:paraId="354C54EE" w14:textId="77777777" w:rsidR="006054AA" w:rsidRDefault="001F7667">
            <w:pPr>
              <w:pStyle w:val="P68B1DB1-Normal11"/>
              <w:spacing w:before="120" w:after="120"/>
              <w:rPr>
                <w:noProof/>
              </w:rPr>
            </w:pPr>
            <w:r>
              <w:rPr>
                <w:noProof/>
              </w:rPr>
              <w:t>Премахване на изискването доставчиците да събират такси, които не са свързани с енергийния сектор.</w:t>
            </w:r>
          </w:p>
        </w:tc>
      </w:tr>
      <w:tr w:rsidR="006054AA" w14:paraId="170CFD4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C177C9C" w14:textId="77777777" w:rsidR="006054AA" w:rsidRDefault="001F7667">
            <w:pPr>
              <w:pStyle w:val="P68B1DB1-Normal11"/>
              <w:spacing w:before="120" w:after="120"/>
              <w:jc w:val="center"/>
              <w:rPr>
                <w:noProof/>
              </w:rPr>
            </w:pPr>
            <w:r>
              <w:rPr>
                <w:noProof/>
              </w:rPr>
              <w:t>M1C2—8</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C14156E"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715F9"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E62B26C" w14:textId="77777777" w:rsidR="006054AA" w:rsidRDefault="001F7667">
            <w:pPr>
              <w:pStyle w:val="P68B1DB1-Normal11"/>
              <w:spacing w:before="120" w:after="120"/>
              <w:jc w:val="center"/>
              <w:rPr>
                <w:noProof/>
              </w:rPr>
            </w:pPr>
            <w:r>
              <w:rPr>
                <w:noProof/>
              </w:rPr>
              <w:t>Влизане в сила на всички мерки за изпълнение (включително вторично законодателство, ако е необходимо) за ефективното изпълнение и прилагане на мерките, произтичащи от Годишния закон за конкуренцията за 2021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B639F37" w14:textId="77777777" w:rsidR="006054AA" w:rsidRDefault="001F7667">
            <w:pPr>
              <w:pStyle w:val="P68B1DB1-Normal11"/>
              <w:spacing w:before="120" w:after="120"/>
              <w:jc w:val="center"/>
              <w:rPr>
                <w:noProof/>
              </w:rPr>
            </w:pPr>
            <w:r>
              <w:rPr>
                <w:noProof/>
              </w:rPr>
              <w:t>Влизане в сила на цялото вторично законодателство, включително всички необходими разпоредби за мерки, произтичащи от годишния закон за конкуренцията за 2021 г.</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7DFF3D8"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59A90D8"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5B36D1B"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F6D9F51"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B85BF98" w14:textId="77777777" w:rsidR="006054AA" w:rsidRDefault="001F7667">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13E389" w14:textId="77777777" w:rsidR="006054AA" w:rsidRDefault="001F7667">
            <w:pPr>
              <w:pStyle w:val="P68B1DB1-Normal11"/>
              <w:spacing w:before="120" w:after="120"/>
              <w:rPr>
                <w:noProof/>
              </w:rPr>
            </w:pPr>
            <w:r>
              <w:rPr>
                <w:noProof/>
              </w:rPr>
              <w:t>Влизане в сила на всички мерки за изпълнение (включително вторично законодателство, ако е необходимо) за ефективното изпълнение и прилагане на мерките, произтичащи от Годишния закон за конкуренцията за 2021 г.</w:t>
            </w:r>
          </w:p>
        </w:tc>
      </w:tr>
      <w:tr w:rsidR="006054AA" w14:paraId="5095E8B3"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85C4B1A" w14:textId="77777777" w:rsidR="006054AA" w:rsidRDefault="001F7667">
            <w:pPr>
              <w:pStyle w:val="P68B1DB1-Normal11"/>
              <w:spacing w:before="120" w:after="120"/>
              <w:jc w:val="center"/>
              <w:rPr>
                <w:noProof/>
              </w:rPr>
            </w:pPr>
            <w:r>
              <w:rPr>
                <w:noProof/>
              </w:rPr>
              <w:t>M1C2—9</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7BA0FE5"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0089CC"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7B34D7F" w14:textId="77777777" w:rsidR="006054AA" w:rsidRDefault="001F7667">
            <w:pPr>
              <w:pStyle w:val="P68B1DB1-Normal11"/>
              <w:spacing w:before="120" w:after="120"/>
              <w:jc w:val="center"/>
              <w:rPr>
                <w:noProof/>
              </w:rPr>
            </w:pPr>
            <w:r>
              <w:rPr>
                <w:noProof/>
              </w:rPr>
              <w:t>Влизане в сила на годишния закон за конкуренцията за 2022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4B0DAAD" w14:textId="77777777" w:rsidR="006054AA" w:rsidRDefault="001F7667">
            <w:pPr>
              <w:pStyle w:val="P68B1DB1-Normal11"/>
              <w:spacing w:before="120" w:after="120"/>
              <w:jc w:val="center"/>
              <w:rPr>
                <w:noProof/>
              </w:rPr>
            </w:pPr>
            <w:r>
              <w:rPr>
                <w:noProof/>
              </w:rPr>
              <w:t>Разпоредба, указваща влизането в сила на годишния закон за конкуренцията от 2022 г.</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FC1FB02"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FC76599"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F9191AB"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8E4D54"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393AE7" w14:textId="77777777" w:rsidR="006054AA" w:rsidRDefault="001F7667">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29569EA" w14:textId="48CF763E" w:rsidR="006054AA" w:rsidRDefault="001F7667">
            <w:pPr>
              <w:pStyle w:val="P68B1DB1-Normal10"/>
              <w:spacing w:after="120"/>
              <w:rPr>
                <w:noProof/>
                <w:color w:val="006100"/>
                <w:sz w:val="20"/>
              </w:rPr>
            </w:pPr>
            <w:r>
              <w:rPr>
                <w:noProof/>
                <w:color w:val="006100"/>
                <w:sz w:val="20"/>
              </w:rPr>
              <w:t>Влизане в сила на годишния закон за конкуренцията за 2022 г.</w:t>
            </w:r>
            <w:r>
              <w:rPr>
                <w:noProof/>
              </w:rPr>
              <w:t xml:space="preserve"> </w:t>
            </w:r>
            <w:r>
              <w:rPr>
                <w:noProof/>
              </w:rPr>
              <w:br/>
            </w:r>
            <w:r>
              <w:rPr>
                <w:noProof/>
                <w:color w:val="006100"/>
                <w:sz w:val="20"/>
              </w:rPr>
              <w:t>Годишното конкурентно право включва най-малко следните ключови елементи, чиито мерки за прилагане и вторично законодателство (ако е необходимо) се приемат и влизат в сила не по-късно от 31 декември 2023 г.</w:t>
            </w:r>
          </w:p>
          <w:p w14:paraId="590D001C" w14:textId="77777777" w:rsidR="006054AA" w:rsidRDefault="001F7667">
            <w:pPr>
              <w:pStyle w:val="P68B1DB1-Normal11"/>
              <w:spacing w:before="120" w:after="120"/>
              <w:rPr>
                <w:noProof/>
              </w:rPr>
            </w:pPr>
            <w:r>
              <w:rPr>
                <w:noProof/>
              </w:rPr>
              <w:t xml:space="preserve">Тя трябва: </w:t>
            </w:r>
          </w:p>
          <w:p w14:paraId="62CA24A9" w14:textId="71E5714C" w:rsidR="006054AA" w:rsidRDefault="001F7667">
            <w:pPr>
              <w:pStyle w:val="P68B1DB1-Normal11"/>
              <w:spacing w:before="120" w:after="120"/>
              <w:rPr>
                <w:noProof/>
              </w:rPr>
            </w:pPr>
            <w:r>
              <w:rPr>
                <w:b/>
                <w:noProof/>
              </w:rPr>
              <w:t>установяване</w:t>
            </w:r>
            <w:r>
              <w:rPr>
                <w:noProof/>
              </w:rPr>
              <w:t xml:space="preserve"> на ясна процедура за приемането</w:t>
            </w:r>
            <w:r>
              <w:rPr>
                <w:b/>
                <w:noProof/>
              </w:rPr>
              <w:t xml:space="preserve">, </w:t>
            </w:r>
            <w:r>
              <w:rPr>
                <w:noProof/>
              </w:rPr>
              <w:t xml:space="preserve"> в рамките на предварително определени срокове и при всички случаи до 31 декември на съответния период (на всеки две години) (*), на плана за развитие на електроенергийната мрежа за следващото десетилетие, който гарантира приключването на процедурата и опростяването на процеса на одобрение.</w:t>
            </w:r>
          </w:p>
          <w:p w14:paraId="7FED5636" w14:textId="47EA4A94" w:rsidR="006054AA" w:rsidRDefault="001F7667">
            <w:pPr>
              <w:pStyle w:val="P68B1DB1-Normal11"/>
              <w:spacing w:before="120" w:after="120"/>
              <w:rPr>
                <w:noProof/>
              </w:rPr>
            </w:pPr>
            <w:r>
              <w:rPr>
                <w:noProof/>
              </w:rPr>
              <w:t>(*) Планът за развитие на електроенергийната мрежа от 2021 г. се приема до 31 декември 2023 г.</w:t>
            </w:r>
          </w:p>
          <w:p w14:paraId="4F114842" w14:textId="77777777" w:rsidR="006054AA" w:rsidRDefault="001F7667">
            <w:pPr>
              <w:pStyle w:val="P68B1DB1-Normal11"/>
              <w:spacing w:before="120" w:after="120"/>
              <w:rPr>
                <w:noProof/>
              </w:rPr>
            </w:pPr>
            <w:r>
              <w:rPr>
                <w:b/>
                <w:noProof/>
              </w:rPr>
              <w:t>II)</w:t>
            </w:r>
            <w:r>
              <w:rPr>
                <w:noProof/>
              </w:rPr>
              <w:t xml:space="preserve"> насърчаване на внедряването на</w:t>
            </w:r>
            <w:r>
              <w:rPr>
                <w:noProof/>
                <w:vertAlign w:val="superscript"/>
              </w:rPr>
              <w:t>интелигентни</w:t>
            </w:r>
            <w:r>
              <w:rPr>
                <w:noProof/>
              </w:rPr>
              <w:t xml:space="preserve"> електромери от 2-ро поколение; </w:t>
            </w:r>
          </w:p>
          <w:p w14:paraId="650DE284" w14:textId="77777777" w:rsidR="006054AA" w:rsidRDefault="006054AA">
            <w:pPr>
              <w:rPr>
                <w:rFonts w:ascii="Arial Narrow" w:hAnsi="Arial Narrow"/>
                <w:b/>
                <w:noProof/>
                <w:color w:val="006100"/>
                <w:sz w:val="20"/>
              </w:rPr>
            </w:pPr>
          </w:p>
          <w:p w14:paraId="60B7DA49" w14:textId="77777777" w:rsidR="006054AA" w:rsidRDefault="001F7667">
            <w:pPr>
              <w:pStyle w:val="P68B1DB1-Normal20"/>
              <w:rPr>
                <w:noProof/>
              </w:rPr>
            </w:pPr>
            <w:r>
              <w:rPr>
                <w:noProof/>
              </w:rPr>
              <w:t>Антитръстови правила:</w:t>
            </w:r>
          </w:p>
          <w:p w14:paraId="083E17C9" w14:textId="695B4D46" w:rsidR="006054AA" w:rsidRDefault="001F7667">
            <w:pPr>
              <w:pStyle w:val="P68B1DB1-Normal11"/>
              <w:rPr>
                <w:noProof/>
              </w:rPr>
            </w:pPr>
            <w:r>
              <w:rPr>
                <w:b/>
                <w:noProof/>
              </w:rPr>
              <w:t>III)</w:t>
            </w:r>
            <w:r>
              <w:rPr>
                <w:noProof/>
              </w:rPr>
              <w:t xml:space="preserve"> увеличаване на продължителността на оценката от страна на италианския орган за защита на конкуренцията (</w:t>
            </w:r>
            <w:r>
              <w:rPr>
                <w:i/>
                <w:noProof/>
              </w:rPr>
              <w:t>Autorità Garante della Concorrenza e del Mercato</w:t>
            </w:r>
            <w:r>
              <w:rPr>
                <w:noProof/>
              </w:rPr>
              <w:t>) на концентрации, които могат значително да възпрепятстват ефективната конкуренция съгласно член 6 от Закон 287/1990, от 45 дни на 90 дни.</w:t>
            </w:r>
          </w:p>
          <w:p w14:paraId="512337C2" w14:textId="77777777" w:rsidR="006054AA" w:rsidRDefault="006054AA">
            <w:pPr>
              <w:rPr>
                <w:rFonts w:ascii="Arial Narrow" w:hAnsi="Arial Narrow"/>
                <w:b/>
                <w:noProof/>
                <w:color w:val="006100"/>
                <w:sz w:val="20"/>
              </w:rPr>
            </w:pPr>
          </w:p>
          <w:p w14:paraId="4F1F0117" w14:textId="77777777" w:rsidR="006054AA" w:rsidRDefault="001F7667">
            <w:pPr>
              <w:pStyle w:val="P68B1DB1-Normal20"/>
              <w:rPr>
                <w:noProof/>
              </w:rPr>
            </w:pPr>
            <w:r>
              <w:rPr>
                <w:noProof/>
              </w:rPr>
              <w:t>Търговия на дребно:</w:t>
            </w:r>
          </w:p>
          <w:p w14:paraId="7379B39B" w14:textId="77777777" w:rsidR="006054AA" w:rsidRDefault="001F7667">
            <w:pPr>
              <w:pStyle w:val="P68B1DB1-Normal11"/>
              <w:rPr>
                <w:noProof/>
              </w:rPr>
            </w:pPr>
            <w:r>
              <w:rPr>
                <w:b/>
                <w:noProof/>
              </w:rPr>
              <w:t xml:space="preserve">IV) </w:t>
            </w:r>
            <w:r>
              <w:rPr>
                <w:noProof/>
              </w:rPr>
              <w:t>опростяване на процедурите за издаване на разрешения за промоционални продажби от предприятия, които притежават търговски обекти в различни общини.</w:t>
            </w:r>
          </w:p>
          <w:p w14:paraId="1EEC42DD" w14:textId="77777777" w:rsidR="006054AA" w:rsidRDefault="006054AA">
            <w:pPr>
              <w:rPr>
                <w:rFonts w:ascii="Arial Narrow" w:hAnsi="Arial Narrow"/>
                <w:b/>
                <w:noProof/>
                <w:color w:val="006100"/>
                <w:sz w:val="20"/>
              </w:rPr>
            </w:pPr>
          </w:p>
          <w:p w14:paraId="68CDCE02" w14:textId="77777777" w:rsidR="006054AA" w:rsidRDefault="001F7667">
            <w:pPr>
              <w:pStyle w:val="P68B1DB1-Normal20"/>
              <w:rPr>
                <w:noProof/>
              </w:rPr>
            </w:pPr>
            <w:r>
              <w:rPr>
                <w:noProof/>
              </w:rPr>
              <w:t>Фармацевтични продукти:</w:t>
            </w:r>
          </w:p>
          <w:p w14:paraId="3A6505A2" w14:textId="77777777" w:rsidR="006054AA" w:rsidRDefault="001F7667">
            <w:pPr>
              <w:pStyle w:val="P68B1DB1-Normal11"/>
              <w:rPr>
                <w:noProof/>
              </w:rPr>
            </w:pPr>
            <w:r>
              <w:rPr>
                <w:b/>
                <w:noProof/>
              </w:rPr>
              <w:t>V)</w:t>
            </w:r>
            <w:r>
              <w:rPr>
                <w:noProof/>
              </w:rPr>
              <w:t xml:space="preserve"> гарантиране на пропорционалност на изискванията за издаване на разрешения за продажба на галенови фармацевтични продукти.</w:t>
            </w:r>
          </w:p>
        </w:tc>
      </w:tr>
      <w:tr w:rsidR="006054AA" w14:paraId="12236A46"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20CF47E" w14:textId="77777777" w:rsidR="006054AA" w:rsidRDefault="001F7667">
            <w:pPr>
              <w:pStyle w:val="P68B1DB1-Normal11"/>
              <w:spacing w:before="120" w:after="120"/>
              <w:jc w:val="center"/>
              <w:rPr>
                <w:noProof/>
              </w:rPr>
            </w:pPr>
            <w:r>
              <w:rPr>
                <w:noProof/>
              </w:rPr>
              <w:t>M1C2—10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60C5AF7"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0AA3BB"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A37E2EC" w14:textId="77777777" w:rsidR="006054AA" w:rsidRDefault="001F7667">
            <w:pPr>
              <w:pStyle w:val="P68B1DB1-Normal11"/>
              <w:spacing w:before="120" w:after="120"/>
              <w:jc w:val="center"/>
              <w:rPr>
                <w:noProof/>
              </w:rPr>
            </w:pPr>
            <w:r>
              <w:rPr>
                <w:noProof/>
              </w:rPr>
              <w:t>Влизане в сила на всички мерки за изпълнение (включително вторично законодателство, ако е необходимо) за ефективното изпълнение и прилагане на мерките, произтичащи от Годишния закон за конкуренцията за 2022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D095519" w14:textId="77777777" w:rsidR="006054AA" w:rsidRDefault="001F7667">
            <w:pPr>
              <w:pStyle w:val="P68B1DB1-Normal11"/>
              <w:spacing w:before="120" w:after="120"/>
              <w:jc w:val="center"/>
              <w:rPr>
                <w:noProof/>
              </w:rPr>
            </w:pPr>
            <w:r>
              <w:rPr>
                <w:noProof/>
              </w:rPr>
              <w:t>Влизане в сила на цялото вторично законодателство, включително всички необходими разпоредби за мерки, произтичащи от годишния закон за конкуренцията за 2022 г.</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A127700"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16C0973"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8B3616F"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4ADC54D"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976FCFA" w14:textId="77777777" w:rsidR="006054AA" w:rsidRDefault="001F7667">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4D3F323" w14:textId="77777777" w:rsidR="006054AA" w:rsidRDefault="001F7667">
            <w:pPr>
              <w:pStyle w:val="P68B1DB1-Normal11"/>
              <w:spacing w:before="120" w:after="120"/>
              <w:rPr>
                <w:noProof/>
              </w:rPr>
            </w:pPr>
            <w:r>
              <w:rPr>
                <w:noProof/>
              </w:rPr>
              <w:t>Влизане в сила на цялото вторично законодателство (ако е необходимо), включително всички необходими разпоредби за ефективното изпълнение и прилагане на всички горепосочени мерки, произтичащи от Годишния закон за конкуренцията за 2022 г.</w:t>
            </w:r>
          </w:p>
        </w:tc>
      </w:tr>
      <w:tr w:rsidR="006054AA" w14:paraId="0042D8E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3B0A9C3" w14:textId="77777777" w:rsidR="006054AA" w:rsidRDefault="001F7667">
            <w:pPr>
              <w:pStyle w:val="P68B1DB1-Normal11"/>
              <w:spacing w:before="120" w:after="120"/>
              <w:jc w:val="center"/>
              <w:rPr>
                <w:noProof/>
              </w:rPr>
            </w:pPr>
            <w:r>
              <w:rPr>
                <w:noProof/>
              </w:rPr>
              <w:t>M1C2—11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6D8FBB"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52FD65F"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73FC164" w14:textId="77777777" w:rsidR="006054AA" w:rsidRDefault="001F7667">
            <w:pPr>
              <w:pStyle w:val="P68B1DB1-Normal11"/>
              <w:spacing w:before="120" w:after="120"/>
              <w:jc w:val="center"/>
              <w:rPr>
                <w:noProof/>
              </w:rPr>
            </w:pPr>
            <w:r>
              <w:rPr>
                <w:noProof/>
              </w:rPr>
              <w:t>Влизане в сила на годишния закон за конкуренцията за 2023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3EB1317" w14:textId="77777777" w:rsidR="006054AA" w:rsidRDefault="001F7667">
            <w:pPr>
              <w:pStyle w:val="P68B1DB1-Normal11"/>
              <w:spacing w:before="120" w:after="120"/>
              <w:jc w:val="center"/>
              <w:rPr>
                <w:noProof/>
              </w:rPr>
            </w:pPr>
            <w:r>
              <w:rPr>
                <w:noProof/>
              </w:rPr>
              <w:t>Разпоредба, указваща влизането в сила на годишния закон за конкуренцията от 2023 г.</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3C481333"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4156E0F"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52C09D2"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758184FE"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D7FDF6" w14:textId="77777777" w:rsidR="006054AA" w:rsidRDefault="001F7667">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D36793E" w14:textId="5B39E08D" w:rsidR="006054AA" w:rsidRDefault="001F7667">
            <w:pPr>
              <w:pStyle w:val="P68B1DB1-Normal11"/>
              <w:rPr>
                <w:noProof/>
              </w:rPr>
            </w:pPr>
            <w:r>
              <w:rPr>
                <w:noProof/>
              </w:rPr>
              <w:t>Влизане в сила на годишния закон за конкуренцията за 2023 г. Годишният закон за конкуренцията включва най-малко следните ключови елементи, чиито мерки за прилагане и вторично законодателство (ако е необходимо) се приемат и влизат в сила не по-късно от 31 декември 2024 г.</w:t>
            </w:r>
          </w:p>
          <w:p w14:paraId="5DD6262C" w14:textId="77777777" w:rsidR="006054AA" w:rsidRDefault="006054AA">
            <w:pPr>
              <w:rPr>
                <w:rFonts w:ascii="Arial Narrow" w:hAnsi="Arial Narrow"/>
                <w:noProof/>
                <w:color w:val="006100"/>
                <w:sz w:val="20"/>
              </w:rPr>
            </w:pPr>
          </w:p>
          <w:p w14:paraId="7B83607D" w14:textId="77777777" w:rsidR="006054AA" w:rsidRDefault="001F7667">
            <w:pPr>
              <w:pStyle w:val="P68B1DB1-Normal11"/>
              <w:rPr>
                <w:noProof/>
              </w:rPr>
            </w:pPr>
            <w:r>
              <w:rPr>
                <w:noProof/>
              </w:rPr>
              <w:t>Той включва най-малко следните мерки:</w:t>
            </w:r>
          </w:p>
          <w:p w14:paraId="7A199AEF" w14:textId="77777777" w:rsidR="006054AA" w:rsidRDefault="006054AA">
            <w:pPr>
              <w:rPr>
                <w:rFonts w:ascii="Arial Narrow" w:hAnsi="Arial Narrow"/>
                <w:noProof/>
                <w:color w:val="006100"/>
                <w:sz w:val="20"/>
              </w:rPr>
            </w:pPr>
          </w:p>
          <w:p w14:paraId="4359C905" w14:textId="77777777" w:rsidR="006054AA" w:rsidRDefault="001F7667">
            <w:pPr>
              <w:pStyle w:val="P68B1DB1-Normal20"/>
              <w:rPr>
                <w:noProof/>
              </w:rPr>
            </w:pPr>
            <w:r>
              <w:rPr>
                <w:noProof/>
              </w:rPr>
              <w:t>Магистрали:</w:t>
            </w:r>
          </w:p>
          <w:p w14:paraId="6681AAF1" w14:textId="77777777" w:rsidR="006054AA" w:rsidRDefault="006054AA">
            <w:pPr>
              <w:rPr>
                <w:rFonts w:ascii="Arial Narrow" w:hAnsi="Arial Narrow"/>
                <w:noProof/>
                <w:color w:val="006100"/>
                <w:sz w:val="20"/>
              </w:rPr>
            </w:pPr>
          </w:p>
          <w:p w14:paraId="1787CF7F" w14:textId="01E2735D" w:rsidR="006054AA" w:rsidRDefault="001F7667">
            <w:pPr>
              <w:pStyle w:val="P68B1DB1-Normal11"/>
              <w:spacing w:after="120"/>
              <w:jc w:val="both"/>
              <w:rPr>
                <w:noProof/>
              </w:rPr>
            </w:pPr>
            <w:r>
              <w:rPr>
                <w:b/>
                <w:noProof/>
              </w:rPr>
              <w:t>по отношение</w:t>
            </w:r>
            <w:r>
              <w:rPr>
                <w:noProof/>
              </w:rPr>
              <w:t xml:space="preserve"> на достъпа до концесии и прекратяването на договори годишният закон за конкуренцията трябва най-малко:</w:t>
            </w:r>
          </w:p>
          <w:p w14:paraId="502FFCD9" w14:textId="689DE208" w:rsidR="006054AA" w:rsidRDefault="001F7667">
            <w:pPr>
              <w:pStyle w:val="P68B1DB1-Normal11"/>
              <w:spacing w:after="80"/>
              <w:ind w:left="340"/>
              <w:jc w:val="both"/>
              <w:rPr>
                <w:noProof/>
              </w:rPr>
            </w:pPr>
            <w:r>
              <w:rPr>
                <w:noProof/>
              </w:rPr>
              <w:t xml:space="preserve">— </w:t>
            </w:r>
            <w:r>
              <w:rPr>
                <w:b/>
                <w:noProof/>
              </w:rPr>
              <w:t>да направи търговете за договори за концесии задължителни за магистралите и да засили приложимостта на регулаторната рамка</w:t>
            </w:r>
            <w:r>
              <w:rPr>
                <w:noProof/>
              </w:rPr>
              <w:t xml:space="preserve"> за предоставяне на концесии за магистрали и осигуряване на адекватни нива на обслужване за ползвателите на автомагистрали, без да се засяга вътрешното предоставяне на услуги в рамките на ограниченията, установени от правото на ЕС (*); </w:t>
            </w:r>
          </w:p>
          <w:p w14:paraId="5C03F622" w14:textId="77777777" w:rsidR="006054AA" w:rsidRDefault="001F7667">
            <w:pPr>
              <w:pStyle w:val="P68B1DB1-Normal20"/>
              <w:autoSpaceDE w:val="0"/>
              <w:autoSpaceDN w:val="0"/>
              <w:adjustRightInd w:val="0"/>
              <w:spacing w:after="80"/>
              <w:ind w:left="340"/>
              <w:jc w:val="both"/>
              <w:rPr>
                <w:noProof/>
              </w:rPr>
            </w:pPr>
            <w:r>
              <w:rPr>
                <w:noProof/>
              </w:rPr>
              <w:t>— подобряване на ефективността на административните процедури за вземане на решения, свързани с договорите за концесия;</w:t>
            </w:r>
          </w:p>
          <w:p w14:paraId="1F06665F" w14:textId="77777777" w:rsidR="006054AA" w:rsidRDefault="001F7667">
            <w:pPr>
              <w:pStyle w:val="P68B1DB1-Normal11"/>
              <w:spacing w:after="80"/>
              <w:ind w:left="340"/>
              <w:jc w:val="both"/>
              <w:rPr>
                <w:noProof/>
              </w:rPr>
            </w:pPr>
            <w:r>
              <w:rPr>
                <w:noProof/>
              </w:rPr>
              <w:t>изискват подробно и прозрачно описание на предмета на договора за концесия</w:t>
            </w:r>
          </w:p>
          <w:p w14:paraId="53921331" w14:textId="0A56B13E" w:rsidR="006054AA" w:rsidRDefault="001F7667">
            <w:pPr>
              <w:pStyle w:val="P68B1DB1-Normal11"/>
              <w:spacing w:after="80"/>
              <w:ind w:left="340"/>
              <w:jc w:val="both"/>
              <w:rPr>
                <w:noProof/>
              </w:rPr>
            </w:pPr>
            <w:r>
              <w:rPr>
                <w:noProof/>
              </w:rPr>
              <w:t>— изисква от органите по концесиите да определят концесии за участъци от магистралите, възложени чрез публична процедура, като вземат предвид оценките за ефективност на мащаба и разходите на концесионерите на магистрали, разработени от регулаторния орган (</w:t>
            </w:r>
            <w:r>
              <w:rPr>
                <w:i/>
                <w:noProof/>
              </w:rPr>
              <w:t xml:space="preserve">Autorità di Regolazione dei Trasporti </w:t>
            </w:r>
            <w:r>
              <w:rPr>
                <w:noProof/>
              </w:rPr>
              <w:t xml:space="preserve">— ART); </w:t>
            </w:r>
          </w:p>
          <w:p w14:paraId="25F71FFC" w14:textId="77777777" w:rsidR="006054AA" w:rsidRDefault="001F7667">
            <w:pPr>
              <w:pStyle w:val="P68B1DB1-Normal11"/>
              <w:spacing w:after="80"/>
              <w:ind w:left="340"/>
              <w:jc w:val="both"/>
              <w:rPr>
                <w:noProof/>
              </w:rPr>
            </w:pPr>
            <w:r>
              <w:rPr>
                <w:noProof/>
              </w:rPr>
              <w:t>— засилване на контрола от страна на Министерството на инфраструктурата върху разходите и изпълнението на магистралните инфраструктури;</w:t>
            </w:r>
          </w:p>
          <w:p w14:paraId="1492D094" w14:textId="42AAD02A" w:rsidR="006054AA" w:rsidRDefault="001F7667">
            <w:pPr>
              <w:pStyle w:val="P68B1DB1-Normal11"/>
              <w:spacing w:after="80"/>
              <w:ind w:left="340"/>
              <w:jc w:val="both"/>
              <w:rPr>
                <w:noProof/>
              </w:rPr>
            </w:pPr>
            <w:r>
              <w:rPr>
                <w:noProof/>
              </w:rPr>
              <w:t>— предотвратяване на автоматичното подновяване на договорите за концесия, включително чрез съществено подобряване на ефективността на управлението за всички технически и административни процедури, свързани с периодичното актуализиране на икономическите и финансовите планове и с годишното изпълнение на тези планове, както и чрез забраната за използване на процедурите, уредени в член 193 от Кодекса за обществените поръчки, като средство за възлагане на договори за концесия за магистрали с изтекъл срок или изтичащи срокове;</w:t>
            </w:r>
          </w:p>
          <w:p w14:paraId="5F5882EC" w14:textId="77777777" w:rsidR="006054AA" w:rsidRDefault="001F7667">
            <w:pPr>
              <w:pStyle w:val="P68B1DB1-Normal11"/>
              <w:spacing w:after="80"/>
              <w:ind w:left="340"/>
              <w:jc w:val="both"/>
              <w:rPr>
                <w:noProof/>
              </w:rPr>
            </w:pPr>
            <w:r>
              <w:rPr>
                <w:noProof/>
              </w:rPr>
              <w:t xml:space="preserve">— опростяване/изясняване на регулирането на условията за прекратяване и прекратяване на договора, също така с цел да се запази подходящо равнище на достъпност на концесиите за съответния (те) пазар (и); </w:t>
            </w:r>
          </w:p>
          <w:p w14:paraId="61A38AAC" w14:textId="497A0C25" w:rsidR="006054AA" w:rsidRDefault="001F7667">
            <w:pPr>
              <w:pStyle w:val="P68B1DB1-Normal11"/>
              <w:spacing w:after="80"/>
              <w:ind w:left="340"/>
              <w:jc w:val="both"/>
              <w:rPr>
                <w:noProof/>
              </w:rPr>
            </w:pPr>
            <w:r>
              <w:rPr>
                <w:noProof/>
              </w:rPr>
              <w:t>— своевременно и цялостно прилагане на регулаторния модел за таксуване на достъпа, приет, като се вземат предвид: и) периодичните актуализации на многогодишното икономическо и финансово планиране на концесионерите (одобрени от компетентния регулатор) и ii) годишното изпълнение на тези планове.</w:t>
            </w:r>
          </w:p>
          <w:p w14:paraId="5A0BDAC0" w14:textId="77777777" w:rsidR="006054AA" w:rsidRDefault="001F7667">
            <w:pPr>
              <w:pStyle w:val="P68B1DB1-Normal11"/>
              <w:spacing w:after="80"/>
              <w:ind w:left="340"/>
              <w:jc w:val="both"/>
              <w:rPr>
                <w:noProof/>
              </w:rPr>
            </w:pPr>
            <w:r>
              <w:rPr>
                <w:noProof/>
              </w:rPr>
              <w:t>за прекратяване на договора в обществен интерес законът предвижда най-малко подходяща компенсация, която да позволи на концесионера да си възвърне инвестиции, които не са напълно амортизирани. Що се отнася до прекратяването на договора поради сериозно нарушение, законът предвижда подходящ баланс между възстановяването на вредите, поискани на концесионера, и разумното обезщетение за инвестиции, които все още не са възстановени. Случаите на тежко нарушение се установяват изрично от закона.</w:t>
            </w:r>
          </w:p>
          <w:p w14:paraId="13D3D1AB" w14:textId="77777777" w:rsidR="006054AA" w:rsidRDefault="001F7667">
            <w:pPr>
              <w:pStyle w:val="P68B1DB1-Normal11"/>
              <w:jc w:val="both"/>
              <w:rPr>
                <w:noProof/>
              </w:rPr>
            </w:pPr>
            <w:r>
              <w:rPr>
                <w:noProof/>
              </w:rPr>
              <w:t xml:space="preserve"> </w:t>
            </w:r>
          </w:p>
          <w:p w14:paraId="401F3F66" w14:textId="7012D10C" w:rsidR="006054AA" w:rsidRDefault="001F7667">
            <w:pPr>
              <w:pStyle w:val="P68B1DB1-Normal11"/>
              <w:spacing w:after="120"/>
              <w:jc w:val="both"/>
              <w:rPr>
                <w:noProof/>
              </w:rPr>
            </w:pPr>
            <w:r>
              <w:rPr>
                <w:b/>
                <w:noProof/>
              </w:rPr>
              <w:t>II)</w:t>
            </w:r>
            <w:r>
              <w:rPr>
                <w:noProof/>
              </w:rPr>
              <w:t xml:space="preserve"> по отношение на регулаторния модел на таксуване годишният закон за конкуренцията трябва най-малко:</w:t>
            </w:r>
          </w:p>
          <w:p w14:paraId="09D00154" w14:textId="77777777" w:rsidR="006054AA" w:rsidRDefault="001F7667">
            <w:pPr>
              <w:pStyle w:val="P68B1DB1-Normal11"/>
              <w:spacing w:after="80"/>
              <w:ind w:left="340"/>
              <w:jc w:val="both"/>
              <w:rPr>
                <w:noProof/>
              </w:rPr>
            </w:pPr>
            <w:r>
              <w:rPr>
                <w:noProof/>
              </w:rPr>
              <w:t>— Изисква от концесионерите да гарантират пълното и навременно прилагане на регулаторния модел за таксуване на ART за изчисляване на таксите за достъп.  </w:t>
            </w:r>
          </w:p>
          <w:p w14:paraId="0BCF9BC1" w14:textId="77777777" w:rsidR="006054AA" w:rsidRDefault="001F7667">
            <w:pPr>
              <w:pStyle w:val="P68B1DB1-Normal11"/>
              <w:spacing w:after="80"/>
              <w:ind w:left="340"/>
              <w:jc w:val="both"/>
              <w:rPr>
                <w:noProof/>
              </w:rPr>
            </w:pPr>
            <w:r>
              <w:rPr>
                <w:noProof/>
              </w:rPr>
              <w:t>— Изисква от концесионерите да гарантират пълното и навременно прилагане на регулаторния модел на ART относно ценообразуването и тръжните схеми за подконцесии за предоставяне на зареждане на електрически превозни средства и други услуги. </w:t>
            </w:r>
          </w:p>
          <w:p w14:paraId="36970358" w14:textId="77777777" w:rsidR="006054AA" w:rsidRDefault="001F7667">
            <w:pPr>
              <w:pStyle w:val="P68B1DB1-Normal11"/>
              <w:spacing w:after="80"/>
              <w:ind w:left="340"/>
              <w:jc w:val="both"/>
              <w:rPr>
                <w:noProof/>
              </w:rPr>
            </w:pPr>
            <w:r>
              <w:rPr>
                <w:noProof/>
              </w:rPr>
              <w:t>— Таксите за достъп стимулират инвестициите и се основават на методика за таван на цените, подкрепена от прозрачен сравнителен анализ на разходите на целия икономически сектор съгласно ясни, единни и прозрачни критерии.</w:t>
            </w:r>
          </w:p>
          <w:p w14:paraId="5A6824B4" w14:textId="27494196" w:rsidR="006054AA" w:rsidRDefault="001F7667">
            <w:pPr>
              <w:pStyle w:val="P68B1DB1-Normal11"/>
              <w:spacing w:after="120"/>
              <w:jc w:val="both"/>
              <w:rPr>
                <w:noProof/>
              </w:rPr>
            </w:pPr>
            <w:r>
              <w:rPr>
                <w:b/>
                <w:noProof/>
              </w:rPr>
              <w:t>III)</w:t>
            </w:r>
            <w:r>
              <w:rPr>
                <w:noProof/>
              </w:rPr>
              <w:t xml:space="preserve"> по отношение на правата на потребителите годишният закон за конкуренцията трябва най-малко:</w:t>
            </w:r>
          </w:p>
          <w:p w14:paraId="6854F025" w14:textId="77777777" w:rsidR="006054AA" w:rsidRDefault="001F7667">
            <w:pPr>
              <w:pStyle w:val="P68B1DB1-Normal11"/>
              <w:spacing w:after="80"/>
              <w:ind w:left="340"/>
              <w:jc w:val="both"/>
              <w:rPr>
                <w:noProof/>
              </w:rPr>
            </w:pPr>
            <w:r>
              <w:rPr>
                <w:noProof/>
              </w:rPr>
              <w:t>— гарантиране на пълно и навременно прилагане на регулаторната рамка на ART, свързана със защитата на правата на потребителите и предоставянето на адекватни нива на обслужване.</w:t>
            </w:r>
          </w:p>
          <w:p w14:paraId="1D8DA4B8" w14:textId="77777777" w:rsidR="006054AA" w:rsidRDefault="006054AA">
            <w:pPr>
              <w:jc w:val="both"/>
              <w:rPr>
                <w:rFonts w:ascii="Arial Narrow" w:hAnsi="Arial Narrow"/>
                <w:noProof/>
                <w:color w:val="006100"/>
                <w:sz w:val="20"/>
              </w:rPr>
            </w:pPr>
          </w:p>
          <w:p w14:paraId="5DF4E22F" w14:textId="75A2EE4D" w:rsidR="006054AA" w:rsidRDefault="001F7667">
            <w:pPr>
              <w:pStyle w:val="P68B1DB1-Normal11"/>
              <w:jc w:val="both"/>
              <w:rPr>
                <w:noProof/>
              </w:rPr>
            </w:pPr>
            <w:r>
              <w:rPr>
                <w:b/>
                <w:noProof/>
              </w:rPr>
              <w:t>IV)</w:t>
            </w:r>
            <w:r>
              <w:rPr>
                <w:noProof/>
              </w:rPr>
              <w:t xml:space="preserve"> по отношение на възлагането на строителни работи на външни изпълнители годишният закон за конкуренцията трябва най-малко: </w:t>
            </w:r>
          </w:p>
          <w:p w14:paraId="16961FE2" w14:textId="213EDFB0" w:rsidR="006054AA" w:rsidRDefault="001F7667">
            <w:pPr>
              <w:pStyle w:val="P68B1DB1-Normal11"/>
              <w:spacing w:after="80"/>
              <w:ind w:left="340"/>
              <w:jc w:val="both"/>
              <w:rPr>
                <w:noProof/>
              </w:rPr>
            </w:pPr>
            <w:r>
              <w:rPr>
                <w:noProof/>
              </w:rPr>
              <w:t>— В съответствие с член 186, параграф 2 от Законодателен декрет № 36/2023 да се установи задължение за концесионерите на магистрали да възлагат на трети страни чрез публични процедури за представяне на доказателства между 50 % и 60 % от поръчките за строителство, услуги и доставки. Дяловете се изчисляват в зависимост от размера на икономическите и финансовите планове, приложени към документите за концесията, като се вземат предвид икономическият размер и характеристиките на концесионера, продължителността на възлагането на концесията, оставащият ѝ срок, нейният предмет, икономическата ѝ стойност и размерът на направените инвестиции.</w:t>
            </w:r>
          </w:p>
          <w:p w14:paraId="1851EFC7" w14:textId="77777777" w:rsidR="006054AA" w:rsidRDefault="006054AA">
            <w:pPr>
              <w:jc w:val="both"/>
              <w:rPr>
                <w:rFonts w:ascii="Arial Narrow" w:hAnsi="Arial Narrow"/>
                <w:noProof/>
                <w:color w:val="006100"/>
                <w:sz w:val="20"/>
              </w:rPr>
            </w:pPr>
          </w:p>
          <w:p w14:paraId="1A68747F" w14:textId="77777777" w:rsidR="006054AA" w:rsidRDefault="001F7667">
            <w:pPr>
              <w:pStyle w:val="P68B1DB1-Normal11"/>
              <w:jc w:val="both"/>
              <w:rPr>
                <w:noProof/>
              </w:rPr>
            </w:pPr>
            <w:r>
              <w:rPr>
                <w:noProof/>
              </w:rPr>
              <w:t>(*) що се отнася до вътрешни възлагания, законът:</w:t>
            </w:r>
          </w:p>
          <w:p w14:paraId="3449DF64" w14:textId="77777777" w:rsidR="006054AA" w:rsidRDefault="001F7667">
            <w:pPr>
              <w:pStyle w:val="P68B1DB1-Normal11"/>
              <w:spacing w:after="80"/>
              <w:ind w:left="340"/>
              <w:jc w:val="both"/>
              <w:rPr>
                <w:noProof/>
              </w:rPr>
            </w:pPr>
            <w:r>
              <w:rPr>
                <w:noProof/>
              </w:rPr>
              <w:t xml:space="preserve">— изискват задължителна </w:t>
            </w:r>
            <w:r>
              <w:rPr>
                <w:i/>
                <w:noProof/>
              </w:rPr>
              <w:t>предварителна</w:t>
            </w:r>
            <w:r>
              <w:rPr>
                <w:noProof/>
              </w:rPr>
              <w:t xml:space="preserve"> проверка на законосъобразността на вътрешното възлагане и забраняват започването на тръжната процедура или вътрешното възлагане без тази проверка;</w:t>
            </w:r>
          </w:p>
          <w:p w14:paraId="110BBC19" w14:textId="39C10519" w:rsidR="006054AA" w:rsidRDefault="001F7667">
            <w:pPr>
              <w:pStyle w:val="P68B1DB1-Normal11"/>
              <w:spacing w:after="80"/>
              <w:ind w:left="340"/>
              <w:jc w:val="both"/>
              <w:rPr>
                <w:noProof/>
              </w:rPr>
            </w:pPr>
            <w:r>
              <w:rPr>
                <w:noProof/>
              </w:rPr>
              <w:t>— да предостави на Органа за регулиране на транспорта (ART) подходящи инструменти и правомощия за извършване на горепосочените проверки, както и (правна) подкрепа от Националния орган за борба с корупцията (ANAC);</w:t>
            </w:r>
          </w:p>
          <w:p w14:paraId="0A3BCA7A" w14:textId="190FD9C0" w:rsidR="006054AA" w:rsidRDefault="001F7667">
            <w:pPr>
              <w:pStyle w:val="P68B1DB1-Normal11"/>
              <w:spacing w:after="80"/>
              <w:ind w:left="340"/>
              <w:jc w:val="both"/>
              <w:rPr>
                <w:noProof/>
              </w:rPr>
            </w:pPr>
            <w:r>
              <w:rPr>
                <w:noProof/>
              </w:rPr>
              <w:t>— изискват инсталирането на минимален брой електрически зарядни точки, въвеждането на подходящи зони за паркиране и почивка за операторите на товарни превози и пълното спазване на регулаторната рамка, разработена от ART за защита на правата на потребителите и предоставяне на адекватни нива на обслужване, като критерии за възлагане на нови концесии за магистрали.</w:t>
            </w:r>
          </w:p>
          <w:p w14:paraId="32D3510F" w14:textId="77777777" w:rsidR="006054AA" w:rsidRDefault="006054AA">
            <w:pPr>
              <w:jc w:val="both"/>
              <w:rPr>
                <w:rFonts w:ascii="Arial Narrow" w:hAnsi="Arial Narrow"/>
                <w:noProof/>
                <w:color w:val="006100"/>
                <w:sz w:val="20"/>
              </w:rPr>
            </w:pPr>
          </w:p>
          <w:p w14:paraId="6FD982C4" w14:textId="77777777" w:rsidR="006054AA" w:rsidRDefault="001F7667">
            <w:pPr>
              <w:pStyle w:val="P68B1DB1-Normal11"/>
              <w:jc w:val="both"/>
              <w:rPr>
                <w:noProof/>
              </w:rPr>
            </w:pPr>
            <w:r>
              <w:rPr>
                <w:b/>
                <w:noProof/>
              </w:rPr>
              <w:t>Гладене в студено състояние</w:t>
            </w:r>
            <w:r>
              <w:rPr>
                <w:noProof/>
              </w:rPr>
              <w:t xml:space="preserve">: </w:t>
            </w:r>
          </w:p>
          <w:p w14:paraId="067A7CA3" w14:textId="0E0793E5" w:rsidR="006054AA" w:rsidRDefault="001F7667">
            <w:pPr>
              <w:pStyle w:val="P68B1DB1-Normal11"/>
              <w:rPr>
                <w:noProof/>
              </w:rPr>
            </w:pPr>
            <w:r>
              <w:rPr>
                <w:b/>
                <w:noProof/>
              </w:rPr>
              <w:t>влизане в</w:t>
            </w:r>
            <w:r>
              <w:rPr>
                <w:noProof/>
              </w:rPr>
              <w:t xml:space="preserve"> сила на регулаторни стимули за използване на услуги за студено гладене в пристанищата;</w:t>
            </w:r>
          </w:p>
          <w:p w14:paraId="240C2E31" w14:textId="77777777" w:rsidR="006054AA" w:rsidRDefault="006054AA">
            <w:pPr>
              <w:jc w:val="both"/>
              <w:rPr>
                <w:rFonts w:ascii="Arial Narrow" w:hAnsi="Arial Narrow"/>
                <w:noProof/>
                <w:color w:val="006100"/>
                <w:sz w:val="20"/>
              </w:rPr>
            </w:pPr>
          </w:p>
          <w:p w14:paraId="0254D164" w14:textId="77777777" w:rsidR="006054AA" w:rsidRDefault="001F7667">
            <w:pPr>
              <w:pStyle w:val="P68B1DB1-Normal20"/>
              <w:jc w:val="both"/>
              <w:rPr>
                <w:noProof/>
              </w:rPr>
            </w:pPr>
            <w:r>
              <w:rPr>
                <w:noProof/>
              </w:rPr>
              <w:t>Списък на продавачите на дребно на природен газ:</w:t>
            </w:r>
          </w:p>
          <w:p w14:paraId="0AF196AA" w14:textId="77777777" w:rsidR="006054AA" w:rsidRDefault="001F7667">
            <w:pPr>
              <w:pStyle w:val="P68B1DB1-Normal11"/>
              <w:jc w:val="both"/>
              <w:rPr>
                <w:noProof/>
              </w:rPr>
            </w:pPr>
            <w:r>
              <w:rPr>
                <w:b/>
                <w:noProof/>
              </w:rPr>
              <w:t>VI)</w:t>
            </w:r>
            <w:r>
              <w:rPr>
                <w:noProof/>
              </w:rPr>
              <w:t xml:space="preserve"> определяне на критериите и изискванията за достъп и постоянство на предприятията в списъка на продавачите на дребно на природен газ, установен с член 17 от Законодателен декрет № 164/2000, насочен към повишаване на прозрачността и подпомагане на избора на потребителите на конкурентни пазари;</w:t>
            </w:r>
          </w:p>
          <w:p w14:paraId="712DA71D" w14:textId="77777777" w:rsidR="006054AA" w:rsidRDefault="006054AA">
            <w:pPr>
              <w:rPr>
                <w:rFonts w:ascii="Arial Narrow" w:hAnsi="Arial Narrow"/>
                <w:noProof/>
                <w:color w:val="006100"/>
                <w:sz w:val="20"/>
              </w:rPr>
            </w:pPr>
          </w:p>
          <w:p w14:paraId="7F70EC92" w14:textId="77777777" w:rsidR="006054AA" w:rsidRDefault="001F7667">
            <w:pPr>
              <w:pStyle w:val="P68B1DB1-Normal20"/>
              <w:rPr>
                <w:noProof/>
              </w:rPr>
            </w:pPr>
            <w:r>
              <w:rPr>
                <w:noProof/>
              </w:rPr>
              <w:t>Застраховане:</w:t>
            </w:r>
          </w:p>
          <w:p w14:paraId="2A30A76F" w14:textId="158ED0FE" w:rsidR="006054AA" w:rsidRDefault="001F7667">
            <w:pPr>
              <w:pStyle w:val="P68B1DB1-Normal11"/>
              <w:rPr>
                <w:noProof/>
              </w:rPr>
            </w:pPr>
            <w:r>
              <w:rPr>
                <w:b/>
                <w:noProof/>
              </w:rPr>
              <w:t>VII)</w:t>
            </w:r>
            <w:r>
              <w:rPr>
                <w:noProof/>
              </w:rPr>
              <w:t xml:space="preserve"> Влизане в сила на необходимите актове, за да се даде възможност за преносимост на данните за черните кутии за автомобили между застрахователите;</w:t>
            </w:r>
          </w:p>
          <w:p w14:paraId="279413AF" w14:textId="77777777" w:rsidR="006054AA" w:rsidRDefault="006054AA">
            <w:pPr>
              <w:rPr>
                <w:rFonts w:ascii="Arial Narrow" w:hAnsi="Arial Narrow"/>
                <w:noProof/>
                <w:color w:val="006100"/>
                <w:sz w:val="20"/>
              </w:rPr>
            </w:pPr>
          </w:p>
          <w:p w14:paraId="76C3E98D" w14:textId="77777777" w:rsidR="006054AA" w:rsidRDefault="001F7667">
            <w:pPr>
              <w:pStyle w:val="P68B1DB1-Normal20"/>
              <w:rPr>
                <w:noProof/>
              </w:rPr>
            </w:pPr>
            <w:r>
              <w:rPr>
                <w:noProof/>
              </w:rPr>
              <w:t>Започване на бизнес:</w:t>
            </w:r>
          </w:p>
          <w:p w14:paraId="43C88FD6" w14:textId="1FB0651F" w:rsidR="006054AA" w:rsidRDefault="001F7667">
            <w:pPr>
              <w:pStyle w:val="P68B1DB1-Normal11"/>
              <w:jc w:val="both"/>
              <w:rPr>
                <w:noProof/>
              </w:rPr>
            </w:pPr>
            <w:r>
              <w:rPr>
                <w:b/>
                <w:noProof/>
              </w:rPr>
              <w:t>VIII)</w:t>
            </w:r>
            <w:r>
              <w:rPr>
                <w:noProof/>
              </w:rPr>
              <w:t xml:space="preserve"> Преглед и актуализиране на законодателството относно стартиращите предприятия, иновативните МСП и рисковия капитал (напр. Закона за стартиране от 2012 г.), за да се рационализира съществуващото законодателство, да се преразгледа определението за новосъздадени предприятия и да се насърчат инвестициите в рисков капитал от частни и институционални инвеститори.</w:t>
            </w:r>
          </w:p>
        </w:tc>
      </w:tr>
      <w:tr w:rsidR="006054AA" w14:paraId="5ECAEE5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F8755A2" w14:textId="77777777" w:rsidR="006054AA" w:rsidRDefault="001F7667">
            <w:pPr>
              <w:pStyle w:val="P68B1DB1-Normal11"/>
              <w:spacing w:before="120" w:after="120"/>
              <w:jc w:val="center"/>
              <w:rPr>
                <w:noProof/>
              </w:rPr>
            </w:pPr>
            <w:r>
              <w:rPr>
                <w:noProof/>
              </w:rPr>
              <w:t>M1C2—12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5ECE12D"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873B7D"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E01F077" w14:textId="77777777" w:rsidR="006054AA" w:rsidRDefault="001F7667">
            <w:pPr>
              <w:pStyle w:val="P68B1DB1-Normal11"/>
              <w:spacing w:before="120" w:after="120"/>
              <w:jc w:val="center"/>
              <w:rPr>
                <w:noProof/>
              </w:rPr>
            </w:pPr>
            <w:r>
              <w:rPr>
                <w:noProof/>
              </w:rPr>
              <w:t>Влизане в сила на всички мерки за изпълнение (включително вторично законодателство, ако е необходимо) за ефективното изпълнение и прилагане на мерките, произтичащи от Годишния закон за конкуренцията за 2023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B72FF11" w14:textId="77777777" w:rsidR="006054AA" w:rsidRDefault="001F7667">
            <w:pPr>
              <w:pStyle w:val="P68B1DB1-Normal11"/>
              <w:spacing w:before="120" w:after="120"/>
              <w:jc w:val="center"/>
              <w:rPr>
                <w:noProof/>
              </w:rPr>
            </w:pPr>
            <w:r>
              <w:rPr>
                <w:noProof/>
              </w:rPr>
              <w:t>Влизане в сила на цялото вторично законодателство, включително всички необходими разпоредби за мерки, произтичащи от годишния закон за конкуренцията за 2023 г.</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5AFEFFD"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9969B52"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1D16D89"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A63E4F4"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5349B9" w14:textId="77777777" w:rsidR="006054AA" w:rsidRDefault="001F7667">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74009F6" w14:textId="77777777" w:rsidR="006054AA" w:rsidRDefault="001F7667">
            <w:pPr>
              <w:pStyle w:val="P68B1DB1-Normal11"/>
              <w:spacing w:before="120" w:after="120"/>
              <w:rPr>
                <w:noProof/>
              </w:rPr>
            </w:pPr>
            <w:r>
              <w:rPr>
                <w:noProof/>
              </w:rPr>
              <w:t>Влизане в сила на цялото вторично законодателство (ако е необходимо), включително всички необходими разпоредби за ефективното изпълнение и прилагане на всички мерки, произтичащи от годишния закон за конкуренцията за 2023 г.</w:t>
            </w:r>
          </w:p>
        </w:tc>
      </w:tr>
      <w:tr w:rsidR="006054AA" w14:paraId="5D49AE0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686DA" w14:textId="77777777" w:rsidR="006054AA" w:rsidRDefault="001F7667">
            <w:pPr>
              <w:pStyle w:val="P68B1DB1-Normal11"/>
              <w:spacing w:before="120" w:after="120"/>
              <w:jc w:val="center"/>
              <w:rPr>
                <w:noProof/>
              </w:rPr>
            </w:pPr>
            <w:r>
              <w:rPr>
                <w:noProof/>
              </w:rPr>
              <w:t>M1C2—13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3102DB7"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B69B20" w14:textId="77777777" w:rsidR="006054AA" w:rsidRDefault="001F7667">
            <w:pPr>
              <w:pStyle w:val="P68B1DB1-Normal11"/>
              <w:spacing w:before="120" w:after="120"/>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E69E5B3" w14:textId="77777777" w:rsidR="006054AA" w:rsidRDefault="001F7667">
            <w:pPr>
              <w:pStyle w:val="P68B1DB1-Normal11"/>
              <w:spacing w:before="120" w:after="120"/>
              <w:jc w:val="center"/>
              <w:rPr>
                <w:noProof/>
              </w:rPr>
            </w:pPr>
            <w:r>
              <w:rPr>
                <w:noProof/>
              </w:rPr>
              <w:t>Влизане в сила на годишния закон за конкуренцията за 2024 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F9E0461" w14:textId="77777777" w:rsidR="006054AA" w:rsidRDefault="001F7667">
            <w:pPr>
              <w:pStyle w:val="P68B1DB1-Normal11"/>
              <w:spacing w:before="120" w:after="120"/>
              <w:jc w:val="center"/>
              <w:rPr>
                <w:noProof/>
              </w:rPr>
            </w:pPr>
            <w:r>
              <w:rPr>
                <w:noProof/>
              </w:rPr>
              <w:t>Разпоредба, указваща влизането в сила на годишния закон за конкуренцията от 2024 г.</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C1ADCEC" w14:textId="77777777" w:rsidR="006054AA" w:rsidRDefault="001F7667">
            <w:pPr>
              <w:pStyle w:val="P68B1DB1-Normal11"/>
              <w:spacing w:before="120" w:after="120"/>
              <w:jc w:val="center"/>
              <w:rPr>
                <w:noProof/>
              </w:rPr>
            </w:pPr>
            <w:r>
              <w:rPr>
                <w:noProof/>
              </w:rPr>
              <w:t>НЯМА</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D9A21DA" w14:textId="77777777" w:rsidR="006054AA" w:rsidRDefault="001F7667">
            <w:pPr>
              <w:pStyle w:val="P68B1DB1-Normal11"/>
              <w:spacing w:before="120" w:after="120"/>
              <w:jc w:val="center"/>
              <w:rPr>
                <w:noProof/>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D11730D" w14:textId="77777777" w:rsidR="006054AA" w:rsidRDefault="001F7667">
            <w:pPr>
              <w:pStyle w:val="P68B1DB1-Normal11"/>
              <w:spacing w:before="120" w:after="120"/>
              <w:jc w:val="center"/>
              <w:rPr>
                <w:noProof/>
              </w:rPr>
            </w:pPr>
            <w:r>
              <w:rPr>
                <w:noProof/>
              </w:rPr>
              <w:t>НЯМА</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1777ECE"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04890CF" w14:textId="77777777" w:rsidR="006054AA" w:rsidRDefault="001F7667">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AE82539" w14:textId="5BF59C13" w:rsidR="006054AA" w:rsidRDefault="001F7667">
            <w:pPr>
              <w:pStyle w:val="P68B1DB1-Normal11"/>
              <w:spacing w:before="120" w:after="120"/>
              <w:rPr>
                <w:noProof/>
              </w:rPr>
            </w:pPr>
            <w:r>
              <w:rPr>
                <w:noProof/>
              </w:rPr>
              <w:t>Влизане в сила на годишния закон за конкуренцията за 2024 г.</w:t>
            </w:r>
          </w:p>
          <w:p w14:paraId="76E8D53E" w14:textId="5C4B42BA" w:rsidR="006054AA" w:rsidRDefault="001F7667">
            <w:pPr>
              <w:pStyle w:val="P68B1DB1-Normal11"/>
              <w:spacing w:before="120" w:after="120"/>
              <w:rPr>
                <w:noProof/>
              </w:rPr>
            </w:pPr>
            <w:r>
              <w:rPr>
                <w:noProof/>
              </w:rPr>
              <w:t>Законопроектът се внася в парламента до юни 2024 г. Той се одобрява от съставите до края на 2024 г. Вторично законодателство (ако е необходимо) не по-късно от 4Т2025.</w:t>
            </w:r>
          </w:p>
        </w:tc>
      </w:tr>
      <w:tr w:rsidR="006054AA" w14:paraId="08E6159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EA6EC61" w14:textId="77777777" w:rsidR="006054AA" w:rsidRDefault="001F7667">
            <w:pPr>
              <w:pStyle w:val="P68B1DB1-Normal11"/>
              <w:spacing w:before="120" w:after="120"/>
              <w:jc w:val="center"/>
              <w:rPr>
                <w:noProof/>
              </w:rPr>
            </w:pPr>
            <w:r>
              <w:rPr>
                <w:noProof/>
              </w:rPr>
              <w:t>M1C2—14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C74645" w14:textId="77777777" w:rsidR="006054AA" w:rsidRDefault="001F7667">
            <w:pPr>
              <w:pStyle w:val="P68B1DB1-Normal11"/>
              <w:spacing w:before="120" w:after="120"/>
              <w:jc w:val="center"/>
              <w:rPr>
                <w:noProof/>
              </w:rPr>
            </w:pPr>
            <w:r>
              <w:rPr>
                <w:noProof/>
              </w:rPr>
              <w:t>Реформа 2: Годишни закони в областта на конкуренцията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DF7073" w14:textId="77777777" w:rsidR="006054AA" w:rsidRDefault="001F7667">
            <w:pPr>
              <w:pStyle w:val="P68B1DB1-Normal11"/>
              <w:spacing w:before="120" w:after="120"/>
              <w:jc w:val="center"/>
              <w:rPr>
                <w:noProof/>
              </w:rPr>
            </w:pPr>
            <w:r>
              <w:rPr>
                <w:noProof/>
              </w:rPr>
              <w:t>Целеви</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5E9CC24" w14:textId="77777777" w:rsidR="006054AA" w:rsidRDefault="001F7667">
            <w:pPr>
              <w:pStyle w:val="P68B1DB1-Normal11"/>
              <w:spacing w:before="120" w:after="120"/>
              <w:jc w:val="center"/>
              <w:rPr>
                <w:noProof/>
              </w:rPr>
            </w:pPr>
            <w:r>
              <w:rPr>
                <w:noProof/>
              </w:rPr>
              <w:t>Внедрени са милиони интелигентни измервателни уреди за 2G.</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54924D1" w14:textId="77777777" w:rsidR="006054AA" w:rsidRDefault="001F7667">
            <w:pPr>
              <w:pStyle w:val="P68B1DB1-Normal11"/>
              <w:spacing w:before="120" w:after="120"/>
              <w:jc w:val="center"/>
              <w:rPr>
                <w:noProof/>
              </w:rPr>
            </w:pPr>
            <w:r>
              <w:rPr>
                <w:noProof/>
              </w:rPr>
              <w:t>НЯМА</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216586B" w14:textId="77777777" w:rsidR="006054AA" w:rsidRDefault="001F7667">
            <w:pPr>
              <w:pStyle w:val="P68B1DB1-Normal11"/>
              <w:spacing w:before="120" w:after="120"/>
              <w:jc w:val="center"/>
              <w:rPr>
                <w:noProof/>
              </w:rPr>
            </w:pPr>
            <w:r>
              <w:rPr>
                <w:noProof/>
              </w:rPr>
              <w:t>Брой</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E4AC953" w14:textId="77777777" w:rsidR="006054AA" w:rsidRDefault="001F7667">
            <w:pPr>
              <w:pStyle w:val="P68B1DB1-Normal11"/>
              <w:spacing w:before="120" w:after="120"/>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61A67CC" w14:textId="77777777" w:rsidR="006054AA" w:rsidRDefault="001F7667">
            <w:pPr>
              <w:pStyle w:val="P68B1DB1-Normal11"/>
              <w:spacing w:before="120" w:after="120"/>
              <w:jc w:val="center"/>
              <w:rPr>
                <w:noProof/>
              </w:rPr>
            </w:pPr>
            <w:r>
              <w:rPr>
                <w:noProof/>
              </w:rPr>
              <w:t>33</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0CAD4B" w14:textId="77777777" w:rsidR="006054AA" w:rsidRDefault="001F7667">
            <w:pPr>
              <w:pStyle w:val="P68B1DB1-Normal11"/>
              <w:spacing w:before="120"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760C1DB" w14:textId="77777777" w:rsidR="006054AA" w:rsidRDefault="001F7667">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F9BD75" w14:textId="77777777" w:rsidR="006054AA" w:rsidRDefault="001F7667">
            <w:pPr>
              <w:pStyle w:val="P68B1DB1-Normal11"/>
              <w:rPr>
                <w:noProof/>
              </w:rPr>
            </w:pPr>
            <w:r>
              <w:rPr>
                <w:noProof/>
              </w:rPr>
              <w:t>Внедряват се най-малко 33 милиона 2G интелигентни измервателни уреди.</w:t>
            </w:r>
          </w:p>
        </w:tc>
      </w:tr>
      <w:tr w:rsidR="006054AA" w14:paraId="6AAB8B5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DD7CEEB" w14:textId="77777777" w:rsidR="006054AA" w:rsidRDefault="001F7667">
            <w:pPr>
              <w:pStyle w:val="P68B1DB1-Normal11"/>
              <w:jc w:val="center"/>
              <w:rPr>
                <w:noProof/>
              </w:rPr>
            </w:pPr>
            <w:r>
              <w:rPr>
                <w:noProof/>
              </w:rPr>
              <w:t>M1C2—14bis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2A17FD" w14:textId="77777777" w:rsidR="006054AA" w:rsidRDefault="001F7667">
            <w:pPr>
              <w:pStyle w:val="P68B1DB1-Normal11"/>
              <w:jc w:val="center"/>
              <w:rPr>
                <w:noProof/>
              </w:rPr>
            </w:pPr>
            <w:r>
              <w:rPr>
                <w:noProof/>
              </w:rPr>
              <w:t>Реформа 3:   рационализиране и опростяване на стимулите за предприятията.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E7203F" w14:textId="77777777" w:rsidR="006054AA" w:rsidRDefault="001F7667">
            <w:pPr>
              <w:pStyle w:val="P68B1DB1-Normal11"/>
              <w:jc w:val="center"/>
              <w:rPr>
                <w:noProof/>
              </w:rPr>
            </w:pPr>
            <w:r>
              <w:rPr>
                <w:noProof/>
              </w:rPr>
              <w:t xml:space="preserve">Ключов етап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5CCFAD6" w14:textId="77777777" w:rsidR="006054AA" w:rsidRDefault="001F7667">
            <w:pPr>
              <w:pStyle w:val="P68B1DB1-Normal11"/>
              <w:jc w:val="center"/>
              <w:rPr>
                <w:noProof/>
              </w:rPr>
            </w:pPr>
            <w:r>
              <w:rPr>
                <w:noProof/>
              </w:rPr>
              <w:t>Публикуване на оценката на доклада за всички стимули за предприятията</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3BFB797" w14:textId="77777777" w:rsidR="006054AA" w:rsidRDefault="001F7667">
            <w:pPr>
              <w:pStyle w:val="P68B1DB1-Normal11"/>
              <w:jc w:val="center"/>
              <w:rPr>
                <w:noProof/>
              </w:rPr>
            </w:pPr>
            <w:r>
              <w:rPr>
                <w:noProof/>
              </w:rPr>
              <w:t xml:space="preserve">Публикуване на доклада </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CF2D925" w14:textId="77777777" w:rsidR="006054AA" w:rsidRDefault="001F7667">
            <w:pPr>
              <w:pStyle w:val="P68B1DB1-Normal11"/>
              <w:jc w:val="center"/>
              <w:rPr>
                <w:noProof/>
              </w:rPr>
            </w:pPr>
            <w:r>
              <w:rPr>
                <w:noProof/>
              </w:rPr>
              <w:t xml:space="preserve">НЯМА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B81509B" w14:textId="77777777" w:rsidR="006054AA" w:rsidRDefault="001F7667">
            <w:pPr>
              <w:pStyle w:val="P68B1DB1-Normal11"/>
              <w:jc w:val="center"/>
              <w:rPr>
                <w:noProof/>
              </w:rPr>
            </w:pPr>
            <w:r>
              <w:rPr>
                <w:noProof/>
              </w:rPr>
              <w:t xml:space="preserve">НЯМА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AFE474A" w14:textId="77777777" w:rsidR="006054AA" w:rsidRDefault="001F7667">
            <w:pPr>
              <w:pStyle w:val="P68B1DB1-Normal11"/>
              <w:jc w:val="center"/>
              <w:rPr>
                <w:noProof/>
              </w:rPr>
            </w:pPr>
            <w:r>
              <w:rPr>
                <w:noProof/>
              </w:rPr>
              <w:t xml:space="preserve">НЯМА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801BAD2" w14:textId="77777777" w:rsidR="006054AA" w:rsidRDefault="001F7667">
            <w:pPr>
              <w:pStyle w:val="P68B1DB1-Normal11"/>
              <w:jc w:val="center"/>
              <w:rPr>
                <w:noProof/>
              </w:rPr>
            </w:pPr>
            <w:r>
              <w:rPr>
                <w:noProof/>
              </w:rPr>
              <w:t xml:space="preserve">Т2 Г.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568FB6F" w14:textId="77777777" w:rsidR="006054AA" w:rsidRDefault="001F7667">
            <w:pPr>
              <w:pStyle w:val="P68B1DB1-Normal11"/>
              <w:jc w:val="center"/>
              <w:rPr>
                <w:noProof/>
              </w:rPr>
            </w:pPr>
            <w:r>
              <w:rPr>
                <w:noProof/>
              </w:rPr>
              <w:t xml:space="preserve">2025 </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7828F71" w14:textId="77777777" w:rsidR="006054AA" w:rsidRDefault="001F7667">
            <w:pPr>
              <w:pStyle w:val="P68B1DB1-Normal11"/>
              <w:jc w:val="both"/>
              <w:rPr>
                <w:noProof/>
              </w:rPr>
            </w:pPr>
            <w:r>
              <w:rPr>
                <w:noProof/>
              </w:rPr>
              <w:t>Министерството на предприятията и производителите в Италия публикува доклад за оценка на всички стимули и инвестиции за предприятията.</w:t>
            </w:r>
          </w:p>
          <w:p w14:paraId="185BE74F" w14:textId="77777777" w:rsidR="006054AA" w:rsidRDefault="001F7667">
            <w:pPr>
              <w:pStyle w:val="P68B1DB1-Normal11"/>
              <w:jc w:val="both"/>
              <w:rPr>
                <w:noProof/>
              </w:rPr>
            </w:pPr>
            <w:r>
              <w:rPr>
                <w:noProof/>
              </w:rPr>
              <w:t>В доклада се разработват конкретни предложения за рационализиране на националните стимули.</w:t>
            </w:r>
          </w:p>
          <w:p w14:paraId="18C57879" w14:textId="77777777" w:rsidR="006054AA" w:rsidRDefault="006054AA">
            <w:pPr>
              <w:rPr>
                <w:rFonts w:ascii="Arial Narrow" w:eastAsia="Calibri" w:hAnsi="Arial Narrow" w:cs="Calibri"/>
                <w:noProof/>
                <w:sz w:val="20"/>
              </w:rPr>
            </w:pPr>
          </w:p>
        </w:tc>
      </w:tr>
      <w:tr w:rsidR="006054AA" w14:paraId="73D85A1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20CF965" w14:textId="77777777" w:rsidR="006054AA" w:rsidRDefault="001F7667">
            <w:pPr>
              <w:pStyle w:val="P68B1DB1-Normal11"/>
              <w:jc w:val="center"/>
              <w:rPr>
                <w:noProof/>
              </w:rPr>
            </w:pPr>
            <w:r>
              <w:rPr>
                <w:noProof/>
              </w:rPr>
              <w:t>M1C2—14ter</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F9D385A" w14:textId="77777777" w:rsidR="006054AA" w:rsidRDefault="001F7667">
            <w:pPr>
              <w:pStyle w:val="P68B1DB1-Normal11"/>
              <w:jc w:val="center"/>
              <w:rPr>
                <w:noProof/>
              </w:rPr>
            </w:pPr>
            <w:r>
              <w:rPr>
                <w:noProof/>
              </w:rPr>
              <w:t>Реформа 3: рационализиране и опростяване на стимулите за предприятията.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7317AC" w14:textId="77777777" w:rsidR="006054AA" w:rsidRDefault="001F7667">
            <w:pPr>
              <w:pStyle w:val="P68B1DB1-Normal11"/>
              <w:jc w:val="center"/>
              <w:rPr>
                <w:noProof/>
              </w:rPr>
            </w:pPr>
            <w:r>
              <w:rPr>
                <w:noProof/>
              </w:rPr>
              <w:t xml:space="preserve">Ключов етап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5FFB8C" w14:textId="77777777" w:rsidR="006054AA" w:rsidRDefault="001F7667">
            <w:pPr>
              <w:pStyle w:val="P68B1DB1-Normal11"/>
              <w:jc w:val="center"/>
              <w:rPr>
                <w:noProof/>
              </w:rPr>
            </w:pPr>
            <w:r>
              <w:rPr>
                <w:noProof/>
              </w:rPr>
              <w:t>Влизане в сила на първичното законодателство за рационализиране на стимулите за предприятия</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A42106F" w14:textId="77777777" w:rsidR="006054AA" w:rsidRDefault="001F7667">
            <w:pPr>
              <w:pStyle w:val="P68B1DB1-Normal11"/>
              <w:jc w:val="center"/>
              <w:rPr>
                <w:noProof/>
              </w:rPr>
            </w:pPr>
            <w:r>
              <w:rPr>
                <w:noProof/>
              </w:rPr>
              <w:t>Влизане в сила на първичното законодателство</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37D65B8" w14:textId="77777777" w:rsidR="006054AA" w:rsidRDefault="001F7667">
            <w:pPr>
              <w:pStyle w:val="P68B1DB1-Normal11"/>
              <w:jc w:val="center"/>
              <w:rPr>
                <w:noProof/>
              </w:rPr>
            </w:pPr>
            <w:r>
              <w:rPr>
                <w:noProof/>
              </w:rPr>
              <w:t xml:space="preserve">НЯМА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CB3ECD3" w14:textId="77777777" w:rsidR="006054AA" w:rsidRDefault="001F7667">
            <w:pPr>
              <w:pStyle w:val="P68B1DB1-Normal11"/>
              <w:jc w:val="center"/>
              <w:rPr>
                <w:noProof/>
              </w:rPr>
            </w:pPr>
            <w:r>
              <w:rPr>
                <w:noProof/>
              </w:rPr>
              <w:t xml:space="preserve">НЯМА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916892" w14:textId="77777777" w:rsidR="006054AA" w:rsidRDefault="001F7667">
            <w:pPr>
              <w:pStyle w:val="P68B1DB1-Normal11"/>
              <w:jc w:val="center"/>
              <w:rPr>
                <w:noProof/>
              </w:rPr>
            </w:pPr>
            <w:r>
              <w:rPr>
                <w:noProof/>
              </w:rPr>
              <w:t xml:space="preserve">НЯМА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E655DB6" w14:textId="77777777" w:rsidR="006054AA" w:rsidRDefault="001F7667">
            <w:pPr>
              <w:pStyle w:val="P68B1DB1-Normal11"/>
              <w:jc w:val="center"/>
              <w:rPr>
                <w:noProof/>
              </w:rPr>
            </w:pPr>
            <w:r>
              <w:rPr>
                <w:noProof/>
              </w:rPr>
              <w:t xml:space="preserve">Т2 Г.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1C9038E" w14:textId="6C00C760" w:rsidR="006054AA" w:rsidRDefault="001F7667">
            <w:pPr>
              <w:pStyle w:val="P68B1DB1-Normal11"/>
              <w:jc w:val="center"/>
              <w:rPr>
                <w:noProof/>
              </w:rPr>
            </w:pPr>
            <w:r>
              <w:rPr>
                <w:noProof/>
              </w:rPr>
              <w:t>2026</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79A42EA" w14:textId="77777777" w:rsidR="006054AA" w:rsidRDefault="001F7667">
            <w:pPr>
              <w:pStyle w:val="P68B1DB1-Normal11"/>
              <w:jc w:val="both"/>
              <w:rPr>
                <w:noProof/>
              </w:rPr>
            </w:pPr>
            <w:r>
              <w:rPr>
                <w:noProof/>
              </w:rPr>
              <w:t>Влизане в сила на всички законодателни актове за рационализиране на стимулите за предприятия.</w:t>
            </w:r>
          </w:p>
          <w:p w14:paraId="02683C27" w14:textId="77777777" w:rsidR="006054AA" w:rsidRDefault="001F7667">
            <w:pPr>
              <w:pStyle w:val="P68B1DB1-Normal11"/>
              <w:jc w:val="both"/>
              <w:rPr>
                <w:noProof/>
              </w:rPr>
            </w:pPr>
            <w:r>
              <w:rPr>
                <w:noProof/>
              </w:rPr>
              <w:t>Реформата засяга стимулите на национално равнище.</w:t>
            </w:r>
          </w:p>
        </w:tc>
      </w:tr>
    </w:tbl>
    <w:p w14:paraId="4E060259" w14:textId="77777777" w:rsidR="006054AA" w:rsidRDefault="001F7667">
      <w:pPr>
        <w:spacing w:before="120" w:after="120"/>
        <w:jc w:val="both"/>
        <w:rPr>
          <w:noProof/>
        </w:rPr>
      </w:pPr>
      <w:r>
        <w:rPr>
          <w:noProof/>
        </w:rPr>
        <w:t xml:space="preserve"> </w:t>
      </w:r>
      <w:r>
        <w:rPr>
          <w:noProof/>
        </w:rPr>
        <w:br/>
      </w:r>
    </w:p>
    <w:p w14:paraId="5794EBD2" w14:textId="77777777" w:rsidR="006054AA" w:rsidRDefault="006054AA">
      <w:pPr>
        <w:spacing w:before="120" w:after="120"/>
        <w:ind w:left="709"/>
        <w:jc w:val="both"/>
        <w:rPr>
          <w:rFonts w:eastAsia="Calibri"/>
          <w:noProof/>
        </w:rPr>
      </w:pPr>
    </w:p>
    <w:p w14:paraId="0727A8D1" w14:textId="77777777" w:rsidR="006054AA" w:rsidRDefault="006054AA">
      <w:pPr>
        <w:spacing w:before="120" w:after="120"/>
        <w:ind w:left="709"/>
        <w:jc w:val="both"/>
        <w:rPr>
          <w:noProof/>
        </w:rPr>
        <w:sectPr w:rsidR="006054AA" w:rsidSect="001354D1">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1783FF05" w14:textId="77777777" w:rsidR="006054AA" w:rsidRDefault="001F7667">
      <w:pPr>
        <w:pStyle w:val="Heading3"/>
        <w:numPr>
          <w:ilvl w:val="2"/>
          <w:numId w:val="0"/>
        </w:numPr>
        <w:ind w:left="850" w:hanging="850"/>
        <w:rPr>
          <w:b/>
          <w:i w:val="0"/>
          <w:noProof/>
          <w:color w:val="4F81BD" w:themeColor="accent1"/>
          <w:u w:val="single"/>
        </w:rPr>
      </w:pPr>
      <w:r>
        <w:rPr>
          <w:b/>
          <w:i w:val="0"/>
          <w:noProof/>
          <w:u w:val="single"/>
        </w:rPr>
        <w:t xml:space="preserve">Б.3. </w:t>
      </w:r>
      <w:r>
        <w:rPr>
          <w:noProof/>
        </w:rPr>
        <w:tab/>
      </w:r>
      <w:r>
        <w:rPr>
          <w:b/>
          <w:i w:val="0"/>
          <w:noProof/>
          <w:u w:val="single"/>
        </w:rPr>
        <w:t xml:space="preserve">Описание на реформите и инвестициите за заема </w:t>
      </w:r>
    </w:p>
    <w:p w14:paraId="3DDB12EC" w14:textId="77777777" w:rsidR="006054AA" w:rsidRDefault="001F7667">
      <w:pPr>
        <w:pStyle w:val="P68B1DB1-Normal2"/>
        <w:spacing w:before="120" w:after="120"/>
        <w:jc w:val="both"/>
        <w:rPr>
          <w:i/>
          <w:noProof/>
        </w:rPr>
      </w:pPr>
      <w:r>
        <w:rPr>
          <w:noProof/>
        </w:rPr>
        <w:t xml:space="preserve">Инвестиция 2: Иновации и технологии в областта на микроелектрониката </w:t>
      </w:r>
    </w:p>
    <w:p w14:paraId="1871B2BE" w14:textId="560A0F37" w:rsidR="006054AA" w:rsidRDefault="001F7667">
      <w:pPr>
        <w:spacing w:before="120" w:after="120"/>
        <w:jc w:val="both"/>
        <w:rPr>
          <w:noProof/>
        </w:rPr>
      </w:pPr>
      <w:r>
        <w:rPr>
          <w:noProof/>
        </w:rPr>
        <w:t>Целта на инвестицията е да се подкрепи развитието на стратегическата верига за създаване на стойност на микроелектрониката чрез инвестиране в субстрати от силициев карбид, който е необходим ресурс за производството на високоефективни електрически устройства. Инвестицията се осъществява в съответствие със съществуващите правила за държавна помощ и се очаква да има положително въздействие върху заетостта.</w:t>
      </w:r>
    </w:p>
    <w:p w14:paraId="5CE2CFAE" w14:textId="77777777" w:rsidR="006054AA" w:rsidRDefault="001F7667">
      <w:pPr>
        <w:pStyle w:val="P68B1DB1-Normal2"/>
        <w:spacing w:before="120" w:after="120"/>
        <w:jc w:val="both"/>
        <w:rPr>
          <w:noProof/>
        </w:rPr>
      </w:pPr>
      <w:r>
        <w:rPr>
          <w:noProof/>
        </w:rPr>
        <w:t>Инвестиция 3: Бързи интернет връзки (свръхшироколентов достъп и 5G)</w:t>
      </w:r>
    </w:p>
    <w:p w14:paraId="044629F2" w14:textId="77777777" w:rsidR="006054AA" w:rsidRDefault="001F7667">
      <w:pPr>
        <w:spacing w:after="120"/>
        <w:jc w:val="both"/>
        <w:rPr>
          <w:noProof/>
        </w:rPr>
      </w:pPr>
      <w:r>
        <w:rPr>
          <w:noProof/>
        </w:rPr>
        <w:t xml:space="preserve">Целта на инвестицията е да се завърши изграждането на националната свръхвисокоскоростна и 5G далекосъобщителна мрежа на цялата национална територия. Очаква се тези инвестиции да допринесат значително за постигането на целите на цифровия преход и да намалят цифровото разделение в Италия. </w:t>
      </w:r>
    </w:p>
    <w:p w14:paraId="12C3D354" w14:textId="77777777" w:rsidR="006054AA" w:rsidRDefault="001F7667">
      <w:pPr>
        <w:spacing w:after="120"/>
        <w:jc w:val="both"/>
        <w:rPr>
          <w:noProof/>
        </w:rPr>
      </w:pPr>
      <w:r>
        <w:rPr>
          <w:noProof/>
        </w:rPr>
        <w:t>Инвестицията включва възлагането на концесии и обхваща пет проекта за по-бързо свързване:</w:t>
      </w:r>
    </w:p>
    <w:p w14:paraId="7D8EE9A5" w14:textId="77777777" w:rsidR="006054AA" w:rsidRDefault="001F7667">
      <w:pPr>
        <w:pStyle w:val="ListParagraph"/>
        <w:numPr>
          <w:ilvl w:val="0"/>
          <w:numId w:val="73"/>
        </w:numPr>
        <w:spacing w:before="0" w:after="0"/>
        <w:rPr>
          <w:rFonts w:eastAsiaTheme="minorEastAsia"/>
          <w:noProof/>
        </w:rPr>
      </w:pPr>
      <w:r>
        <w:rPr>
          <w:noProof/>
        </w:rPr>
        <w:t>„Italia a 1 Giga“, която предоставя 1 гигабитов/и гигабитов/и достъп от следващо поколение и 200 Mbit/s при качване на свързаност в сиви и черни зони на неефективност на пазара за достъп от следващо поколение (ДСП). Тези зони се определят след приключване на картографирането;</w:t>
      </w:r>
    </w:p>
    <w:p w14:paraId="6EA65E9E" w14:textId="77777777" w:rsidR="006054AA" w:rsidRDefault="001F7667">
      <w:pPr>
        <w:pStyle w:val="ListParagraph"/>
        <w:numPr>
          <w:ilvl w:val="0"/>
          <w:numId w:val="73"/>
        </w:numPr>
        <w:spacing w:before="0" w:after="0"/>
        <w:rPr>
          <w:rFonts w:eastAsiaTheme="minorEastAsia"/>
          <w:noProof/>
        </w:rPr>
      </w:pPr>
      <w:r>
        <w:rPr>
          <w:noProof/>
        </w:rPr>
        <w:t>„Italia 5G“, която осигурява 5G връзки в райони с неефективност на пазара, т.е. райони, в които мобилните мрежи не са разгърнати; или са налични само 3G мрежи и в близко бъдеще не са планирани 4G и/или 5G мобилни мрежи; или е налице доказана неефективност на пазара;</w:t>
      </w:r>
    </w:p>
    <w:p w14:paraId="7F88C104" w14:textId="77777777" w:rsidR="006054AA" w:rsidRDefault="001F7667">
      <w:pPr>
        <w:pStyle w:val="ListParagraph"/>
        <w:numPr>
          <w:ilvl w:val="0"/>
          <w:numId w:val="73"/>
        </w:numPr>
        <w:spacing w:before="0" w:after="0"/>
        <w:rPr>
          <w:rFonts w:eastAsiaTheme="minorEastAsia"/>
          <w:noProof/>
        </w:rPr>
      </w:pPr>
      <w:r>
        <w:rPr>
          <w:noProof/>
        </w:rPr>
        <w:t>„Свързани училища“, които осигуряват на училищните сгради 1 гигабитова/и широколентова връзка;</w:t>
      </w:r>
    </w:p>
    <w:p w14:paraId="3C61ACC4" w14:textId="77777777" w:rsidR="006054AA" w:rsidRDefault="001F7667">
      <w:pPr>
        <w:pStyle w:val="ListParagraph"/>
        <w:numPr>
          <w:ilvl w:val="0"/>
          <w:numId w:val="73"/>
        </w:numPr>
        <w:spacing w:before="0" w:after="0"/>
        <w:rPr>
          <w:rFonts w:eastAsiaTheme="minorEastAsia"/>
          <w:noProof/>
        </w:rPr>
      </w:pPr>
      <w:r>
        <w:rPr>
          <w:noProof/>
        </w:rPr>
        <w:t>„Свързани здравни заведения“, които осигуряват 1 гигабитова широколентова връзка за обществените здравни заведения;</w:t>
      </w:r>
    </w:p>
    <w:p w14:paraId="0A2DADDA" w14:textId="77777777" w:rsidR="006054AA" w:rsidRDefault="001F7667">
      <w:pPr>
        <w:pStyle w:val="ListParagraph"/>
        <w:numPr>
          <w:ilvl w:val="0"/>
          <w:numId w:val="73"/>
        </w:numPr>
        <w:spacing w:before="0" w:after="0"/>
        <w:rPr>
          <w:noProof/>
        </w:rPr>
      </w:pPr>
      <w:r>
        <w:rPr>
          <w:noProof/>
        </w:rPr>
        <w:t>„Свързани малки острови“, които осигуряват свръхшироколентова свързаност на избрани по-малки острови, които не разполагат с оптични връзки с континента.</w:t>
      </w:r>
    </w:p>
    <w:p w14:paraId="15734516" w14:textId="77777777" w:rsidR="006054AA" w:rsidRDefault="006054AA">
      <w:pPr>
        <w:pStyle w:val="ListParagraph"/>
        <w:spacing w:before="0" w:after="0"/>
        <w:rPr>
          <w:noProof/>
        </w:rPr>
      </w:pPr>
    </w:p>
    <w:p w14:paraId="022E1C03" w14:textId="77777777" w:rsidR="006054AA" w:rsidRDefault="001F7667">
      <w:pPr>
        <w:pStyle w:val="P68B1DB1-Normal2"/>
        <w:spacing w:before="120" w:after="120"/>
        <w:jc w:val="both"/>
        <w:rPr>
          <w:noProof/>
        </w:rPr>
      </w:pPr>
      <w:r>
        <w:rPr>
          <w:noProof/>
        </w:rPr>
        <w:t>Инвестиция 4: Сателитни технологии и космическа икономика</w:t>
      </w:r>
    </w:p>
    <w:p w14:paraId="3DF5495A" w14:textId="77777777" w:rsidR="006054AA" w:rsidRDefault="001F7667">
      <w:pPr>
        <w:jc w:val="both"/>
        <w:rPr>
          <w:noProof/>
          <w:color w:val="000000" w:themeColor="text1"/>
        </w:rPr>
      </w:pPr>
      <w:r>
        <w:rPr>
          <w:noProof/>
        </w:rPr>
        <w:t>Целта на инвестицията е да се разработят спътникови връзки с оглед на цифровия и екологичния преход и да се допринесе за развитието на космическия сектор. Целта на инвестицията е също така да се създадат условия за услуги като сигурни комуникации и инфраструктура за наблюдение за различни сектори на икономиката, като за тази цел тя включва както дейности нагоре по веригата (</w:t>
      </w:r>
      <w:r>
        <w:rPr>
          <w:noProof/>
          <w:color w:val="000000" w:themeColor="text1"/>
        </w:rPr>
        <w:t xml:space="preserve">услуги по изстрелване, производство и експлоатация на спътници и инфраструктура), така и дейности надолу по веригата (генериране на продукти и услуги). </w:t>
      </w:r>
    </w:p>
    <w:p w14:paraId="060BC643" w14:textId="77777777" w:rsidR="006054AA" w:rsidRDefault="001F7667">
      <w:pPr>
        <w:jc w:val="both"/>
        <w:rPr>
          <w:noProof/>
        </w:rPr>
      </w:pPr>
      <w:r>
        <w:rPr>
          <w:noProof/>
          <w:color w:val="000000" w:themeColor="text1"/>
        </w:rPr>
        <w:t xml:space="preserve">Инвестицията </w:t>
      </w:r>
      <w:r>
        <w:rPr>
          <w:noProof/>
        </w:rPr>
        <w:t>включва възлагането на търгове и обхваща четири проекта:</w:t>
      </w:r>
    </w:p>
    <w:p w14:paraId="0CC1A42D" w14:textId="77777777" w:rsidR="006054AA" w:rsidRDefault="001F7667">
      <w:pPr>
        <w:pStyle w:val="ListParagraph"/>
        <w:numPr>
          <w:ilvl w:val="0"/>
          <w:numId w:val="75"/>
        </w:numPr>
        <w:spacing w:before="0" w:after="0"/>
        <w:rPr>
          <w:rFonts w:eastAsiaTheme="minorEastAsia"/>
          <w:noProof/>
        </w:rPr>
      </w:pPr>
      <w:r>
        <w:rPr>
          <w:noProof/>
        </w:rPr>
        <w:t xml:space="preserve">SATCOM, което се състои от дейности за разработване на технологии и системи с двойна употреба, които да се използват за предоставяне на иновативни спътникови съобщителни услуги с висока степен на сигурност за правителствени цели. </w:t>
      </w:r>
    </w:p>
    <w:p w14:paraId="7BC40FC9" w14:textId="77777777" w:rsidR="006054AA" w:rsidRDefault="001F7667">
      <w:pPr>
        <w:pStyle w:val="ListParagraph"/>
        <w:numPr>
          <w:ilvl w:val="0"/>
          <w:numId w:val="75"/>
        </w:numPr>
        <w:spacing w:before="0" w:after="0"/>
        <w:rPr>
          <w:rFonts w:eastAsiaTheme="minorEastAsia"/>
          <w:noProof/>
        </w:rPr>
      </w:pPr>
      <w:r>
        <w:rPr>
          <w:noProof/>
        </w:rPr>
        <w:t xml:space="preserve">Наблюдение на Земята (ЕО), което се състои от i) дейности нагоре по веригата: включително спецификация, проектиране, разработване на мрежа за дистанционно наблюдение (радар на синтетична апертура (SAR), хиперспектрален) и възлагане на обществени поръчки за изстрелвания с акцент върху мониторинга на сушата, морето и атмосферата; II) дейности надолу по веригата: реализацията на проекта CyberItaly, който включва създаването на цифрово копие на страната. </w:t>
      </w:r>
    </w:p>
    <w:p w14:paraId="2B9E9020" w14:textId="77777777" w:rsidR="006054AA" w:rsidRDefault="001F7667">
      <w:pPr>
        <w:pStyle w:val="ListParagraph"/>
        <w:numPr>
          <w:ilvl w:val="0"/>
          <w:numId w:val="75"/>
        </w:numPr>
        <w:spacing w:before="0" w:after="0"/>
        <w:rPr>
          <w:rFonts w:eastAsiaTheme="minorEastAsia"/>
          <w:noProof/>
        </w:rPr>
      </w:pPr>
      <w:r>
        <w:rPr>
          <w:noProof/>
        </w:rPr>
        <w:t>Космическа фабрика, състояща се от два подпроекта: и) Космическа фабрика 4.0: спецификацията, проектирането и изграждането на цифрови съоръжения за производство, сглобяване и изпитване на малки спътници и въвеждането на киберфизическа производствена система и сателитно цифрово побратимяване, насочено към установяване на двупосочна връзка между цифровия модел и физическия му еквивалент; II) Достъп до космическото пространство: научноизследователска и развойна дейност и създаване на прототипи за реализиране на екологични технологии за бъдещо поколение подрулващи устройства и ракети-носители, включително демонстрация на избрани технологии по време на полет.</w:t>
      </w:r>
    </w:p>
    <w:p w14:paraId="7D0BEA12" w14:textId="77777777" w:rsidR="006054AA" w:rsidRDefault="001F7667">
      <w:pPr>
        <w:pStyle w:val="ListParagraph"/>
        <w:numPr>
          <w:ilvl w:val="0"/>
          <w:numId w:val="75"/>
        </w:numPr>
        <w:spacing w:before="0" w:after="0"/>
        <w:rPr>
          <w:rFonts w:eastAsiaTheme="minorEastAsia"/>
          <w:noProof/>
        </w:rPr>
      </w:pPr>
      <w:r>
        <w:rPr>
          <w:noProof/>
        </w:rPr>
        <w:t>Икономика в орбита, която се състои в прилагането на демонстратор за технологии за обслужване в орбита за оперативна съвместимост в орбита; увеличаване на националния капацитет за космическо наблюдение и проследяване (КНП), включително мрежа от наземни датчици за наблюдение и проследяване на космически отпадъци; проектиране, разработване, въвеждане в експлоатация на активи за придобиване и управление и предоставяне на услуги за данни в подкрепа на дейностите по управление на космическия трафик.</w:t>
      </w:r>
    </w:p>
    <w:p w14:paraId="4D1FBB8F" w14:textId="77777777" w:rsidR="006054AA" w:rsidRDefault="001F7667">
      <w:pPr>
        <w:spacing w:before="120" w:after="120"/>
        <w:jc w:val="both"/>
        <w:rPr>
          <w:noProof/>
        </w:rPr>
      </w:pPr>
      <w:r>
        <w:rPr>
          <w:noProof/>
        </w:rPr>
        <w:t>Предвижда се инвестицията да няма военни или отбранителни цели и последици.</w:t>
      </w:r>
    </w:p>
    <w:p w14:paraId="556B4313" w14:textId="77777777" w:rsidR="006054AA" w:rsidRDefault="001F7667">
      <w:pPr>
        <w:pStyle w:val="P68B1DB1-Normal2"/>
        <w:spacing w:before="120" w:after="120"/>
        <w:jc w:val="both"/>
        <w:rPr>
          <w:noProof/>
        </w:rPr>
      </w:pPr>
      <w:r>
        <w:rPr>
          <w:noProof/>
        </w:rPr>
        <w:t xml:space="preserve">Инвестиция 5: Политики за промишлената верига на доставки и интернационализация </w:t>
      </w:r>
    </w:p>
    <w:p w14:paraId="0EF91FD9" w14:textId="77777777" w:rsidR="006054AA" w:rsidRDefault="001F7667">
      <w:pPr>
        <w:jc w:val="both"/>
        <w:rPr>
          <w:noProof/>
        </w:rPr>
      </w:pPr>
      <w:r>
        <w:rPr>
          <w:noProof/>
        </w:rPr>
        <w:t>Целта на инвестицията е да се укрепят промишлените вериги на доставки, по-специално чрез улесняване на достъпа до финансиране, и да се насърчи конкурентоспособността на предприятията (по-специално МСП), по-специално чрез подпомагане на тяхната интернационализация и укрепване на тяхната устойчивост след кризата с COVID-19.</w:t>
      </w:r>
    </w:p>
    <w:p w14:paraId="0647898C" w14:textId="77777777" w:rsidR="006054AA" w:rsidRDefault="001F7667">
      <w:pPr>
        <w:jc w:val="both"/>
        <w:rPr>
          <w:noProof/>
        </w:rPr>
      </w:pPr>
      <w:r>
        <w:rPr>
          <w:noProof/>
        </w:rPr>
        <w:t>Инвестицията се състои от две линии на намеса:</w:t>
      </w:r>
    </w:p>
    <w:p w14:paraId="01747ECE" w14:textId="77777777" w:rsidR="006054AA" w:rsidRDefault="001F7667">
      <w:pPr>
        <w:pStyle w:val="ListParagraph"/>
        <w:numPr>
          <w:ilvl w:val="3"/>
          <w:numId w:val="111"/>
        </w:numPr>
        <w:ind w:left="1134"/>
        <w:rPr>
          <w:rFonts w:eastAsiaTheme="minorEastAsia"/>
          <w:noProof/>
        </w:rPr>
      </w:pPr>
      <w:r>
        <w:rPr>
          <w:noProof/>
        </w:rPr>
        <w:t xml:space="preserve">Рефинансиране на фонд 394/81, управляван от SIMEST. Тя се състои в рефинансиране на съществуващ фонд, който понастоящем се управлява от публичната агенция SIMEST, предоставящ финансова подкрепа на предприятията, по-специално на МСП, за подпомагане на тяхната интернационализация чрез различни инструменти, като например програми за достъп до чуждестранни пазари и развитие на електронната търговия. </w:t>
      </w:r>
    </w:p>
    <w:p w14:paraId="6D314820" w14:textId="77777777" w:rsidR="006054AA" w:rsidRDefault="001F7667">
      <w:pPr>
        <w:pStyle w:val="ListParagraph"/>
        <w:numPr>
          <w:ilvl w:val="3"/>
          <w:numId w:val="111"/>
        </w:numPr>
        <w:ind w:left="1134"/>
        <w:rPr>
          <w:rFonts w:eastAsiaTheme="minorEastAsia"/>
          <w:noProof/>
        </w:rPr>
      </w:pPr>
      <w:r>
        <w:rPr>
          <w:noProof/>
        </w:rPr>
        <w:t xml:space="preserve">Конкурентоспособност и устойчивост на веригите на доставки. Тя се състои от финансова подкрепа за предприятията чрез инструмента на договора за развитие за проекти, свързани с ключови стратегически вериги за създаване на стойност, като например програми за промишлено развитие, програми за развитие на опазването на околната среда, устойчива мобилност и туристически дейности. </w:t>
      </w:r>
    </w:p>
    <w:p w14:paraId="16A8E2AC" w14:textId="77777777" w:rsidR="006054AA" w:rsidRDefault="001F7667">
      <w:pPr>
        <w:spacing w:after="120"/>
        <w:jc w:val="both"/>
        <w:rPr>
          <w:noProof/>
        </w:rPr>
      </w:pPr>
      <w:r>
        <w:rPr>
          <w:noProof/>
        </w:rPr>
        <w:t>Горепосочените интервенции се извършват в съответствие с инвестиционните политики в съответствие с целите на Регламент (ЕС) 2021/241, включително във връзка с прилагането на принципа за ненанасяне на значителни вреди, както е допълнително уточнено в техническите насоки за ненанасяне на значителни вреди (2021/C58/01).</w:t>
      </w:r>
    </w:p>
    <w:p w14:paraId="680CA6D7" w14:textId="77777777" w:rsidR="006054AA" w:rsidRDefault="001F7667">
      <w:pPr>
        <w:spacing w:after="120"/>
        <w:jc w:val="both"/>
        <w:rPr>
          <w:noProof/>
        </w:rPr>
      </w:pPr>
      <w:r>
        <w:rPr>
          <w:noProof/>
        </w:rPr>
        <w:t xml:space="preserve">За да се гарантира, че мярката е в съответствие с техническите насоки за ненанасяне на значителни вреди (2021/C58/01), правното споразумение между Италия и упълномощения субект или финансовия посредник, отговарящ за финансовия инструмент и последващата инвестиционна политика на финансовия инструмент: </w:t>
      </w:r>
    </w:p>
    <w:p w14:paraId="48697573" w14:textId="77777777" w:rsidR="006054AA" w:rsidRDefault="001F7667">
      <w:pPr>
        <w:pStyle w:val="ListParagraph"/>
        <w:numPr>
          <w:ilvl w:val="0"/>
          <w:numId w:val="74"/>
        </w:numPr>
        <w:spacing w:before="0" w:after="0"/>
        <w:rPr>
          <w:rFonts w:eastAsiaTheme="minorEastAsia"/>
          <w:noProof/>
        </w:rPr>
      </w:pPr>
      <w:r>
        <w:rPr>
          <w:noProof/>
        </w:rPr>
        <w:t>ще изиска прилагане на техническите насоки на Комисията относно проверката на устойчивостта на фонд InvestEU; и че</w:t>
      </w:r>
    </w:p>
    <w:p w14:paraId="10CB9379" w14:textId="77777777" w:rsidR="006054AA" w:rsidRDefault="001F7667">
      <w:pPr>
        <w:pStyle w:val="ListParagraph"/>
        <w:numPr>
          <w:ilvl w:val="0"/>
          <w:numId w:val="74"/>
        </w:numPr>
        <w:spacing w:before="0" w:after="0"/>
        <w:rPr>
          <w:rFonts w:eastAsiaTheme="minorEastAsia"/>
          <w:noProof/>
        </w:rPr>
      </w:pPr>
      <w:r>
        <w:rPr>
          <w:noProof/>
        </w:rPr>
        <w:t>ще изключи от допустимостта следния списък с дейности и активи:</w:t>
      </w:r>
      <w:r>
        <w:rPr>
          <w:noProof/>
          <w:color w:val="FF0000"/>
        </w:rPr>
        <w:t xml:space="preserve"> </w:t>
      </w:r>
      <w:r>
        <w:rPr>
          <w:noProof/>
        </w:rPr>
        <w:t>и) дейности и активи, свързани с изкопаеми горива, включително използване надолу по веригата</w:t>
      </w:r>
      <w:r>
        <w:rPr>
          <w:noProof/>
        </w:rPr>
        <w:footnoteReference w:id="6"/>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noProof/>
        </w:rPr>
        <w:footnoteReference w:id="7"/>
      </w:r>
      <w:r>
        <w:rPr>
          <w:noProof/>
        </w:rPr>
        <w:t>; III) дейности и активи, свързани с депа за отпадъци, инсинератори</w:t>
      </w:r>
      <w:r>
        <w:rPr>
          <w:noProof/>
        </w:rPr>
        <w:footnoteReference w:id="8"/>
      </w:r>
      <w:r>
        <w:rPr>
          <w:noProof/>
        </w:rPr>
        <w:t xml:space="preserve"> и инсталации за механично-биологично третиране</w:t>
      </w:r>
      <w:r>
        <w:rPr>
          <w:noProof/>
        </w:rPr>
        <w:footnoteReference w:id="9"/>
      </w:r>
      <w:r>
        <w:rPr>
          <w:noProof/>
        </w:rPr>
        <w:t>; и iv) дейностите и активите, при които дългосрочното обезвреждане на отпадъци може да причини вреда на околната среда; и че</w:t>
      </w:r>
    </w:p>
    <w:p w14:paraId="6CE54280" w14:textId="77777777" w:rsidR="006054AA" w:rsidRDefault="001F7667">
      <w:pPr>
        <w:pStyle w:val="ListParagraph"/>
        <w:numPr>
          <w:ilvl w:val="0"/>
          <w:numId w:val="74"/>
        </w:numPr>
        <w:spacing w:before="0" w:after="0"/>
        <w:rPr>
          <w:rFonts w:eastAsiaTheme="minorEastAsia"/>
          <w:noProof/>
        </w:rPr>
      </w:pPr>
      <w:r>
        <w:rPr>
          <w:noProof/>
        </w:rPr>
        <w:t>изискват проверка на правното съответствие на проектите със съответното законодателство на ЕС и национално законодателство в областта на околната среда от упълномощения субект или финансовия посредник за всички сделки, включително тези, които са освободени от проверка на устойчивостта.</w:t>
      </w:r>
    </w:p>
    <w:p w14:paraId="6AB7CE5B" w14:textId="77777777" w:rsidR="006054AA" w:rsidRDefault="006054AA">
      <w:pPr>
        <w:rPr>
          <w:b/>
          <w:noProof/>
          <w:u w:val="single"/>
        </w:rPr>
      </w:pPr>
    </w:p>
    <w:p w14:paraId="052E9DEF" w14:textId="0A2C96AE" w:rsidR="006054AA" w:rsidRDefault="001F7667">
      <w:pPr>
        <w:pStyle w:val="P68B1DB1-Normal14"/>
        <w:rPr>
          <w:noProof/>
        </w:rPr>
      </w:pPr>
      <w:r>
        <w:rPr>
          <w:noProof/>
        </w:rPr>
        <w:t>Инвестиция 7. Подкрепа за производствената система за екологичния преход, технологиите с нулеви нетни емисии и конкурентоспособността и устойчивостта на стратегическите вериги на доставки:</w:t>
      </w:r>
    </w:p>
    <w:p w14:paraId="6F049D72" w14:textId="507918A8" w:rsidR="006054AA" w:rsidRDefault="001F7667">
      <w:pPr>
        <w:spacing w:before="120" w:after="120"/>
        <w:jc w:val="both"/>
        <w:rPr>
          <w:noProof/>
        </w:rPr>
      </w:pPr>
      <w:r>
        <w:rPr>
          <w:noProof/>
        </w:rPr>
        <w:t>Тази мярка се състои от две подинвестиции.</w:t>
      </w:r>
    </w:p>
    <w:p w14:paraId="64C6B9D0" w14:textId="6A378560" w:rsidR="006054AA" w:rsidRDefault="001F7667">
      <w:pPr>
        <w:pStyle w:val="P68B1DB1-Normal21"/>
        <w:spacing w:before="120" w:after="120"/>
        <w:jc w:val="both"/>
        <w:rPr>
          <w:noProof/>
        </w:rPr>
      </w:pPr>
      <w:r>
        <w:rPr>
          <w:noProof/>
        </w:rPr>
        <w:t>Подинвестиция 1:</w:t>
      </w:r>
    </w:p>
    <w:p w14:paraId="3987743F" w14:textId="7CB7A8B4" w:rsidR="006054AA" w:rsidRDefault="001F7667">
      <w:pPr>
        <w:spacing w:after="120"/>
        <w:jc w:val="both"/>
        <w:rPr>
          <w:rFonts w:eastAsia="Calibri"/>
          <w:noProof/>
        </w:rPr>
      </w:pPr>
      <w:r>
        <w:rPr>
          <w:noProof/>
        </w:rPr>
        <w:t xml:space="preserve">Тази подинвестиция се състои от публична инвестиция в механизъм, „технологии с нулеви нетни емисии“, за да се стимулират частните инвестиции и да се подобри достъпът до финансиране в областта на енергийната ефективност, производството на енергия от възобновяеми източници за собствено потребление, устойчивата трансформация на производствения процес. </w:t>
      </w:r>
    </w:p>
    <w:p w14:paraId="1C836211" w14:textId="77777777" w:rsidR="006054AA" w:rsidRDefault="001F7667">
      <w:pPr>
        <w:spacing w:after="120"/>
        <w:jc w:val="both"/>
        <w:rPr>
          <w:noProof/>
        </w:rPr>
      </w:pPr>
      <w:r>
        <w:rPr>
          <w:noProof/>
        </w:rPr>
        <w:t>Инвестицията подкрепя:</w:t>
      </w:r>
    </w:p>
    <w:p w14:paraId="7755DD18" w14:textId="77777777" w:rsidR="006054AA" w:rsidRDefault="001F7667">
      <w:pPr>
        <w:pStyle w:val="ListParagraph"/>
        <w:numPr>
          <w:ilvl w:val="0"/>
          <w:numId w:val="143"/>
        </w:numPr>
        <w:spacing w:before="0"/>
        <w:contextualSpacing w:val="0"/>
        <w:rPr>
          <w:noProof/>
        </w:rPr>
      </w:pPr>
      <w:r>
        <w:rPr>
          <w:noProof/>
        </w:rPr>
        <w:t xml:space="preserve">екологичния преход на националната производствена система на различни равнища чрез подпомагане на инвестициите за укрепване на производствените вериги за устройства, които са от значение за екологичния преход (като батерии, слънчеви панели, вятърни турбини, термопомпи, електролизьори и устройства за улавяне и съхранение на въглерод),  </w:t>
      </w:r>
    </w:p>
    <w:p w14:paraId="340FE764" w14:textId="77777777" w:rsidR="006054AA" w:rsidRDefault="001F7667">
      <w:pPr>
        <w:pStyle w:val="ListParagraph"/>
        <w:numPr>
          <w:ilvl w:val="0"/>
          <w:numId w:val="143"/>
        </w:numPr>
        <w:spacing w:before="0"/>
        <w:contextualSpacing w:val="0"/>
        <w:rPr>
          <w:noProof/>
        </w:rPr>
      </w:pPr>
      <w:r>
        <w:rPr>
          <w:noProof/>
        </w:rPr>
        <w:t>енергийната ефективност на производствените процеси (също и чрез производство за собствено потребление на електроенергия от възобновяеми източници, с изключение на биомаса),</w:t>
      </w:r>
    </w:p>
    <w:p w14:paraId="612CC2F7" w14:textId="77777777" w:rsidR="006054AA" w:rsidRDefault="001F7667">
      <w:pPr>
        <w:pStyle w:val="ListParagraph"/>
        <w:numPr>
          <w:ilvl w:val="0"/>
          <w:numId w:val="143"/>
        </w:numPr>
        <w:spacing w:before="0"/>
        <w:contextualSpacing w:val="0"/>
        <w:rPr>
          <w:noProof/>
        </w:rPr>
      </w:pPr>
      <w:r>
        <w:rPr>
          <w:noProof/>
        </w:rPr>
        <w:t>устойчивостта на производствените процеси, включително с оглед на кръговата икономика и по-ефективното използване на ресурсите.</w:t>
      </w:r>
    </w:p>
    <w:p w14:paraId="0D405D31" w14:textId="03789B29" w:rsidR="006054AA" w:rsidRDefault="001F7667">
      <w:pPr>
        <w:spacing w:after="120"/>
        <w:jc w:val="both"/>
        <w:rPr>
          <w:noProof/>
        </w:rPr>
      </w:pPr>
      <w:r>
        <w:rPr>
          <w:noProof/>
        </w:rPr>
        <w:t>Механизмът функционира, като предоставя безвъзмездни средства, субсидирани заеми и лихвени субсидии пряко на частния сектор. Въз основа на инвестициите по МВУ Механизмът има за цел първоначално да предостави най-малко 3</w:t>
      </w:r>
      <w:r>
        <w:rPr>
          <w:noProof/>
          <w:color w:val="006100"/>
          <w:sz w:val="20"/>
        </w:rPr>
        <w:t xml:space="preserve"> </w:t>
      </w:r>
      <w:r>
        <w:rPr>
          <w:noProof/>
        </w:rPr>
        <w:t>600</w:t>
      </w:r>
      <w:r>
        <w:rPr>
          <w:noProof/>
          <w:color w:val="006100"/>
          <w:sz w:val="20"/>
        </w:rPr>
        <w:t xml:space="preserve">  </w:t>
      </w:r>
      <w:r>
        <w:rPr>
          <w:noProof/>
        </w:rPr>
        <w:t>000 EUR финансиране.</w:t>
      </w:r>
    </w:p>
    <w:p w14:paraId="7943E402" w14:textId="44795E42" w:rsidR="006054AA" w:rsidRDefault="001F7667">
      <w:pPr>
        <w:spacing w:after="120"/>
        <w:jc w:val="both"/>
        <w:rPr>
          <w:noProof/>
        </w:rPr>
      </w:pPr>
      <w:r>
        <w:rPr>
          <w:noProof/>
        </w:rPr>
        <w:t>Механизмът се управлява от Invitalia S.p.A. като партньор по изпълнението. Механизмът включва следните финансови инструменти:</w:t>
      </w:r>
    </w:p>
    <w:p w14:paraId="3C8F1E4F" w14:textId="41DD0390" w:rsidR="006054AA" w:rsidRDefault="001F7667">
      <w:pPr>
        <w:pStyle w:val="ListParagraph"/>
        <w:numPr>
          <w:ilvl w:val="0"/>
          <w:numId w:val="109"/>
        </w:numPr>
        <w:spacing w:before="0"/>
        <w:contextualSpacing w:val="0"/>
        <w:rPr>
          <w:noProof/>
        </w:rPr>
      </w:pPr>
      <w:r>
        <w:rPr>
          <w:noProof/>
        </w:rPr>
        <w:t>Договор за развитие, с който се подкрепят проекти за нулеви нетни емисии на стойност</w:t>
      </w:r>
      <w:r>
        <w:rPr>
          <w:noProof/>
          <w:color w:val="006100"/>
          <w:sz w:val="20"/>
        </w:rPr>
        <w:t xml:space="preserve"> </w:t>
      </w:r>
      <w:r>
        <w:rPr>
          <w:noProof/>
        </w:rPr>
        <w:t>над 20</w:t>
      </w:r>
      <w:r>
        <w:rPr>
          <w:noProof/>
          <w:color w:val="006100"/>
          <w:sz w:val="20"/>
        </w:rPr>
        <w:t xml:space="preserve"> </w:t>
      </w:r>
      <w:r>
        <w:rPr>
          <w:noProof/>
        </w:rPr>
        <w:t>000 EUR 000 чрез предоставяне на безвъзмездни средства, лихвени субсидии и субсидирани заеми.</w:t>
      </w:r>
    </w:p>
    <w:p w14:paraId="598A80A8" w14:textId="36CB8908" w:rsidR="006054AA" w:rsidRDefault="001F7667">
      <w:pPr>
        <w:pStyle w:val="ListParagraph"/>
        <w:numPr>
          <w:ilvl w:val="0"/>
          <w:numId w:val="109"/>
        </w:numPr>
        <w:spacing w:before="0"/>
        <w:contextualSpacing w:val="0"/>
        <w:rPr>
          <w:noProof/>
        </w:rPr>
      </w:pPr>
      <w:r>
        <w:rPr>
          <w:noProof/>
        </w:rPr>
        <w:t>Фонд за промишлена трансформация, който подкрепя проекти между 3</w:t>
      </w:r>
      <w:r>
        <w:rPr>
          <w:noProof/>
          <w:color w:val="006100"/>
          <w:sz w:val="20"/>
        </w:rPr>
        <w:t xml:space="preserve"> </w:t>
      </w:r>
      <w:r>
        <w:rPr>
          <w:noProof/>
        </w:rPr>
        <w:t>000 и 20</w:t>
      </w:r>
      <w:r>
        <w:rPr>
          <w:noProof/>
          <w:color w:val="006100"/>
          <w:sz w:val="20"/>
        </w:rPr>
        <w:t xml:space="preserve"> </w:t>
      </w:r>
      <w:r>
        <w:rPr>
          <w:noProof/>
        </w:rPr>
        <w:t>000 EUR</w:t>
      </w:r>
      <w:r>
        <w:rPr>
          <w:noProof/>
          <w:color w:val="006100"/>
          <w:sz w:val="20"/>
        </w:rPr>
        <w:t xml:space="preserve"> </w:t>
      </w:r>
      <w:r>
        <w:rPr>
          <w:noProof/>
        </w:rPr>
        <w:t>000</w:t>
      </w:r>
      <w:r>
        <w:rPr>
          <w:noProof/>
          <w:color w:val="006100"/>
          <w:sz w:val="20"/>
        </w:rPr>
        <w:t xml:space="preserve"> </w:t>
      </w:r>
      <w:r>
        <w:rPr>
          <w:noProof/>
        </w:rPr>
        <w:t>000 чрез предоставяне на безвъзмездни средства, лихвени субсидии и субсидирани заеми.</w:t>
      </w:r>
    </w:p>
    <w:p w14:paraId="3176A392" w14:textId="39DCD2B6" w:rsidR="006054AA" w:rsidRDefault="001F7667">
      <w:pPr>
        <w:spacing w:after="120"/>
        <w:jc w:val="both"/>
        <w:rPr>
          <w:noProof/>
        </w:rPr>
      </w:pPr>
      <w:r>
        <w:rPr>
          <w:noProof/>
        </w:rPr>
        <w:t>За да осъществят инвестицията в механизма, Италия и Invitalia S.p.A. подписват споразумение за изпълнение, което включва следното съдържание:</w:t>
      </w:r>
    </w:p>
    <w:p w14:paraId="2F6DD927" w14:textId="72D01782" w:rsidR="006054AA" w:rsidRDefault="001F7667">
      <w:pPr>
        <w:pStyle w:val="ListParagraph"/>
        <w:numPr>
          <w:ilvl w:val="3"/>
          <w:numId w:val="27"/>
        </w:numPr>
        <w:spacing w:before="0"/>
        <w:ind w:left="709"/>
        <w:contextualSpacing w:val="0"/>
        <w:rPr>
          <w:noProof/>
        </w:rPr>
      </w:pPr>
      <w:r>
        <w:rPr>
          <w:noProof/>
        </w:rPr>
        <w:t>Описание на процеса на вземане на решения на механизма: Окончателните инвестиционни решения и решенията за отпускане на безвъзмездни средства на механизма се вземат от инвестиционен комитет или друг съответен равностоен управителен орган и се одобряват с мнозинство от гласовете на членове, които са независими от правителството.</w:t>
      </w:r>
    </w:p>
    <w:p w14:paraId="24308117" w14:textId="77777777" w:rsidR="006054AA" w:rsidRDefault="001F7667">
      <w:pPr>
        <w:pStyle w:val="ListParagraph"/>
        <w:numPr>
          <w:ilvl w:val="3"/>
          <w:numId w:val="27"/>
        </w:numPr>
        <w:spacing w:before="0"/>
        <w:ind w:left="709"/>
        <w:contextualSpacing w:val="0"/>
        <w:rPr>
          <w:noProof/>
        </w:rPr>
      </w:pPr>
      <w:r>
        <w:rPr>
          <w:noProof/>
        </w:rPr>
        <w:t>Основни изисквания на свързаната инвестиционна политика, които включват:</w:t>
      </w:r>
    </w:p>
    <w:p w14:paraId="73D5139D" w14:textId="236CCC04" w:rsidR="006054AA" w:rsidRDefault="001F7667">
      <w:pPr>
        <w:pStyle w:val="ListParagraph"/>
        <w:numPr>
          <w:ilvl w:val="4"/>
          <w:numId w:val="27"/>
        </w:numPr>
        <w:spacing w:before="0"/>
        <w:ind w:left="1276"/>
        <w:contextualSpacing w:val="0"/>
        <w:rPr>
          <w:noProof/>
        </w:rPr>
      </w:pPr>
      <w:r>
        <w:rPr>
          <w:noProof/>
        </w:rPr>
        <w:t xml:space="preserve">Описанието на финансовите продукти и допустимите крайни бенефициери. </w:t>
      </w:r>
    </w:p>
    <w:p w14:paraId="505E5A15" w14:textId="77777777" w:rsidR="006054AA" w:rsidRDefault="001F7667">
      <w:pPr>
        <w:pStyle w:val="ListParagraph"/>
        <w:numPr>
          <w:ilvl w:val="4"/>
          <w:numId w:val="27"/>
        </w:numPr>
        <w:spacing w:before="0"/>
        <w:ind w:left="1276"/>
        <w:contextualSpacing w:val="0"/>
        <w:rPr>
          <w:noProof/>
        </w:rPr>
      </w:pPr>
      <w:r>
        <w:rPr>
          <w:noProof/>
        </w:rPr>
        <w:t xml:space="preserve">Изискването всички подпомагани инвестиции да са икономически жизнеспособни. </w:t>
      </w:r>
    </w:p>
    <w:p w14:paraId="4EB2AEC5" w14:textId="77777777" w:rsidR="006054AA" w:rsidRDefault="001F7667">
      <w:pPr>
        <w:pStyle w:val="ListParagraph"/>
        <w:numPr>
          <w:ilvl w:val="4"/>
          <w:numId w:val="27"/>
        </w:numPr>
        <w:spacing w:before="0"/>
        <w:ind w:left="1276"/>
        <w:contextualSpacing w:val="0"/>
        <w:rPr>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инвестиционната политика изключва от допустимост следния списък от дейности и активи: I) дейности и активи, свързани с изкопаеми горива, включително използване надолу по веригата</w:t>
      </w:r>
      <w:r>
        <w:rPr>
          <w:rStyle w:val="FootnoteReference"/>
          <w:noProof/>
        </w:rPr>
        <w:footnoteReference w:id="10"/>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11"/>
      </w:r>
      <w:r>
        <w:rPr>
          <w:noProof/>
        </w:rPr>
        <w:t>, iii) дейности и активи, свързани с депа за отпадъци, инсинератори</w:t>
      </w:r>
      <w:r>
        <w:rPr>
          <w:rStyle w:val="FootnoteReference"/>
          <w:noProof/>
        </w:rPr>
        <w:footnoteReference w:id="12"/>
      </w:r>
      <w:r>
        <w:rPr>
          <w:noProof/>
        </w:rPr>
        <w:t xml:space="preserve"> и инсталации за механично-биологично третиране</w:t>
      </w:r>
      <w:r>
        <w:rPr>
          <w:rStyle w:val="FootnoteReference"/>
          <w:noProof/>
        </w:rPr>
        <w:footnoteReference w:id="13"/>
      </w:r>
      <w:r>
        <w:rPr>
          <w:noProof/>
        </w:rPr>
        <w:t xml:space="preserve">. </w:t>
      </w:r>
    </w:p>
    <w:p w14:paraId="37E79EEC" w14:textId="77777777" w:rsidR="006054AA" w:rsidRDefault="001F7667">
      <w:pPr>
        <w:pStyle w:val="ListParagraph"/>
        <w:numPr>
          <w:ilvl w:val="4"/>
          <w:numId w:val="27"/>
        </w:numPr>
        <w:spacing w:before="0"/>
        <w:ind w:left="1276"/>
        <w:contextualSpacing w:val="0"/>
        <w:rPr>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4BC89807" w14:textId="77777777" w:rsidR="006054AA" w:rsidRDefault="001F7667">
      <w:pPr>
        <w:pStyle w:val="ListParagraph"/>
        <w:numPr>
          <w:ilvl w:val="3"/>
          <w:numId w:val="27"/>
        </w:numPr>
        <w:spacing w:before="0"/>
        <w:ind w:left="709"/>
        <w:contextualSpacing w:val="0"/>
        <w:rPr>
          <w:noProof/>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w:t>
      </w:r>
    </w:p>
    <w:p w14:paraId="697D2BA4" w14:textId="77777777" w:rsidR="006054AA" w:rsidRDefault="001F7667">
      <w:pPr>
        <w:pStyle w:val="ListParagraph"/>
        <w:numPr>
          <w:ilvl w:val="3"/>
          <w:numId w:val="27"/>
        </w:numPr>
        <w:spacing w:before="0"/>
        <w:ind w:left="709"/>
        <w:contextualSpacing w:val="0"/>
        <w:rPr>
          <w:noProof/>
        </w:rPr>
      </w:pPr>
      <w:r>
        <w:rPr>
          <w:noProof/>
        </w:rPr>
        <w:t>Изисквания за мониторинг, одит и контрол, включително:</w:t>
      </w:r>
      <w:bookmarkStart w:id="2" w:name="_Hlk139218377"/>
    </w:p>
    <w:p w14:paraId="02003063" w14:textId="77777777" w:rsidR="006054AA" w:rsidRDefault="001F7667">
      <w:pPr>
        <w:pStyle w:val="ListParagraph"/>
        <w:numPr>
          <w:ilvl w:val="4"/>
          <w:numId w:val="27"/>
        </w:numPr>
        <w:spacing w:before="0"/>
        <w:ind w:left="1276"/>
        <w:contextualSpacing w:val="0"/>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5C4CF877" w14:textId="508DE294" w:rsidR="006054AA" w:rsidRDefault="001F7667">
      <w:pPr>
        <w:pStyle w:val="ListParagraph"/>
        <w:numPr>
          <w:ilvl w:val="4"/>
          <w:numId w:val="27"/>
        </w:numPr>
        <w:spacing w:before="0"/>
        <w:ind w:left="1276"/>
        <w:contextualSpacing w:val="0"/>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0FE4D769" w14:textId="77777777" w:rsidR="006054AA" w:rsidRDefault="001F7667">
      <w:pPr>
        <w:pStyle w:val="ListParagraph"/>
        <w:numPr>
          <w:ilvl w:val="4"/>
          <w:numId w:val="27"/>
        </w:numPr>
        <w:spacing w:before="0"/>
        <w:ind w:left="1276"/>
        <w:contextualSpacing w:val="0"/>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операция.</w:t>
      </w:r>
      <w:bookmarkEnd w:id="2"/>
    </w:p>
    <w:p w14:paraId="59288A05" w14:textId="529C06D7" w:rsidR="006054AA" w:rsidRDefault="001F7667">
      <w:pPr>
        <w:pStyle w:val="ListParagraph"/>
        <w:numPr>
          <w:ilvl w:val="4"/>
          <w:numId w:val="27"/>
        </w:numPr>
        <w:spacing w:before="0"/>
        <w:ind w:left="1276"/>
        <w:contextualSpacing w:val="0"/>
        <w:rPr>
          <w:noProof/>
        </w:rPr>
      </w:pPr>
      <w:r>
        <w:rPr>
          <w:noProof/>
        </w:rPr>
        <w:t>Задължението за извършване на последващи одити, основани на риска, в съответствие с плана за одит на Invitalia S.p.A. Тези одити проверяват:</w:t>
      </w:r>
    </w:p>
    <w:p w14:paraId="0343C879" w14:textId="77777777" w:rsidR="006054AA" w:rsidRDefault="001F7667">
      <w:pPr>
        <w:pStyle w:val="ListParagraph"/>
        <w:numPr>
          <w:ilvl w:val="5"/>
          <w:numId w:val="27"/>
        </w:numPr>
        <w:spacing w:before="0"/>
        <w:ind w:left="1985"/>
        <w:contextualSpacing w:val="0"/>
        <w:rPr>
          <w:noProof/>
        </w:rPr>
      </w:pPr>
      <w:r>
        <w:rPr>
          <w:noProof/>
        </w:rPr>
        <w:t>че системите за контрол са ефективни, включително разкриването на измами, корупция и конфликт на интереси;</w:t>
      </w:r>
    </w:p>
    <w:p w14:paraId="5A6E7796" w14:textId="77777777" w:rsidR="006054AA" w:rsidRDefault="001F7667">
      <w:pPr>
        <w:pStyle w:val="ListParagraph"/>
        <w:numPr>
          <w:ilvl w:val="5"/>
          <w:numId w:val="27"/>
        </w:numPr>
        <w:spacing w:before="0"/>
        <w:ind w:left="1985"/>
        <w:contextualSpacing w:val="0"/>
        <w:rPr>
          <w:noProof/>
        </w:rPr>
      </w:pPr>
      <w:r>
        <w:rPr>
          <w:noProof/>
        </w:rPr>
        <w:t xml:space="preserve">спазване на принципа за ненанасяне на значителни вреди, правилата за държавна помощ, изискванията във връзка с целта в областта на климата; и че </w:t>
      </w:r>
    </w:p>
    <w:p w14:paraId="5AEEA716" w14:textId="77777777" w:rsidR="006054AA" w:rsidRDefault="001F7667">
      <w:pPr>
        <w:pStyle w:val="ListParagraph"/>
        <w:numPr>
          <w:ilvl w:val="5"/>
          <w:numId w:val="27"/>
        </w:numPr>
        <w:spacing w:before="0"/>
        <w:ind w:left="1985"/>
        <w:contextualSpacing w:val="0"/>
        <w:rPr>
          <w:noProof/>
        </w:rPr>
      </w:pPr>
      <w:r>
        <w:rPr>
          <w:noProof/>
        </w:rPr>
        <w:t xml:space="preserve">е спазено изискването крайните бенефициери на механизма да не са получили подкрепа от други инструменти на Съюза за покриване на същите разходи. Одитите проверяват също така законосъобразността на трансакциите и спазването на условията на приложимото споразумение за изпълнение. </w:t>
      </w:r>
    </w:p>
    <w:p w14:paraId="22B030FF" w14:textId="38585760" w:rsidR="006054AA" w:rsidRDefault="001F7667">
      <w:pPr>
        <w:spacing w:before="120" w:after="120"/>
        <w:jc w:val="both"/>
        <w:rPr>
          <w:noProof/>
        </w:rPr>
      </w:pPr>
      <w:r>
        <w:rPr>
          <w:noProof/>
        </w:rPr>
        <w:t>5. Изисквания за инвестиции в областта на климата, извършвани от партньора по изпълнението: най-малко 1</w:t>
      </w:r>
      <w:r>
        <w:rPr>
          <w:noProof/>
          <w:color w:val="006100"/>
          <w:sz w:val="20"/>
        </w:rPr>
        <w:t xml:space="preserve"> </w:t>
      </w:r>
      <w:r>
        <w:rPr>
          <w:noProof/>
        </w:rPr>
        <w:t>500</w:t>
      </w:r>
      <w:r>
        <w:rPr>
          <w:noProof/>
          <w:color w:val="006100"/>
          <w:sz w:val="20"/>
        </w:rPr>
        <w:t xml:space="preserve"> </w:t>
      </w:r>
      <w:r>
        <w:rPr>
          <w:noProof/>
        </w:rPr>
        <w:t>787</w:t>
      </w:r>
      <w:r>
        <w:rPr>
          <w:noProof/>
          <w:color w:val="006100"/>
          <w:sz w:val="20"/>
        </w:rPr>
        <w:t xml:space="preserve"> </w:t>
      </w:r>
      <w:r>
        <w:rPr>
          <w:noProof/>
        </w:rPr>
        <w:t>000 EUR от инвестициите по МВУ в Механизма допринасят за постигането на целите във връзка с изменението на климата в съответствие с приложение VI към Регламента за МВУ</w:t>
      </w:r>
      <w:r>
        <w:rPr>
          <w:rStyle w:val="FootnoteReference"/>
          <w:noProof/>
        </w:rPr>
        <w:footnoteReference w:id="14"/>
      </w:r>
      <w:r>
        <w:rPr>
          <w:noProof/>
        </w:rPr>
        <w:t>.</w:t>
      </w:r>
    </w:p>
    <w:p w14:paraId="5CF1FB73" w14:textId="0D9229FB" w:rsidR="006054AA" w:rsidRDefault="001F7667">
      <w:pPr>
        <w:pStyle w:val="P68B1DB1-Normal2"/>
        <w:spacing w:before="120" w:after="120"/>
        <w:jc w:val="both"/>
        <w:rPr>
          <w:noProof/>
        </w:rPr>
      </w:pPr>
      <w:r>
        <w:rPr>
          <w:noProof/>
        </w:rPr>
        <w:t>Подинвестиция 2:</w:t>
      </w:r>
    </w:p>
    <w:p w14:paraId="0D9F9875" w14:textId="77777777" w:rsidR="006054AA" w:rsidRDefault="001F7667">
      <w:pPr>
        <w:spacing w:after="120"/>
        <w:jc w:val="both"/>
        <w:rPr>
          <w:noProof/>
        </w:rPr>
      </w:pPr>
      <w:r>
        <w:rPr>
          <w:noProof/>
        </w:rPr>
        <w:t>Тази подинвестиция се състои от публична инвестиция в механизъм — „Конкурентоспособност и устойчивост на стратегическите вериги на доставки“, за да се стимулират частните инвестиции и да се подобри достъпът до финансиране за укрепване на промишлените вериги на доставки.</w:t>
      </w:r>
    </w:p>
    <w:p w14:paraId="55B62F36" w14:textId="77777777" w:rsidR="006054AA" w:rsidRDefault="001F7667">
      <w:pPr>
        <w:spacing w:after="120"/>
        <w:jc w:val="both"/>
        <w:rPr>
          <w:noProof/>
        </w:rPr>
      </w:pPr>
      <w:r>
        <w:rPr>
          <w:noProof/>
        </w:rPr>
        <w:t>Инвестициите подкрепят проекти, свързани с ключови стратегически вериги за създаване на стойност, като например програми за промишлено развитие и програми за развитие в областта на опазването на околната среда.</w:t>
      </w:r>
    </w:p>
    <w:p w14:paraId="7BC15E7C" w14:textId="1943A893" w:rsidR="006054AA" w:rsidRDefault="001F7667">
      <w:pPr>
        <w:spacing w:after="120"/>
        <w:jc w:val="both"/>
        <w:rPr>
          <w:noProof/>
        </w:rPr>
      </w:pPr>
      <w:r>
        <w:rPr>
          <w:noProof/>
        </w:rPr>
        <w:t>Механизмът функционира, като предоставя безвъзмездни средства, субсидирани заеми и лихвени субсидии пряко на частния сектор. Въз основа на инвестициите по МВУ Механизмът има за цел да активира най-малко 700</w:t>
      </w:r>
      <w:r>
        <w:rPr>
          <w:noProof/>
          <w:color w:val="006100"/>
          <w:sz w:val="20"/>
        </w:rPr>
        <w:t xml:space="preserve"> </w:t>
      </w:r>
      <w:r>
        <w:rPr>
          <w:noProof/>
        </w:rPr>
        <w:t>000</w:t>
      </w:r>
      <w:r>
        <w:rPr>
          <w:noProof/>
          <w:color w:val="006100"/>
          <w:sz w:val="20"/>
        </w:rPr>
        <w:t xml:space="preserve"> </w:t>
      </w:r>
      <w:r>
        <w:rPr>
          <w:noProof/>
        </w:rPr>
        <w:t xml:space="preserve">000 EUR финансиране. </w:t>
      </w:r>
    </w:p>
    <w:p w14:paraId="4452B28F" w14:textId="0931AFA6" w:rsidR="006054AA" w:rsidRDefault="001F7667">
      <w:pPr>
        <w:spacing w:after="120"/>
        <w:jc w:val="both"/>
        <w:rPr>
          <w:noProof/>
        </w:rPr>
      </w:pPr>
      <w:r>
        <w:rPr>
          <w:noProof/>
        </w:rPr>
        <w:t xml:space="preserve">Механизмът се управлява от Invitalia S.p.A. като партньор по изпълнението. </w:t>
      </w:r>
    </w:p>
    <w:p w14:paraId="3398E700" w14:textId="244496EE" w:rsidR="006054AA" w:rsidRDefault="001F7667">
      <w:pPr>
        <w:spacing w:after="120"/>
        <w:jc w:val="both"/>
        <w:rPr>
          <w:noProof/>
        </w:rPr>
      </w:pPr>
      <w:r>
        <w:rPr>
          <w:noProof/>
        </w:rPr>
        <w:t>За да осъществят инвестицията в механизма, Италия и Invitalia подписват споразумение за изпълнение, което включва следното съдържание:</w:t>
      </w:r>
    </w:p>
    <w:p w14:paraId="0BE2B6AE" w14:textId="51CE9B96" w:rsidR="006054AA" w:rsidRDefault="001F7667">
      <w:pPr>
        <w:pStyle w:val="ListParagraph"/>
        <w:numPr>
          <w:ilvl w:val="0"/>
          <w:numId w:val="132"/>
        </w:numPr>
        <w:spacing w:before="0"/>
        <w:contextualSpacing w:val="0"/>
        <w:rPr>
          <w:noProof/>
        </w:rPr>
      </w:pPr>
      <w:r>
        <w:rPr>
          <w:noProof/>
        </w:rPr>
        <w:t>Описание на процеса на вземане на решения на механизма: Окончателните инвестиционни решения и решенията за отпускане на безвъзмездни средства на механизма се вземат от инвестиционен комитет или друг съответен равностоен управителен орган и се одобряват с мнозинство от гласовете на членове, които са независими от правителството.</w:t>
      </w:r>
    </w:p>
    <w:p w14:paraId="2E521C53" w14:textId="36883190" w:rsidR="006054AA" w:rsidRDefault="001F7667">
      <w:pPr>
        <w:pStyle w:val="ListParagraph"/>
        <w:numPr>
          <w:ilvl w:val="0"/>
          <w:numId w:val="132"/>
        </w:numPr>
        <w:spacing w:before="0"/>
        <w:contextualSpacing w:val="0"/>
        <w:rPr>
          <w:noProof/>
        </w:rPr>
      </w:pPr>
      <w:r>
        <w:rPr>
          <w:noProof/>
        </w:rPr>
        <w:t>Основни изисквания на свързаната инвестиционна политика, които включват:</w:t>
      </w:r>
    </w:p>
    <w:p w14:paraId="3BA0A759" w14:textId="16A9E3C6" w:rsidR="006054AA" w:rsidRDefault="001F7667">
      <w:pPr>
        <w:pStyle w:val="ListParagraph"/>
        <w:numPr>
          <w:ilvl w:val="0"/>
          <w:numId w:val="133"/>
        </w:numPr>
        <w:spacing w:before="0"/>
        <w:contextualSpacing w:val="0"/>
        <w:rPr>
          <w:noProof/>
        </w:rPr>
      </w:pPr>
      <w:r>
        <w:rPr>
          <w:noProof/>
        </w:rPr>
        <w:t xml:space="preserve">Описанието на финансовия (те) продукт (и) и допустимите крайни бенефициери. </w:t>
      </w:r>
    </w:p>
    <w:p w14:paraId="1D40D57B" w14:textId="3CEBE898" w:rsidR="006054AA" w:rsidRDefault="001F7667">
      <w:pPr>
        <w:pStyle w:val="ListParagraph"/>
        <w:numPr>
          <w:ilvl w:val="0"/>
          <w:numId w:val="133"/>
        </w:numPr>
        <w:spacing w:before="0"/>
        <w:contextualSpacing w:val="0"/>
        <w:rPr>
          <w:noProof/>
        </w:rPr>
      </w:pPr>
      <w:r>
        <w:rPr>
          <w:noProof/>
        </w:rPr>
        <w:t xml:space="preserve">Изискването всички подпомагани инвестиции да са икономически жизнеспособни. </w:t>
      </w:r>
    </w:p>
    <w:p w14:paraId="5B4A827C" w14:textId="68846158" w:rsidR="006054AA" w:rsidRDefault="001F7667">
      <w:pPr>
        <w:pStyle w:val="ListParagraph"/>
        <w:numPr>
          <w:ilvl w:val="0"/>
          <w:numId w:val="133"/>
        </w:numPr>
        <w:spacing w:before="0"/>
        <w:contextualSpacing w:val="0"/>
        <w:rPr>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инвестиционната политика изключва от допустимост следния списък от дейности и активи: I) дейности и активи, свързани с изкопаеми горива, включително използване надолу по веригата</w:t>
      </w:r>
      <w:r>
        <w:rPr>
          <w:rStyle w:val="FootnoteReference"/>
          <w:noProof/>
        </w:rPr>
        <w:footnoteReference w:id="15"/>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16"/>
      </w:r>
      <w:r>
        <w:rPr>
          <w:noProof/>
        </w:rPr>
        <w:t>, iii) дейности и активи, свързани с депа за отпадъци, инсинератори</w:t>
      </w:r>
      <w:r>
        <w:rPr>
          <w:rStyle w:val="FootnoteReference"/>
          <w:noProof/>
        </w:rPr>
        <w:footnoteReference w:id="17"/>
      </w:r>
      <w:r>
        <w:rPr>
          <w:noProof/>
        </w:rPr>
        <w:t xml:space="preserve"> и инсталации за механично-биологично третиране</w:t>
      </w:r>
      <w:r>
        <w:rPr>
          <w:rStyle w:val="FootnoteReference"/>
          <w:noProof/>
        </w:rPr>
        <w:footnoteReference w:id="18"/>
      </w:r>
      <w:r>
        <w:rPr>
          <w:noProof/>
        </w:rPr>
        <w:t xml:space="preserve">. </w:t>
      </w:r>
    </w:p>
    <w:p w14:paraId="547CAEBB" w14:textId="4A7CBADA" w:rsidR="006054AA" w:rsidRDefault="001F7667">
      <w:pPr>
        <w:pStyle w:val="ListParagraph"/>
        <w:numPr>
          <w:ilvl w:val="0"/>
          <w:numId w:val="133"/>
        </w:numPr>
        <w:spacing w:before="0"/>
        <w:contextualSpacing w:val="0"/>
        <w:rPr>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4E48140C" w14:textId="03FA4156" w:rsidR="006054AA" w:rsidRDefault="001F7667">
      <w:pPr>
        <w:pStyle w:val="ListParagraph"/>
        <w:numPr>
          <w:ilvl w:val="0"/>
          <w:numId w:val="132"/>
        </w:numPr>
        <w:spacing w:before="0"/>
        <w:contextualSpacing w:val="0"/>
        <w:rPr>
          <w:noProof/>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w:t>
      </w:r>
    </w:p>
    <w:p w14:paraId="3E360194" w14:textId="72CCC69A" w:rsidR="006054AA" w:rsidRDefault="001F7667">
      <w:pPr>
        <w:pStyle w:val="ListParagraph"/>
        <w:numPr>
          <w:ilvl w:val="0"/>
          <w:numId w:val="132"/>
        </w:numPr>
        <w:spacing w:before="0"/>
        <w:contextualSpacing w:val="0"/>
        <w:rPr>
          <w:noProof/>
        </w:rPr>
      </w:pPr>
      <w:r>
        <w:rPr>
          <w:noProof/>
        </w:rPr>
        <w:t>Изисквания за мониторинг, одит и контрол, включително:</w:t>
      </w:r>
    </w:p>
    <w:p w14:paraId="38E74FDA" w14:textId="1253728E" w:rsidR="006054AA" w:rsidRDefault="001F7667" w:rsidP="007844F3">
      <w:pPr>
        <w:pStyle w:val="ListParagraph"/>
        <w:numPr>
          <w:ilvl w:val="1"/>
          <w:numId w:val="134"/>
        </w:numPr>
        <w:spacing w:before="0"/>
        <w:ind w:left="1440"/>
        <w:contextualSpacing w:val="0"/>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1CEF23CE" w14:textId="0E576CB2" w:rsidR="006054AA" w:rsidRDefault="001F7667" w:rsidP="007844F3">
      <w:pPr>
        <w:pStyle w:val="ListParagraph"/>
        <w:numPr>
          <w:ilvl w:val="1"/>
          <w:numId w:val="134"/>
        </w:numPr>
        <w:spacing w:before="0"/>
        <w:ind w:left="1440"/>
        <w:contextualSpacing w:val="0"/>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1D3D65DD" w14:textId="522388DD" w:rsidR="006054AA" w:rsidRDefault="001F7667" w:rsidP="007844F3">
      <w:pPr>
        <w:pStyle w:val="ListParagraph"/>
        <w:numPr>
          <w:ilvl w:val="1"/>
          <w:numId w:val="134"/>
        </w:numPr>
        <w:spacing w:before="0"/>
        <w:ind w:left="1440"/>
        <w:contextualSpacing w:val="0"/>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операция.</w:t>
      </w:r>
    </w:p>
    <w:p w14:paraId="57798276" w14:textId="1D0A7B27" w:rsidR="006054AA" w:rsidRDefault="001F7667" w:rsidP="007844F3">
      <w:pPr>
        <w:pStyle w:val="ListParagraph"/>
        <w:numPr>
          <w:ilvl w:val="1"/>
          <w:numId w:val="134"/>
        </w:numPr>
        <w:spacing w:before="0"/>
        <w:ind w:left="1440"/>
        <w:contextualSpacing w:val="0"/>
        <w:rPr>
          <w:noProof/>
        </w:rPr>
      </w:pPr>
      <w:r>
        <w:rPr>
          <w:noProof/>
        </w:rPr>
        <w:t>Задължението за извършване на последващи одити, основани на риска, в съответствие с плана за одит на СЗЗ Invitalia. Тези одити проверяват:</w:t>
      </w:r>
    </w:p>
    <w:p w14:paraId="6B8EC507" w14:textId="0EB59056" w:rsidR="006054AA" w:rsidRDefault="001F7667">
      <w:pPr>
        <w:pStyle w:val="ListParagraph"/>
        <w:numPr>
          <w:ilvl w:val="2"/>
          <w:numId w:val="134"/>
        </w:numPr>
        <w:spacing w:before="0"/>
        <w:contextualSpacing w:val="0"/>
        <w:rPr>
          <w:noProof/>
        </w:rPr>
      </w:pPr>
      <w:r>
        <w:rPr>
          <w:noProof/>
        </w:rPr>
        <w:t>че системите за контрол са ефективни, включително разкриването на измами, корупция и конфликт на интереси;</w:t>
      </w:r>
    </w:p>
    <w:p w14:paraId="5F29876A" w14:textId="14E71202" w:rsidR="006054AA" w:rsidRDefault="001F7667">
      <w:pPr>
        <w:pStyle w:val="ListParagraph"/>
        <w:numPr>
          <w:ilvl w:val="2"/>
          <w:numId w:val="134"/>
        </w:numPr>
        <w:spacing w:before="0"/>
        <w:contextualSpacing w:val="0"/>
        <w:rPr>
          <w:noProof/>
        </w:rPr>
      </w:pPr>
      <w:r>
        <w:rPr>
          <w:noProof/>
        </w:rPr>
        <w:t xml:space="preserve">спазване на принципа за ненанасяне на значителни вреди, правилата за държавна помощ, изискванията във връзка с целта в областта на климата; и че </w:t>
      </w:r>
    </w:p>
    <w:p w14:paraId="573CE0AC" w14:textId="0EB64393" w:rsidR="006054AA" w:rsidRDefault="001F7667">
      <w:pPr>
        <w:pStyle w:val="ListParagraph"/>
        <w:numPr>
          <w:ilvl w:val="2"/>
          <w:numId w:val="134"/>
        </w:numPr>
        <w:spacing w:before="0"/>
        <w:contextualSpacing w:val="0"/>
        <w:rPr>
          <w:noProof/>
        </w:rPr>
      </w:pPr>
      <w:r>
        <w:rPr>
          <w:noProof/>
        </w:rPr>
        <w:t xml:space="preserve">е спазено изискването крайните бенефициери на механизма да не са получили подкрепа от други инструменти на Съюза за покриване на същите разходи. Одитите проверяват също така законосъобразността на трансакциите и спазването на условията на приложимото споразумение за изпълнение. </w:t>
      </w:r>
    </w:p>
    <w:p w14:paraId="108CCF90" w14:textId="13AB860D" w:rsidR="006054AA" w:rsidRDefault="001F7667">
      <w:pPr>
        <w:spacing w:before="120" w:after="120"/>
        <w:jc w:val="both"/>
        <w:rPr>
          <w:noProof/>
        </w:rPr>
        <w:sectPr w:rsidR="006054AA">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Pr>
          <w:noProof/>
        </w:rPr>
        <w:t>Изпълнението на мярката трябва да приключи до 31 август 2026 г.</w:t>
      </w:r>
    </w:p>
    <w:p w14:paraId="05036F41" w14:textId="77777777" w:rsidR="006054AA" w:rsidRDefault="001F7667">
      <w:pPr>
        <w:pStyle w:val="Heading3"/>
        <w:numPr>
          <w:ilvl w:val="2"/>
          <w:numId w:val="0"/>
        </w:numPr>
        <w:ind w:left="850" w:hanging="850"/>
        <w:rPr>
          <w:b/>
          <w:i w:val="0"/>
          <w:noProof/>
          <w:u w:val="single"/>
        </w:rPr>
      </w:pPr>
      <w:r>
        <w:rPr>
          <w:b/>
          <w:i w:val="0"/>
          <w:noProof/>
          <w:u w:val="single"/>
        </w:rPr>
        <w:t xml:space="preserve">Б.4. </w:t>
      </w:r>
      <w:r>
        <w:rPr>
          <w:noProof/>
        </w:rPr>
        <w:tab/>
      </w:r>
      <w:r>
        <w:rPr>
          <w:b/>
          <w:i w:val="0"/>
          <w:noProof/>
          <w:u w:val="single"/>
        </w:rPr>
        <w:t xml:space="preserve">Ключови етапи, цели, показатели и график за мониторинг и изпълнение на заема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578"/>
        <w:gridCol w:w="1078"/>
        <w:gridCol w:w="1329"/>
        <w:gridCol w:w="1275"/>
        <w:gridCol w:w="1134"/>
        <w:gridCol w:w="993"/>
        <w:gridCol w:w="992"/>
        <w:gridCol w:w="850"/>
        <w:gridCol w:w="709"/>
        <w:gridCol w:w="3794"/>
      </w:tblGrid>
      <w:tr w:rsidR="006054AA" w14:paraId="0D7AC944" w14:textId="77777777">
        <w:trPr>
          <w:trHeight w:val="315"/>
          <w:tblHeader/>
        </w:trPr>
        <w:tc>
          <w:tcPr>
            <w:tcW w:w="1424" w:type="dxa"/>
            <w:vMerge w:val="restart"/>
            <w:shd w:val="clear" w:color="auto" w:fill="C6D9F1" w:themeFill="text2" w:themeFillTint="33"/>
            <w:vAlign w:val="center"/>
          </w:tcPr>
          <w:p w14:paraId="0F153C0D" w14:textId="278C06A5" w:rsidR="006054AA" w:rsidRDefault="001F7667">
            <w:pPr>
              <w:pStyle w:val="P68B1DB1-Normal9"/>
              <w:spacing w:before="120" w:after="120"/>
              <w:jc w:val="center"/>
              <w:rPr>
                <w:noProof/>
                <w:color w:val="006100"/>
              </w:rPr>
            </w:pPr>
            <w:r>
              <w:rPr>
                <w:noProof/>
              </w:rPr>
              <w:t>Пореден номер</w:t>
            </w:r>
          </w:p>
        </w:tc>
        <w:tc>
          <w:tcPr>
            <w:tcW w:w="1578" w:type="dxa"/>
            <w:vMerge w:val="restart"/>
            <w:shd w:val="clear" w:color="auto" w:fill="C6D9F1" w:themeFill="text2" w:themeFillTint="33"/>
            <w:vAlign w:val="center"/>
          </w:tcPr>
          <w:p w14:paraId="3CAD6A55" w14:textId="22747388" w:rsidR="006054AA" w:rsidRDefault="001F7667">
            <w:pPr>
              <w:pStyle w:val="P68B1DB1-Normal9"/>
              <w:spacing w:before="120" w:after="120"/>
              <w:jc w:val="center"/>
              <w:rPr>
                <w:noProof/>
                <w:color w:val="006100"/>
              </w:rPr>
            </w:pPr>
            <w:r>
              <w:rPr>
                <w:noProof/>
              </w:rPr>
              <w:t>Мярка</w:t>
            </w:r>
          </w:p>
        </w:tc>
        <w:tc>
          <w:tcPr>
            <w:tcW w:w="1078" w:type="dxa"/>
            <w:vMerge w:val="restart"/>
            <w:shd w:val="clear" w:color="auto" w:fill="C6D9F1" w:themeFill="text2" w:themeFillTint="33"/>
            <w:vAlign w:val="center"/>
          </w:tcPr>
          <w:p w14:paraId="63D50DC7" w14:textId="5BFC2D1D" w:rsidR="006054AA" w:rsidRDefault="001F7667">
            <w:pPr>
              <w:pStyle w:val="P68B1DB1-Normal9"/>
              <w:spacing w:before="120" w:after="120"/>
              <w:jc w:val="center"/>
              <w:rPr>
                <w:noProof/>
                <w:color w:val="006100"/>
              </w:rPr>
            </w:pPr>
            <w:r>
              <w:rPr>
                <w:noProof/>
              </w:rPr>
              <w:t>Ключов етап/Цел</w:t>
            </w:r>
          </w:p>
        </w:tc>
        <w:tc>
          <w:tcPr>
            <w:tcW w:w="1329" w:type="dxa"/>
            <w:vMerge w:val="restart"/>
            <w:shd w:val="clear" w:color="auto" w:fill="C6D9F1" w:themeFill="text2" w:themeFillTint="33"/>
            <w:vAlign w:val="center"/>
          </w:tcPr>
          <w:p w14:paraId="7F7E6F65" w14:textId="483D39E5" w:rsidR="006054AA" w:rsidRDefault="001F7667">
            <w:pPr>
              <w:pStyle w:val="P68B1DB1-Normal9"/>
              <w:spacing w:before="120" w:after="120"/>
              <w:jc w:val="center"/>
              <w:rPr>
                <w:noProof/>
                <w:color w:val="006100"/>
              </w:rPr>
            </w:pPr>
            <w:r>
              <w:rPr>
                <w:noProof/>
              </w:rPr>
              <w:t>Име</w:t>
            </w:r>
          </w:p>
        </w:tc>
        <w:tc>
          <w:tcPr>
            <w:tcW w:w="1275" w:type="dxa"/>
            <w:vMerge w:val="restart"/>
            <w:shd w:val="clear" w:color="auto" w:fill="C6D9F1" w:themeFill="text2" w:themeFillTint="33"/>
            <w:vAlign w:val="center"/>
          </w:tcPr>
          <w:p w14:paraId="3084694F" w14:textId="31CBB236" w:rsidR="006054AA" w:rsidRDefault="001F7667">
            <w:pPr>
              <w:pStyle w:val="P68B1DB1-Normal10"/>
              <w:spacing w:before="120" w:after="120"/>
              <w:jc w:val="center"/>
              <w:rPr>
                <w:noProof/>
                <w:color w:val="006100"/>
                <w:sz w:val="20"/>
              </w:rPr>
            </w:pPr>
            <w:r>
              <w:rPr>
                <w:b/>
                <w:noProof/>
                <w:sz w:val="20"/>
              </w:rPr>
              <w:t>Качествени индикатори</w:t>
            </w:r>
            <w:r>
              <w:rPr>
                <w:noProof/>
              </w:rPr>
              <w:br/>
            </w:r>
            <w:r>
              <w:rPr>
                <w:b/>
                <w:noProof/>
                <w:sz w:val="20"/>
              </w:rPr>
              <w:t>(за ключовите етапи)</w:t>
            </w:r>
          </w:p>
        </w:tc>
        <w:tc>
          <w:tcPr>
            <w:tcW w:w="3119" w:type="dxa"/>
            <w:gridSpan w:val="3"/>
            <w:shd w:val="clear" w:color="auto" w:fill="C6D9F1" w:themeFill="text2" w:themeFillTint="33"/>
            <w:vAlign w:val="center"/>
          </w:tcPr>
          <w:p w14:paraId="70CF38E5" w14:textId="0CCC89E8" w:rsidR="006054AA" w:rsidRDefault="001F7667">
            <w:pPr>
              <w:pStyle w:val="P68B1DB1-Normal10"/>
              <w:spacing w:before="120" w:after="120"/>
              <w:jc w:val="center"/>
              <w:rPr>
                <w:noProof/>
                <w:color w:val="006100"/>
                <w:sz w:val="20"/>
              </w:rPr>
            </w:pPr>
            <w:r>
              <w:rPr>
                <w:b/>
                <w:noProof/>
                <w:sz w:val="20"/>
              </w:rPr>
              <w:t>Количествени индикатори</w:t>
            </w:r>
            <w:r>
              <w:rPr>
                <w:noProof/>
              </w:rPr>
              <w:t xml:space="preserve"> </w:t>
            </w:r>
            <w:r>
              <w:rPr>
                <w:noProof/>
              </w:rPr>
              <w:br/>
            </w:r>
            <w:r>
              <w:rPr>
                <w:b/>
                <w:noProof/>
                <w:sz w:val="20"/>
              </w:rPr>
              <w:t>(за целите)</w:t>
            </w:r>
          </w:p>
        </w:tc>
        <w:tc>
          <w:tcPr>
            <w:tcW w:w="1559" w:type="dxa"/>
            <w:gridSpan w:val="2"/>
            <w:shd w:val="clear" w:color="auto" w:fill="C6D9F1" w:themeFill="text2" w:themeFillTint="33"/>
            <w:vAlign w:val="center"/>
          </w:tcPr>
          <w:p w14:paraId="58BC3518" w14:textId="07BCA75F" w:rsidR="006054AA" w:rsidRDefault="001F7667">
            <w:pPr>
              <w:pStyle w:val="P68B1DB1-Normal9"/>
              <w:spacing w:before="120" w:after="120"/>
              <w:jc w:val="center"/>
              <w:rPr>
                <w:noProof/>
                <w:color w:val="006100"/>
              </w:rPr>
            </w:pPr>
            <w:r>
              <w:rPr>
                <w:noProof/>
              </w:rPr>
              <w:t>Примерен график за приключване</w:t>
            </w:r>
          </w:p>
        </w:tc>
        <w:tc>
          <w:tcPr>
            <w:tcW w:w="3794" w:type="dxa"/>
            <w:vMerge w:val="restart"/>
            <w:shd w:val="clear" w:color="auto" w:fill="C6D9F1" w:themeFill="text2" w:themeFillTint="33"/>
            <w:vAlign w:val="center"/>
          </w:tcPr>
          <w:p w14:paraId="474DC491" w14:textId="6175D33B" w:rsidR="006054AA" w:rsidRDefault="001F7667">
            <w:pPr>
              <w:pStyle w:val="P68B1DB1-Normal9"/>
              <w:spacing w:before="120" w:after="120"/>
              <w:jc w:val="center"/>
              <w:rPr>
                <w:noProof/>
              </w:rPr>
            </w:pPr>
            <w:r>
              <w:rPr>
                <w:noProof/>
              </w:rPr>
              <w:t>Описание на всеки ключов етап и цел</w:t>
            </w:r>
          </w:p>
        </w:tc>
      </w:tr>
      <w:tr w:rsidR="006054AA" w14:paraId="2A5A5517" w14:textId="77777777">
        <w:trPr>
          <w:trHeight w:val="315"/>
          <w:tblHeader/>
        </w:trPr>
        <w:tc>
          <w:tcPr>
            <w:tcW w:w="1424" w:type="dxa"/>
            <w:vMerge/>
            <w:vAlign w:val="center"/>
          </w:tcPr>
          <w:p w14:paraId="14A84DEE" w14:textId="77777777" w:rsidR="006054AA" w:rsidRDefault="006054AA">
            <w:pPr>
              <w:spacing w:before="120" w:after="120"/>
              <w:jc w:val="center"/>
              <w:rPr>
                <w:rFonts w:ascii="Arial Narrow" w:hAnsi="Arial Narrow"/>
                <w:noProof/>
                <w:color w:val="006100"/>
                <w:sz w:val="20"/>
              </w:rPr>
            </w:pPr>
          </w:p>
        </w:tc>
        <w:tc>
          <w:tcPr>
            <w:tcW w:w="1578" w:type="dxa"/>
            <w:vMerge/>
            <w:vAlign w:val="center"/>
          </w:tcPr>
          <w:p w14:paraId="17C254B1" w14:textId="77777777" w:rsidR="006054AA" w:rsidRDefault="006054AA">
            <w:pPr>
              <w:spacing w:before="120" w:after="120"/>
              <w:jc w:val="center"/>
              <w:rPr>
                <w:rFonts w:ascii="Arial Narrow" w:hAnsi="Arial Narrow"/>
                <w:noProof/>
                <w:color w:val="006100"/>
                <w:sz w:val="20"/>
              </w:rPr>
            </w:pPr>
          </w:p>
        </w:tc>
        <w:tc>
          <w:tcPr>
            <w:tcW w:w="1078" w:type="dxa"/>
            <w:vMerge/>
            <w:vAlign w:val="center"/>
          </w:tcPr>
          <w:p w14:paraId="1537CABE" w14:textId="77777777" w:rsidR="006054AA" w:rsidRDefault="006054AA">
            <w:pPr>
              <w:spacing w:before="120" w:after="120"/>
              <w:jc w:val="center"/>
              <w:rPr>
                <w:rFonts w:ascii="Arial Narrow" w:hAnsi="Arial Narrow"/>
                <w:noProof/>
                <w:color w:val="006100"/>
                <w:sz w:val="20"/>
              </w:rPr>
            </w:pPr>
          </w:p>
        </w:tc>
        <w:tc>
          <w:tcPr>
            <w:tcW w:w="1329" w:type="dxa"/>
            <w:vMerge/>
            <w:vAlign w:val="center"/>
          </w:tcPr>
          <w:p w14:paraId="18699698" w14:textId="77777777" w:rsidR="006054AA" w:rsidRDefault="006054AA">
            <w:pPr>
              <w:spacing w:before="120" w:after="120"/>
              <w:jc w:val="center"/>
              <w:rPr>
                <w:rFonts w:ascii="Arial Narrow" w:hAnsi="Arial Narrow"/>
                <w:noProof/>
                <w:color w:val="006100"/>
                <w:sz w:val="20"/>
              </w:rPr>
            </w:pPr>
          </w:p>
        </w:tc>
        <w:tc>
          <w:tcPr>
            <w:tcW w:w="1275" w:type="dxa"/>
            <w:vMerge/>
            <w:vAlign w:val="center"/>
          </w:tcPr>
          <w:p w14:paraId="25C30835" w14:textId="77777777" w:rsidR="006054AA" w:rsidRDefault="006054AA">
            <w:pPr>
              <w:spacing w:before="120" w:after="120"/>
              <w:jc w:val="center"/>
              <w:rPr>
                <w:rFonts w:ascii="Arial Narrow" w:hAnsi="Arial Narrow"/>
                <w:noProof/>
                <w:color w:val="006100"/>
                <w:sz w:val="20"/>
              </w:rPr>
            </w:pPr>
          </w:p>
        </w:tc>
        <w:tc>
          <w:tcPr>
            <w:tcW w:w="1134" w:type="dxa"/>
            <w:shd w:val="clear" w:color="auto" w:fill="C6D9F1" w:themeFill="text2" w:themeFillTint="33"/>
            <w:vAlign w:val="center"/>
          </w:tcPr>
          <w:p w14:paraId="461E9B91" w14:textId="1F95C8B0" w:rsidR="006054AA" w:rsidRDefault="001F7667">
            <w:pPr>
              <w:pStyle w:val="P68B1DB1-Normal9"/>
              <w:spacing w:before="120" w:after="120"/>
              <w:jc w:val="center"/>
              <w:rPr>
                <w:noProof/>
                <w:color w:val="006100"/>
              </w:rPr>
            </w:pPr>
            <w:r>
              <w:rPr>
                <w:noProof/>
              </w:rPr>
              <w:t>Единица мярка</w:t>
            </w:r>
          </w:p>
        </w:tc>
        <w:tc>
          <w:tcPr>
            <w:tcW w:w="993" w:type="dxa"/>
            <w:shd w:val="clear" w:color="auto" w:fill="C6D9F1" w:themeFill="text2" w:themeFillTint="33"/>
            <w:vAlign w:val="center"/>
          </w:tcPr>
          <w:p w14:paraId="1F42DA00" w14:textId="5040C514" w:rsidR="006054AA" w:rsidRDefault="001F7667">
            <w:pPr>
              <w:pStyle w:val="P68B1DB1-Normal9"/>
              <w:spacing w:before="120" w:after="120"/>
              <w:jc w:val="center"/>
              <w:rPr>
                <w:noProof/>
                <w:color w:val="006100"/>
              </w:rPr>
            </w:pPr>
            <w:r>
              <w:rPr>
                <w:noProof/>
              </w:rPr>
              <w:t>Базова линия</w:t>
            </w:r>
          </w:p>
        </w:tc>
        <w:tc>
          <w:tcPr>
            <w:tcW w:w="992" w:type="dxa"/>
            <w:shd w:val="clear" w:color="auto" w:fill="C6D9F1" w:themeFill="text2" w:themeFillTint="33"/>
            <w:vAlign w:val="center"/>
          </w:tcPr>
          <w:p w14:paraId="62B2010C" w14:textId="5FD5727F" w:rsidR="006054AA" w:rsidRDefault="001F7667">
            <w:pPr>
              <w:pStyle w:val="P68B1DB1-Normal9"/>
              <w:spacing w:before="120" w:after="120"/>
              <w:jc w:val="center"/>
              <w:rPr>
                <w:noProof/>
                <w:color w:val="006100"/>
              </w:rPr>
            </w:pPr>
            <w:r>
              <w:rPr>
                <w:noProof/>
              </w:rPr>
              <w:t>Цел</w:t>
            </w:r>
          </w:p>
        </w:tc>
        <w:tc>
          <w:tcPr>
            <w:tcW w:w="850" w:type="dxa"/>
            <w:shd w:val="clear" w:color="auto" w:fill="C6D9F1" w:themeFill="text2" w:themeFillTint="33"/>
            <w:vAlign w:val="center"/>
          </w:tcPr>
          <w:p w14:paraId="61DF1B66" w14:textId="678203D6" w:rsidR="006054AA" w:rsidRDefault="001F7667">
            <w:pPr>
              <w:pStyle w:val="P68B1DB1-Normal9"/>
              <w:spacing w:before="120" w:after="120"/>
              <w:jc w:val="center"/>
              <w:rPr>
                <w:noProof/>
                <w:color w:val="006100"/>
              </w:rPr>
            </w:pPr>
            <w:r>
              <w:rPr>
                <w:noProof/>
              </w:rPr>
              <w:t>Тримесечие</w:t>
            </w:r>
          </w:p>
        </w:tc>
        <w:tc>
          <w:tcPr>
            <w:tcW w:w="709" w:type="dxa"/>
            <w:shd w:val="clear" w:color="auto" w:fill="C6D9F1" w:themeFill="text2" w:themeFillTint="33"/>
            <w:vAlign w:val="center"/>
          </w:tcPr>
          <w:p w14:paraId="472B036D" w14:textId="01DA0E93" w:rsidR="006054AA" w:rsidRDefault="001F7667">
            <w:pPr>
              <w:pStyle w:val="P68B1DB1-Normal9"/>
              <w:spacing w:before="120" w:after="120"/>
              <w:jc w:val="center"/>
              <w:rPr>
                <w:noProof/>
                <w:color w:val="006100"/>
              </w:rPr>
            </w:pPr>
            <w:r>
              <w:rPr>
                <w:noProof/>
              </w:rPr>
              <w:t>Година</w:t>
            </w:r>
          </w:p>
        </w:tc>
        <w:tc>
          <w:tcPr>
            <w:tcW w:w="3794" w:type="dxa"/>
            <w:vMerge/>
            <w:vAlign w:val="center"/>
          </w:tcPr>
          <w:p w14:paraId="582F519A" w14:textId="77777777" w:rsidR="006054AA" w:rsidRDefault="006054AA">
            <w:pPr>
              <w:spacing w:before="120" w:after="120"/>
              <w:rPr>
                <w:rFonts w:ascii="Arial Narrow" w:hAnsi="Arial Narrow"/>
                <w:noProof/>
                <w:color w:val="006100"/>
                <w:sz w:val="20"/>
              </w:rPr>
            </w:pPr>
          </w:p>
        </w:tc>
      </w:tr>
      <w:tr w:rsidR="006054AA" w14:paraId="350A04AB" w14:textId="77777777">
        <w:trPr>
          <w:trHeight w:val="315"/>
        </w:trPr>
        <w:tc>
          <w:tcPr>
            <w:tcW w:w="1424" w:type="dxa"/>
            <w:shd w:val="clear" w:color="auto" w:fill="C6EFCE"/>
            <w:vAlign w:val="center"/>
          </w:tcPr>
          <w:p w14:paraId="59A57DA3" w14:textId="77777777" w:rsidR="006054AA" w:rsidRDefault="001F7667">
            <w:pPr>
              <w:pStyle w:val="P68B1DB1-Normal11"/>
              <w:spacing w:before="120" w:after="120"/>
              <w:jc w:val="center"/>
              <w:rPr>
                <w:noProof/>
              </w:rPr>
            </w:pPr>
            <w:r>
              <w:rPr>
                <w:noProof/>
              </w:rPr>
              <w:t>M1C2—15</w:t>
            </w:r>
          </w:p>
        </w:tc>
        <w:tc>
          <w:tcPr>
            <w:tcW w:w="1578" w:type="dxa"/>
            <w:shd w:val="clear" w:color="auto" w:fill="C6EFCE"/>
            <w:vAlign w:val="center"/>
          </w:tcPr>
          <w:p w14:paraId="3CD1AC28" w14:textId="77777777" w:rsidR="006054AA" w:rsidRDefault="001F7667">
            <w:pPr>
              <w:pStyle w:val="P68B1DB1-Normal11"/>
              <w:spacing w:before="120" w:after="120"/>
              <w:jc w:val="center"/>
              <w:rPr>
                <w:noProof/>
              </w:rPr>
            </w:pPr>
            <w:r>
              <w:rPr>
                <w:noProof/>
              </w:rPr>
              <w:t>Инвестиция 2: Иновации и технологии в областта на микроелектрониката</w:t>
            </w:r>
          </w:p>
        </w:tc>
        <w:tc>
          <w:tcPr>
            <w:tcW w:w="1078" w:type="dxa"/>
            <w:shd w:val="clear" w:color="auto" w:fill="C6EFCE"/>
            <w:vAlign w:val="center"/>
          </w:tcPr>
          <w:p w14:paraId="52C6617B"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1F969B8E" w14:textId="77777777" w:rsidR="006054AA" w:rsidRDefault="001F7667">
            <w:pPr>
              <w:pStyle w:val="P68B1DB1-Normal11"/>
              <w:spacing w:before="120" w:after="120"/>
              <w:jc w:val="center"/>
              <w:rPr>
                <w:noProof/>
              </w:rPr>
            </w:pPr>
            <w:r>
              <w:rPr>
                <w:noProof/>
              </w:rPr>
              <w:t>Производствен капацитет за субстрати от силициев карбид</w:t>
            </w:r>
          </w:p>
        </w:tc>
        <w:tc>
          <w:tcPr>
            <w:tcW w:w="1275" w:type="dxa"/>
            <w:shd w:val="clear" w:color="auto" w:fill="C6EFCE"/>
            <w:vAlign w:val="center"/>
          </w:tcPr>
          <w:p w14:paraId="6FDA5154"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256EECF1" w14:textId="734D230B"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2B84A2E8"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1A6A7174" w14:textId="29777EE5" w:rsidR="006054AA" w:rsidRDefault="001F7667">
            <w:pPr>
              <w:pStyle w:val="P68B1DB1-Normal11"/>
              <w:spacing w:before="120" w:after="120"/>
              <w:jc w:val="center"/>
              <w:rPr>
                <w:noProof/>
              </w:rPr>
            </w:pPr>
            <w:r>
              <w:rPr>
                <w:noProof/>
              </w:rPr>
              <w:t xml:space="preserve">374 400 </w:t>
            </w:r>
          </w:p>
        </w:tc>
        <w:tc>
          <w:tcPr>
            <w:tcW w:w="850" w:type="dxa"/>
            <w:shd w:val="clear" w:color="auto" w:fill="C6EFCE"/>
            <w:vAlign w:val="center"/>
          </w:tcPr>
          <w:p w14:paraId="008F3A73"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11C1EFF3"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581EEA29" w14:textId="227B8602" w:rsidR="006054AA" w:rsidRDefault="001F7667">
            <w:pPr>
              <w:pStyle w:val="P68B1DB1-Normal12"/>
              <w:spacing w:before="120" w:after="120"/>
              <w:rPr>
                <w:rFonts w:ascii="Arial Narrow" w:hAnsi="Arial Narrow"/>
                <w:noProof/>
              </w:rPr>
            </w:pPr>
            <w:r>
              <w:rPr>
                <w:rFonts w:ascii="Arial Narrow" w:hAnsi="Arial Narrow"/>
                <w:noProof/>
              </w:rPr>
              <w:t>Реализиране на допълнителен производствен капацитет от най-малко 374</w:t>
            </w:r>
            <w:r>
              <w:rPr>
                <w:noProof/>
              </w:rPr>
              <w:t xml:space="preserve"> </w:t>
            </w:r>
            <w:r>
              <w:rPr>
                <w:rFonts w:ascii="Arial Narrow" w:hAnsi="Arial Narrow"/>
                <w:noProof/>
              </w:rPr>
              <w:t>400 субстрати силициев карбид годишно. Задоволителното изпълнение на целта зависи и от заетостта на най-малко 700 души, свързани с допълнителния капацитет.</w:t>
            </w:r>
          </w:p>
        </w:tc>
      </w:tr>
      <w:tr w:rsidR="006054AA" w14:paraId="75B57208" w14:textId="77777777">
        <w:trPr>
          <w:trHeight w:val="315"/>
        </w:trPr>
        <w:tc>
          <w:tcPr>
            <w:tcW w:w="1424" w:type="dxa"/>
            <w:shd w:val="clear" w:color="auto" w:fill="C6EFCE"/>
            <w:vAlign w:val="center"/>
          </w:tcPr>
          <w:p w14:paraId="5C61E724" w14:textId="77777777" w:rsidR="006054AA" w:rsidRDefault="001F7667">
            <w:pPr>
              <w:pStyle w:val="P68B1DB1-Normal11"/>
              <w:spacing w:before="120" w:after="120"/>
              <w:jc w:val="center"/>
              <w:rPr>
                <w:noProof/>
              </w:rPr>
            </w:pPr>
            <w:r>
              <w:rPr>
                <w:noProof/>
              </w:rPr>
              <w:t>M1C2—16</w:t>
            </w:r>
          </w:p>
        </w:tc>
        <w:tc>
          <w:tcPr>
            <w:tcW w:w="1578" w:type="dxa"/>
            <w:shd w:val="clear" w:color="auto" w:fill="C6EFCE"/>
            <w:vAlign w:val="center"/>
          </w:tcPr>
          <w:p w14:paraId="32ED33CF" w14:textId="77777777" w:rsidR="006054AA" w:rsidRDefault="001F7667">
            <w:pPr>
              <w:pStyle w:val="P68B1DB1-Normal11"/>
              <w:spacing w:before="120" w:after="120"/>
              <w:jc w:val="center"/>
              <w:rPr>
                <w:noProof/>
              </w:rPr>
            </w:pPr>
            <w:r>
              <w:rPr>
                <w:noProof/>
              </w:rPr>
              <w:t>Инвестиция 3: Бързи интернет връзки (свръхшироколентов достъп и 5G)</w:t>
            </w:r>
          </w:p>
        </w:tc>
        <w:tc>
          <w:tcPr>
            <w:tcW w:w="1078" w:type="dxa"/>
            <w:shd w:val="clear" w:color="auto" w:fill="C6EFCE"/>
            <w:vAlign w:val="center"/>
          </w:tcPr>
          <w:p w14:paraId="50E95CF9" w14:textId="77777777" w:rsidR="006054AA" w:rsidRDefault="001F7667">
            <w:pPr>
              <w:pStyle w:val="P68B1DB1-Normal11"/>
              <w:spacing w:before="120" w:after="120"/>
              <w:jc w:val="center"/>
              <w:rPr>
                <w:noProof/>
              </w:rPr>
            </w:pPr>
            <w:r>
              <w:rPr>
                <w:noProof/>
              </w:rPr>
              <w:t>Ключов етап</w:t>
            </w:r>
          </w:p>
        </w:tc>
        <w:tc>
          <w:tcPr>
            <w:tcW w:w="1329" w:type="dxa"/>
            <w:shd w:val="clear" w:color="auto" w:fill="C6EFCE"/>
            <w:vAlign w:val="center"/>
          </w:tcPr>
          <w:p w14:paraId="23A08EF5" w14:textId="77777777" w:rsidR="006054AA" w:rsidRDefault="001F7667">
            <w:pPr>
              <w:pStyle w:val="P68B1DB1-Normal11"/>
              <w:spacing w:before="120" w:after="120"/>
              <w:jc w:val="center"/>
              <w:rPr>
                <w:noProof/>
              </w:rPr>
            </w:pPr>
            <w:r>
              <w:rPr>
                <w:noProof/>
              </w:rPr>
              <w:t>Възлагане на всички обществени поръчки за проекти за по-бързо свързване</w:t>
            </w:r>
          </w:p>
        </w:tc>
        <w:tc>
          <w:tcPr>
            <w:tcW w:w="1275" w:type="dxa"/>
            <w:shd w:val="clear" w:color="auto" w:fill="C6EFCE"/>
            <w:vAlign w:val="center"/>
          </w:tcPr>
          <w:p w14:paraId="6198FFF4" w14:textId="77777777" w:rsidR="006054AA" w:rsidRDefault="001F7667">
            <w:pPr>
              <w:pStyle w:val="P68B1DB1-Normal11"/>
              <w:spacing w:before="120" w:after="120"/>
              <w:jc w:val="center"/>
              <w:rPr>
                <w:noProof/>
              </w:rPr>
            </w:pPr>
            <w:r>
              <w:rPr>
                <w:noProof/>
              </w:rPr>
              <w:t>Уведомяване за възлагането на всички обществени поръчки за проекти за по-бързо свързване</w:t>
            </w:r>
          </w:p>
        </w:tc>
        <w:tc>
          <w:tcPr>
            <w:tcW w:w="1134" w:type="dxa"/>
            <w:shd w:val="clear" w:color="auto" w:fill="C6EFCE"/>
            <w:vAlign w:val="center"/>
          </w:tcPr>
          <w:p w14:paraId="45A02143" w14:textId="77777777" w:rsidR="006054AA" w:rsidRDefault="001F7667">
            <w:pPr>
              <w:pStyle w:val="P68B1DB1-Normal11"/>
              <w:spacing w:before="120" w:after="120"/>
              <w:jc w:val="center"/>
              <w:rPr>
                <w:noProof/>
              </w:rPr>
            </w:pPr>
            <w:r>
              <w:rPr>
                <w:noProof/>
              </w:rPr>
              <w:t>НЯМА</w:t>
            </w:r>
          </w:p>
        </w:tc>
        <w:tc>
          <w:tcPr>
            <w:tcW w:w="993" w:type="dxa"/>
            <w:shd w:val="clear" w:color="auto" w:fill="C6EFCE"/>
            <w:vAlign w:val="center"/>
          </w:tcPr>
          <w:p w14:paraId="2B28D737" w14:textId="77777777" w:rsidR="006054AA" w:rsidRDefault="001F7667">
            <w:pPr>
              <w:pStyle w:val="P68B1DB1-Normal11"/>
              <w:spacing w:before="120" w:after="120"/>
              <w:jc w:val="center"/>
              <w:rPr>
                <w:noProof/>
              </w:rPr>
            </w:pPr>
            <w:r>
              <w:rPr>
                <w:noProof/>
              </w:rPr>
              <w:t>НЯМА</w:t>
            </w:r>
          </w:p>
        </w:tc>
        <w:tc>
          <w:tcPr>
            <w:tcW w:w="992" w:type="dxa"/>
            <w:shd w:val="clear" w:color="auto" w:fill="C6EFCE"/>
            <w:vAlign w:val="center"/>
          </w:tcPr>
          <w:p w14:paraId="58D52495" w14:textId="77777777" w:rsidR="006054AA" w:rsidRDefault="001F7667">
            <w:pPr>
              <w:pStyle w:val="P68B1DB1-Normal11"/>
              <w:spacing w:before="120" w:after="120"/>
              <w:jc w:val="center"/>
              <w:rPr>
                <w:noProof/>
              </w:rPr>
            </w:pPr>
            <w:r>
              <w:rPr>
                <w:noProof/>
              </w:rPr>
              <w:t>НЯМА</w:t>
            </w:r>
          </w:p>
        </w:tc>
        <w:tc>
          <w:tcPr>
            <w:tcW w:w="850" w:type="dxa"/>
            <w:shd w:val="clear" w:color="auto" w:fill="C6EFCE"/>
            <w:vAlign w:val="center"/>
          </w:tcPr>
          <w:p w14:paraId="03E94C89"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2829E688" w14:textId="77777777" w:rsidR="006054AA" w:rsidRDefault="001F7667">
            <w:pPr>
              <w:pStyle w:val="P68B1DB1-Normal11"/>
              <w:spacing w:before="120" w:after="120"/>
              <w:jc w:val="center"/>
              <w:rPr>
                <w:noProof/>
              </w:rPr>
            </w:pPr>
            <w:r>
              <w:rPr>
                <w:noProof/>
              </w:rPr>
              <w:t>2022</w:t>
            </w:r>
          </w:p>
        </w:tc>
        <w:tc>
          <w:tcPr>
            <w:tcW w:w="3794" w:type="dxa"/>
            <w:shd w:val="clear" w:color="auto" w:fill="C6EFCE"/>
            <w:vAlign w:val="center"/>
          </w:tcPr>
          <w:p w14:paraId="6A7DC32C" w14:textId="77777777" w:rsidR="006054AA" w:rsidRDefault="001F7667">
            <w:pPr>
              <w:pStyle w:val="P68B1DB1-Normal11"/>
              <w:spacing w:before="120" w:after="120"/>
              <w:rPr>
                <w:noProof/>
              </w:rPr>
            </w:pPr>
            <w:r>
              <w:rPr>
                <w:noProof/>
              </w:rPr>
              <w:t>Уведомление за възлагането на всички обществени поръчки за проекти за по-бързо свързване, които се състоят от i) „Italia a 1 Giga „, ii) „Italia 5G„, iii) „Свързани училища „, iv) „Свързани здравни заведения“; и v) „Свързани малки острови“.</w:t>
            </w:r>
          </w:p>
        </w:tc>
      </w:tr>
      <w:tr w:rsidR="006054AA" w14:paraId="363DB6D3" w14:textId="77777777">
        <w:trPr>
          <w:trHeight w:val="315"/>
        </w:trPr>
        <w:tc>
          <w:tcPr>
            <w:tcW w:w="1424" w:type="dxa"/>
            <w:shd w:val="clear" w:color="auto" w:fill="C6EFCE"/>
            <w:vAlign w:val="center"/>
          </w:tcPr>
          <w:p w14:paraId="4CE49132" w14:textId="77777777" w:rsidR="006054AA" w:rsidRDefault="001F7667">
            <w:pPr>
              <w:pStyle w:val="P68B1DB1-Normal11"/>
              <w:spacing w:before="120" w:after="120"/>
              <w:jc w:val="center"/>
              <w:rPr>
                <w:noProof/>
              </w:rPr>
            </w:pPr>
            <w:r>
              <w:rPr>
                <w:noProof/>
              </w:rPr>
              <w:t>M1C2—17</w:t>
            </w:r>
          </w:p>
        </w:tc>
        <w:tc>
          <w:tcPr>
            <w:tcW w:w="1578" w:type="dxa"/>
            <w:shd w:val="clear" w:color="auto" w:fill="C6EFCE"/>
            <w:vAlign w:val="center"/>
          </w:tcPr>
          <w:p w14:paraId="77A30167" w14:textId="77777777" w:rsidR="006054AA" w:rsidRDefault="001F7667">
            <w:pPr>
              <w:pStyle w:val="P68B1DB1-Normal11"/>
              <w:spacing w:before="120" w:after="120"/>
              <w:jc w:val="center"/>
              <w:rPr>
                <w:noProof/>
              </w:rPr>
            </w:pPr>
            <w:r>
              <w:rPr>
                <w:noProof/>
              </w:rPr>
              <w:t>Инвестиция 3: Бързи интернет връзки (свръхшироколентов достъп и 5G)</w:t>
            </w:r>
          </w:p>
        </w:tc>
        <w:tc>
          <w:tcPr>
            <w:tcW w:w="1078" w:type="dxa"/>
            <w:shd w:val="clear" w:color="auto" w:fill="C6EFCE"/>
            <w:vAlign w:val="center"/>
          </w:tcPr>
          <w:p w14:paraId="4379CF3E"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33105D0F" w14:textId="77777777" w:rsidR="006054AA" w:rsidRDefault="001F7667">
            <w:pPr>
              <w:pStyle w:val="P68B1DB1-Normal11"/>
              <w:spacing w:before="120" w:after="120"/>
              <w:jc w:val="center"/>
              <w:rPr>
                <w:noProof/>
              </w:rPr>
            </w:pPr>
            <w:r>
              <w:rPr>
                <w:noProof/>
              </w:rPr>
              <w:t>Номера на къщи, снабдени със свързаност от 1 Gbps</w:t>
            </w:r>
          </w:p>
        </w:tc>
        <w:tc>
          <w:tcPr>
            <w:tcW w:w="1275" w:type="dxa"/>
            <w:shd w:val="clear" w:color="auto" w:fill="C6EFCE"/>
            <w:vAlign w:val="center"/>
          </w:tcPr>
          <w:p w14:paraId="15CED2A2"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3A733D96"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720E67D3"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2DB1FCAB" w14:textId="77777777" w:rsidR="006054AA" w:rsidRDefault="001F7667">
            <w:pPr>
              <w:pStyle w:val="P68B1DB1-Normal11"/>
              <w:spacing w:before="120" w:after="120"/>
              <w:jc w:val="center"/>
              <w:rPr>
                <w:noProof/>
              </w:rPr>
            </w:pPr>
            <w:r>
              <w:rPr>
                <w:noProof/>
              </w:rPr>
              <w:t>3 400 000</w:t>
            </w:r>
          </w:p>
        </w:tc>
        <w:tc>
          <w:tcPr>
            <w:tcW w:w="850" w:type="dxa"/>
            <w:shd w:val="clear" w:color="auto" w:fill="C6EFCE"/>
            <w:vAlign w:val="center"/>
          </w:tcPr>
          <w:p w14:paraId="2036FF12"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78E40BEF"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5FAACB14" w14:textId="77777777" w:rsidR="006054AA" w:rsidRDefault="001F7667">
            <w:pPr>
              <w:pStyle w:val="P68B1DB1-Normal11"/>
              <w:rPr>
                <w:noProof/>
              </w:rPr>
            </w:pPr>
            <w:r>
              <w:rPr>
                <w:noProof/>
              </w:rPr>
              <w:t>Най-малко 3 400 000 допълнителни номера на жилища (сред които най-малко 450 000 разпръснати домакинства, т.е. разположени в отдалечени райони), свързани с поне 1 Gbps връзка чрез Fiber-to-the-home/building (FTTH/B), фиксиран безжичен достъп (FWA)</w:t>
            </w:r>
          </w:p>
        </w:tc>
      </w:tr>
      <w:tr w:rsidR="006054AA" w14:paraId="1081A2C9" w14:textId="77777777">
        <w:trPr>
          <w:trHeight w:val="315"/>
        </w:trPr>
        <w:tc>
          <w:tcPr>
            <w:tcW w:w="1424" w:type="dxa"/>
            <w:shd w:val="clear" w:color="auto" w:fill="C6EFCE"/>
            <w:vAlign w:val="center"/>
          </w:tcPr>
          <w:p w14:paraId="789BA074" w14:textId="77777777" w:rsidR="006054AA" w:rsidRDefault="001F7667">
            <w:pPr>
              <w:pStyle w:val="P68B1DB1-Normal11"/>
              <w:spacing w:before="120" w:after="120"/>
              <w:jc w:val="center"/>
              <w:rPr>
                <w:noProof/>
              </w:rPr>
            </w:pPr>
            <w:r>
              <w:rPr>
                <w:noProof/>
              </w:rPr>
              <w:t>M1C2—18</w:t>
            </w:r>
          </w:p>
        </w:tc>
        <w:tc>
          <w:tcPr>
            <w:tcW w:w="1578" w:type="dxa"/>
            <w:shd w:val="clear" w:color="auto" w:fill="C6EFCE"/>
            <w:vAlign w:val="center"/>
          </w:tcPr>
          <w:p w14:paraId="05678040" w14:textId="77777777" w:rsidR="006054AA" w:rsidRDefault="001F7667">
            <w:pPr>
              <w:pStyle w:val="P68B1DB1-Normal11"/>
              <w:spacing w:before="120" w:after="120"/>
              <w:jc w:val="center"/>
              <w:rPr>
                <w:noProof/>
              </w:rPr>
            </w:pPr>
            <w:r>
              <w:rPr>
                <w:noProof/>
              </w:rPr>
              <w:t>Инвестиция 3: Бързи интернет връзки (свръхшироколентов достъп и 5G)</w:t>
            </w:r>
          </w:p>
        </w:tc>
        <w:tc>
          <w:tcPr>
            <w:tcW w:w="1078" w:type="dxa"/>
            <w:shd w:val="clear" w:color="auto" w:fill="C6EFCE"/>
            <w:vAlign w:val="center"/>
          </w:tcPr>
          <w:p w14:paraId="6EAFBF56"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674C26E6" w14:textId="77777777" w:rsidR="006054AA" w:rsidRDefault="001F7667">
            <w:pPr>
              <w:pStyle w:val="P68B1DB1-Normal11"/>
              <w:spacing w:before="120" w:after="120"/>
              <w:jc w:val="center"/>
              <w:rPr>
                <w:noProof/>
              </w:rPr>
            </w:pPr>
            <w:r>
              <w:rPr>
                <w:noProof/>
              </w:rPr>
              <w:t>Училищни сгради и здравни заведения, снабдени със свързаност от 1 Gbps</w:t>
            </w:r>
          </w:p>
        </w:tc>
        <w:tc>
          <w:tcPr>
            <w:tcW w:w="1275" w:type="dxa"/>
            <w:shd w:val="clear" w:color="auto" w:fill="C6EFCE"/>
            <w:vAlign w:val="center"/>
          </w:tcPr>
          <w:p w14:paraId="6F7D2BAE"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3001A228"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49B69A65"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7D4DE190" w14:textId="77777777" w:rsidR="006054AA" w:rsidRDefault="001F7667">
            <w:pPr>
              <w:pStyle w:val="P68B1DB1-Normal11"/>
              <w:spacing w:before="120" w:after="120"/>
              <w:jc w:val="center"/>
              <w:rPr>
                <w:noProof/>
              </w:rPr>
            </w:pPr>
            <w:r>
              <w:rPr>
                <w:noProof/>
              </w:rPr>
              <w:t>17 700</w:t>
            </w:r>
          </w:p>
        </w:tc>
        <w:tc>
          <w:tcPr>
            <w:tcW w:w="850" w:type="dxa"/>
            <w:shd w:val="clear" w:color="auto" w:fill="C6EFCE"/>
            <w:vAlign w:val="center"/>
          </w:tcPr>
          <w:p w14:paraId="2FD35F74"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5B01AEA5"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6A95D10C" w14:textId="77777777" w:rsidR="006054AA" w:rsidRDefault="001F7667">
            <w:pPr>
              <w:pStyle w:val="P68B1DB1-Normal11"/>
              <w:spacing w:before="120" w:after="120"/>
              <w:rPr>
                <w:noProof/>
              </w:rPr>
            </w:pPr>
            <w:r>
              <w:rPr>
                <w:noProof/>
              </w:rPr>
              <w:t>Поне още 9 000 училища и 8 700 обществени здравни заведения са осигурени с поне 1 Gbps свързаност.</w:t>
            </w:r>
          </w:p>
        </w:tc>
      </w:tr>
      <w:tr w:rsidR="006054AA" w14:paraId="4C55BE3C" w14:textId="77777777">
        <w:trPr>
          <w:trHeight w:val="315"/>
        </w:trPr>
        <w:tc>
          <w:tcPr>
            <w:tcW w:w="1424" w:type="dxa"/>
            <w:shd w:val="clear" w:color="auto" w:fill="C6EFCE"/>
            <w:vAlign w:val="center"/>
          </w:tcPr>
          <w:p w14:paraId="584EC24C" w14:textId="77777777" w:rsidR="006054AA" w:rsidRDefault="001F7667">
            <w:pPr>
              <w:pStyle w:val="P68B1DB1-Normal11"/>
              <w:spacing w:before="120" w:after="120"/>
              <w:jc w:val="center"/>
              <w:rPr>
                <w:noProof/>
              </w:rPr>
            </w:pPr>
            <w:r>
              <w:rPr>
                <w:noProof/>
              </w:rPr>
              <w:t>M1C2—19</w:t>
            </w:r>
          </w:p>
        </w:tc>
        <w:tc>
          <w:tcPr>
            <w:tcW w:w="1578" w:type="dxa"/>
            <w:shd w:val="clear" w:color="auto" w:fill="C6EFCE"/>
            <w:vAlign w:val="center"/>
          </w:tcPr>
          <w:p w14:paraId="6080D02C" w14:textId="77777777" w:rsidR="006054AA" w:rsidRDefault="001F7667">
            <w:pPr>
              <w:pStyle w:val="P68B1DB1-Normal11"/>
              <w:spacing w:before="120" w:after="120"/>
              <w:jc w:val="center"/>
              <w:rPr>
                <w:noProof/>
              </w:rPr>
            </w:pPr>
            <w:r>
              <w:rPr>
                <w:noProof/>
              </w:rPr>
              <w:t>Инвестиция 3: Бързи интернет връзки (свръхшироколентов достъп и 5G)</w:t>
            </w:r>
          </w:p>
        </w:tc>
        <w:tc>
          <w:tcPr>
            <w:tcW w:w="1078" w:type="dxa"/>
            <w:shd w:val="clear" w:color="auto" w:fill="C6EFCE"/>
            <w:vAlign w:val="center"/>
          </w:tcPr>
          <w:p w14:paraId="48BF1DC5"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66E5FD15" w14:textId="77777777" w:rsidR="006054AA" w:rsidRDefault="001F7667">
            <w:pPr>
              <w:pStyle w:val="P68B1DB1-Normal11"/>
              <w:spacing w:before="120" w:after="120"/>
              <w:jc w:val="center"/>
              <w:rPr>
                <w:noProof/>
              </w:rPr>
            </w:pPr>
            <w:r>
              <w:rPr>
                <w:noProof/>
              </w:rPr>
              <w:t>Островите са снабдени със свръхшироколентова свързаност</w:t>
            </w:r>
          </w:p>
        </w:tc>
        <w:tc>
          <w:tcPr>
            <w:tcW w:w="1275" w:type="dxa"/>
            <w:shd w:val="clear" w:color="auto" w:fill="C6EFCE"/>
            <w:vAlign w:val="center"/>
          </w:tcPr>
          <w:p w14:paraId="202B0BC3"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2E6EF85B"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723A7D98"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48F11572" w14:textId="77777777" w:rsidR="006054AA" w:rsidRDefault="001F7667">
            <w:pPr>
              <w:pStyle w:val="P68B1DB1-Normal11"/>
              <w:spacing w:before="120" w:after="120"/>
              <w:jc w:val="center"/>
              <w:rPr>
                <w:noProof/>
              </w:rPr>
            </w:pPr>
            <w:r>
              <w:rPr>
                <w:noProof/>
              </w:rPr>
              <w:t>18</w:t>
            </w:r>
          </w:p>
        </w:tc>
        <w:tc>
          <w:tcPr>
            <w:tcW w:w="850" w:type="dxa"/>
            <w:shd w:val="clear" w:color="auto" w:fill="C6EFCE"/>
            <w:vAlign w:val="center"/>
          </w:tcPr>
          <w:p w14:paraId="63D09F89" w14:textId="77777777" w:rsidR="006054AA" w:rsidRDefault="001F7667">
            <w:pPr>
              <w:pStyle w:val="P68B1DB1-Normal11"/>
              <w:spacing w:before="120" w:after="120"/>
              <w:jc w:val="center"/>
              <w:rPr>
                <w:noProof/>
              </w:rPr>
            </w:pPr>
            <w:r>
              <w:rPr>
                <w:noProof/>
              </w:rPr>
              <w:t>Т4 Г.</w:t>
            </w:r>
          </w:p>
        </w:tc>
        <w:tc>
          <w:tcPr>
            <w:tcW w:w="709" w:type="dxa"/>
            <w:shd w:val="clear" w:color="auto" w:fill="C6EFCE"/>
            <w:vAlign w:val="center"/>
          </w:tcPr>
          <w:p w14:paraId="558544E7" w14:textId="77777777" w:rsidR="006054AA" w:rsidRDefault="001F7667">
            <w:pPr>
              <w:pStyle w:val="P68B1DB1-Normal11"/>
              <w:spacing w:before="120" w:after="120"/>
              <w:jc w:val="center"/>
              <w:rPr>
                <w:noProof/>
              </w:rPr>
            </w:pPr>
            <w:r>
              <w:rPr>
                <w:noProof/>
              </w:rPr>
              <w:t>2024</w:t>
            </w:r>
          </w:p>
        </w:tc>
        <w:tc>
          <w:tcPr>
            <w:tcW w:w="3794" w:type="dxa"/>
            <w:shd w:val="clear" w:color="auto" w:fill="C6EFCE"/>
            <w:vAlign w:val="center"/>
          </w:tcPr>
          <w:p w14:paraId="74B12E9A" w14:textId="77777777" w:rsidR="006054AA" w:rsidRDefault="001F7667">
            <w:pPr>
              <w:pStyle w:val="P68B1DB1-Normal11"/>
              <w:spacing w:before="120" w:after="120"/>
              <w:rPr>
                <w:noProof/>
              </w:rPr>
            </w:pPr>
            <w:r>
              <w:rPr>
                <w:noProof/>
              </w:rPr>
              <w:t>Поне още 18 острова, които не разполагат с оптични връзки с континента, са осигурили свръхшироколентова свързаност чрез нов оптичен пренос (backhaul).</w:t>
            </w:r>
          </w:p>
        </w:tc>
      </w:tr>
      <w:tr w:rsidR="006054AA" w14:paraId="530985C1" w14:textId="77777777">
        <w:trPr>
          <w:trHeight w:val="315"/>
        </w:trPr>
        <w:tc>
          <w:tcPr>
            <w:tcW w:w="1424" w:type="dxa"/>
            <w:shd w:val="clear" w:color="auto" w:fill="C6EFCE"/>
            <w:vAlign w:val="center"/>
          </w:tcPr>
          <w:p w14:paraId="106FDA0B" w14:textId="77777777" w:rsidR="006054AA" w:rsidRDefault="001F7667">
            <w:pPr>
              <w:pStyle w:val="P68B1DB1-Normal11"/>
              <w:spacing w:before="120" w:after="120"/>
              <w:jc w:val="center"/>
              <w:rPr>
                <w:noProof/>
              </w:rPr>
            </w:pPr>
            <w:r>
              <w:rPr>
                <w:noProof/>
              </w:rPr>
              <w:t>M1C2—20</w:t>
            </w:r>
          </w:p>
        </w:tc>
        <w:tc>
          <w:tcPr>
            <w:tcW w:w="1578" w:type="dxa"/>
            <w:shd w:val="clear" w:color="auto" w:fill="C6EFCE"/>
            <w:vAlign w:val="center"/>
          </w:tcPr>
          <w:p w14:paraId="2E0C8E19" w14:textId="77777777" w:rsidR="006054AA" w:rsidRDefault="001F7667">
            <w:pPr>
              <w:pStyle w:val="P68B1DB1-Normal11"/>
              <w:spacing w:before="120" w:after="120"/>
              <w:jc w:val="center"/>
              <w:rPr>
                <w:noProof/>
              </w:rPr>
            </w:pPr>
            <w:r>
              <w:rPr>
                <w:noProof/>
              </w:rPr>
              <w:t>Инвестиция 3: Бързи интернет връзки (свръхшироколентов достъп и 5G)</w:t>
            </w:r>
          </w:p>
        </w:tc>
        <w:tc>
          <w:tcPr>
            <w:tcW w:w="1078" w:type="dxa"/>
            <w:shd w:val="clear" w:color="auto" w:fill="C6EFCE"/>
            <w:vAlign w:val="center"/>
          </w:tcPr>
          <w:p w14:paraId="32B40E1B"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408DDE0D" w14:textId="77777777" w:rsidR="006054AA" w:rsidRDefault="001F7667">
            <w:pPr>
              <w:pStyle w:val="P68B1DB1-Normal11"/>
              <w:spacing w:before="120" w:after="120"/>
              <w:jc w:val="center"/>
              <w:rPr>
                <w:noProof/>
              </w:rPr>
            </w:pPr>
            <w:r>
              <w:rPr>
                <w:noProof/>
              </w:rPr>
              <w:t>Извънградски пътища и коридори, създадени с 5G покритие</w:t>
            </w:r>
          </w:p>
        </w:tc>
        <w:tc>
          <w:tcPr>
            <w:tcW w:w="1275" w:type="dxa"/>
            <w:shd w:val="clear" w:color="auto" w:fill="C6EFCE"/>
            <w:vAlign w:val="center"/>
          </w:tcPr>
          <w:p w14:paraId="1D8C7410"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304D4D66"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209F15C0"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12123C79" w14:textId="77777777" w:rsidR="006054AA" w:rsidRDefault="001F7667">
            <w:pPr>
              <w:pStyle w:val="P68B1DB1-Normal11"/>
              <w:spacing w:before="120" w:after="160" w:line="257" w:lineRule="auto"/>
              <w:jc w:val="center"/>
              <w:rPr>
                <w:noProof/>
              </w:rPr>
            </w:pPr>
            <w:r>
              <w:rPr>
                <w:noProof/>
              </w:rPr>
              <w:t>12 600</w:t>
            </w:r>
          </w:p>
        </w:tc>
        <w:tc>
          <w:tcPr>
            <w:tcW w:w="850" w:type="dxa"/>
            <w:shd w:val="clear" w:color="auto" w:fill="C6EFCE"/>
            <w:vAlign w:val="center"/>
          </w:tcPr>
          <w:p w14:paraId="60A699A3"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7260FE71"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0E0E3B67" w14:textId="77777777" w:rsidR="006054AA" w:rsidRDefault="001F7667">
            <w:pPr>
              <w:pStyle w:val="P68B1DB1-Normal11"/>
              <w:spacing w:before="120" w:after="120"/>
              <w:rPr>
                <w:noProof/>
              </w:rPr>
            </w:pPr>
            <w:r>
              <w:rPr>
                <w:noProof/>
              </w:rPr>
              <w:t>Най-малко още 12 600 km извънградски пътища и коридори с възможност за 5G покритие.</w:t>
            </w:r>
          </w:p>
        </w:tc>
      </w:tr>
      <w:tr w:rsidR="006054AA" w14:paraId="463BB30D" w14:textId="77777777">
        <w:trPr>
          <w:trHeight w:val="315"/>
        </w:trPr>
        <w:tc>
          <w:tcPr>
            <w:tcW w:w="1424" w:type="dxa"/>
            <w:shd w:val="clear" w:color="auto" w:fill="C6EFCE"/>
            <w:vAlign w:val="center"/>
          </w:tcPr>
          <w:p w14:paraId="2F5D24D1" w14:textId="77777777" w:rsidR="006054AA" w:rsidRDefault="001F7667">
            <w:pPr>
              <w:pStyle w:val="P68B1DB1-Normal11"/>
              <w:spacing w:before="120" w:after="120"/>
              <w:jc w:val="center"/>
              <w:rPr>
                <w:noProof/>
              </w:rPr>
            </w:pPr>
            <w:r>
              <w:rPr>
                <w:noProof/>
              </w:rPr>
              <w:t>M1C2—21</w:t>
            </w:r>
          </w:p>
        </w:tc>
        <w:tc>
          <w:tcPr>
            <w:tcW w:w="1578" w:type="dxa"/>
            <w:shd w:val="clear" w:color="auto" w:fill="C6EFCE"/>
            <w:vAlign w:val="center"/>
          </w:tcPr>
          <w:p w14:paraId="235A2864" w14:textId="77777777" w:rsidR="006054AA" w:rsidRDefault="001F7667">
            <w:pPr>
              <w:pStyle w:val="P68B1DB1-Normal11"/>
              <w:spacing w:before="120" w:after="120"/>
              <w:jc w:val="center"/>
              <w:rPr>
                <w:noProof/>
              </w:rPr>
            </w:pPr>
            <w:r>
              <w:rPr>
                <w:noProof/>
              </w:rPr>
              <w:t>Инвестиция 3: Бързи интернет връзки (свръхшироколентов достъп и 5G)</w:t>
            </w:r>
          </w:p>
        </w:tc>
        <w:tc>
          <w:tcPr>
            <w:tcW w:w="1078" w:type="dxa"/>
            <w:shd w:val="clear" w:color="auto" w:fill="C6EFCE"/>
            <w:vAlign w:val="center"/>
          </w:tcPr>
          <w:p w14:paraId="54CC3C39"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3A2F43E1" w14:textId="77777777" w:rsidR="006054AA" w:rsidRDefault="001F7667">
            <w:pPr>
              <w:pStyle w:val="P68B1DB1-Normal11"/>
              <w:spacing w:before="120" w:after="120"/>
              <w:jc w:val="center"/>
              <w:rPr>
                <w:noProof/>
              </w:rPr>
            </w:pPr>
            <w:r>
              <w:rPr>
                <w:noProof/>
              </w:rPr>
              <w:t>Области на неефективност на пазара с покритие от 5G мрежи</w:t>
            </w:r>
          </w:p>
        </w:tc>
        <w:tc>
          <w:tcPr>
            <w:tcW w:w="1275" w:type="dxa"/>
            <w:shd w:val="clear" w:color="auto" w:fill="C6EFCE"/>
            <w:vAlign w:val="center"/>
          </w:tcPr>
          <w:p w14:paraId="424BDB2A"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7323BE96"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3D5362A6"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42FC5258" w14:textId="77777777" w:rsidR="006054AA" w:rsidRDefault="001F7667">
            <w:pPr>
              <w:pStyle w:val="P68B1DB1-Normal11"/>
              <w:spacing w:before="120" w:after="120"/>
              <w:jc w:val="center"/>
              <w:rPr>
                <w:noProof/>
              </w:rPr>
            </w:pPr>
            <w:r>
              <w:rPr>
                <w:noProof/>
              </w:rPr>
              <w:t>1 400</w:t>
            </w:r>
          </w:p>
        </w:tc>
        <w:tc>
          <w:tcPr>
            <w:tcW w:w="850" w:type="dxa"/>
            <w:shd w:val="clear" w:color="auto" w:fill="C6EFCE"/>
            <w:vAlign w:val="center"/>
          </w:tcPr>
          <w:p w14:paraId="64EFE437"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6213018C"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0E2F4376" w14:textId="77777777" w:rsidR="006054AA" w:rsidRDefault="001F7667">
            <w:pPr>
              <w:pStyle w:val="P68B1DB1-Normal11"/>
              <w:spacing w:before="120" w:after="120"/>
              <w:rPr>
                <w:noProof/>
              </w:rPr>
            </w:pPr>
            <w:r>
              <w:rPr>
                <w:noProof/>
              </w:rPr>
              <w:t>Най-малко още 1 400 кв.км населени райони с пазарна неефективност, които са имали възможност за 5G покритие, от които поне 500 квкм. са снабдени с 5G покритие.</w:t>
            </w:r>
          </w:p>
        </w:tc>
      </w:tr>
      <w:tr w:rsidR="006054AA" w14:paraId="760A162D" w14:textId="77777777">
        <w:trPr>
          <w:trHeight w:val="315"/>
        </w:trPr>
        <w:tc>
          <w:tcPr>
            <w:tcW w:w="1424" w:type="dxa"/>
            <w:shd w:val="clear" w:color="auto" w:fill="C6EFCE"/>
            <w:vAlign w:val="center"/>
          </w:tcPr>
          <w:p w14:paraId="7B50C180" w14:textId="77777777" w:rsidR="006054AA" w:rsidRDefault="001F7667">
            <w:pPr>
              <w:pStyle w:val="P68B1DB1-Normal11"/>
              <w:spacing w:before="120" w:after="120"/>
              <w:jc w:val="center"/>
              <w:rPr>
                <w:noProof/>
              </w:rPr>
            </w:pPr>
            <w:r>
              <w:rPr>
                <w:noProof/>
              </w:rPr>
              <w:t>M1C2—22</w:t>
            </w:r>
          </w:p>
        </w:tc>
        <w:tc>
          <w:tcPr>
            <w:tcW w:w="1578" w:type="dxa"/>
            <w:shd w:val="clear" w:color="auto" w:fill="C6EFCE"/>
            <w:vAlign w:val="center"/>
          </w:tcPr>
          <w:p w14:paraId="641C4C26" w14:textId="77777777" w:rsidR="006054AA" w:rsidRDefault="001F7667">
            <w:pPr>
              <w:pStyle w:val="P68B1DB1-Normal11"/>
              <w:spacing w:before="120" w:after="120"/>
              <w:jc w:val="center"/>
              <w:rPr>
                <w:noProof/>
              </w:rPr>
            </w:pPr>
            <w:r>
              <w:rPr>
                <w:noProof/>
              </w:rPr>
              <w:t>Инвестиция 4: Сателитни технологии и космическа икономика</w:t>
            </w:r>
          </w:p>
        </w:tc>
        <w:tc>
          <w:tcPr>
            <w:tcW w:w="1078" w:type="dxa"/>
            <w:shd w:val="clear" w:color="auto" w:fill="C6EFCE"/>
            <w:vAlign w:val="center"/>
          </w:tcPr>
          <w:p w14:paraId="2CA2495D" w14:textId="77777777" w:rsidR="006054AA" w:rsidRDefault="001F7667">
            <w:pPr>
              <w:pStyle w:val="P68B1DB1-Normal11"/>
              <w:spacing w:before="120" w:after="120"/>
              <w:jc w:val="center"/>
              <w:rPr>
                <w:noProof/>
              </w:rPr>
            </w:pPr>
            <w:r>
              <w:rPr>
                <w:noProof/>
              </w:rPr>
              <w:t>Ключов етап</w:t>
            </w:r>
          </w:p>
        </w:tc>
        <w:tc>
          <w:tcPr>
            <w:tcW w:w="1329" w:type="dxa"/>
            <w:shd w:val="clear" w:color="auto" w:fill="C6EFCE"/>
            <w:vAlign w:val="center"/>
          </w:tcPr>
          <w:p w14:paraId="68E53C6A" w14:textId="77777777" w:rsidR="006054AA" w:rsidRDefault="001F7667">
            <w:pPr>
              <w:pStyle w:val="P68B1DB1-Normal11"/>
              <w:spacing w:before="120" w:after="120"/>
              <w:jc w:val="center"/>
              <w:rPr>
                <w:noProof/>
              </w:rPr>
            </w:pPr>
            <w:r>
              <w:rPr>
                <w:noProof/>
              </w:rPr>
              <w:t>Възлагане на всички обществени поръчки за спътникови технологии и космически проекти</w:t>
            </w:r>
          </w:p>
        </w:tc>
        <w:tc>
          <w:tcPr>
            <w:tcW w:w="1275" w:type="dxa"/>
            <w:shd w:val="clear" w:color="auto" w:fill="C6EFCE"/>
            <w:vAlign w:val="center"/>
          </w:tcPr>
          <w:p w14:paraId="3D4BA139" w14:textId="77777777" w:rsidR="006054AA" w:rsidRDefault="001F7667">
            <w:pPr>
              <w:pStyle w:val="P68B1DB1-Normal11"/>
              <w:spacing w:before="120" w:after="120"/>
              <w:jc w:val="center"/>
              <w:rPr>
                <w:noProof/>
              </w:rPr>
            </w:pPr>
            <w:r>
              <w:rPr>
                <w:noProof/>
              </w:rPr>
              <w:t>Уведомяване за възлагането на всички обществени поръчки за спътникови технологии и космически проекти</w:t>
            </w:r>
          </w:p>
        </w:tc>
        <w:tc>
          <w:tcPr>
            <w:tcW w:w="1134" w:type="dxa"/>
            <w:shd w:val="clear" w:color="auto" w:fill="C6EFCE"/>
            <w:vAlign w:val="center"/>
          </w:tcPr>
          <w:p w14:paraId="1974E512" w14:textId="77777777" w:rsidR="006054AA" w:rsidRDefault="001F7667">
            <w:pPr>
              <w:pStyle w:val="P68B1DB1-Normal11"/>
              <w:spacing w:before="120" w:after="120"/>
              <w:jc w:val="center"/>
              <w:rPr>
                <w:noProof/>
              </w:rPr>
            </w:pPr>
            <w:r>
              <w:rPr>
                <w:noProof/>
              </w:rPr>
              <w:t>НЯМА</w:t>
            </w:r>
          </w:p>
        </w:tc>
        <w:tc>
          <w:tcPr>
            <w:tcW w:w="993" w:type="dxa"/>
            <w:shd w:val="clear" w:color="auto" w:fill="C6EFCE"/>
            <w:vAlign w:val="center"/>
          </w:tcPr>
          <w:p w14:paraId="3484A374" w14:textId="77777777" w:rsidR="006054AA" w:rsidRDefault="001F7667">
            <w:pPr>
              <w:pStyle w:val="P68B1DB1-Normal11"/>
              <w:spacing w:before="120" w:after="120"/>
              <w:jc w:val="center"/>
              <w:rPr>
                <w:noProof/>
              </w:rPr>
            </w:pPr>
            <w:r>
              <w:rPr>
                <w:noProof/>
              </w:rPr>
              <w:t>НЯМА</w:t>
            </w:r>
          </w:p>
        </w:tc>
        <w:tc>
          <w:tcPr>
            <w:tcW w:w="992" w:type="dxa"/>
            <w:shd w:val="clear" w:color="auto" w:fill="C6EFCE"/>
            <w:vAlign w:val="center"/>
          </w:tcPr>
          <w:p w14:paraId="5F7F70A8" w14:textId="77777777" w:rsidR="006054AA" w:rsidRDefault="001F7667">
            <w:pPr>
              <w:pStyle w:val="P68B1DB1-Normal11"/>
              <w:spacing w:before="120" w:after="120"/>
              <w:jc w:val="center"/>
              <w:rPr>
                <w:noProof/>
              </w:rPr>
            </w:pPr>
            <w:r>
              <w:rPr>
                <w:noProof/>
              </w:rPr>
              <w:t>НЯМА</w:t>
            </w:r>
          </w:p>
        </w:tc>
        <w:tc>
          <w:tcPr>
            <w:tcW w:w="850" w:type="dxa"/>
            <w:shd w:val="clear" w:color="auto" w:fill="C6EFCE"/>
            <w:vAlign w:val="center"/>
          </w:tcPr>
          <w:p w14:paraId="3711BCDE" w14:textId="77777777" w:rsidR="006054AA" w:rsidRDefault="001F7667">
            <w:pPr>
              <w:pStyle w:val="P68B1DB1-Normal11"/>
              <w:spacing w:before="120" w:after="120"/>
              <w:jc w:val="center"/>
              <w:rPr>
                <w:noProof/>
              </w:rPr>
            </w:pPr>
            <w:r>
              <w:rPr>
                <w:noProof/>
              </w:rPr>
              <w:t>Т1 Г.</w:t>
            </w:r>
          </w:p>
        </w:tc>
        <w:tc>
          <w:tcPr>
            <w:tcW w:w="709" w:type="dxa"/>
            <w:shd w:val="clear" w:color="auto" w:fill="C6EFCE"/>
            <w:vAlign w:val="center"/>
          </w:tcPr>
          <w:p w14:paraId="3E875057" w14:textId="77777777" w:rsidR="006054AA" w:rsidRDefault="001F7667">
            <w:pPr>
              <w:pStyle w:val="P68B1DB1-Normal11"/>
              <w:spacing w:before="120" w:after="120"/>
              <w:jc w:val="center"/>
              <w:rPr>
                <w:noProof/>
              </w:rPr>
            </w:pPr>
            <w:r>
              <w:rPr>
                <w:noProof/>
              </w:rPr>
              <w:t>2023</w:t>
            </w:r>
          </w:p>
        </w:tc>
        <w:tc>
          <w:tcPr>
            <w:tcW w:w="3794" w:type="dxa"/>
            <w:shd w:val="clear" w:color="auto" w:fill="C6EFCE"/>
            <w:vAlign w:val="center"/>
          </w:tcPr>
          <w:p w14:paraId="6821DC37" w14:textId="77777777" w:rsidR="006054AA" w:rsidRDefault="001F7667">
            <w:pPr>
              <w:pStyle w:val="P68B1DB1-Normal11"/>
              <w:spacing w:before="120" w:after="120"/>
              <w:rPr>
                <w:noProof/>
              </w:rPr>
            </w:pPr>
            <w:r>
              <w:rPr>
                <w:noProof/>
              </w:rPr>
              <w:t>Уведомление за възлагането на всички обществени поръчки за сателитни технологии и космически проекти, които се състоят от i) Satcom, ii) наблюдение на Земята, iii) космическа фабрика и iv) икономика в орбита.</w:t>
            </w:r>
          </w:p>
        </w:tc>
      </w:tr>
      <w:tr w:rsidR="006054AA" w14:paraId="5C2CEBE0" w14:textId="77777777">
        <w:trPr>
          <w:trHeight w:val="315"/>
        </w:trPr>
        <w:tc>
          <w:tcPr>
            <w:tcW w:w="1424" w:type="dxa"/>
            <w:shd w:val="clear" w:color="auto" w:fill="C6EFCE"/>
            <w:vAlign w:val="center"/>
          </w:tcPr>
          <w:p w14:paraId="7C01A146" w14:textId="77777777" w:rsidR="006054AA" w:rsidRDefault="001F7667">
            <w:pPr>
              <w:pStyle w:val="P68B1DB1-Normal11"/>
              <w:spacing w:before="120" w:after="120"/>
              <w:jc w:val="center"/>
              <w:rPr>
                <w:noProof/>
              </w:rPr>
            </w:pPr>
            <w:r>
              <w:rPr>
                <w:noProof/>
              </w:rPr>
              <w:t>M1C2—23</w:t>
            </w:r>
          </w:p>
        </w:tc>
        <w:tc>
          <w:tcPr>
            <w:tcW w:w="1578" w:type="dxa"/>
            <w:shd w:val="clear" w:color="auto" w:fill="C6EFCE"/>
            <w:vAlign w:val="center"/>
          </w:tcPr>
          <w:p w14:paraId="6594EE0B" w14:textId="77777777" w:rsidR="006054AA" w:rsidRDefault="001F7667">
            <w:pPr>
              <w:pStyle w:val="P68B1DB1-Normal11"/>
              <w:spacing w:before="120" w:after="120"/>
              <w:jc w:val="center"/>
              <w:rPr>
                <w:noProof/>
              </w:rPr>
            </w:pPr>
            <w:r>
              <w:rPr>
                <w:noProof/>
              </w:rPr>
              <w:t>Инвестиция 4: Сателитни технологии и космическа икономика</w:t>
            </w:r>
          </w:p>
        </w:tc>
        <w:tc>
          <w:tcPr>
            <w:tcW w:w="1078" w:type="dxa"/>
            <w:shd w:val="clear" w:color="auto" w:fill="C6EFCE"/>
            <w:vAlign w:val="center"/>
          </w:tcPr>
          <w:p w14:paraId="1D7D0054"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5F82524F" w14:textId="77777777" w:rsidR="006054AA" w:rsidRDefault="001F7667">
            <w:pPr>
              <w:pStyle w:val="P68B1DB1-Normal11"/>
              <w:spacing w:before="120" w:after="120"/>
              <w:jc w:val="center"/>
              <w:rPr>
                <w:noProof/>
              </w:rPr>
            </w:pPr>
            <w:r>
              <w:rPr>
                <w:noProof/>
              </w:rPr>
              <w:t>Разположени наземни телескопи, оперативен център за КНП, космически фабрика и демонстратор за задвижване с течно гориво</w:t>
            </w:r>
          </w:p>
        </w:tc>
        <w:tc>
          <w:tcPr>
            <w:tcW w:w="1275" w:type="dxa"/>
            <w:shd w:val="clear" w:color="auto" w:fill="C6EFCE"/>
            <w:vAlign w:val="center"/>
          </w:tcPr>
          <w:p w14:paraId="259C7898"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7ECB152A"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4FF7E411"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73F54B18" w14:textId="77777777" w:rsidR="006054AA" w:rsidRDefault="001F7667">
            <w:pPr>
              <w:pStyle w:val="P68B1DB1-Normal11"/>
              <w:spacing w:before="120" w:after="120"/>
              <w:jc w:val="center"/>
              <w:rPr>
                <w:noProof/>
              </w:rPr>
            </w:pPr>
            <w:r>
              <w:rPr>
                <w:noProof/>
              </w:rPr>
              <w:t>6</w:t>
            </w:r>
          </w:p>
        </w:tc>
        <w:tc>
          <w:tcPr>
            <w:tcW w:w="850" w:type="dxa"/>
            <w:shd w:val="clear" w:color="auto" w:fill="C6EFCE"/>
            <w:vAlign w:val="center"/>
          </w:tcPr>
          <w:p w14:paraId="244EDFA4"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00E65D3D"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2093ABA7" w14:textId="77777777" w:rsidR="006054AA" w:rsidRDefault="001F7667">
            <w:pPr>
              <w:pStyle w:val="P68B1DB1-Normal11"/>
              <w:spacing w:before="120" w:after="120"/>
              <w:rPr>
                <w:noProof/>
              </w:rPr>
            </w:pPr>
            <w:r>
              <w:rPr>
                <w:noProof/>
              </w:rPr>
              <w:t>Поне още три високопроизводителни телескопа, способни да идентифицират космически обекти, един център за оперативно космическо наблюдение и проследяване (КНП) (мрежа за наблюдение и проследяване на космически отпадъци), една космическа фабрика (интегрирани линии за производство, сглобяване, интегриране и изпитване (M-AIT) на малки спътници), един демонстратор с течно задвижване за ново поколение ракети носители.</w:t>
            </w:r>
          </w:p>
        </w:tc>
      </w:tr>
      <w:tr w:rsidR="006054AA" w14:paraId="3883CBF0" w14:textId="77777777">
        <w:trPr>
          <w:trHeight w:val="315"/>
        </w:trPr>
        <w:tc>
          <w:tcPr>
            <w:tcW w:w="1424" w:type="dxa"/>
            <w:shd w:val="clear" w:color="auto" w:fill="C6EFCE"/>
            <w:vAlign w:val="center"/>
          </w:tcPr>
          <w:p w14:paraId="4261DD49" w14:textId="77777777" w:rsidR="006054AA" w:rsidRDefault="001F7667">
            <w:pPr>
              <w:pStyle w:val="P68B1DB1-Normal11"/>
              <w:spacing w:before="120" w:after="120"/>
              <w:jc w:val="center"/>
              <w:rPr>
                <w:noProof/>
              </w:rPr>
            </w:pPr>
            <w:r>
              <w:rPr>
                <w:noProof/>
              </w:rPr>
              <w:t>M1C2—24</w:t>
            </w:r>
          </w:p>
        </w:tc>
        <w:tc>
          <w:tcPr>
            <w:tcW w:w="1578" w:type="dxa"/>
            <w:shd w:val="clear" w:color="auto" w:fill="C6EFCE"/>
            <w:vAlign w:val="center"/>
          </w:tcPr>
          <w:p w14:paraId="3F7300B4" w14:textId="77777777" w:rsidR="006054AA" w:rsidRDefault="001F7667">
            <w:pPr>
              <w:pStyle w:val="P68B1DB1-Normal11"/>
              <w:spacing w:before="120" w:after="120"/>
              <w:jc w:val="center"/>
              <w:rPr>
                <w:rFonts w:eastAsia="Calibri"/>
                <w:noProof/>
              </w:rPr>
            </w:pPr>
            <w:r>
              <w:rPr>
                <w:noProof/>
              </w:rPr>
              <w:t>Инвестиция 4: Сателитни технологии и космическа икономика</w:t>
            </w:r>
          </w:p>
        </w:tc>
        <w:tc>
          <w:tcPr>
            <w:tcW w:w="1078" w:type="dxa"/>
            <w:shd w:val="clear" w:color="auto" w:fill="C6EFCE"/>
            <w:vAlign w:val="center"/>
          </w:tcPr>
          <w:p w14:paraId="39EEC24C"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17A0AD56" w14:textId="77777777" w:rsidR="006054AA" w:rsidRDefault="001F7667">
            <w:pPr>
              <w:pStyle w:val="P68B1DB1-Normal11"/>
              <w:spacing w:before="120" w:after="120"/>
              <w:jc w:val="center"/>
              <w:rPr>
                <w:noProof/>
              </w:rPr>
            </w:pPr>
            <w:r>
              <w:rPr>
                <w:noProof/>
              </w:rPr>
              <w:t>Разполагане на групи от спътници или доказване на концепцията за спътници</w:t>
            </w:r>
          </w:p>
        </w:tc>
        <w:tc>
          <w:tcPr>
            <w:tcW w:w="1275" w:type="dxa"/>
            <w:shd w:val="clear" w:color="auto" w:fill="C6EFCE"/>
            <w:vAlign w:val="center"/>
          </w:tcPr>
          <w:p w14:paraId="0A2679E9"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011FA5EE"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362D5D79"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0567C5C6" w14:textId="77777777" w:rsidR="006054AA" w:rsidRDefault="001F7667">
            <w:pPr>
              <w:pStyle w:val="P68B1DB1-Normal11"/>
              <w:spacing w:before="120" w:after="120"/>
              <w:jc w:val="center"/>
              <w:rPr>
                <w:noProof/>
              </w:rPr>
            </w:pPr>
            <w:r>
              <w:rPr>
                <w:noProof/>
              </w:rPr>
              <w:t>2</w:t>
            </w:r>
          </w:p>
        </w:tc>
        <w:tc>
          <w:tcPr>
            <w:tcW w:w="850" w:type="dxa"/>
            <w:shd w:val="clear" w:color="auto" w:fill="C6EFCE"/>
            <w:vAlign w:val="center"/>
          </w:tcPr>
          <w:p w14:paraId="791B0190"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1C17D9D7"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5A0CCF91" w14:textId="77777777" w:rsidR="006054AA" w:rsidRDefault="001F7667">
            <w:pPr>
              <w:pStyle w:val="P68B1DB1-Normal11"/>
              <w:spacing w:before="120" w:after="120"/>
              <w:rPr>
                <w:noProof/>
              </w:rPr>
            </w:pPr>
            <w:r>
              <w:rPr>
                <w:noProof/>
              </w:rPr>
              <w:t>Поне две допълнителни групи от спътници или доказване на концепцията за групи от спътници, разположени в рамките на инициативи Satcom и наблюдение на Земята</w:t>
            </w:r>
          </w:p>
        </w:tc>
      </w:tr>
      <w:tr w:rsidR="006054AA" w14:paraId="52476225" w14:textId="77777777">
        <w:trPr>
          <w:trHeight w:val="315"/>
        </w:trPr>
        <w:tc>
          <w:tcPr>
            <w:tcW w:w="1424" w:type="dxa"/>
            <w:shd w:val="clear" w:color="auto" w:fill="C6EFCE"/>
            <w:vAlign w:val="center"/>
          </w:tcPr>
          <w:p w14:paraId="33337CFF" w14:textId="77777777" w:rsidR="006054AA" w:rsidRDefault="001F7667">
            <w:pPr>
              <w:pStyle w:val="P68B1DB1-Normal11"/>
              <w:spacing w:before="120" w:after="120"/>
              <w:jc w:val="center"/>
              <w:rPr>
                <w:noProof/>
              </w:rPr>
            </w:pPr>
            <w:r>
              <w:rPr>
                <w:noProof/>
              </w:rPr>
              <w:t>M1C2—25</w:t>
            </w:r>
          </w:p>
        </w:tc>
        <w:tc>
          <w:tcPr>
            <w:tcW w:w="1578" w:type="dxa"/>
            <w:shd w:val="clear" w:color="auto" w:fill="C6EFCE"/>
            <w:vAlign w:val="center"/>
          </w:tcPr>
          <w:p w14:paraId="594F0F10" w14:textId="77777777" w:rsidR="006054AA" w:rsidRDefault="001F7667">
            <w:pPr>
              <w:pStyle w:val="P68B1DB1-Normal11"/>
              <w:spacing w:before="120" w:after="120"/>
              <w:jc w:val="center"/>
              <w:rPr>
                <w:rFonts w:eastAsia="Calibri"/>
                <w:noProof/>
              </w:rPr>
            </w:pPr>
            <w:r>
              <w:rPr>
                <w:noProof/>
              </w:rPr>
              <w:t>Инвестиция 4: Сателитни технологии и космическа икономика</w:t>
            </w:r>
          </w:p>
        </w:tc>
        <w:tc>
          <w:tcPr>
            <w:tcW w:w="1078" w:type="dxa"/>
            <w:shd w:val="clear" w:color="auto" w:fill="C6EFCE"/>
            <w:vAlign w:val="center"/>
          </w:tcPr>
          <w:p w14:paraId="4901BD24"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62C1F03B" w14:textId="77777777" w:rsidR="006054AA" w:rsidRDefault="001F7667">
            <w:pPr>
              <w:pStyle w:val="P68B1DB1-Normal11"/>
              <w:spacing w:before="120" w:after="120"/>
              <w:jc w:val="center"/>
              <w:rPr>
                <w:noProof/>
              </w:rPr>
            </w:pPr>
            <w:r>
              <w:rPr>
                <w:noProof/>
              </w:rPr>
              <w:t>Услуги, предоставяни на публичните администрации</w:t>
            </w:r>
          </w:p>
        </w:tc>
        <w:tc>
          <w:tcPr>
            <w:tcW w:w="1275" w:type="dxa"/>
            <w:shd w:val="clear" w:color="auto" w:fill="C6EFCE"/>
            <w:vAlign w:val="center"/>
          </w:tcPr>
          <w:p w14:paraId="452A05B0"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78290D3F"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59EE21B2"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1F8F9497" w14:textId="77777777" w:rsidR="006054AA" w:rsidRDefault="001F7667">
            <w:pPr>
              <w:pStyle w:val="P68B1DB1-Normal11"/>
              <w:spacing w:before="120" w:after="120"/>
              <w:jc w:val="center"/>
              <w:rPr>
                <w:noProof/>
              </w:rPr>
            </w:pPr>
            <w:r>
              <w:rPr>
                <w:noProof/>
              </w:rPr>
              <w:t>8</w:t>
            </w:r>
          </w:p>
        </w:tc>
        <w:tc>
          <w:tcPr>
            <w:tcW w:w="850" w:type="dxa"/>
            <w:shd w:val="clear" w:color="auto" w:fill="C6EFCE"/>
            <w:vAlign w:val="center"/>
          </w:tcPr>
          <w:p w14:paraId="6244200C" w14:textId="77777777" w:rsidR="006054AA" w:rsidRDefault="001F7667">
            <w:pPr>
              <w:pStyle w:val="P68B1DB1-Normal11"/>
              <w:spacing w:before="120" w:after="120"/>
              <w:jc w:val="center"/>
              <w:rPr>
                <w:noProof/>
              </w:rPr>
            </w:pPr>
            <w:r>
              <w:rPr>
                <w:noProof/>
              </w:rPr>
              <w:t>Т2 Г.</w:t>
            </w:r>
          </w:p>
        </w:tc>
        <w:tc>
          <w:tcPr>
            <w:tcW w:w="709" w:type="dxa"/>
            <w:shd w:val="clear" w:color="auto" w:fill="C6EFCE"/>
            <w:vAlign w:val="center"/>
          </w:tcPr>
          <w:p w14:paraId="6A8E593A"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72020359" w14:textId="77777777" w:rsidR="006054AA" w:rsidRDefault="001F7667">
            <w:pPr>
              <w:pStyle w:val="P68B1DB1-Normal11"/>
              <w:spacing w:before="120" w:after="120"/>
              <w:rPr>
                <w:noProof/>
              </w:rPr>
            </w:pPr>
            <w:r>
              <w:rPr>
                <w:noProof/>
              </w:rPr>
              <w:t>Най-малко осем допълнителни услуги, предоставяни на публичните администрации, произтичащи от подпомагани космически инициативи, като например крайбрежно обслужване и мониторинг на морските и крайбрежните зони, обслужване на качеството на въздуха, обслужване на наземното движение, покритие на услугите за наблюдение и земеползване, хидрометеорологично обслужване, водни ресурси, услуги за спешна помощ, служби за сигурност.</w:t>
            </w:r>
          </w:p>
        </w:tc>
      </w:tr>
      <w:tr w:rsidR="006054AA" w14:paraId="7056D564" w14:textId="77777777">
        <w:trPr>
          <w:trHeight w:val="315"/>
        </w:trPr>
        <w:tc>
          <w:tcPr>
            <w:tcW w:w="1424" w:type="dxa"/>
            <w:shd w:val="clear" w:color="auto" w:fill="C6EFCE"/>
            <w:vAlign w:val="center"/>
          </w:tcPr>
          <w:p w14:paraId="178D062D" w14:textId="77777777" w:rsidR="006054AA" w:rsidRDefault="001F7667">
            <w:pPr>
              <w:pStyle w:val="P68B1DB1-Normal11"/>
              <w:spacing w:before="120" w:after="120"/>
              <w:jc w:val="center"/>
              <w:rPr>
                <w:noProof/>
              </w:rPr>
            </w:pPr>
            <w:r>
              <w:rPr>
                <w:noProof/>
              </w:rPr>
              <w:t>M1C2—26</w:t>
            </w:r>
          </w:p>
        </w:tc>
        <w:tc>
          <w:tcPr>
            <w:tcW w:w="1578" w:type="dxa"/>
            <w:shd w:val="clear" w:color="auto" w:fill="C6EFCE"/>
            <w:vAlign w:val="center"/>
          </w:tcPr>
          <w:p w14:paraId="1832B2EF" w14:textId="77777777" w:rsidR="006054AA" w:rsidRDefault="001F7667">
            <w:pPr>
              <w:pStyle w:val="P68B1DB1-Normal11"/>
              <w:spacing w:before="120" w:after="120"/>
              <w:jc w:val="center"/>
              <w:rPr>
                <w:noProof/>
              </w:rPr>
            </w:pPr>
            <w:r>
              <w:rPr>
                <w:noProof/>
              </w:rPr>
              <w:t>Инвестиция 5.1: Рефинансиране и преустройство на фонд 394/81, управляван от SIMEST</w:t>
            </w:r>
          </w:p>
        </w:tc>
        <w:tc>
          <w:tcPr>
            <w:tcW w:w="1078" w:type="dxa"/>
            <w:shd w:val="clear" w:color="auto" w:fill="C6EFCE"/>
            <w:vAlign w:val="center"/>
          </w:tcPr>
          <w:p w14:paraId="6C073258" w14:textId="77777777" w:rsidR="006054AA" w:rsidRDefault="001F7667">
            <w:pPr>
              <w:pStyle w:val="P68B1DB1-Normal11"/>
              <w:spacing w:before="120" w:after="120"/>
              <w:jc w:val="center"/>
              <w:rPr>
                <w:noProof/>
              </w:rPr>
            </w:pPr>
            <w:r>
              <w:rPr>
                <w:noProof/>
              </w:rPr>
              <w:t>Ключов етап</w:t>
            </w:r>
          </w:p>
        </w:tc>
        <w:tc>
          <w:tcPr>
            <w:tcW w:w="1329" w:type="dxa"/>
            <w:shd w:val="clear" w:color="auto" w:fill="C6EFCE"/>
            <w:vAlign w:val="center"/>
          </w:tcPr>
          <w:p w14:paraId="6B234AA9" w14:textId="77777777" w:rsidR="006054AA" w:rsidRDefault="001F7667">
            <w:pPr>
              <w:pStyle w:val="P68B1DB1-Normal11"/>
              <w:spacing w:before="120" w:after="120"/>
              <w:jc w:val="center"/>
              <w:rPr>
                <w:noProof/>
              </w:rPr>
            </w:pPr>
            <w:r>
              <w:rPr>
                <w:noProof/>
              </w:rPr>
              <w:t>Влизане в сила на рефинансирането на фонд 394/81 и приемане на инвестиционната политика</w:t>
            </w:r>
          </w:p>
        </w:tc>
        <w:tc>
          <w:tcPr>
            <w:tcW w:w="1275" w:type="dxa"/>
            <w:shd w:val="clear" w:color="auto" w:fill="C6EFCE"/>
            <w:vAlign w:val="center"/>
          </w:tcPr>
          <w:p w14:paraId="43F4166D" w14:textId="77777777" w:rsidR="006054AA" w:rsidRDefault="001F7667">
            <w:pPr>
              <w:pStyle w:val="P68B1DB1-Normal11"/>
              <w:spacing w:before="120" w:after="120"/>
              <w:jc w:val="center"/>
              <w:rPr>
                <w:noProof/>
              </w:rPr>
            </w:pPr>
            <w:r>
              <w:rPr>
                <w:noProof/>
              </w:rPr>
              <w:t>Разпоредба в закона, указваща влизането в сила на Декрета (ите) със закон (и) за рефинансиране на компонента безвъзмездни средства и заеми на фонд 394/81</w:t>
            </w:r>
          </w:p>
          <w:p w14:paraId="060D3622" w14:textId="77777777" w:rsidR="006054AA" w:rsidRDefault="006054AA">
            <w:pPr>
              <w:spacing w:before="120" w:after="120"/>
              <w:jc w:val="center"/>
              <w:rPr>
                <w:rFonts w:ascii="Arial Narrow" w:hAnsi="Arial Narrow"/>
                <w:noProof/>
                <w:sz w:val="20"/>
              </w:rPr>
            </w:pPr>
          </w:p>
          <w:p w14:paraId="43E2645C" w14:textId="77777777" w:rsidR="006054AA" w:rsidRDefault="001F7667">
            <w:pPr>
              <w:pStyle w:val="P68B1DB1-Normal11"/>
              <w:spacing w:before="120" w:after="120"/>
              <w:jc w:val="center"/>
              <w:rPr>
                <w:noProof/>
              </w:rPr>
            </w:pPr>
            <w:r>
              <w:rPr>
                <w:noProof/>
              </w:rPr>
              <w:t>Одобряване на решение на Съвета за определяне на критериите за подбор на проектите, които ще бъдат финансирани</w:t>
            </w:r>
          </w:p>
        </w:tc>
        <w:tc>
          <w:tcPr>
            <w:tcW w:w="1134" w:type="dxa"/>
            <w:shd w:val="clear" w:color="auto" w:fill="C6EFCE"/>
            <w:vAlign w:val="center"/>
          </w:tcPr>
          <w:p w14:paraId="5F30E520" w14:textId="77777777" w:rsidR="006054AA" w:rsidRDefault="001F7667">
            <w:pPr>
              <w:pStyle w:val="P68B1DB1-Normal11"/>
              <w:spacing w:before="120" w:after="120"/>
              <w:jc w:val="center"/>
              <w:rPr>
                <w:noProof/>
              </w:rPr>
            </w:pPr>
            <w:r>
              <w:rPr>
                <w:noProof/>
              </w:rPr>
              <w:t>НЯМА</w:t>
            </w:r>
          </w:p>
        </w:tc>
        <w:tc>
          <w:tcPr>
            <w:tcW w:w="993" w:type="dxa"/>
            <w:shd w:val="clear" w:color="auto" w:fill="C6EFCE"/>
            <w:vAlign w:val="center"/>
          </w:tcPr>
          <w:p w14:paraId="71D2F64E" w14:textId="77777777" w:rsidR="006054AA" w:rsidRDefault="001F7667">
            <w:pPr>
              <w:pStyle w:val="P68B1DB1-Normal11"/>
              <w:spacing w:before="120" w:after="120"/>
              <w:jc w:val="center"/>
              <w:rPr>
                <w:noProof/>
              </w:rPr>
            </w:pPr>
            <w:r>
              <w:rPr>
                <w:noProof/>
              </w:rPr>
              <w:t>НЯМА</w:t>
            </w:r>
          </w:p>
        </w:tc>
        <w:tc>
          <w:tcPr>
            <w:tcW w:w="992" w:type="dxa"/>
            <w:shd w:val="clear" w:color="auto" w:fill="C6EFCE"/>
            <w:vAlign w:val="center"/>
          </w:tcPr>
          <w:p w14:paraId="45400DF0" w14:textId="77777777" w:rsidR="006054AA" w:rsidRDefault="001F7667">
            <w:pPr>
              <w:pStyle w:val="P68B1DB1-Normal11"/>
              <w:spacing w:before="120" w:after="120"/>
              <w:jc w:val="center"/>
              <w:rPr>
                <w:noProof/>
              </w:rPr>
            </w:pPr>
            <w:r>
              <w:rPr>
                <w:noProof/>
              </w:rPr>
              <w:t>НЯМА</w:t>
            </w:r>
          </w:p>
        </w:tc>
        <w:tc>
          <w:tcPr>
            <w:tcW w:w="850" w:type="dxa"/>
            <w:shd w:val="clear" w:color="auto" w:fill="C6EFCE"/>
            <w:vAlign w:val="center"/>
          </w:tcPr>
          <w:p w14:paraId="456396EA" w14:textId="77777777" w:rsidR="006054AA" w:rsidRDefault="001F7667">
            <w:pPr>
              <w:pStyle w:val="P68B1DB1-Normal11"/>
              <w:spacing w:before="120" w:after="120"/>
              <w:jc w:val="center"/>
              <w:rPr>
                <w:noProof/>
              </w:rPr>
            </w:pPr>
            <w:r>
              <w:rPr>
                <w:noProof/>
              </w:rPr>
              <w:t>Т3 Г.</w:t>
            </w:r>
          </w:p>
        </w:tc>
        <w:tc>
          <w:tcPr>
            <w:tcW w:w="709" w:type="dxa"/>
            <w:shd w:val="clear" w:color="auto" w:fill="C6EFCE"/>
            <w:vAlign w:val="center"/>
          </w:tcPr>
          <w:p w14:paraId="18A169F9" w14:textId="77777777" w:rsidR="006054AA" w:rsidRDefault="001F7667">
            <w:pPr>
              <w:pStyle w:val="P68B1DB1-Normal11"/>
              <w:spacing w:before="120" w:after="120"/>
              <w:jc w:val="center"/>
              <w:rPr>
                <w:noProof/>
              </w:rPr>
            </w:pPr>
            <w:r>
              <w:rPr>
                <w:noProof/>
              </w:rPr>
              <w:t>2021</w:t>
            </w:r>
          </w:p>
        </w:tc>
        <w:tc>
          <w:tcPr>
            <w:tcW w:w="3794" w:type="dxa"/>
            <w:shd w:val="clear" w:color="auto" w:fill="C6EFCE"/>
            <w:vAlign w:val="center"/>
          </w:tcPr>
          <w:p w14:paraId="036B3C91" w14:textId="77777777" w:rsidR="006054AA" w:rsidRDefault="001F7667">
            <w:pPr>
              <w:pStyle w:val="P68B1DB1-Normal11"/>
              <w:spacing w:before="120"/>
              <w:rPr>
                <w:noProof/>
              </w:rPr>
            </w:pPr>
            <w:r>
              <w:rPr>
                <w:noProof/>
              </w:rPr>
              <w:t>Декрет-то (ите) законодателство (я) предвижда (т) рефинансиране на компонента за безвъзмездни средства и заеми на фонд 394/81. Съветът на Фонда одобрява решение за установяване на инвестиционната политика.</w:t>
            </w:r>
          </w:p>
          <w:p w14:paraId="43FF489D" w14:textId="77777777" w:rsidR="006054AA" w:rsidRDefault="001F7667">
            <w:pPr>
              <w:pStyle w:val="P68B1DB1-Normal11"/>
              <w:spacing w:before="120"/>
              <w:rPr>
                <w:noProof/>
              </w:rPr>
            </w:pPr>
            <w:r>
              <w:rPr>
                <w:noProof/>
              </w:rPr>
              <w:t>Инвестиционната политика, свързана с рефинансирането на фонд 394/81, определя като минимум: I) естеството и обхвата на подкрепяните проекти, които са в съответствие с целите на Регламент (ЕС) 2021/241; мандатът включва критерии за допустимост, за да се гарантира спазването на техническите насоки за ненанасяне на значителни вреди (2021/C58/01) на подпомаганите проекти по тази мярка чрез използване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 ii) вида на подкрепяните операции, iii) целевите бенефициери с преобладаващо участие на МСП и техните критерии за допустимост, iv) разпоредби за реинвестиране на потенциални обратни постъпления за подобни цели на политиката, също и след 2026 г., в случай че те не се използват повторно за възстановяване на лихвените проценти, произтичащи от заеми, предоставени съгласно Регламент (ЕС) 2021/241.</w:t>
            </w:r>
          </w:p>
          <w:p w14:paraId="339182E2" w14:textId="77777777" w:rsidR="006054AA" w:rsidRDefault="001F7667">
            <w:pPr>
              <w:pStyle w:val="P68B1DB1-Normal11"/>
              <w:spacing w:before="120"/>
              <w:rPr>
                <w:noProof/>
              </w:rPr>
            </w:pPr>
            <w:r>
              <w:rPr>
                <w:noProof/>
              </w:rPr>
              <w:t>В договорното споразумение с упълномощения субект или финансовия посредник се изисква използването на техническите насоки за ненанасяне на значителни вреди (2021/C58/01).</w:t>
            </w:r>
          </w:p>
        </w:tc>
      </w:tr>
      <w:tr w:rsidR="006054AA" w14:paraId="3AB2A2E6" w14:textId="77777777">
        <w:trPr>
          <w:trHeight w:val="315"/>
        </w:trPr>
        <w:tc>
          <w:tcPr>
            <w:tcW w:w="1424" w:type="dxa"/>
            <w:shd w:val="clear" w:color="auto" w:fill="C6EFCE"/>
            <w:vAlign w:val="center"/>
          </w:tcPr>
          <w:p w14:paraId="4E454D7F" w14:textId="77777777" w:rsidR="006054AA" w:rsidRDefault="001F7667">
            <w:pPr>
              <w:pStyle w:val="P68B1DB1-Normal11"/>
              <w:spacing w:before="120" w:after="120"/>
              <w:jc w:val="center"/>
              <w:rPr>
                <w:noProof/>
              </w:rPr>
            </w:pPr>
            <w:r>
              <w:rPr>
                <w:noProof/>
              </w:rPr>
              <w:t>M1C2—27</w:t>
            </w:r>
          </w:p>
        </w:tc>
        <w:tc>
          <w:tcPr>
            <w:tcW w:w="1578" w:type="dxa"/>
            <w:shd w:val="clear" w:color="auto" w:fill="C6EFCE"/>
            <w:vAlign w:val="center"/>
          </w:tcPr>
          <w:p w14:paraId="53BAD7D4" w14:textId="77777777" w:rsidR="006054AA" w:rsidRDefault="001F7667">
            <w:pPr>
              <w:pStyle w:val="P68B1DB1-Normal11"/>
              <w:spacing w:before="120" w:after="120"/>
              <w:jc w:val="center"/>
              <w:rPr>
                <w:noProof/>
              </w:rPr>
            </w:pPr>
            <w:r>
              <w:rPr>
                <w:noProof/>
              </w:rPr>
              <w:t>Инвестиция 5.1: Рефинансиране и преустройство на фонд 394/81, управляван от SIMEST</w:t>
            </w:r>
          </w:p>
        </w:tc>
        <w:tc>
          <w:tcPr>
            <w:tcW w:w="1078" w:type="dxa"/>
            <w:shd w:val="clear" w:color="auto" w:fill="C6EFCE"/>
            <w:vAlign w:val="center"/>
          </w:tcPr>
          <w:p w14:paraId="41F6BFED"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322DADC2" w14:textId="77777777" w:rsidR="006054AA" w:rsidRDefault="001F7667">
            <w:pPr>
              <w:pStyle w:val="P68B1DB1-Normal11"/>
              <w:spacing w:before="120" w:after="120"/>
              <w:jc w:val="center"/>
              <w:rPr>
                <w:noProof/>
              </w:rPr>
            </w:pPr>
            <w:r>
              <w:rPr>
                <w:noProof/>
              </w:rPr>
              <w:t>МСП, които са получили подкрепа от фонд 394/81</w:t>
            </w:r>
          </w:p>
        </w:tc>
        <w:tc>
          <w:tcPr>
            <w:tcW w:w="1275" w:type="dxa"/>
            <w:shd w:val="clear" w:color="auto" w:fill="C6EFCE"/>
            <w:vAlign w:val="center"/>
          </w:tcPr>
          <w:p w14:paraId="1D6FA9F8" w14:textId="77777777" w:rsidR="006054AA" w:rsidRDefault="001F7667">
            <w:pPr>
              <w:pStyle w:val="P68B1DB1-Normal11"/>
              <w:spacing w:before="120" w:after="120"/>
              <w:jc w:val="center"/>
              <w:rPr>
                <w:noProof/>
              </w:rPr>
            </w:pPr>
            <w:r>
              <w:rPr>
                <w:noProof/>
              </w:rPr>
              <w:t>НЯМА</w:t>
            </w:r>
          </w:p>
        </w:tc>
        <w:tc>
          <w:tcPr>
            <w:tcW w:w="1134" w:type="dxa"/>
            <w:shd w:val="clear" w:color="auto" w:fill="C6EFCE"/>
            <w:vAlign w:val="center"/>
          </w:tcPr>
          <w:p w14:paraId="5FD8554D" w14:textId="77777777" w:rsidR="006054AA" w:rsidRDefault="001F7667">
            <w:pPr>
              <w:pStyle w:val="P68B1DB1-Normal11"/>
              <w:spacing w:before="120" w:after="120"/>
              <w:jc w:val="center"/>
              <w:rPr>
                <w:noProof/>
              </w:rPr>
            </w:pPr>
            <w:r>
              <w:rPr>
                <w:noProof/>
              </w:rPr>
              <w:t>Брой</w:t>
            </w:r>
          </w:p>
        </w:tc>
        <w:tc>
          <w:tcPr>
            <w:tcW w:w="993" w:type="dxa"/>
            <w:shd w:val="clear" w:color="auto" w:fill="C6EFCE"/>
            <w:vAlign w:val="center"/>
          </w:tcPr>
          <w:p w14:paraId="094D4C62" w14:textId="77777777" w:rsidR="006054AA" w:rsidRDefault="001F7667">
            <w:pPr>
              <w:pStyle w:val="P68B1DB1-Normal11"/>
              <w:spacing w:before="120" w:after="120"/>
              <w:jc w:val="center"/>
              <w:rPr>
                <w:noProof/>
              </w:rPr>
            </w:pPr>
            <w:r>
              <w:rPr>
                <w:noProof/>
              </w:rPr>
              <w:t>0</w:t>
            </w:r>
          </w:p>
        </w:tc>
        <w:tc>
          <w:tcPr>
            <w:tcW w:w="992" w:type="dxa"/>
            <w:shd w:val="clear" w:color="auto" w:fill="C6EFCE"/>
            <w:vAlign w:val="center"/>
          </w:tcPr>
          <w:p w14:paraId="7578042B" w14:textId="400C7AE4" w:rsidR="006054AA" w:rsidRDefault="001F7667">
            <w:pPr>
              <w:pStyle w:val="P68B1DB1-Normal11"/>
              <w:spacing w:before="120" w:after="120"/>
              <w:jc w:val="center"/>
              <w:rPr>
                <w:noProof/>
              </w:rPr>
            </w:pPr>
            <w:r>
              <w:rPr>
                <w:noProof/>
              </w:rPr>
              <w:t>4 000</w:t>
            </w:r>
          </w:p>
        </w:tc>
        <w:tc>
          <w:tcPr>
            <w:tcW w:w="850" w:type="dxa"/>
            <w:shd w:val="clear" w:color="auto" w:fill="C6EFCE"/>
            <w:vAlign w:val="center"/>
          </w:tcPr>
          <w:p w14:paraId="1844EB25" w14:textId="77777777" w:rsidR="006054AA" w:rsidRDefault="001F7667">
            <w:pPr>
              <w:pStyle w:val="P68B1DB1-Normal11"/>
              <w:spacing w:before="120" w:after="120"/>
              <w:jc w:val="center"/>
              <w:rPr>
                <w:noProof/>
              </w:rPr>
            </w:pPr>
            <w:r>
              <w:rPr>
                <w:noProof/>
              </w:rPr>
              <w:t>Т4 Г.</w:t>
            </w:r>
          </w:p>
        </w:tc>
        <w:tc>
          <w:tcPr>
            <w:tcW w:w="709" w:type="dxa"/>
            <w:shd w:val="clear" w:color="auto" w:fill="C6EFCE"/>
            <w:vAlign w:val="center"/>
          </w:tcPr>
          <w:p w14:paraId="26FDB84B" w14:textId="77777777" w:rsidR="006054AA" w:rsidRDefault="001F7667">
            <w:pPr>
              <w:pStyle w:val="P68B1DB1-Normal11"/>
              <w:spacing w:before="120" w:after="120"/>
              <w:jc w:val="center"/>
              <w:rPr>
                <w:noProof/>
              </w:rPr>
            </w:pPr>
            <w:r>
              <w:rPr>
                <w:noProof/>
              </w:rPr>
              <w:t>2021</w:t>
            </w:r>
          </w:p>
        </w:tc>
        <w:tc>
          <w:tcPr>
            <w:tcW w:w="3794" w:type="dxa"/>
            <w:shd w:val="clear" w:color="auto" w:fill="C6EFCE"/>
            <w:vAlign w:val="center"/>
          </w:tcPr>
          <w:p w14:paraId="6E93E485" w14:textId="790A4E50" w:rsidR="006054AA" w:rsidRDefault="001F7667">
            <w:pPr>
              <w:pStyle w:val="P68B1DB1-Normal11"/>
              <w:spacing w:before="120" w:after="120"/>
              <w:rPr>
                <w:noProof/>
              </w:rPr>
            </w:pPr>
            <w:r>
              <w:rPr>
                <w:noProof/>
              </w:rPr>
              <w:t>От 1 януари 2021 г. поне още 4 000 МСП получиха подкрепа от фонд 394/81.</w:t>
            </w:r>
          </w:p>
        </w:tc>
      </w:tr>
      <w:tr w:rsidR="006054AA" w14:paraId="3A60A892" w14:textId="77777777">
        <w:trPr>
          <w:trHeight w:val="315"/>
        </w:trPr>
        <w:tc>
          <w:tcPr>
            <w:tcW w:w="1424" w:type="dxa"/>
            <w:shd w:val="clear" w:color="auto" w:fill="C6EFCE"/>
            <w:vAlign w:val="center"/>
          </w:tcPr>
          <w:p w14:paraId="722030A3" w14:textId="77777777" w:rsidR="006054AA" w:rsidRDefault="001F7667">
            <w:pPr>
              <w:pStyle w:val="P68B1DB1-Normal11"/>
              <w:spacing w:before="120" w:after="120"/>
              <w:jc w:val="center"/>
              <w:rPr>
                <w:noProof/>
              </w:rPr>
            </w:pPr>
            <w:r>
              <w:rPr>
                <w:noProof/>
              </w:rPr>
              <w:t>M1C2—28</w:t>
            </w:r>
          </w:p>
        </w:tc>
        <w:tc>
          <w:tcPr>
            <w:tcW w:w="1578" w:type="dxa"/>
            <w:shd w:val="clear" w:color="auto" w:fill="C6EFCE"/>
            <w:vAlign w:val="center"/>
          </w:tcPr>
          <w:p w14:paraId="57F6CA4F" w14:textId="77777777" w:rsidR="006054AA" w:rsidRDefault="001F7667">
            <w:pPr>
              <w:pStyle w:val="P68B1DB1-Normal11"/>
              <w:spacing w:before="120" w:after="120"/>
              <w:jc w:val="center"/>
              <w:rPr>
                <w:noProof/>
              </w:rPr>
            </w:pPr>
            <w:r>
              <w:rPr>
                <w:noProof/>
              </w:rPr>
              <w:t>Инвестиция 5.2: Конкурентоспособност и устойчивост на веригите на доставки</w:t>
            </w:r>
          </w:p>
        </w:tc>
        <w:tc>
          <w:tcPr>
            <w:tcW w:w="1078" w:type="dxa"/>
            <w:shd w:val="clear" w:color="auto" w:fill="C6EFCE"/>
            <w:vAlign w:val="center"/>
          </w:tcPr>
          <w:p w14:paraId="31BC2486" w14:textId="77777777" w:rsidR="006054AA" w:rsidRDefault="001F7667">
            <w:pPr>
              <w:pStyle w:val="P68B1DB1-Normal11"/>
              <w:spacing w:before="120" w:after="120"/>
              <w:jc w:val="center"/>
              <w:rPr>
                <w:noProof/>
              </w:rPr>
            </w:pPr>
            <w:r>
              <w:rPr>
                <w:noProof/>
              </w:rPr>
              <w:t>Ключов етап</w:t>
            </w:r>
          </w:p>
        </w:tc>
        <w:tc>
          <w:tcPr>
            <w:tcW w:w="1329" w:type="dxa"/>
            <w:shd w:val="clear" w:color="auto" w:fill="C6EFCE"/>
            <w:vAlign w:val="center"/>
          </w:tcPr>
          <w:p w14:paraId="19D1EAC5" w14:textId="77777777" w:rsidR="006054AA" w:rsidRDefault="001F7667">
            <w:pPr>
              <w:pStyle w:val="P68B1DB1-Normal11"/>
              <w:spacing w:before="120" w:after="120"/>
              <w:jc w:val="center"/>
              <w:rPr>
                <w:noProof/>
              </w:rPr>
            </w:pPr>
            <w:r>
              <w:rPr>
                <w:noProof/>
              </w:rPr>
              <w:t>Влизане в сила на постановление, включващо инвестиционната политика на договорите за развитие</w:t>
            </w:r>
          </w:p>
        </w:tc>
        <w:tc>
          <w:tcPr>
            <w:tcW w:w="1275" w:type="dxa"/>
            <w:shd w:val="clear" w:color="auto" w:fill="C6EFCE"/>
            <w:vAlign w:val="center"/>
          </w:tcPr>
          <w:p w14:paraId="235EDFEC" w14:textId="2EBCDE7A" w:rsidR="006054AA" w:rsidRDefault="001F7667">
            <w:pPr>
              <w:pStyle w:val="P68B1DB1-Normal11"/>
              <w:spacing w:before="120" w:after="120"/>
              <w:jc w:val="center"/>
              <w:rPr>
                <w:noProof/>
              </w:rPr>
            </w:pPr>
            <w:r>
              <w:rPr>
                <w:noProof/>
              </w:rPr>
              <w:t>Законова разпоредба, указваща влизането в сила на постановлението</w:t>
            </w:r>
          </w:p>
        </w:tc>
        <w:tc>
          <w:tcPr>
            <w:tcW w:w="1134" w:type="dxa"/>
            <w:shd w:val="clear" w:color="auto" w:fill="C6EFCE"/>
            <w:vAlign w:val="center"/>
          </w:tcPr>
          <w:p w14:paraId="09C13050" w14:textId="77777777" w:rsidR="006054AA" w:rsidRDefault="001F7667">
            <w:pPr>
              <w:pStyle w:val="P68B1DB1-Normal11"/>
              <w:spacing w:before="120" w:after="120"/>
              <w:jc w:val="center"/>
              <w:rPr>
                <w:noProof/>
              </w:rPr>
            </w:pPr>
            <w:r>
              <w:rPr>
                <w:noProof/>
              </w:rPr>
              <w:t>НЯМА</w:t>
            </w:r>
          </w:p>
        </w:tc>
        <w:tc>
          <w:tcPr>
            <w:tcW w:w="993" w:type="dxa"/>
            <w:shd w:val="clear" w:color="auto" w:fill="C6EFCE"/>
            <w:vAlign w:val="center"/>
          </w:tcPr>
          <w:p w14:paraId="53671CCA" w14:textId="77777777" w:rsidR="006054AA" w:rsidRDefault="001F7667">
            <w:pPr>
              <w:pStyle w:val="P68B1DB1-Normal11"/>
              <w:spacing w:before="120" w:after="120"/>
              <w:jc w:val="center"/>
              <w:rPr>
                <w:noProof/>
              </w:rPr>
            </w:pPr>
            <w:r>
              <w:rPr>
                <w:noProof/>
              </w:rPr>
              <w:t>НЯМА</w:t>
            </w:r>
          </w:p>
        </w:tc>
        <w:tc>
          <w:tcPr>
            <w:tcW w:w="992" w:type="dxa"/>
            <w:shd w:val="clear" w:color="auto" w:fill="C6EFCE"/>
            <w:vAlign w:val="center"/>
          </w:tcPr>
          <w:p w14:paraId="35C86646" w14:textId="77777777" w:rsidR="006054AA" w:rsidRDefault="001F7667">
            <w:pPr>
              <w:pStyle w:val="P68B1DB1-Normal11"/>
              <w:spacing w:before="120" w:after="120"/>
              <w:jc w:val="center"/>
              <w:rPr>
                <w:noProof/>
              </w:rPr>
            </w:pPr>
            <w:r>
              <w:rPr>
                <w:noProof/>
              </w:rPr>
              <w:t>НЯМА</w:t>
            </w:r>
          </w:p>
        </w:tc>
        <w:tc>
          <w:tcPr>
            <w:tcW w:w="850" w:type="dxa"/>
            <w:shd w:val="clear" w:color="auto" w:fill="C6EFCE"/>
            <w:vAlign w:val="center"/>
          </w:tcPr>
          <w:p w14:paraId="64084CB1" w14:textId="77777777" w:rsidR="006054AA" w:rsidRDefault="001F7667">
            <w:pPr>
              <w:pStyle w:val="P68B1DB1-Normal11"/>
              <w:spacing w:before="120" w:after="120"/>
              <w:jc w:val="center"/>
              <w:rPr>
                <w:noProof/>
              </w:rPr>
            </w:pPr>
            <w:r>
              <w:rPr>
                <w:noProof/>
              </w:rPr>
              <w:t>Т1 Г.</w:t>
            </w:r>
          </w:p>
        </w:tc>
        <w:tc>
          <w:tcPr>
            <w:tcW w:w="709" w:type="dxa"/>
            <w:shd w:val="clear" w:color="auto" w:fill="C6EFCE"/>
            <w:vAlign w:val="center"/>
          </w:tcPr>
          <w:p w14:paraId="2D730429" w14:textId="77777777" w:rsidR="006054AA" w:rsidRDefault="001F7667">
            <w:pPr>
              <w:pStyle w:val="P68B1DB1-Normal11"/>
              <w:spacing w:before="120" w:after="120"/>
              <w:jc w:val="center"/>
              <w:rPr>
                <w:noProof/>
              </w:rPr>
            </w:pPr>
            <w:r>
              <w:rPr>
                <w:noProof/>
              </w:rPr>
              <w:t>2022</w:t>
            </w:r>
          </w:p>
        </w:tc>
        <w:tc>
          <w:tcPr>
            <w:tcW w:w="3794" w:type="dxa"/>
            <w:shd w:val="clear" w:color="auto" w:fill="C6EFCE"/>
            <w:vAlign w:val="center"/>
          </w:tcPr>
          <w:p w14:paraId="307354EA" w14:textId="77777777" w:rsidR="006054AA" w:rsidRDefault="001F7667">
            <w:pPr>
              <w:pStyle w:val="P68B1DB1-Normal11"/>
              <w:rPr>
                <w:noProof/>
              </w:rPr>
            </w:pPr>
            <w:r>
              <w:rPr>
                <w:noProof/>
              </w:rPr>
              <w:t>Инвестиционната политика на договорите за развитие определя като минимум: I) естеството и обхвата на подкрепяните проекти, които са в съответствие с целите на Регламент (ЕС) 2021/241; заданието включва критерии за допустимост, за да се гарантира спазването на техническите насоки за ненанасяне на значителни вреди (2021/C58/01) на подпомаганите проекти по тази мярка чрез използване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 ii) вида на подкрепяните операции, iii) целевите бенефициери и критериите за допустимост за тях, iv) разпоредби за реинвестиране на потенциални обратни постъпления за подобни цели на политиката, също и след 2026 г., в случай че те не се използват повторно за възстановяване на лихвените проценти, произтичащи от заеми, предоставени съгласно Регламент (ЕС) 2021/241.</w:t>
            </w:r>
          </w:p>
          <w:p w14:paraId="538D5B71" w14:textId="77777777" w:rsidR="006054AA" w:rsidRDefault="006054AA">
            <w:pPr>
              <w:rPr>
                <w:rFonts w:ascii="Arial Narrow" w:hAnsi="Arial Narrow"/>
                <w:noProof/>
                <w:color w:val="006100"/>
                <w:sz w:val="20"/>
              </w:rPr>
            </w:pPr>
          </w:p>
          <w:p w14:paraId="70F9CDFF" w14:textId="77777777" w:rsidR="006054AA" w:rsidRDefault="001F7667">
            <w:pPr>
              <w:pStyle w:val="P68B1DB1-Normal11"/>
              <w:rPr>
                <w:noProof/>
              </w:rPr>
            </w:pPr>
            <w:r>
              <w:rPr>
                <w:noProof/>
              </w:rPr>
              <w:t>В договорното споразумение с упълномощения субект или финансовия посредник се изисква използването на техническите насоки за ненанасяне на значителни вреди (2021/C58/01).</w:t>
            </w:r>
          </w:p>
        </w:tc>
      </w:tr>
      <w:tr w:rsidR="006054AA" w14:paraId="7DCE3B31" w14:textId="77777777">
        <w:trPr>
          <w:trHeight w:val="315"/>
        </w:trPr>
        <w:tc>
          <w:tcPr>
            <w:tcW w:w="1424" w:type="dxa"/>
            <w:shd w:val="clear" w:color="auto" w:fill="C6EFCE"/>
            <w:vAlign w:val="center"/>
          </w:tcPr>
          <w:p w14:paraId="292FC979" w14:textId="77777777" w:rsidR="006054AA" w:rsidRDefault="001F7667">
            <w:pPr>
              <w:pStyle w:val="P68B1DB1-Normal11"/>
              <w:spacing w:before="120" w:after="120"/>
              <w:jc w:val="center"/>
              <w:rPr>
                <w:noProof/>
              </w:rPr>
            </w:pPr>
            <w:r>
              <w:rPr>
                <w:noProof/>
              </w:rPr>
              <w:t>M1C2—29</w:t>
            </w:r>
          </w:p>
        </w:tc>
        <w:tc>
          <w:tcPr>
            <w:tcW w:w="1578" w:type="dxa"/>
            <w:shd w:val="clear" w:color="auto" w:fill="C6EFCE"/>
            <w:vAlign w:val="center"/>
          </w:tcPr>
          <w:p w14:paraId="2950F808" w14:textId="77777777" w:rsidR="006054AA" w:rsidRDefault="001F7667">
            <w:pPr>
              <w:pStyle w:val="P68B1DB1-Normal11"/>
              <w:spacing w:before="120" w:after="120"/>
              <w:jc w:val="center"/>
              <w:rPr>
                <w:noProof/>
              </w:rPr>
            </w:pPr>
            <w:r>
              <w:rPr>
                <w:noProof/>
              </w:rPr>
              <w:t>Инвестиция 5.2: Конкурентоспособност и устойчивост на веригите на доставки</w:t>
            </w:r>
          </w:p>
        </w:tc>
        <w:tc>
          <w:tcPr>
            <w:tcW w:w="1078" w:type="dxa"/>
            <w:shd w:val="clear" w:color="auto" w:fill="C6EFCE"/>
            <w:vAlign w:val="center"/>
          </w:tcPr>
          <w:p w14:paraId="224812EA"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420A63D7" w14:textId="77777777" w:rsidR="006054AA" w:rsidRDefault="001F7667">
            <w:pPr>
              <w:pStyle w:val="P68B1DB1-Normal11"/>
              <w:spacing w:before="120" w:after="120"/>
              <w:jc w:val="center"/>
              <w:rPr>
                <w:noProof/>
              </w:rPr>
            </w:pPr>
            <w:r>
              <w:rPr>
                <w:noProof/>
              </w:rPr>
              <w:t>Одобрени договори за разработване</w:t>
            </w:r>
          </w:p>
        </w:tc>
        <w:tc>
          <w:tcPr>
            <w:tcW w:w="1275" w:type="dxa"/>
            <w:shd w:val="clear" w:color="auto" w:fill="C6EFCE"/>
            <w:vAlign w:val="center"/>
          </w:tcPr>
          <w:p w14:paraId="23A4F7DD" w14:textId="77777777" w:rsidR="006054AA" w:rsidRDefault="001F7667">
            <w:pPr>
              <w:pStyle w:val="P68B1DB1-Normal11"/>
              <w:jc w:val="center"/>
              <w:rPr>
                <w:noProof/>
              </w:rPr>
            </w:pPr>
            <w:r>
              <w:rPr>
                <w:noProof/>
              </w:rPr>
              <w:t>НЯМА</w:t>
            </w:r>
          </w:p>
        </w:tc>
        <w:tc>
          <w:tcPr>
            <w:tcW w:w="1134" w:type="dxa"/>
            <w:shd w:val="clear" w:color="auto" w:fill="C6EFCE"/>
            <w:vAlign w:val="center"/>
          </w:tcPr>
          <w:p w14:paraId="0AC59B13" w14:textId="77777777" w:rsidR="006054AA" w:rsidRDefault="001F7667">
            <w:pPr>
              <w:pStyle w:val="P68B1DB1-Normal11"/>
              <w:jc w:val="center"/>
              <w:rPr>
                <w:noProof/>
              </w:rPr>
            </w:pPr>
            <w:r>
              <w:rPr>
                <w:noProof/>
              </w:rPr>
              <w:t>Брой</w:t>
            </w:r>
          </w:p>
        </w:tc>
        <w:tc>
          <w:tcPr>
            <w:tcW w:w="993" w:type="dxa"/>
            <w:shd w:val="clear" w:color="auto" w:fill="C6EFCE"/>
            <w:vAlign w:val="center"/>
          </w:tcPr>
          <w:p w14:paraId="59DAEDCF" w14:textId="1B344965" w:rsidR="006054AA" w:rsidRDefault="001F7667">
            <w:pPr>
              <w:pStyle w:val="P68B1DB1-Normal11"/>
              <w:jc w:val="center"/>
              <w:rPr>
                <w:noProof/>
              </w:rPr>
            </w:pPr>
            <w:r>
              <w:rPr>
                <w:noProof/>
              </w:rPr>
              <w:t>0</w:t>
            </w:r>
          </w:p>
        </w:tc>
        <w:tc>
          <w:tcPr>
            <w:tcW w:w="992" w:type="dxa"/>
            <w:shd w:val="clear" w:color="auto" w:fill="C6EFCE"/>
            <w:vAlign w:val="center"/>
          </w:tcPr>
          <w:p w14:paraId="3EE20A19" w14:textId="41B7969E" w:rsidR="006054AA" w:rsidRDefault="001F7667">
            <w:pPr>
              <w:pStyle w:val="P68B1DB1-Normal11"/>
              <w:jc w:val="center"/>
              <w:rPr>
                <w:noProof/>
              </w:rPr>
            </w:pPr>
            <w:r>
              <w:rPr>
                <w:noProof/>
              </w:rPr>
              <w:t>40</w:t>
            </w:r>
          </w:p>
        </w:tc>
        <w:tc>
          <w:tcPr>
            <w:tcW w:w="850" w:type="dxa"/>
            <w:shd w:val="clear" w:color="auto" w:fill="C6EFCE"/>
            <w:vAlign w:val="center"/>
          </w:tcPr>
          <w:p w14:paraId="518026DD" w14:textId="024B6745" w:rsidR="006054AA" w:rsidRDefault="001F7667">
            <w:pPr>
              <w:pStyle w:val="P68B1DB1-Normal11"/>
              <w:jc w:val="center"/>
              <w:rPr>
                <w:noProof/>
              </w:rPr>
            </w:pPr>
            <w:r>
              <w:rPr>
                <w:noProof/>
              </w:rPr>
              <w:t>Т4 Г.</w:t>
            </w:r>
          </w:p>
        </w:tc>
        <w:tc>
          <w:tcPr>
            <w:tcW w:w="709" w:type="dxa"/>
            <w:shd w:val="clear" w:color="auto" w:fill="C6EFCE"/>
            <w:vAlign w:val="center"/>
          </w:tcPr>
          <w:p w14:paraId="3C5FC4AA" w14:textId="77777777" w:rsidR="006054AA" w:rsidRDefault="001F7667">
            <w:pPr>
              <w:pStyle w:val="P68B1DB1-Normal11"/>
              <w:spacing w:before="120" w:after="120"/>
              <w:jc w:val="center"/>
              <w:rPr>
                <w:noProof/>
              </w:rPr>
            </w:pPr>
            <w:r>
              <w:rPr>
                <w:noProof/>
              </w:rPr>
              <w:t>2023</w:t>
            </w:r>
          </w:p>
        </w:tc>
        <w:tc>
          <w:tcPr>
            <w:tcW w:w="3794" w:type="dxa"/>
            <w:shd w:val="clear" w:color="auto" w:fill="C6EFCE"/>
            <w:vAlign w:val="center"/>
          </w:tcPr>
          <w:p w14:paraId="41087DC8" w14:textId="1FA0258F" w:rsidR="006054AA" w:rsidRDefault="001F7667">
            <w:pPr>
              <w:pStyle w:val="P68B1DB1-Normal12"/>
              <w:spacing w:before="120" w:after="120"/>
              <w:rPr>
                <w:rFonts w:ascii="Arial Narrow" w:hAnsi="Arial Narrow"/>
                <w:noProof/>
              </w:rPr>
            </w:pPr>
            <w:r>
              <w:rPr>
                <w:noProof/>
              </w:rPr>
              <w:t>Одобрени са</w:t>
            </w:r>
            <w:r>
              <w:rPr>
                <w:rFonts w:ascii="Arial Narrow" w:hAnsi="Arial Narrow"/>
                <w:noProof/>
              </w:rPr>
              <w:t>най-малко 40 договора за развитие в съответствие с тяхната инвестиционна политика. Задоволителното изпълнение на целта зависи и от активирането на най-малко 1</w:t>
            </w:r>
            <w:r>
              <w:rPr>
                <w:noProof/>
              </w:rPr>
              <w:t xml:space="preserve"> </w:t>
            </w:r>
            <w:r>
              <w:rPr>
                <w:rFonts w:ascii="Arial Narrow" w:hAnsi="Arial Narrow"/>
                <w:noProof/>
              </w:rPr>
              <w:t>милиона евро инвестиции.</w:t>
            </w:r>
          </w:p>
        </w:tc>
      </w:tr>
      <w:tr w:rsidR="006054AA" w14:paraId="3BE11AB6" w14:textId="77777777">
        <w:trPr>
          <w:trHeight w:val="315"/>
        </w:trPr>
        <w:tc>
          <w:tcPr>
            <w:tcW w:w="1424" w:type="dxa"/>
            <w:shd w:val="clear" w:color="auto" w:fill="C6EFCE"/>
            <w:vAlign w:val="center"/>
          </w:tcPr>
          <w:p w14:paraId="6BC1C953" w14:textId="77777777" w:rsidR="006054AA" w:rsidRDefault="001F7667">
            <w:pPr>
              <w:pStyle w:val="P68B1DB1-Normal11"/>
              <w:spacing w:before="120" w:after="120"/>
              <w:jc w:val="center"/>
              <w:rPr>
                <w:noProof/>
              </w:rPr>
            </w:pPr>
            <w:r>
              <w:rPr>
                <w:noProof/>
              </w:rPr>
              <w:t>M1C2—30</w:t>
            </w:r>
          </w:p>
        </w:tc>
        <w:tc>
          <w:tcPr>
            <w:tcW w:w="1578" w:type="dxa"/>
            <w:shd w:val="clear" w:color="auto" w:fill="C6EFCE"/>
            <w:vAlign w:val="center"/>
          </w:tcPr>
          <w:p w14:paraId="04555F2E" w14:textId="647410A1" w:rsidR="006054AA" w:rsidRDefault="001F7667">
            <w:pPr>
              <w:pStyle w:val="P68B1DB1-Normal11"/>
              <w:spacing w:before="120" w:after="120"/>
              <w:jc w:val="center"/>
              <w:rPr>
                <w:noProof/>
              </w:rPr>
            </w:pPr>
            <w:r>
              <w:rPr>
                <w:noProof/>
              </w:rPr>
              <w:t>Инвестиция 7. Подкрепа за производствената система за екологичния преход, технологиите с нулеви нетни емисии и конкурентоспособността и устойчивостта на стратегическите вериги на доставки</w:t>
            </w:r>
          </w:p>
        </w:tc>
        <w:tc>
          <w:tcPr>
            <w:tcW w:w="1078" w:type="dxa"/>
            <w:shd w:val="clear" w:color="auto" w:fill="C6EFCE"/>
            <w:vAlign w:val="center"/>
          </w:tcPr>
          <w:p w14:paraId="5A311C16" w14:textId="77777777" w:rsidR="006054AA" w:rsidRDefault="001F7667">
            <w:pPr>
              <w:pStyle w:val="P68B1DB1-Normal11"/>
              <w:spacing w:before="120" w:after="120"/>
              <w:rPr>
                <w:noProof/>
              </w:rPr>
            </w:pPr>
            <w:r>
              <w:rPr>
                <w:noProof/>
              </w:rPr>
              <w:t>Ключов етап</w:t>
            </w:r>
          </w:p>
        </w:tc>
        <w:tc>
          <w:tcPr>
            <w:tcW w:w="1329" w:type="dxa"/>
            <w:shd w:val="clear" w:color="auto" w:fill="C6EFCE"/>
            <w:vAlign w:val="center"/>
          </w:tcPr>
          <w:p w14:paraId="290F508F" w14:textId="77777777" w:rsidR="006054AA" w:rsidRDefault="001F7667">
            <w:pPr>
              <w:pStyle w:val="P68B1DB1-Normal11"/>
              <w:spacing w:before="120" w:after="120"/>
              <w:rPr>
                <w:noProof/>
              </w:rPr>
            </w:pPr>
            <w:r>
              <w:rPr>
                <w:noProof/>
              </w:rPr>
              <w:t>Споразумение за изпълнение</w:t>
            </w:r>
          </w:p>
        </w:tc>
        <w:tc>
          <w:tcPr>
            <w:tcW w:w="1275" w:type="dxa"/>
            <w:shd w:val="clear" w:color="auto" w:fill="C6EFCE"/>
            <w:vAlign w:val="center"/>
          </w:tcPr>
          <w:p w14:paraId="4B924C40" w14:textId="77777777" w:rsidR="006054AA" w:rsidRDefault="001F7667">
            <w:pPr>
              <w:pStyle w:val="P68B1DB1-Normal11"/>
              <w:rPr>
                <w:noProof/>
              </w:rPr>
            </w:pPr>
            <w:r>
              <w:rPr>
                <w:noProof/>
              </w:rPr>
              <w:t>Влизане в сила на споразумението за прилагане</w:t>
            </w:r>
          </w:p>
        </w:tc>
        <w:tc>
          <w:tcPr>
            <w:tcW w:w="1134" w:type="dxa"/>
            <w:shd w:val="clear" w:color="auto" w:fill="C6EFCE"/>
            <w:vAlign w:val="center"/>
          </w:tcPr>
          <w:p w14:paraId="468405F9" w14:textId="331097DC" w:rsidR="006054AA" w:rsidRDefault="001F7667">
            <w:pPr>
              <w:pStyle w:val="P68B1DB1-Normal11"/>
              <w:jc w:val="center"/>
              <w:rPr>
                <w:noProof/>
              </w:rPr>
            </w:pPr>
            <w:r>
              <w:rPr>
                <w:noProof/>
              </w:rPr>
              <w:t>НЯМА</w:t>
            </w:r>
          </w:p>
        </w:tc>
        <w:tc>
          <w:tcPr>
            <w:tcW w:w="993" w:type="dxa"/>
            <w:shd w:val="clear" w:color="auto" w:fill="C6EFCE"/>
            <w:vAlign w:val="center"/>
          </w:tcPr>
          <w:p w14:paraId="51E5E950" w14:textId="45FDC18A" w:rsidR="006054AA" w:rsidRDefault="001F7667">
            <w:pPr>
              <w:pStyle w:val="P68B1DB1-Normal11"/>
              <w:jc w:val="center"/>
              <w:rPr>
                <w:noProof/>
              </w:rPr>
            </w:pPr>
            <w:r>
              <w:rPr>
                <w:noProof/>
              </w:rPr>
              <w:t>НЯМА</w:t>
            </w:r>
          </w:p>
        </w:tc>
        <w:tc>
          <w:tcPr>
            <w:tcW w:w="992" w:type="dxa"/>
            <w:shd w:val="clear" w:color="auto" w:fill="C6EFCE"/>
            <w:vAlign w:val="center"/>
          </w:tcPr>
          <w:p w14:paraId="7C348351" w14:textId="3DAA7908" w:rsidR="006054AA" w:rsidRDefault="001F7667">
            <w:pPr>
              <w:pStyle w:val="P68B1DB1-Normal11"/>
              <w:jc w:val="center"/>
              <w:rPr>
                <w:noProof/>
              </w:rPr>
            </w:pPr>
            <w:r>
              <w:rPr>
                <w:noProof/>
              </w:rPr>
              <w:t>НЯМА</w:t>
            </w:r>
          </w:p>
        </w:tc>
        <w:tc>
          <w:tcPr>
            <w:tcW w:w="850" w:type="dxa"/>
            <w:shd w:val="clear" w:color="auto" w:fill="C6EFCE"/>
            <w:vAlign w:val="center"/>
          </w:tcPr>
          <w:p w14:paraId="059EB1CA" w14:textId="77777777" w:rsidR="006054AA" w:rsidRDefault="001F7667">
            <w:pPr>
              <w:pStyle w:val="P68B1DB1-Normal11"/>
              <w:jc w:val="center"/>
              <w:rPr>
                <w:noProof/>
              </w:rPr>
            </w:pPr>
            <w:r>
              <w:rPr>
                <w:noProof/>
              </w:rPr>
              <w:t>Т4 Г.</w:t>
            </w:r>
          </w:p>
        </w:tc>
        <w:tc>
          <w:tcPr>
            <w:tcW w:w="709" w:type="dxa"/>
            <w:shd w:val="clear" w:color="auto" w:fill="C6EFCE"/>
            <w:vAlign w:val="center"/>
          </w:tcPr>
          <w:p w14:paraId="3417537F" w14:textId="77777777" w:rsidR="006054AA" w:rsidRDefault="001F7667">
            <w:pPr>
              <w:pStyle w:val="P68B1DB1-Normal11"/>
              <w:spacing w:before="120" w:after="120"/>
              <w:jc w:val="center"/>
              <w:rPr>
                <w:noProof/>
              </w:rPr>
            </w:pPr>
            <w:r>
              <w:rPr>
                <w:noProof/>
              </w:rPr>
              <w:t>2024</w:t>
            </w:r>
          </w:p>
        </w:tc>
        <w:tc>
          <w:tcPr>
            <w:tcW w:w="3794" w:type="dxa"/>
            <w:shd w:val="clear" w:color="auto" w:fill="C6EFCE"/>
            <w:vAlign w:val="center"/>
          </w:tcPr>
          <w:p w14:paraId="7DEB030E" w14:textId="11477B88" w:rsidR="006054AA" w:rsidRDefault="001F7667">
            <w:pPr>
              <w:pStyle w:val="P68B1DB1-Normal11"/>
              <w:spacing w:before="120" w:after="120"/>
              <w:rPr>
                <w:noProof/>
              </w:rPr>
            </w:pPr>
            <w:r>
              <w:rPr>
                <w:noProof/>
              </w:rPr>
              <w:t>Влизане в сила на споразумението за изпълнение.</w:t>
            </w:r>
          </w:p>
        </w:tc>
      </w:tr>
      <w:tr w:rsidR="006054AA" w14:paraId="57DDA9BB" w14:textId="77777777">
        <w:trPr>
          <w:trHeight w:val="315"/>
        </w:trPr>
        <w:tc>
          <w:tcPr>
            <w:tcW w:w="1424" w:type="dxa"/>
            <w:shd w:val="clear" w:color="auto" w:fill="C6EFCE"/>
            <w:vAlign w:val="center"/>
          </w:tcPr>
          <w:p w14:paraId="45CA7DE0" w14:textId="77777777" w:rsidR="006054AA" w:rsidRDefault="001F7667">
            <w:pPr>
              <w:pStyle w:val="P68B1DB1-Normal11"/>
              <w:spacing w:before="120" w:after="120"/>
              <w:jc w:val="center"/>
              <w:rPr>
                <w:noProof/>
              </w:rPr>
            </w:pPr>
            <w:r>
              <w:rPr>
                <w:noProof/>
              </w:rPr>
              <w:t>M1C2—31</w:t>
            </w:r>
          </w:p>
        </w:tc>
        <w:tc>
          <w:tcPr>
            <w:tcW w:w="1578" w:type="dxa"/>
            <w:shd w:val="clear" w:color="auto" w:fill="C6EFCE"/>
            <w:vAlign w:val="center"/>
          </w:tcPr>
          <w:p w14:paraId="044BD857" w14:textId="563B3317" w:rsidR="006054AA" w:rsidRDefault="001F7667">
            <w:pPr>
              <w:pStyle w:val="P68B1DB1-Normal11"/>
              <w:spacing w:before="120" w:after="120"/>
              <w:jc w:val="center"/>
              <w:rPr>
                <w:noProof/>
              </w:rPr>
            </w:pPr>
            <w:r>
              <w:rPr>
                <w:noProof/>
              </w:rPr>
              <w:t>Инвестиция 7 Подкрепа за производствената система за екологичния преход, технологиите с нулеви нетни емисии и конкурентоспособността и устойчивостта на стратегическите вериги на доставки</w:t>
            </w:r>
          </w:p>
        </w:tc>
        <w:tc>
          <w:tcPr>
            <w:tcW w:w="1078" w:type="dxa"/>
            <w:shd w:val="clear" w:color="auto" w:fill="C6EFCE"/>
            <w:vAlign w:val="center"/>
          </w:tcPr>
          <w:p w14:paraId="6CB72C89" w14:textId="77777777" w:rsidR="006054AA" w:rsidRDefault="001F7667">
            <w:pPr>
              <w:pStyle w:val="P68B1DB1-Normal11"/>
              <w:spacing w:before="120" w:after="120"/>
              <w:rPr>
                <w:noProof/>
              </w:rPr>
            </w:pPr>
            <w:r>
              <w:rPr>
                <w:noProof/>
              </w:rPr>
              <w:t>Ключов етап</w:t>
            </w:r>
          </w:p>
        </w:tc>
        <w:tc>
          <w:tcPr>
            <w:tcW w:w="1329" w:type="dxa"/>
            <w:shd w:val="clear" w:color="auto" w:fill="C6EFCE"/>
            <w:vAlign w:val="center"/>
          </w:tcPr>
          <w:p w14:paraId="4A34870B" w14:textId="77777777" w:rsidR="006054AA" w:rsidRDefault="001F7667">
            <w:pPr>
              <w:pStyle w:val="P68B1DB1-Normal11"/>
              <w:spacing w:before="120" w:after="120"/>
              <w:rPr>
                <w:noProof/>
              </w:rPr>
            </w:pPr>
            <w:r>
              <w:rPr>
                <w:noProof/>
              </w:rPr>
              <w:t>Министерството на предприятията и производителите в Италия е приключило инвестицията</w:t>
            </w:r>
          </w:p>
        </w:tc>
        <w:tc>
          <w:tcPr>
            <w:tcW w:w="1275" w:type="dxa"/>
            <w:shd w:val="clear" w:color="auto" w:fill="C6EFCE"/>
            <w:vAlign w:val="center"/>
          </w:tcPr>
          <w:p w14:paraId="5C2D93D3" w14:textId="77777777" w:rsidR="006054AA" w:rsidRDefault="001F7667">
            <w:pPr>
              <w:pStyle w:val="P68B1DB1-Normal11"/>
              <w:rPr>
                <w:noProof/>
              </w:rPr>
            </w:pPr>
            <w:r>
              <w:rPr>
                <w:noProof/>
              </w:rPr>
              <w:t xml:space="preserve">Удостоверение за прехвърляне </w:t>
            </w:r>
          </w:p>
        </w:tc>
        <w:tc>
          <w:tcPr>
            <w:tcW w:w="1134" w:type="dxa"/>
            <w:shd w:val="clear" w:color="auto" w:fill="C6EFCE"/>
            <w:vAlign w:val="center"/>
          </w:tcPr>
          <w:p w14:paraId="5B8CF5E5" w14:textId="063FD5D3" w:rsidR="006054AA" w:rsidRDefault="001F7667">
            <w:pPr>
              <w:pStyle w:val="P68B1DB1-Normal11"/>
              <w:jc w:val="center"/>
              <w:rPr>
                <w:noProof/>
              </w:rPr>
            </w:pPr>
            <w:r>
              <w:rPr>
                <w:noProof/>
              </w:rPr>
              <w:t>НЯМА</w:t>
            </w:r>
          </w:p>
        </w:tc>
        <w:tc>
          <w:tcPr>
            <w:tcW w:w="993" w:type="dxa"/>
            <w:shd w:val="clear" w:color="auto" w:fill="C6EFCE"/>
            <w:vAlign w:val="center"/>
          </w:tcPr>
          <w:p w14:paraId="49C22FC7" w14:textId="59FAA62A" w:rsidR="006054AA" w:rsidRDefault="001F7667">
            <w:pPr>
              <w:pStyle w:val="P68B1DB1-Normal11"/>
              <w:jc w:val="center"/>
              <w:rPr>
                <w:noProof/>
              </w:rPr>
            </w:pPr>
            <w:r>
              <w:rPr>
                <w:noProof/>
              </w:rPr>
              <w:t>НЯМА</w:t>
            </w:r>
          </w:p>
        </w:tc>
        <w:tc>
          <w:tcPr>
            <w:tcW w:w="992" w:type="dxa"/>
            <w:shd w:val="clear" w:color="auto" w:fill="C6EFCE"/>
            <w:vAlign w:val="center"/>
          </w:tcPr>
          <w:p w14:paraId="39AFBA1D" w14:textId="7FC58108" w:rsidR="006054AA" w:rsidRDefault="001F7667">
            <w:pPr>
              <w:pStyle w:val="P68B1DB1-Normal11"/>
              <w:jc w:val="center"/>
              <w:rPr>
                <w:noProof/>
              </w:rPr>
            </w:pPr>
            <w:r>
              <w:rPr>
                <w:noProof/>
              </w:rPr>
              <w:t>НЯМА</w:t>
            </w:r>
          </w:p>
        </w:tc>
        <w:tc>
          <w:tcPr>
            <w:tcW w:w="850" w:type="dxa"/>
            <w:shd w:val="clear" w:color="auto" w:fill="C6EFCE"/>
            <w:vAlign w:val="center"/>
          </w:tcPr>
          <w:p w14:paraId="2583B5B1" w14:textId="77777777" w:rsidR="006054AA" w:rsidRDefault="001F7667">
            <w:pPr>
              <w:pStyle w:val="P68B1DB1-Normal11"/>
              <w:jc w:val="center"/>
              <w:rPr>
                <w:noProof/>
              </w:rPr>
            </w:pPr>
            <w:r>
              <w:rPr>
                <w:noProof/>
              </w:rPr>
              <w:t>Т4 Г.</w:t>
            </w:r>
          </w:p>
        </w:tc>
        <w:tc>
          <w:tcPr>
            <w:tcW w:w="709" w:type="dxa"/>
            <w:shd w:val="clear" w:color="auto" w:fill="C6EFCE"/>
            <w:vAlign w:val="center"/>
          </w:tcPr>
          <w:p w14:paraId="48DE01E5" w14:textId="77777777" w:rsidR="006054AA" w:rsidRDefault="001F7667">
            <w:pPr>
              <w:pStyle w:val="P68B1DB1-Normal11"/>
              <w:spacing w:before="120" w:after="120"/>
              <w:jc w:val="center"/>
              <w:rPr>
                <w:noProof/>
              </w:rPr>
            </w:pPr>
            <w:r>
              <w:rPr>
                <w:noProof/>
              </w:rPr>
              <w:t>2024</w:t>
            </w:r>
          </w:p>
        </w:tc>
        <w:tc>
          <w:tcPr>
            <w:tcW w:w="3794" w:type="dxa"/>
            <w:shd w:val="clear" w:color="auto" w:fill="C6EFCE"/>
            <w:vAlign w:val="center"/>
          </w:tcPr>
          <w:p w14:paraId="55A11E7A" w14:textId="1BEC1ABA" w:rsidR="006054AA" w:rsidRDefault="001F7667">
            <w:pPr>
              <w:pStyle w:val="P68B1DB1-Normal12"/>
              <w:spacing w:before="120" w:after="120"/>
              <w:rPr>
                <w:rFonts w:ascii="Arial Narrow" w:hAnsi="Arial Narrow"/>
                <w:noProof/>
              </w:rPr>
            </w:pPr>
            <w:r>
              <w:rPr>
                <w:rFonts w:ascii="Arial Narrow" w:hAnsi="Arial Narrow"/>
                <w:noProof/>
              </w:rPr>
              <w:t>Италия ще прехвърли 2</w:t>
            </w:r>
            <w:r>
              <w:rPr>
                <w:noProof/>
              </w:rPr>
              <w:t xml:space="preserve"> </w:t>
            </w:r>
            <w:r>
              <w:rPr>
                <w:rFonts w:ascii="Arial Narrow" w:hAnsi="Arial Narrow"/>
                <w:noProof/>
              </w:rPr>
              <w:t>500</w:t>
            </w:r>
            <w:r>
              <w:rPr>
                <w:noProof/>
              </w:rPr>
              <w:t xml:space="preserve"> </w:t>
            </w:r>
            <w:r>
              <w:rPr>
                <w:rFonts w:ascii="Arial Narrow" w:hAnsi="Arial Narrow"/>
                <w:noProof/>
              </w:rPr>
              <w:t>000</w:t>
            </w:r>
            <w:r>
              <w:rPr>
                <w:noProof/>
              </w:rPr>
              <w:t xml:space="preserve"> </w:t>
            </w:r>
            <w:r>
              <w:rPr>
                <w:rFonts w:ascii="Arial Narrow" w:hAnsi="Arial Narrow"/>
                <w:noProof/>
              </w:rPr>
              <w:t>EUR 000 на Invitalia за механизма.</w:t>
            </w:r>
          </w:p>
          <w:p w14:paraId="3B9221AA" w14:textId="30BA8D01" w:rsidR="006054AA" w:rsidRDefault="001F7667">
            <w:pPr>
              <w:pStyle w:val="P68B1DB1-Normal11"/>
              <w:spacing w:before="120" w:after="120"/>
              <w:rPr>
                <w:noProof/>
              </w:rPr>
            </w:pPr>
            <w:r>
              <w:rPr>
                <w:noProof/>
              </w:rPr>
              <w:t xml:space="preserve">От които: </w:t>
            </w:r>
          </w:p>
          <w:p w14:paraId="08AD545B" w14:textId="62BB5F17" w:rsidR="006054AA" w:rsidRDefault="001F7667">
            <w:pPr>
              <w:pStyle w:val="P68B1DB1-ListParagraph22"/>
              <w:numPr>
                <w:ilvl w:val="0"/>
                <w:numId w:val="135"/>
              </w:numPr>
              <w:rPr>
                <w:rFonts w:ascii="Arial Narrow" w:hAnsi="Arial Narrow"/>
                <w:noProof/>
              </w:rPr>
            </w:pPr>
            <w:r>
              <w:rPr>
                <w:rFonts w:ascii="Arial Narrow" w:hAnsi="Arial Narrow"/>
                <w:noProof/>
              </w:rPr>
              <w:t>2</w:t>
            </w:r>
            <w:r>
              <w:rPr>
                <w:noProof/>
              </w:rPr>
              <w:t xml:space="preserve"> </w:t>
            </w:r>
            <w:r>
              <w:rPr>
                <w:rFonts w:ascii="Arial Narrow" w:hAnsi="Arial Narrow"/>
                <w:noProof/>
              </w:rPr>
              <w:t>000 000 000</w:t>
            </w:r>
            <w:r>
              <w:rPr>
                <w:noProof/>
              </w:rPr>
              <w:t xml:space="preserve"> </w:t>
            </w:r>
            <w:r>
              <w:rPr>
                <w:rFonts w:ascii="Arial Narrow" w:hAnsi="Arial Narrow"/>
                <w:noProof/>
              </w:rPr>
              <w:t xml:space="preserve"> EURза подинвестиция 1 „Нулеви технологии с нулеви нетни емисии“;</w:t>
            </w:r>
          </w:p>
          <w:p w14:paraId="07FB89AF" w14:textId="4902D946" w:rsidR="006054AA" w:rsidRDefault="001F7667">
            <w:pPr>
              <w:pStyle w:val="P68B1DB1-ListParagraph22"/>
              <w:numPr>
                <w:ilvl w:val="0"/>
                <w:numId w:val="135"/>
              </w:numPr>
              <w:rPr>
                <w:rFonts w:ascii="Arial Narrow" w:hAnsi="Arial Narrow"/>
                <w:noProof/>
              </w:rPr>
            </w:pPr>
            <w:r>
              <w:rPr>
                <w:rFonts w:ascii="Arial Narrow" w:hAnsi="Arial Narrow"/>
                <w:noProof/>
              </w:rPr>
              <w:t>500</w:t>
            </w:r>
            <w:r>
              <w:rPr>
                <w:noProof/>
              </w:rPr>
              <w:t xml:space="preserve"> </w:t>
            </w:r>
            <w:r>
              <w:rPr>
                <w:rFonts w:ascii="Arial Narrow" w:hAnsi="Arial Narrow"/>
                <w:noProof/>
              </w:rPr>
              <w:t>000 000</w:t>
            </w:r>
            <w:r>
              <w:rPr>
                <w:noProof/>
              </w:rPr>
              <w:t xml:space="preserve"> </w:t>
            </w:r>
            <w:r>
              <w:rPr>
                <w:rFonts w:ascii="Arial Narrow" w:hAnsi="Arial Narrow"/>
                <w:noProof/>
              </w:rPr>
              <w:t>EUR за подинвестиция 2 Конкурентоспособност и устойчивост на стратегическите вериги на доставки.</w:t>
            </w:r>
          </w:p>
        </w:tc>
      </w:tr>
      <w:tr w:rsidR="006054AA" w14:paraId="3F255485" w14:textId="77777777">
        <w:trPr>
          <w:trHeight w:val="315"/>
        </w:trPr>
        <w:tc>
          <w:tcPr>
            <w:tcW w:w="1424" w:type="dxa"/>
            <w:shd w:val="clear" w:color="auto" w:fill="C6EFCE"/>
            <w:vAlign w:val="center"/>
          </w:tcPr>
          <w:p w14:paraId="6DC55CBF" w14:textId="77777777" w:rsidR="006054AA" w:rsidRDefault="001F7667">
            <w:pPr>
              <w:pStyle w:val="P68B1DB1-Normal11"/>
              <w:spacing w:before="120" w:after="120"/>
              <w:jc w:val="center"/>
              <w:rPr>
                <w:noProof/>
              </w:rPr>
            </w:pPr>
            <w:r>
              <w:rPr>
                <w:noProof/>
              </w:rPr>
              <w:t>M1C2—32</w:t>
            </w:r>
          </w:p>
        </w:tc>
        <w:tc>
          <w:tcPr>
            <w:tcW w:w="1578" w:type="dxa"/>
            <w:shd w:val="clear" w:color="auto" w:fill="C6EFCE"/>
            <w:vAlign w:val="center"/>
          </w:tcPr>
          <w:p w14:paraId="47840838" w14:textId="2EACEAD3" w:rsidR="006054AA" w:rsidRDefault="001F7667">
            <w:pPr>
              <w:pStyle w:val="P68B1DB1-Normal11"/>
              <w:spacing w:before="120" w:after="120"/>
              <w:jc w:val="center"/>
              <w:rPr>
                <w:noProof/>
              </w:rPr>
            </w:pPr>
            <w:r>
              <w:rPr>
                <w:noProof/>
              </w:rPr>
              <w:t>Инвестиция 7. Подкрепа за производствената система за екологичния преход, технологиите с нулеви нетни емисии и конкурентоспособността и устойчивостта на стратегическите вериги на доставки</w:t>
            </w:r>
          </w:p>
        </w:tc>
        <w:tc>
          <w:tcPr>
            <w:tcW w:w="1078" w:type="dxa"/>
            <w:shd w:val="clear" w:color="auto" w:fill="C6EFCE"/>
            <w:vAlign w:val="center"/>
          </w:tcPr>
          <w:p w14:paraId="2F3C1780" w14:textId="77777777" w:rsidR="006054AA" w:rsidRDefault="001F7667">
            <w:pPr>
              <w:pStyle w:val="P68B1DB1-Normal11"/>
              <w:spacing w:before="120" w:after="120"/>
              <w:jc w:val="center"/>
              <w:rPr>
                <w:noProof/>
              </w:rPr>
            </w:pPr>
            <w:r>
              <w:rPr>
                <w:noProof/>
              </w:rPr>
              <w:t>Целеви</w:t>
            </w:r>
          </w:p>
        </w:tc>
        <w:tc>
          <w:tcPr>
            <w:tcW w:w="1329" w:type="dxa"/>
            <w:shd w:val="clear" w:color="auto" w:fill="C6EFCE"/>
            <w:vAlign w:val="center"/>
          </w:tcPr>
          <w:p w14:paraId="2F5E4418" w14:textId="77777777" w:rsidR="006054AA" w:rsidRDefault="001F7667">
            <w:pPr>
              <w:pStyle w:val="P68B1DB1-Normal11"/>
              <w:spacing w:before="120" w:after="120"/>
              <w:rPr>
                <w:noProof/>
              </w:rPr>
            </w:pPr>
            <w:r>
              <w:rPr>
                <w:noProof/>
              </w:rPr>
              <w:t>Правни споразумения, подписани с крайните бенефициери</w:t>
            </w:r>
          </w:p>
        </w:tc>
        <w:tc>
          <w:tcPr>
            <w:tcW w:w="1275" w:type="dxa"/>
            <w:shd w:val="clear" w:color="auto" w:fill="C6EFCE"/>
            <w:vAlign w:val="center"/>
          </w:tcPr>
          <w:p w14:paraId="4E672835" w14:textId="77777777" w:rsidR="006054AA" w:rsidRDefault="001F7667">
            <w:pPr>
              <w:pStyle w:val="P68B1DB1-Normal11"/>
              <w:rPr>
                <w:noProof/>
              </w:rPr>
            </w:pPr>
            <w:r>
              <w:rPr>
                <w:noProof/>
              </w:rPr>
              <w:t>Влизане в сила на правните споразумения за финансиране</w:t>
            </w:r>
          </w:p>
        </w:tc>
        <w:tc>
          <w:tcPr>
            <w:tcW w:w="1134" w:type="dxa"/>
            <w:shd w:val="clear" w:color="auto" w:fill="C6EFCE"/>
            <w:vAlign w:val="center"/>
          </w:tcPr>
          <w:p w14:paraId="667E4AC6" w14:textId="77777777" w:rsidR="006054AA" w:rsidRDefault="001F7667">
            <w:pPr>
              <w:pStyle w:val="P68B1DB1-Normal11"/>
              <w:jc w:val="center"/>
              <w:rPr>
                <w:noProof/>
              </w:rPr>
            </w:pPr>
            <w:r>
              <w:rPr>
                <w:noProof/>
              </w:rPr>
              <w:t>Проценти</w:t>
            </w:r>
          </w:p>
        </w:tc>
        <w:tc>
          <w:tcPr>
            <w:tcW w:w="993" w:type="dxa"/>
            <w:shd w:val="clear" w:color="auto" w:fill="C6EFCE"/>
            <w:vAlign w:val="center"/>
          </w:tcPr>
          <w:p w14:paraId="16077FC0" w14:textId="77777777" w:rsidR="006054AA" w:rsidRDefault="001F7667">
            <w:pPr>
              <w:pStyle w:val="P68B1DB1-Normal11"/>
              <w:jc w:val="center"/>
              <w:rPr>
                <w:noProof/>
              </w:rPr>
            </w:pPr>
            <w:r>
              <w:rPr>
                <w:noProof/>
              </w:rPr>
              <w:t>0</w:t>
            </w:r>
          </w:p>
        </w:tc>
        <w:tc>
          <w:tcPr>
            <w:tcW w:w="992" w:type="dxa"/>
            <w:shd w:val="clear" w:color="auto" w:fill="C6EFCE"/>
            <w:vAlign w:val="center"/>
          </w:tcPr>
          <w:p w14:paraId="38BC98DB" w14:textId="77777777" w:rsidR="006054AA" w:rsidRDefault="001F7667">
            <w:pPr>
              <w:pStyle w:val="P68B1DB1-Normal11"/>
              <w:jc w:val="center"/>
              <w:rPr>
                <w:noProof/>
              </w:rPr>
            </w:pPr>
            <w:r>
              <w:rPr>
                <w:noProof/>
              </w:rPr>
              <w:t>100</w:t>
            </w:r>
          </w:p>
        </w:tc>
        <w:tc>
          <w:tcPr>
            <w:tcW w:w="850" w:type="dxa"/>
            <w:shd w:val="clear" w:color="auto" w:fill="C6EFCE"/>
            <w:vAlign w:val="center"/>
          </w:tcPr>
          <w:p w14:paraId="3640D490" w14:textId="77777777" w:rsidR="006054AA" w:rsidRDefault="001F7667">
            <w:pPr>
              <w:pStyle w:val="P68B1DB1-Normal11"/>
              <w:jc w:val="center"/>
              <w:rPr>
                <w:noProof/>
              </w:rPr>
            </w:pPr>
            <w:r>
              <w:rPr>
                <w:noProof/>
              </w:rPr>
              <w:t>Т2 Г.</w:t>
            </w:r>
          </w:p>
        </w:tc>
        <w:tc>
          <w:tcPr>
            <w:tcW w:w="709" w:type="dxa"/>
            <w:shd w:val="clear" w:color="auto" w:fill="C6EFCE"/>
            <w:vAlign w:val="center"/>
          </w:tcPr>
          <w:p w14:paraId="70276B55" w14:textId="77777777" w:rsidR="006054AA" w:rsidRDefault="001F7667">
            <w:pPr>
              <w:pStyle w:val="P68B1DB1-Normal11"/>
              <w:spacing w:before="120" w:after="120"/>
              <w:jc w:val="center"/>
              <w:rPr>
                <w:noProof/>
              </w:rPr>
            </w:pPr>
            <w:r>
              <w:rPr>
                <w:noProof/>
              </w:rPr>
              <w:t>2026</w:t>
            </w:r>
          </w:p>
        </w:tc>
        <w:tc>
          <w:tcPr>
            <w:tcW w:w="3794" w:type="dxa"/>
            <w:shd w:val="clear" w:color="auto" w:fill="C6EFCE"/>
            <w:vAlign w:val="center"/>
          </w:tcPr>
          <w:p w14:paraId="7070375E" w14:textId="442CFA33" w:rsidR="006054AA" w:rsidRDefault="001F7667">
            <w:pPr>
              <w:pStyle w:val="P68B1DB1-Normal23"/>
              <w:spacing w:before="120" w:after="120"/>
              <w:rPr>
                <w:rFonts w:ascii="Arial Narrow" w:hAnsi="Arial Narrow"/>
                <w:noProof/>
                <w:sz w:val="20"/>
              </w:rPr>
            </w:pPr>
            <w:r>
              <w:rPr>
                <w:rFonts w:ascii="Arial Narrow" w:hAnsi="Arial Narrow"/>
                <w:noProof/>
                <w:sz w:val="20"/>
              </w:rPr>
              <w:t>Invitalia е сключила правни споразумения за финансиране с крайни бенефициери за сума, необходима за използване на 100 % от 500 2 000 EUR от инвестициите по МВУ</w:t>
            </w:r>
            <w:r>
              <w:rPr>
                <w:noProof/>
                <w:sz w:val="20"/>
              </w:rPr>
              <w:t xml:space="preserve"> </w:t>
            </w:r>
            <w:r>
              <w:rPr>
                <w:rFonts w:ascii="Arial Narrow" w:hAnsi="Arial Narrow"/>
                <w:noProof/>
                <w:sz w:val="22"/>
              </w:rPr>
              <w:t>(като се вземат предвид таксите за управление).</w:t>
            </w:r>
          </w:p>
          <w:p w14:paraId="7766FAF9" w14:textId="178B2DF3" w:rsidR="006054AA" w:rsidRDefault="001F7667">
            <w:pPr>
              <w:pStyle w:val="P68B1DB1-Normal11"/>
              <w:spacing w:before="120" w:after="120"/>
              <w:rPr>
                <w:noProof/>
              </w:rPr>
            </w:pPr>
            <w:r>
              <w:rPr>
                <w:noProof/>
              </w:rPr>
              <w:t xml:space="preserve">И по-специално: </w:t>
            </w:r>
          </w:p>
          <w:p w14:paraId="44B71A31" w14:textId="600DDE95" w:rsidR="006054AA" w:rsidRDefault="001F7667">
            <w:pPr>
              <w:pStyle w:val="P68B1DB1-ListParagraph22"/>
              <w:numPr>
                <w:ilvl w:val="0"/>
                <w:numId w:val="135"/>
              </w:numPr>
              <w:rPr>
                <w:rFonts w:ascii="Arial Narrow" w:hAnsi="Arial Narrow"/>
                <w:noProof/>
              </w:rPr>
            </w:pPr>
            <w:r>
              <w:rPr>
                <w:rFonts w:ascii="Arial Narrow" w:hAnsi="Arial Narrow"/>
                <w:noProof/>
              </w:rPr>
              <w:t>2</w:t>
            </w:r>
            <w:r>
              <w:rPr>
                <w:noProof/>
              </w:rPr>
              <w:t xml:space="preserve"> </w:t>
            </w:r>
            <w:r>
              <w:rPr>
                <w:rFonts w:ascii="Arial Narrow" w:hAnsi="Arial Narrow"/>
                <w:noProof/>
              </w:rPr>
              <w:t>000 000 000</w:t>
            </w:r>
            <w:r>
              <w:rPr>
                <w:noProof/>
              </w:rPr>
              <w:t xml:space="preserve"> </w:t>
            </w:r>
            <w:r>
              <w:rPr>
                <w:rFonts w:ascii="Arial Narrow" w:hAnsi="Arial Narrow"/>
                <w:noProof/>
              </w:rPr>
              <w:t xml:space="preserve"> EURза подинвестиция 1 „Нулеви технологии с нулеви нетни емисии“;</w:t>
            </w:r>
          </w:p>
          <w:p w14:paraId="334D7F9C" w14:textId="13632E28" w:rsidR="006054AA" w:rsidRDefault="001F7667">
            <w:pPr>
              <w:pStyle w:val="P68B1DB1-ListParagraph22"/>
              <w:numPr>
                <w:ilvl w:val="0"/>
                <w:numId w:val="135"/>
              </w:numPr>
              <w:rPr>
                <w:rFonts w:ascii="Arial Narrow" w:hAnsi="Arial Narrow"/>
                <w:noProof/>
              </w:rPr>
            </w:pPr>
            <w:r>
              <w:rPr>
                <w:rFonts w:ascii="Arial Narrow" w:hAnsi="Arial Narrow"/>
                <w:noProof/>
              </w:rPr>
              <w:t>500</w:t>
            </w:r>
            <w:r>
              <w:rPr>
                <w:noProof/>
              </w:rPr>
              <w:t xml:space="preserve"> </w:t>
            </w:r>
            <w:r>
              <w:rPr>
                <w:rFonts w:ascii="Arial Narrow" w:hAnsi="Arial Narrow"/>
                <w:noProof/>
              </w:rPr>
              <w:t>000 000</w:t>
            </w:r>
            <w:r>
              <w:rPr>
                <w:noProof/>
              </w:rPr>
              <w:t xml:space="preserve"> </w:t>
            </w:r>
            <w:r>
              <w:rPr>
                <w:rFonts w:ascii="Arial Narrow" w:hAnsi="Arial Narrow"/>
                <w:noProof/>
              </w:rPr>
              <w:t>EUR за подинвестиция 2 Конкурентоспособност и устойчивост на стратегическите вериги на доставки.</w:t>
            </w:r>
          </w:p>
        </w:tc>
      </w:tr>
    </w:tbl>
    <w:p w14:paraId="16284BC9" w14:textId="77777777" w:rsidR="006054AA" w:rsidRDefault="006054AA">
      <w:pPr>
        <w:spacing w:before="120" w:after="120"/>
        <w:jc w:val="both"/>
        <w:rPr>
          <w:b/>
          <w:noProof/>
        </w:rPr>
      </w:pPr>
    </w:p>
    <w:p w14:paraId="22F00CDA" w14:textId="77777777" w:rsidR="006054AA" w:rsidRDefault="006054AA">
      <w:pPr>
        <w:rPr>
          <w:b/>
          <w:noProof/>
        </w:rPr>
        <w:sectPr w:rsidR="006054AA" w:rsidSect="001354D1">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2514A4A3" w14:textId="77777777" w:rsidR="006054AA" w:rsidRDefault="001F7667">
      <w:pPr>
        <w:pStyle w:val="Heading2"/>
        <w:numPr>
          <w:ilvl w:val="0"/>
          <w:numId w:val="0"/>
        </w:numPr>
        <w:ind w:left="850" w:hanging="850"/>
        <w:rPr>
          <w:noProof/>
          <w:u w:val="single"/>
        </w:rPr>
      </w:pPr>
      <w:r>
        <w:rPr>
          <w:noProof/>
        </w:rPr>
        <w:t xml:space="preserve">В. МИСИЯ 1 КОМПОНЕНТ 3: </w:t>
      </w:r>
      <w:r>
        <w:rPr>
          <w:noProof/>
          <w:u w:val="single"/>
        </w:rPr>
        <w:t>Туризъм и култура 4.0</w:t>
      </w:r>
      <w:r>
        <w:rPr>
          <w:noProof/>
        </w:rPr>
        <w:t xml:space="preserve">. </w:t>
      </w:r>
    </w:p>
    <w:p w14:paraId="23FCB66B" w14:textId="77777777" w:rsidR="006054AA" w:rsidRDefault="001F7667">
      <w:pPr>
        <w:spacing w:before="120" w:after="120"/>
        <w:jc w:val="both"/>
        <w:rPr>
          <w:noProof/>
        </w:rPr>
      </w:pPr>
      <w:r>
        <w:rPr>
          <w:noProof/>
        </w:rPr>
        <w:t xml:space="preserve">Този компонент на италианския план за възстановяване и устойчивост е съсредоточен върху възобновяването на два сектора, силно засегнати от кризата с COVID-19: култура и туризъм. Мерките, свързани със сектора на културата, имат за цел да направят културните обекти по-достъпни както в цифров, така и физически план, да се повиши енергийната ефективност и безопасността по отношение на природните бедствия, да се подпомогне възстановяването на секторите на културата и творчеството, включително чрез подкрепа за привлекателността на малките културни обекти и архитектурата в селските райони, както и да се засили териториалното сближаване. Предвидени са три набора от мерки: I) интервенции за развитие на културното наследство за следващото поколение, включително инвестиции за цифровия преход и за подобряване на енергийната ефективност на културните обекти, ii) основано на културата възстановяване на малки исторически обекти, религиозно и селско наследство; III) интервенции за културните и творческите индустрии 4.0. Мерките, свързани с туризма, имат за цел повишаване на конкурентоспособността на сектора, включително чрез намаляване на разпокъсаността на сектора и увеличаване на икономиите от мащаба, подобряване и актуализиране на стандартите на сектора на хотелиерството и ресторантьорството, насърчаване на цифровите иновации и използването на нови технологии от операторите, както и подпомагане на екологичния преход на сектора. Във връзка с това се предвиждат мерки за подкрепа на предприятията, включително МСП, работещи в туристическия сектор, и туристическите оператори, включително чрез инвестиции в цифрови инструменти. </w:t>
      </w:r>
    </w:p>
    <w:p w14:paraId="30EEF001" w14:textId="77777777" w:rsidR="006054AA" w:rsidRDefault="001F7667">
      <w:pPr>
        <w:spacing w:before="120" w:after="120"/>
        <w:jc w:val="both"/>
        <w:rPr>
          <w:noProof/>
        </w:rPr>
      </w:pPr>
      <w:r>
        <w:rPr>
          <w:noProof/>
        </w:rPr>
        <w:t xml:space="preserve">Инвестициите и реформите по този компонент допринасят за изпълнението на специфичните за всяка държава препоръки, отправени към Италия, по-специално относно необходимостта от „насърчаване на частните инвестиции за насърчаване на икономическото възстановяване и съсредоточаване на инвестициите върху екологичния и цифровия преход“ (Специфична за държавата препоръка 3, 2020). Те също така подкрепят социалното и териториалното сближаване и конкурентоспособността на италианската икономика, като същевременно насърчават цифровизацията и устойчивостта на туристическия сектор. </w:t>
      </w:r>
    </w:p>
    <w:p w14:paraId="597A14A1" w14:textId="77777777" w:rsidR="006054AA" w:rsidRDefault="001F7667">
      <w:pPr>
        <w:pStyle w:val="Heading3"/>
        <w:numPr>
          <w:ilvl w:val="0"/>
          <w:numId w:val="0"/>
        </w:numPr>
        <w:ind w:left="850" w:hanging="850"/>
        <w:rPr>
          <w:rFonts w:eastAsia="Times New Roman"/>
          <w:b/>
          <w:i w:val="0"/>
          <w:noProof/>
          <w:u w:val="single"/>
        </w:rPr>
      </w:pPr>
      <w:r>
        <w:rPr>
          <w:b/>
          <w:i w:val="0"/>
          <w:noProof/>
          <w:u w:val="single"/>
        </w:rPr>
        <w:t xml:space="preserve">В.1. </w:t>
      </w:r>
      <w:r>
        <w:rPr>
          <w:noProof/>
        </w:rPr>
        <w:tab/>
      </w:r>
      <w:r>
        <w:rPr>
          <w:b/>
          <w:i w:val="0"/>
          <w:noProof/>
          <w:u w:val="single"/>
        </w:rPr>
        <w:t>Описание на реформите и инвестициите за безвъзмездна финансова подкрепа</w:t>
      </w:r>
    </w:p>
    <w:p w14:paraId="3B763C28" w14:textId="77777777" w:rsidR="006054AA" w:rsidRDefault="001F7667">
      <w:pPr>
        <w:pStyle w:val="P68B1DB1-Normal2"/>
        <w:spacing w:before="120" w:after="120"/>
        <w:jc w:val="both"/>
        <w:rPr>
          <w:noProof/>
        </w:rPr>
      </w:pPr>
      <w:r>
        <w:rPr>
          <w:noProof/>
        </w:rPr>
        <w:t xml:space="preserve">Стратегия в областта на цифровите технологии за 1.1 г. и платформи за културно наследство </w:t>
      </w:r>
    </w:p>
    <w:p w14:paraId="41EE91F0" w14:textId="77777777" w:rsidR="006054AA" w:rsidRDefault="001F7667">
      <w:pPr>
        <w:spacing w:before="120" w:after="120"/>
        <w:jc w:val="both"/>
        <w:rPr>
          <w:noProof/>
        </w:rPr>
      </w:pPr>
      <w:r>
        <w:rPr>
          <w:noProof/>
        </w:rPr>
        <w:t>Мярката включва действия за цифровизация на италианското културно наследство с цел подобряване на достъпа до културни ресурси и цифрови услуги.</w:t>
      </w:r>
    </w:p>
    <w:p w14:paraId="786181FF" w14:textId="77777777" w:rsidR="006054AA" w:rsidRDefault="001F7667">
      <w:pPr>
        <w:spacing w:before="120" w:after="120"/>
        <w:jc w:val="both"/>
        <w:rPr>
          <w:noProof/>
        </w:rPr>
      </w:pPr>
      <w:r>
        <w:rPr>
          <w:noProof/>
        </w:rPr>
        <w:t xml:space="preserve">С интервенцията се създава нова национална цифрова инфраструктура за събиране, интегриране и задържане на цифрови ресурси, като те се предоставят за публично ползване чрез специални платформи. Интервенциите относно „физическото“ наследство се придружават от цифровизация на музеи, архиви, библиотеки и културни обекти, за да се даде възможност на гражданите да проучат нови форми на възползване от културното наследство. </w:t>
      </w:r>
    </w:p>
    <w:p w14:paraId="4FC4FD5C" w14:textId="77777777" w:rsidR="006054AA" w:rsidRDefault="001F7667">
      <w:pPr>
        <w:pStyle w:val="P68B1DB1-Normal2"/>
        <w:spacing w:before="120" w:after="120"/>
        <w:jc w:val="both"/>
        <w:rPr>
          <w:noProof/>
        </w:rPr>
      </w:pPr>
      <w:r>
        <w:rPr>
          <w:noProof/>
        </w:rPr>
        <w:t>Инвестиция 1.2: Премахване на физическите и когнитивните бариери в музеите, библиотеките и архивите, за да се даде възможност за по-широк достъп и участие в културата</w:t>
      </w:r>
    </w:p>
    <w:p w14:paraId="533897A6" w14:textId="77777777" w:rsidR="006054AA" w:rsidRDefault="001F7667">
      <w:pPr>
        <w:spacing w:before="120" w:after="120"/>
        <w:jc w:val="both"/>
        <w:rPr>
          <w:noProof/>
        </w:rPr>
      </w:pPr>
      <w:r>
        <w:rPr>
          <w:noProof/>
        </w:rPr>
        <w:t>Мярката има за цел да премахне архитектурните, културните и когнитивните бариери в редица италиански културни институции. Интервенциите се съчетават с обучение на административния персонал и културните дейци, като се насърчава култура на достъпност и се развива експертен опит в областта на правните аспекти, приемането, културното посредничество и популяризирането.</w:t>
      </w:r>
    </w:p>
    <w:p w14:paraId="3D1EA45B" w14:textId="77777777" w:rsidR="006054AA" w:rsidRDefault="001F7667">
      <w:pPr>
        <w:pStyle w:val="P68B1DB1-Normal2"/>
        <w:spacing w:before="120" w:after="120"/>
        <w:jc w:val="both"/>
        <w:rPr>
          <w:noProof/>
        </w:rPr>
      </w:pPr>
      <w:r>
        <w:rPr>
          <w:noProof/>
        </w:rPr>
        <w:t>Инвестиция 1.3: Подобряване на енергийната ефективност в киното, театрите и музеите</w:t>
      </w:r>
    </w:p>
    <w:p w14:paraId="5B9403DC" w14:textId="77777777" w:rsidR="006054AA" w:rsidRDefault="001F7667">
      <w:pPr>
        <w:spacing w:before="120" w:after="120"/>
        <w:jc w:val="both"/>
        <w:rPr>
          <w:noProof/>
        </w:rPr>
      </w:pPr>
      <w:r>
        <w:rPr>
          <w:noProof/>
        </w:rPr>
        <w:t>Мярката подобрява енергийната ефективност на сградите, свързани с културния и творческия сектор. Те често се намират в остарели, енергийно неефективни съоръжения, които генерират високи разходи за поддръжка, свързани с климатизацията, осветлението, комуникацията и безопасността. Инвестицията финансира действия за подобряване на енергийната ефективност на италианските музеи, кина и театри (както публични, така и частни).</w:t>
      </w:r>
    </w:p>
    <w:p w14:paraId="5864EFBA" w14:textId="77777777" w:rsidR="006054AA" w:rsidRDefault="001F7667">
      <w:pPr>
        <w:pStyle w:val="P68B1DB1-Normal2"/>
        <w:spacing w:before="120" w:after="120"/>
        <w:jc w:val="both"/>
        <w:rPr>
          <w:noProof/>
        </w:rPr>
      </w:pPr>
      <w:r>
        <w:rPr>
          <w:noProof/>
        </w:rPr>
        <w:t>Реформа 3.1: Приемане на минимални екологични критерии за културни прояви</w:t>
      </w:r>
    </w:p>
    <w:p w14:paraId="334DA67C" w14:textId="77777777" w:rsidR="006054AA" w:rsidRDefault="001F7667">
      <w:pPr>
        <w:spacing w:before="120" w:after="120"/>
        <w:jc w:val="both"/>
        <w:rPr>
          <w:noProof/>
        </w:rPr>
      </w:pPr>
      <w:r>
        <w:rPr>
          <w:noProof/>
        </w:rPr>
        <w:t>Целта на реформата е да се подобри екологичният отпечатък на културните прояви (като изложби, фестивали, културни събития и музикални събития) чрез включване на социални и екологични критерии в обществените поръчки за културни прояви, финансирани, популяризирани или организирани от публичния орган.</w:t>
      </w:r>
    </w:p>
    <w:p w14:paraId="44F8BCD0" w14:textId="77777777" w:rsidR="006054AA" w:rsidRDefault="001F7667">
      <w:pPr>
        <w:pStyle w:val="P68B1DB1-Normal24"/>
        <w:spacing w:before="120" w:after="120"/>
        <w:jc w:val="both"/>
        <w:rPr>
          <w:noProof/>
        </w:rPr>
      </w:pPr>
      <w:r>
        <w:rPr>
          <w:noProof/>
        </w:rPr>
        <w:t xml:space="preserve">Инвестиция 3.3: Изграждане на капацитет за операторите в областта на културата за управление на цифровия и екологичния преход </w:t>
      </w:r>
    </w:p>
    <w:p w14:paraId="15704245" w14:textId="77777777" w:rsidR="006054AA" w:rsidRDefault="001F7667">
      <w:pPr>
        <w:spacing w:before="120" w:after="120"/>
        <w:jc w:val="both"/>
        <w:rPr>
          <w:noProof/>
        </w:rPr>
      </w:pPr>
      <w:r>
        <w:rPr>
          <w:noProof/>
        </w:rPr>
        <w:t xml:space="preserve">Общата цел на инвестицията е да се подкрепи възстановяването на секторите на културата и творчеството. Това се състои от две интервенции. </w:t>
      </w:r>
    </w:p>
    <w:p w14:paraId="0EAB0838" w14:textId="77777777" w:rsidR="006054AA" w:rsidRDefault="001F7667">
      <w:pPr>
        <w:spacing w:before="120" w:after="120"/>
        <w:jc w:val="both"/>
        <w:rPr>
          <w:noProof/>
        </w:rPr>
      </w:pPr>
      <w:r>
        <w:rPr>
          <w:noProof/>
        </w:rPr>
        <w:t>Първата намеса („Подкрепа за възстановяването на културните дейности чрез насърчаване на иновациите и използването на цифрови технологии по цялата верига за създаване на стойност“) има за цел да подпомогне операторите в областта на културата и творчеството да прилагат цифрови стратегии и да увеличат капацитета си за управление.</w:t>
      </w:r>
    </w:p>
    <w:p w14:paraId="5266F3D5" w14:textId="4CC2F72C" w:rsidR="006054AA" w:rsidRDefault="001F7667">
      <w:pPr>
        <w:spacing w:before="120" w:after="120"/>
        <w:jc w:val="both"/>
        <w:rPr>
          <w:noProof/>
        </w:rPr>
      </w:pPr>
      <w:r>
        <w:rPr>
          <w:noProof/>
        </w:rPr>
        <w:t>Втората намеса („Насърчаване на екологосъобразен подход по цялата културна и творческа верига“) има за цел да насърчи екологично устойчив подход по цялата верига, да намали екологичния отпечатък, да насърчи иновативното и приобщаващо екопроектиране, включително в контекста на кръговата икономика, за да се насочи обществеността към по-отговорно екологично поведение.</w:t>
      </w:r>
    </w:p>
    <w:p w14:paraId="52A501A7" w14:textId="2D09B1E6" w:rsidR="006054AA" w:rsidRDefault="001F7667">
      <w:pPr>
        <w:spacing w:before="120" w:after="120"/>
        <w:jc w:val="both"/>
        <w:rPr>
          <w:noProof/>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19"/>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20"/>
      </w:r>
      <w:r>
        <w:rPr>
          <w:noProof/>
        </w:rPr>
        <w:t>; III) дейности, свързани с депа за отпадъци, инсинератори</w:t>
      </w:r>
      <w:r>
        <w:rPr>
          <w:rStyle w:val="FootnoteReference"/>
          <w:noProof/>
        </w:rPr>
        <w:footnoteReference w:id="21"/>
      </w:r>
      <w:r>
        <w:rPr>
          <w:noProof/>
        </w:rPr>
        <w:t xml:space="preserve"> и инсталации за механично-биологично третиране</w:t>
      </w:r>
      <w:r>
        <w:rPr>
          <w:rStyle w:val="FootnoteReference"/>
          <w:noProof/>
        </w:rPr>
        <w:footnoteReference w:id="22"/>
      </w:r>
      <w:r>
        <w:rPr>
          <w:noProof/>
        </w:rPr>
        <w:t>; и iv) дейности, при които дългосрочното обезвреждане на отпадъци може да причини вреда на околната среда. Освен това в заданието се изисква да могат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1F3D4441" w14:textId="6995E33B" w:rsidR="006054AA" w:rsidRDefault="001F7667">
      <w:pPr>
        <w:pStyle w:val="P68B1DB1-Normal2"/>
        <w:rPr>
          <w:i/>
          <w:noProof/>
        </w:rPr>
      </w:pPr>
      <w:r>
        <w:rPr>
          <w:noProof/>
        </w:rPr>
        <w:t>Инвестиция 4.1: Цифров туристически център</w:t>
      </w:r>
    </w:p>
    <w:p w14:paraId="0C702A43" w14:textId="77777777" w:rsidR="006054AA" w:rsidRDefault="001F7667">
      <w:pPr>
        <w:spacing w:before="120" w:after="120"/>
        <w:jc w:val="both"/>
        <w:rPr>
          <w:noProof/>
        </w:rPr>
      </w:pPr>
      <w:r>
        <w:rPr>
          <w:noProof/>
        </w:rPr>
        <w:t>Целта на мярката е да се създаде цифров туристически център, достъпен чрез специална уебплатформа, която да даде възможност на цялата туристическа екосистема да подобри, интегрира и популяризира собственото си предлагане. Инвестицията ще финансира нова цифрова инфраструктура и ще подкрепя предприятията с инструменти за анализ на данни, предоставени от Националната обсерватория по туризма.</w:t>
      </w:r>
    </w:p>
    <w:p w14:paraId="46120C1B" w14:textId="047888E3" w:rsidR="006054AA" w:rsidRDefault="001F7667">
      <w:pPr>
        <w:spacing w:before="120" w:after="120"/>
        <w:jc w:val="both"/>
        <w:rPr>
          <w:noProof/>
        </w:rPr>
      </w:pPr>
      <w:r>
        <w:rPr>
          <w:noProof/>
        </w:rPr>
        <w:t>И накрая, мярката предвижда и създаването на център за компетентност в подкрепа на програмите за ускоряване.</w:t>
      </w:r>
    </w:p>
    <w:p w14:paraId="3D673163" w14:textId="407C4A56" w:rsidR="006054AA" w:rsidRDefault="001F7667">
      <w:pPr>
        <w:spacing w:before="120" w:after="120"/>
        <w:jc w:val="both"/>
        <w:rPr>
          <w:noProof/>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23"/>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24"/>
      </w:r>
      <w:r>
        <w:rPr>
          <w:noProof/>
        </w:rPr>
        <w:t>; III) дейности, свързани с депа за отпадъци, инсинератори</w:t>
      </w:r>
      <w:r>
        <w:rPr>
          <w:rStyle w:val="FootnoteReference"/>
          <w:noProof/>
        </w:rPr>
        <w:footnoteReference w:id="25"/>
      </w:r>
      <w:r>
        <w:rPr>
          <w:noProof/>
        </w:rPr>
        <w:t xml:space="preserve"> и инсталации за механично-биологично третиране</w:t>
      </w:r>
      <w:r>
        <w:rPr>
          <w:rStyle w:val="FootnoteReference"/>
          <w:noProof/>
        </w:rPr>
        <w:footnoteReference w:id="26"/>
      </w:r>
      <w:r>
        <w:rPr>
          <w:noProof/>
        </w:rPr>
        <w:t>; и iv) дейности, при които дългосрочното обезвреждане на отпадъци може да причини вреда на околната среда. В заданието допълнително се изисква да могат да бъдат избирани само дейности, които отговарят на съответното законодателство на ЕС и национално законодателство в областта на околната среда.</w:t>
      </w:r>
    </w:p>
    <w:p w14:paraId="3ADE8B0A" w14:textId="77777777" w:rsidR="006054AA" w:rsidRDefault="001F7667">
      <w:pPr>
        <w:pStyle w:val="P68B1DB1-Normal24"/>
        <w:jc w:val="both"/>
        <w:rPr>
          <w:noProof/>
        </w:rPr>
      </w:pPr>
      <w:r>
        <w:rPr>
          <w:noProof/>
        </w:rPr>
        <w:t>Реформа 4.1: Регламентиране на професиите екскурзоводи</w:t>
      </w:r>
    </w:p>
    <w:p w14:paraId="0688E3F1" w14:textId="77777777" w:rsidR="006054AA" w:rsidRDefault="001F7667">
      <w:pPr>
        <w:spacing w:before="120" w:after="120"/>
        <w:jc w:val="both"/>
        <w:rPr>
          <w:noProof/>
        </w:rPr>
      </w:pPr>
      <w:r>
        <w:rPr>
          <w:noProof/>
        </w:rPr>
        <w:t>Инвестицията в цифровия туристически център се допълва от реформа за рационализиране на разпоредбите за туристическите екскурзоводи. Мярката предвижда, при спазване на местната нормативна уредба, професионална организация за екскурзоводи и техния район на произход. Систематичното и еднакво прилагане на реформата би позволило да се регулират основните принципи на професията и да се стандартизират равнищата на предоставяне на услуги на цялата национална територия, което ще окаже положително въздействие върху пазара. Реформата включва обучение и допълнително обучение, за да се подкрепи по най-добрия начин предлагането.</w:t>
      </w:r>
    </w:p>
    <w:p w14:paraId="4C9D37D7" w14:textId="77777777" w:rsidR="006054AA" w:rsidRDefault="006054AA">
      <w:pPr>
        <w:pStyle w:val="Heading3"/>
        <w:numPr>
          <w:ilvl w:val="0"/>
          <w:numId w:val="0"/>
        </w:numPr>
        <w:ind w:left="850" w:hanging="850"/>
        <w:rPr>
          <w:rFonts w:eastAsia="Calibri"/>
          <w:noProof/>
          <w:color w:val="000000" w:themeColor="text1"/>
        </w:rPr>
        <w:sectPr w:rsidR="006054AA">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46742226" w14:textId="58259A6B" w:rsidR="006054AA" w:rsidRDefault="001F7667">
      <w:pPr>
        <w:pStyle w:val="Heading3"/>
        <w:numPr>
          <w:ilvl w:val="0"/>
          <w:numId w:val="0"/>
        </w:numPr>
        <w:ind w:left="850" w:hanging="850"/>
        <w:rPr>
          <w:b/>
          <w:i w:val="0"/>
          <w:noProof/>
          <w:u w:val="single"/>
        </w:rPr>
      </w:pPr>
      <w:r>
        <w:rPr>
          <w:b/>
          <w:i w:val="0"/>
          <w:noProof/>
          <w:u w:val="single"/>
        </w:rPr>
        <w:t xml:space="preserve">В.2.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603"/>
        <w:gridCol w:w="1135"/>
        <w:gridCol w:w="1135"/>
        <w:gridCol w:w="1162"/>
        <w:gridCol w:w="990"/>
        <w:gridCol w:w="694"/>
        <w:gridCol w:w="3672"/>
      </w:tblGrid>
      <w:tr w:rsidR="006054AA" w14:paraId="49A5B195" w14:textId="77777777">
        <w:trPr>
          <w:trHeight w:val="1013"/>
          <w:tblHeader/>
        </w:trPr>
        <w:tc>
          <w:tcPr>
            <w:tcW w:w="366" w:type="pct"/>
            <w:vMerge w:val="restart"/>
            <w:shd w:val="clear" w:color="auto" w:fill="BDD7EE"/>
            <w:vAlign w:val="center"/>
          </w:tcPr>
          <w:p w14:paraId="704EECFC" w14:textId="77777777" w:rsidR="006054AA" w:rsidRDefault="001F7667">
            <w:pPr>
              <w:pStyle w:val="P68B1DB1-Normal9"/>
              <w:spacing w:after="200" w:line="276" w:lineRule="auto"/>
              <w:rPr>
                <w:noProof/>
              </w:rPr>
            </w:pPr>
            <w:r>
              <w:rPr>
                <w:noProof/>
              </w:rPr>
              <w:t>Пореден номер</w:t>
            </w:r>
          </w:p>
        </w:tc>
        <w:tc>
          <w:tcPr>
            <w:tcW w:w="460" w:type="pct"/>
            <w:vMerge w:val="restart"/>
            <w:shd w:val="clear" w:color="auto" w:fill="BDD7EE"/>
            <w:vAlign w:val="center"/>
          </w:tcPr>
          <w:p w14:paraId="1EE66FF1" w14:textId="77777777" w:rsidR="006054AA" w:rsidRDefault="001F7667">
            <w:pPr>
              <w:pStyle w:val="P68B1DB1-Normal9"/>
              <w:jc w:val="center"/>
              <w:rPr>
                <w:noProof/>
              </w:rPr>
            </w:pPr>
            <w:r>
              <w:rPr>
                <w:noProof/>
              </w:rPr>
              <w:t>Мярка</w:t>
            </w:r>
          </w:p>
        </w:tc>
        <w:tc>
          <w:tcPr>
            <w:tcW w:w="368" w:type="pct"/>
            <w:vMerge w:val="restart"/>
            <w:shd w:val="clear" w:color="auto" w:fill="BDD7EE"/>
            <w:vAlign w:val="center"/>
          </w:tcPr>
          <w:p w14:paraId="096135B7" w14:textId="77777777" w:rsidR="006054AA" w:rsidRDefault="001F7667">
            <w:pPr>
              <w:pStyle w:val="P68B1DB1-Normal9"/>
              <w:jc w:val="center"/>
              <w:rPr>
                <w:noProof/>
              </w:rPr>
            </w:pPr>
            <w:r>
              <w:rPr>
                <w:noProof/>
              </w:rPr>
              <w:t>Ключов етап/Цел</w:t>
            </w:r>
          </w:p>
        </w:tc>
        <w:tc>
          <w:tcPr>
            <w:tcW w:w="436" w:type="pct"/>
            <w:vMerge w:val="restart"/>
            <w:shd w:val="clear" w:color="auto" w:fill="BDD7EE"/>
            <w:vAlign w:val="center"/>
          </w:tcPr>
          <w:p w14:paraId="715653B1" w14:textId="77777777" w:rsidR="006054AA" w:rsidRDefault="001F7667">
            <w:pPr>
              <w:pStyle w:val="P68B1DB1-Normal9"/>
              <w:jc w:val="center"/>
              <w:rPr>
                <w:noProof/>
              </w:rPr>
            </w:pPr>
            <w:r>
              <w:rPr>
                <w:noProof/>
              </w:rPr>
              <w:t>Име</w:t>
            </w:r>
          </w:p>
        </w:tc>
        <w:tc>
          <w:tcPr>
            <w:tcW w:w="520" w:type="pct"/>
            <w:vMerge w:val="restart"/>
            <w:shd w:val="clear" w:color="auto" w:fill="BDD7EE"/>
            <w:vAlign w:val="center"/>
          </w:tcPr>
          <w:p w14:paraId="17D59F92" w14:textId="77777777" w:rsidR="006054AA" w:rsidRDefault="001F7667">
            <w:pPr>
              <w:pStyle w:val="P68B1DB1-Normal19"/>
              <w:jc w:val="center"/>
              <w:rPr>
                <w:b/>
                <w:noProof/>
              </w:rPr>
            </w:pPr>
            <w:r>
              <w:rPr>
                <w:b/>
                <w:noProof/>
              </w:rPr>
              <w:t>Качествени индикатори</w:t>
            </w:r>
            <w:r>
              <w:rPr>
                <w:noProof/>
              </w:rPr>
              <w:t xml:space="preserve"> </w:t>
            </w:r>
            <w:r>
              <w:rPr>
                <w:noProof/>
              </w:rPr>
              <w:br/>
            </w:r>
            <w:r>
              <w:rPr>
                <w:b/>
                <w:noProof/>
              </w:rPr>
              <w:t>(за ключовите етапи)</w:t>
            </w:r>
          </w:p>
        </w:tc>
        <w:tc>
          <w:tcPr>
            <w:tcW w:w="1113" w:type="pct"/>
            <w:gridSpan w:val="3"/>
            <w:shd w:val="clear" w:color="auto" w:fill="BDD7EE"/>
            <w:vAlign w:val="center"/>
          </w:tcPr>
          <w:p w14:paraId="795757A9" w14:textId="77777777" w:rsidR="006054AA" w:rsidRDefault="001F7667">
            <w:pPr>
              <w:pStyle w:val="P68B1DB1-Normal19"/>
              <w:jc w:val="center"/>
              <w:rPr>
                <w:b/>
                <w:noProof/>
              </w:rPr>
            </w:pPr>
            <w:r>
              <w:rPr>
                <w:b/>
                <w:noProof/>
              </w:rPr>
              <w:t>Количествени индикатори</w:t>
            </w:r>
            <w:r>
              <w:rPr>
                <w:noProof/>
              </w:rPr>
              <w:t xml:space="preserve"> </w:t>
            </w:r>
            <w:r>
              <w:rPr>
                <w:noProof/>
              </w:rPr>
              <w:br/>
            </w:r>
            <w:r>
              <w:rPr>
                <w:b/>
                <w:noProof/>
              </w:rPr>
              <w:t>(за целите)</w:t>
            </w:r>
          </w:p>
        </w:tc>
        <w:tc>
          <w:tcPr>
            <w:tcW w:w="546" w:type="pct"/>
            <w:gridSpan w:val="2"/>
            <w:shd w:val="clear" w:color="auto" w:fill="BDD7EE"/>
            <w:vAlign w:val="center"/>
          </w:tcPr>
          <w:p w14:paraId="26CAF45E" w14:textId="77777777" w:rsidR="006054AA" w:rsidRDefault="001F7667">
            <w:pPr>
              <w:pStyle w:val="P68B1DB1-Normal9"/>
              <w:jc w:val="center"/>
              <w:rPr>
                <w:noProof/>
              </w:rPr>
            </w:pPr>
            <w:r>
              <w:rPr>
                <w:noProof/>
              </w:rPr>
              <w:t>Примерен график за приключване</w:t>
            </w:r>
          </w:p>
        </w:tc>
        <w:tc>
          <w:tcPr>
            <w:tcW w:w="1192" w:type="pct"/>
            <w:vMerge w:val="restart"/>
            <w:shd w:val="clear" w:color="auto" w:fill="BDD7EE"/>
            <w:vAlign w:val="center"/>
          </w:tcPr>
          <w:p w14:paraId="530D8B4C" w14:textId="77777777" w:rsidR="006054AA" w:rsidRDefault="001F7667">
            <w:pPr>
              <w:pStyle w:val="P68B1DB1-Normal9"/>
              <w:rPr>
                <w:noProof/>
              </w:rPr>
            </w:pPr>
            <w:r>
              <w:rPr>
                <w:noProof/>
              </w:rPr>
              <w:t>Описание на всеки ключов етап и цел</w:t>
            </w:r>
          </w:p>
        </w:tc>
      </w:tr>
      <w:tr w:rsidR="006054AA" w14:paraId="68C0102A" w14:textId="77777777">
        <w:trPr>
          <w:trHeight w:val="1013"/>
          <w:tblHeader/>
        </w:trPr>
        <w:tc>
          <w:tcPr>
            <w:tcW w:w="366" w:type="pct"/>
            <w:vMerge/>
            <w:vAlign w:val="center"/>
            <w:hideMark/>
          </w:tcPr>
          <w:p w14:paraId="749A8C33" w14:textId="77777777" w:rsidR="006054AA" w:rsidRDefault="006054AA">
            <w:pPr>
              <w:spacing w:after="200" w:line="276" w:lineRule="auto"/>
              <w:rPr>
                <w:rFonts w:ascii="Arial Narrow" w:hAnsi="Arial Narrow"/>
                <w:b/>
                <w:noProof/>
                <w:sz w:val="20"/>
              </w:rPr>
            </w:pPr>
          </w:p>
        </w:tc>
        <w:tc>
          <w:tcPr>
            <w:tcW w:w="460" w:type="pct"/>
            <w:vMerge/>
            <w:vAlign w:val="center"/>
            <w:hideMark/>
          </w:tcPr>
          <w:p w14:paraId="68017005" w14:textId="77777777" w:rsidR="006054AA" w:rsidRDefault="006054AA">
            <w:pPr>
              <w:jc w:val="center"/>
              <w:rPr>
                <w:rFonts w:ascii="Arial Narrow" w:hAnsi="Arial Narrow"/>
                <w:b/>
                <w:noProof/>
                <w:sz w:val="20"/>
              </w:rPr>
            </w:pPr>
          </w:p>
        </w:tc>
        <w:tc>
          <w:tcPr>
            <w:tcW w:w="368" w:type="pct"/>
            <w:vMerge/>
            <w:vAlign w:val="center"/>
            <w:hideMark/>
          </w:tcPr>
          <w:p w14:paraId="1A335473" w14:textId="77777777" w:rsidR="006054AA" w:rsidRDefault="006054AA">
            <w:pPr>
              <w:jc w:val="center"/>
              <w:rPr>
                <w:rFonts w:ascii="Arial Narrow" w:hAnsi="Arial Narrow"/>
                <w:b/>
                <w:noProof/>
                <w:sz w:val="20"/>
              </w:rPr>
            </w:pPr>
          </w:p>
        </w:tc>
        <w:tc>
          <w:tcPr>
            <w:tcW w:w="436" w:type="pct"/>
            <w:vMerge/>
            <w:vAlign w:val="center"/>
            <w:hideMark/>
          </w:tcPr>
          <w:p w14:paraId="3E3B7115" w14:textId="77777777" w:rsidR="006054AA" w:rsidRDefault="006054AA">
            <w:pPr>
              <w:jc w:val="center"/>
              <w:rPr>
                <w:rFonts w:ascii="Arial Narrow" w:hAnsi="Arial Narrow"/>
                <w:b/>
                <w:noProof/>
                <w:sz w:val="20"/>
              </w:rPr>
            </w:pPr>
          </w:p>
        </w:tc>
        <w:tc>
          <w:tcPr>
            <w:tcW w:w="520" w:type="pct"/>
            <w:vMerge/>
            <w:vAlign w:val="center"/>
            <w:hideMark/>
          </w:tcPr>
          <w:p w14:paraId="096DFA0A" w14:textId="77777777" w:rsidR="006054AA" w:rsidRDefault="006054AA">
            <w:pPr>
              <w:jc w:val="center"/>
              <w:rPr>
                <w:rFonts w:ascii="Arial Narrow" w:hAnsi="Arial Narrow"/>
                <w:b/>
                <w:noProof/>
                <w:sz w:val="20"/>
              </w:rPr>
            </w:pPr>
          </w:p>
        </w:tc>
        <w:tc>
          <w:tcPr>
            <w:tcW w:w="368" w:type="pct"/>
            <w:shd w:val="clear" w:color="auto" w:fill="BDD7EE"/>
            <w:vAlign w:val="center"/>
            <w:hideMark/>
          </w:tcPr>
          <w:p w14:paraId="5B1E0914" w14:textId="77777777" w:rsidR="006054AA" w:rsidRDefault="001F7667">
            <w:pPr>
              <w:pStyle w:val="P68B1DB1-Normal9"/>
              <w:jc w:val="center"/>
              <w:rPr>
                <w:noProof/>
              </w:rPr>
            </w:pPr>
            <w:r>
              <w:rPr>
                <w:noProof/>
              </w:rPr>
              <w:t>Единица мярка</w:t>
            </w:r>
          </w:p>
        </w:tc>
        <w:tc>
          <w:tcPr>
            <w:tcW w:w="368" w:type="pct"/>
            <w:shd w:val="clear" w:color="auto" w:fill="BDD7EE"/>
            <w:vAlign w:val="center"/>
            <w:hideMark/>
          </w:tcPr>
          <w:p w14:paraId="2A4F2DFE" w14:textId="77777777" w:rsidR="006054AA" w:rsidRDefault="001F7667">
            <w:pPr>
              <w:pStyle w:val="P68B1DB1-Normal9"/>
              <w:jc w:val="center"/>
              <w:rPr>
                <w:noProof/>
              </w:rPr>
            </w:pPr>
            <w:r>
              <w:rPr>
                <w:noProof/>
              </w:rPr>
              <w:t>Базова линия</w:t>
            </w:r>
          </w:p>
        </w:tc>
        <w:tc>
          <w:tcPr>
            <w:tcW w:w="377" w:type="pct"/>
            <w:shd w:val="clear" w:color="auto" w:fill="BDD7EE"/>
            <w:vAlign w:val="center"/>
            <w:hideMark/>
          </w:tcPr>
          <w:p w14:paraId="3AA42810" w14:textId="77777777" w:rsidR="006054AA" w:rsidRDefault="001F7667">
            <w:pPr>
              <w:pStyle w:val="P68B1DB1-Normal9"/>
              <w:jc w:val="center"/>
              <w:rPr>
                <w:noProof/>
              </w:rPr>
            </w:pPr>
            <w:r>
              <w:rPr>
                <w:noProof/>
              </w:rPr>
              <w:t>Цел</w:t>
            </w:r>
          </w:p>
        </w:tc>
        <w:tc>
          <w:tcPr>
            <w:tcW w:w="321" w:type="pct"/>
            <w:shd w:val="clear" w:color="auto" w:fill="BDD7EE"/>
            <w:vAlign w:val="center"/>
            <w:hideMark/>
          </w:tcPr>
          <w:p w14:paraId="46A1CFE5" w14:textId="77777777" w:rsidR="006054AA" w:rsidRDefault="001F7667">
            <w:pPr>
              <w:pStyle w:val="P68B1DB1-Normal9"/>
              <w:jc w:val="center"/>
              <w:rPr>
                <w:noProof/>
              </w:rPr>
            </w:pPr>
            <w:r>
              <w:rPr>
                <w:noProof/>
              </w:rPr>
              <w:t>Тримесечие</w:t>
            </w:r>
          </w:p>
        </w:tc>
        <w:tc>
          <w:tcPr>
            <w:tcW w:w="224" w:type="pct"/>
            <w:shd w:val="clear" w:color="auto" w:fill="BDD7EE"/>
            <w:vAlign w:val="center"/>
            <w:hideMark/>
          </w:tcPr>
          <w:p w14:paraId="48B1551D" w14:textId="77777777" w:rsidR="006054AA" w:rsidRDefault="001F7667">
            <w:pPr>
              <w:pStyle w:val="P68B1DB1-Normal9"/>
              <w:jc w:val="center"/>
              <w:rPr>
                <w:noProof/>
              </w:rPr>
            </w:pPr>
            <w:r>
              <w:rPr>
                <w:noProof/>
              </w:rPr>
              <w:t>Година</w:t>
            </w:r>
          </w:p>
        </w:tc>
        <w:tc>
          <w:tcPr>
            <w:tcW w:w="1192" w:type="pct"/>
            <w:vMerge/>
            <w:vAlign w:val="center"/>
            <w:hideMark/>
          </w:tcPr>
          <w:p w14:paraId="561B19F8" w14:textId="77777777" w:rsidR="006054AA" w:rsidRDefault="006054AA">
            <w:pPr>
              <w:rPr>
                <w:rFonts w:ascii="Arial Narrow" w:hAnsi="Arial Narrow"/>
                <w:b/>
                <w:noProof/>
                <w:sz w:val="20"/>
              </w:rPr>
            </w:pPr>
          </w:p>
        </w:tc>
      </w:tr>
      <w:tr w:rsidR="006054AA" w14:paraId="47B14BBD" w14:textId="77777777">
        <w:trPr>
          <w:trHeight w:val="309"/>
        </w:trPr>
        <w:tc>
          <w:tcPr>
            <w:tcW w:w="366" w:type="pct"/>
            <w:shd w:val="clear" w:color="auto" w:fill="C6EFCE"/>
            <w:noWrap/>
            <w:vAlign w:val="center"/>
            <w:hideMark/>
          </w:tcPr>
          <w:p w14:paraId="2B3909A1" w14:textId="77777777" w:rsidR="006054AA" w:rsidRDefault="001F7667">
            <w:pPr>
              <w:pStyle w:val="P68B1DB1-Normal11"/>
              <w:jc w:val="center"/>
              <w:rPr>
                <w:noProof/>
              </w:rPr>
            </w:pPr>
            <w:r>
              <w:rPr>
                <w:noProof/>
              </w:rPr>
              <w:t>M1C3—1</w:t>
            </w:r>
          </w:p>
        </w:tc>
        <w:tc>
          <w:tcPr>
            <w:tcW w:w="460" w:type="pct"/>
            <w:shd w:val="clear" w:color="auto" w:fill="C6EFCE"/>
            <w:noWrap/>
            <w:vAlign w:val="center"/>
            <w:hideMark/>
          </w:tcPr>
          <w:p w14:paraId="46332E52" w14:textId="77777777" w:rsidR="006054AA" w:rsidRDefault="001F7667">
            <w:pPr>
              <w:pStyle w:val="P68B1DB1-Normal11"/>
              <w:jc w:val="center"/>
              <w:rPr>
                <w:noProof/>
              </w:rPr>
            </w:pPr>
            <w:r>
              <w:rPr>
                <w:noProof/>
              </w:rPr>
              <w:t>Стратегия в областта на цифровите технологии за 1.1 г. и платформи за културното наследство</w:t>
            </w:r>
          </w:p>
        </w:tc>
        <w:tc>
          <w:tcPr>
            <w:tcW w:w="368" w:type="pct"/>
            <w:shd w:val="clear" w:color="auto" w:fill="C6EFCE"/>
            <w:noWrap/>
            <w:vAlign w:val="center"/>
            <w:hideMark/>
          </w:tcPr>
          <w:p w14:paraId="3484C88C" w14:textId="77777777" w:rsidR="006054AA" w:rsidRDefault="001F7667">
            <w:pPr>
              <w:pStyle w:val="P68B1DB1-Normal11"/>
              <w:jc w:val="center"/>
              <w:rPr>
                <w:noProof/>
              </w:rPr>
            </w:pPr>
            <w:r>
              <w:rPr>
                <w:noProof/>
              </w:rPr>
              <w:t>Целеви</w:t>
            </w:r>
          </w:p>
        </w:tc>
        <w:tc>
          <w:tcPr>
            <w:tcW w:w="436" w:type="pct"/>
            <w:shd w:val="clear" w:color="auto" w:fill="C6EFCE"/>
            <w:noWrap/>
            <w:vAlign w:val="center"/>
            <w:hideMark/>
          </w:tcPr>
          <w:p w14:paraId="650E64A5" w14:textId="77777777" w:rsidR="006054AA" w:rsidRDefault="001F7667">
            <w:pPr>
              <w:pStyle w:val="P68B1DB1-Normal11"/>
              <w:jc w:val="center"/>
              <w:rPr>
                <w:noProof/>
              </w:rPr>
            </w:pPr>
            <w:r>
              <w:rPr>
                <w:noProof/>
              </w:rPr>
              <w:t>Потребители, обучени чрез платформата за електронно обучение в областта на културното наследство</w:t>
            </w:r>
          </w:p>
        </w:tc>
        <w:tc>
          <w:tcPr>
            <w:tcW w:w="520" w:type="pct"/>
            <w:shd w:val="clear" w:color="auto" w:fill="C6EFCE"/>
            <w:noWrap/>
            <w:vAlign w:val="center"/>
            <w:hideMark/>
          </w:tcPr>
          <w:p w14:paraId="7437FA36"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2286D584" w14:textId="77777777" w:rsidR="006054AA" w:rsidRDefault="001F7667">
            <w:pPr>
              <w:pStyle w:val="P68B1DB1-Normal11"/>
              <w:jc w:val="center"/>
              <w:rPr>
                <w:noProof/>
              </w:rPr>
            </w:pPr>
            <w:r>
              <w:rPr>
                <w:noProof/>
              </w:rPr>
              <w:t>Брой</w:t>
            </w:r>
          </w:p>
        </w:tc>
        <w:tc>
          <w:tcPr>
            <w:tcW w:w="368" w:type="pct"/>
            <w:shd w:val="clear" w:color="auto" w:fill="C6EFCE"/>
            <w:noWrap/>
            <w:vAlign w:val="center"/>
            <w:hideMark/>
          </w:tcPr>
          <w:p w14:paraId="29B9F203" w14:textId="77777777" w:rsidR="006054AA" w:rsidRDefault="001F7667">
            <w:pPr>
              <w:pStyle w:val="P68B1DB1-Normal11"/>
              <w:jc w:val="center"/>
              <w:rPr>
                <w:noProof/>
              </w:rPr>
            </w:pPr>
            <w:r>
              <w:rPr>
                <w:noProof/>
              </w:rPr>
              <w:t>0</w:t>
            </w:r>
          </w:p>
        </w:tc>
        <w:tc>
          <w:tcPr>
            <w:tcW w:w="377" w:type="pct"/>
            <w:shd w:val="clear" w:color="auto" w:fill="C6EFCE"/>
            <w:noWrap/>
            <w:vAlign w:val="center"/>
            <w:hideMark/>
          </w:tcPr>
          <w:p w14:paraId="5D861463" w14:textId="06C300C0" w:rsidR="006054AA" w:rsidRDefault="001F7667">
            <w:pPr>
              <w:pStyle w:val="P68B1DB1-Normal11"/>
              <w:jc w:val="center"/>
              <w:rPr>
                <w:noProof/>
              </w:rPr>
            </w:pPr>
            <w:r>
              <w:rPr>
                <w:noProof/>
              </w:rPr>
              <w:t>30 000</w:t>
            </w:r>
          </w:p>
        </w:tc>
        <w:tc>
          <w:tcPr>
            <w:tcW w:w="321" w:type="pct"/>
            <w:shd w:val="clear" w:color="auto" w:fill="C6EFCE"/>
            <w:noWrap/>
            <w:vAlign w:val="center"/>
            <w:hideMark/>
          </w:tcPr>
          <w:p w14:paraId="7BC8F5C0" w14:textId="77777777" w:rsidR="006054AA" w:rsidRDefault="001F7667">
            <w:pPr>
              <w:pStyle w:val="P68B1DB1-Normal11"/>
              <w:jc w:val="center"/>
              <w:rPr>
                <w:noProof/>
              </w:rPr>
            </w:pPr>
            <w:r>
              <w:rPr>
                <w:noProof/>
              </w:rPr>
              <w:t>Т4 Г.</w:t>
            </w:r>
          </w:p>
        </w:tc>
        <w:tc>
          <w:tcPr>
            <w:tcW w:w="224" w:type="pct"/>
            <w:shd w:val="clear" w:color="auto" w:fill="C6EFCE"/>
            <w:noWrap/>
            <w:vAlign w:val="center"/>
            <w:hideMark/>
          </w:tcPr>
          <w:p w14:paraId="6788B425" w14:textId="77777777" w:rsidR="006054AA" w:rsidRDefault="001F7667">
            <w:pPr>
              <w:pStyle w:val="P68B1DB1-Normal11"/>
              <w:jc w:val="center"/>
              <w:rPr>
                <w:noProof/>
              </w:rPr>
            </w:pPr>
            <w:r>
              <w:rPr>
                <w:noProof/>
              </w:rPr>
              <w:t>2025</w:t>
            </w:r>
          </w:p>
        </w:tc>
        <w:tc>
          <w:tcPr>
            <w:tcW w:w="1192" w:type="pct"/>
            <w:shd w:val="clear" w:color="auto" w:fill="C6EFCE"/>
            <w:noWrap/>
            <w:vAlign w:val="center"/>
            <w:hideMark/>
          </w:tcPr>
          <w:p w14:paraId="0273D0C7" w14:textId="77777777" w:rsidR="006054AA" w:rsidRDefault="001F7667">
            <w:pPr>
              <w:pStyle w:val="P68B1DB1-Normal11"/>
              <w:rPr>
                <w:noProof/>
              </w:rPr>
            </w:pPr>
            <w:r>
              <w:rPr>
                <w:noProof/>
              </w:rPr>
              <w:t>Обучените целеви потребители измерват ефективността на предлаганото обучение, което ще бъде предоставено по цифров път за програмата за учене през целия живот.</w:t>
            </w:r>
          </w:p>
          <w:p w14:paraId="301D13E6" w14:textId="77777777" w:rsidR="006054AA" w:rsidRDefault="001F7667">
            <w:pPr>
              <w:pStyle w:val="P68B1DB1-Normal11"/>
              <w:rPr>
                <w:noProof/>
              </w:rPr>
            </w:pPr>
            <w:r>
              <w:rPr>
                <w:noProof/>
              </w:rPr>
              <w:t>Видовете интервенции включват:</w:t>
            </w:r>
          </w:p>
          <w:p w14:paraId="66911B79" w14:textId="77777777" w:rsidR="006054AA" w:rsidRDefault="001F7667">
            <w:pPr>
              <w:pStyle w:val="P68B1DB1-Normal11"/>
              <w:rPr>
                <w:noProof/>
              </w:rPr>
            </w:pPr>
            <w:r>
              <w:rPr>
                <w:noProof/>
              </w:rPr>
              <w:t>изготвяне на курсове за обучение, изпълнение чрез програми за начално преподаване и електронно обучение, разработени въз основа на оценка на компетентността на различни целеви групи учащи (съответстващи на три нива на курса: основни умения, специализирани умения, управленски умения).</w:t>
            </w:r>
          </w:p>
          <w:p w14:paraId="67D7D549" w14:textId="77777777" w:rsidR="006054AA" w:rsidRDefault="001F7667">
            <w:pPr>
              <w:pStyle w:val="P68B1DB1-Normal11"/>
              <w:rPr>
                <w:noProof/>
              </w:rPr>
            </w:pPr>
            <w:r>
              <w:rPr>
                <w:noProof/>
              </w:rPr>
              <w:t>Получателите на тази мярка са: служители на министерството, служители на културни институти на местните органи, културни дейци на свободна практика.</w:t>
            </w:r>
          </w:p>
          <w:p w14:paraId="5E1E33AD" w14:textId="77777777" w:rsidR="006054AA" w:rsidRDefault="006054AA">
            <w:pPr>
              <w:rPr>
                <w:rFonts w:ascii="Arial Narrow" w:hAnsi="Arial Narrow"/>
                <w:noProof/>
                <w:color w:val="006100"/>
                <w:sz w:val="20"/>
              </w:rPr>
            </w:pPr>
          </w:p>
        </w:tc>
      </w:tr>
      <w:tr w:rsidR="006054AA" w14:paraId="341D5C18" w14:textId="77777777">
        <w:trPr>
          <w:trHeight w:val="309"/>
        </w:trPr>
        <w:tc>
          <w:tcPr>
            <w:tcW w:w="366" w:type="pct"/>
            <w:shd w:val="clear" w:color="auto" w:fill="C6EFCE"/>
            <w:noWrap/>
            <w:vAlign w:val="center"/>
            <w:hideMark/>
          </w:tcPr>
          <w:p w14:paraId="77B36DF8" w14:textId="77777777" w:rsidR="006054AA" w:rsidRDefault="001F7667">
            <w:pPr>
              <w:pStyle w:val="P68B1DB1-Normal11"/>
              <w:jc w:val="center"/>
              <w:rPr>
                <w:noProof/>
              </w:rPr>
            </w:pPr>
            <w:r>
              <w:rPr>
                <w:noProof/>
              </w:rPr>
              <w:t>M1C3—2</w:t>
            </w:r>
          </w:p>
        </w:tc>
        <w:tc>
          <w:tcPr>
            <w:tcW w:w="460" w:type="pct"/>
            <w:shd w:val="clear" w:color="auto" w:fill="C6EFCE"/>
            <w:noWrap/>
            <w:vAlign w:val="center"/>
            <w:hideMark/>
          </w:tcPr>
          <w:p w14:paraId="398EBAE8" w14:textId="77777777" w:rsidR="006054AA" w:rsidRDefault="001F7667">
            <w:pPr>
              <w:pStyle w:val="P68B1DB1-Normal11"/>
              <w:jc w:val="center"/>
              <w:rPr>
                <w:noProof/>
              </w:rPr>
            </w:pPr>
            <w:r>
              <w:rPr>
                <w:noProof/>
              </w:rPr>
              <w:t>Инвестиции — Цифрова стратегия и платформи за културното наследство до 1.1 г.</w:t>
            </w:r>
          </w:p>
        </w:tc>
        <w:tc>
          <w:tcPr>
            <w:tcW w:w="368" w:type="pct"/>
            <w:shd w:val="clear" w:color="auto" w:fill="C6EFCE"/>
            <w:noWrap/>
            <w:vAlign w:val="center"/>
            <w:hideMark/>
          </w:tcPr>
          <w:p w14:paraId="33A51AD7" w14:textId="77777777" w:rsidR="006054AA" w:rsidRDefault="001F7667">
            <w:pPr>
              <w:pStyle w:val="P68B1DB1-Normal11"/>
              <w:jc w:val="center"/>
              <w:rPr>
                <w:noProof/>
              </w:rPr>
            </w:pPr>
            <w:r>
              <w:rPr>
                <w:noProof/>
              </w:rPr>
              <w:t>Целеви</w:t>
            </w:r>
          </w:p>
        </w:tc>
        <w:tc>
          <w:tcPr>
            <w:tcW w:w="436" w:type="pct"/>
            <w:shd w:val="clear" w:color="auto" w:fill="C6EFCE"/>
            <w:noWrap/>
            <w:vAlign w:val="center"/>
            <w:hideMark/>
          </w:tcPr>
          <w:p w14:paraId="60038BA9" w14:textId="77777777" w:rsidR="006054AA" w:rsidRDefault="001F7667">
            <w:pPr>
              <w:pStyle w:val="P68B1DB1-Normal11"/>
              <w:jc w:val="center"/>
              <w:rPr>
                <w:noProof/>
              </w:rPr>
            </w:pPr>
            <w:r>
              <w:rPr>
                <w:noProof/>
              </w:rPr>
              <w:t>Цифрови ресурси, създадени и публикувани в цифровата библиотека</w:t>
            </w:r>
          </w:p>
          <w:p w14:paraId="0311BF45" w14:textId="77777777" w:rsidR="006054AA" w:rsidRDefault="006054AA">
            <w:pPr>
              <w:jc w:val="center"/>
              <w:rPr>
                <w:rFonts w:ascii="Arial Narrow" w:hAnsi="Arial Narrow"/>
                <w:noProof/>
                <w:color w:val="006100"/>
                <w:sz w:val="20"/>
              </w:rPr>
            </w:pPr>
          </w:p>
        </w:tc>
        <w:tc>
          <w:tcPr>
            <w:tcW w:w="520" w:type="pct"/>
            <w:shd w:val="clear" w:color="auto" w:fill="C6EFCE"/>
            <w:noWrap/>
            <w:vAlign w:val="center"/>
            <w:hideMark/>
          </w:tcPr>
          <w:p w14:paraId="5AE36A9E"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617E2436" w14:textId="77777777" w:rsidR="006054AA" w:rsidRDefault="001F7667">
            <w:pPr>
              <w:pStyle w:val="P68B1DB1-Normal11"/>
              <w:jc w:val="center"/>
              <w:rPr>
                <w:noProof/>
              </w:rPr>
            </w:pPr>
            <w:r>
              <w:rPr>
                <w:noProof/>
              </w:rPr>
              <w:t>Брой</w:t>
            </w:r>
          </w:p>
        </w:tc>
        <w:tc>
          <w:tcPr>
            <w:tcW w:w="368" w:type="pct"/>
            <w:shd w:val="clear" w:color="auto" w:fill="C6EFCE"/>
            <w:noWrap/>
            <w:vAlign w:val="center"/>
            <w:hideMark/>
          </w:tcPr>
          <w:p w14:paraId="3F402347" w14:textId="77777777" w:rsidR="006054AA" w:rsidRDefault="001F7667">
            <w:pPr>
              <w:pStyle w:val="P68B1DB1-Normal11"/>
              <w:jc w:val="center"/>
              <w:rPr>
                <w:noProof/>
              </w:rPr>
            </w:pPr>
            <w:r>
              <w:rPr>
                <w:noProof/>
              </w:rPr>
              <w:t>0</w:t>
            </w:r>
          </w:p>
        </w:tc>
        <w:tc>
          <w:tcPr>
            <w:tcW w:w="377" w:type="pct"/>
            <w:shd w:val="clear" w:color="auto" w:fill="C6EFCE"/>
            <w:noWrap/>
            <w:vAlign w:val="center"/>
            <w:hideMark/>
          </w:tcPr>
          <w:p w14:paraId="1A9637B5" w14:textId="2BCB918E" w:rsidR="006054AA" w:rsidRDefault="001F7667">
            <w:pPr>
              <w:pStyle w:val="P68B1DB1-Normal11"/>
              <w:jc w:val="center"/>
              <w:rPr>
                <w:noProof/>
              </w:rPr>
            </w:pPr>
            <w:r>
              <w:rPr>
                <w:noProof/>
              </w:rPr>
              <w:t>65 000 000</w:t>
            </w:r>
          </w:p>
        </w:tc>
        <w:tc>
          <w:tcPr>
            <w:tcW w:w="321" w:type="pct"/>
            <w:shd w:val="clear" w:color="auto" w:fill="C6EFCE"/>
            <w:noWrap/>
            <w:vAlign w:val="center"/>
            <w:hideMark/>
          </w:tcPr>
          <w:p w14:paraId="0FE3D739" w14:textId="77777777" w:rsidR="006054AA" w:rsidRDefault="001F7667">
            <w:pPr>
              <w:pStyle w:val="P68B1DB1-Normal11"/>
              <w:jc w:val="center"/>
              <w:rPr>
                <w:noProof/>
              </w:rPr>
            </w:pPr>
            <w:r>
              <w:rPr>
                <w:noProof/>
              </w:rPr>
              <w:t>Т4 Г.</w:t>
            </w:r>
          </w:p>
        </w:tc>
        <w:tc>
          <w:tcPr>
            <w:tcW w:w="224" w:type="pct"/>
            <w:shd w:val="clear" w:color="auto" w:fill="C6EFCE"/>
            <w:noWrap/>
            <w:vAlign w:val="center"/>
            <w:hideMark/>
          </w:tcPr>
          <w:p w14:paraId="32C46F96" w14:textId="77777777" w:rsidR="006054AA" w:rsidRDefault="006054AA">
            <w:pPr>
              <w:jc w:val="center"/>
              <w:rPr>
                <w:rFonts w:ascii="Arial Narrow" w:hAnsi="Arial Narrow"/>
                <w:noProof/>
                <w:color w:val="006100"/>
                <w:sz w:val="20"/>
              </w:rPr>
            </w:pPr>
          </w:p>
          <w:p w14:paraId="34F9AB14" w14:textId="77777777" w:rsidR="006054AA" w:rsidRDefault="001F7667">
            <w:pPr>
              <w:pStyle w:val="P68B1DB1-Normal11"/>
              <w:jc w:val="center"/>
              <w:rPr>
                <w:noProof/>
              </w:rPr>
            </w:pPr>
            <w:r>
              <w:rPr>
                <w:noProof/>
              </w:rPr>
              <w:t>2025</w:t>
            </w:r>
          </w:p>
          <w:p w14:paraId="6924F315" w14:textId="77777777" w:rsidR="006054AA" w:rsidRDefault="006054AA">
            <w:pPr>
              <w:jc w:val="center"/>
              <w:rPr>
                <w:rFonts w:ascii="Arial Narrow" w:hAnsi="Arial Narrow"/>
                <w:noProof/>
                <w:color w:val="006100"/>
                <w:sz w:val="20"/>
              </w:rPr>
            </w:pPr>
          </w:p>
        </w:tc>
        <w:tc>
          <w:tcPr>
            <w:tcW w:w="1192" w:type="pct"/>
            <w:shd w:val="clear" w:color="auto" w:fill="C6EFCE"/>
            <w:noWrap/>
            <w:vAlign w:val="center"/>
            <w:hideMark/>
          </w:tcPr>
          <w:p w14:paraId="498E5E25" w14:textId="77777777" w:rsidR="006054AA" w:rsidRDefault="001F7667">
            <w:pPr>
              <w:pStyle w:val="P68B1DB1-Normal11"/>
              <w:rPr>
                <w:noProof/>
              </w:rPr>
            </w:pPr>
            <w:r>
              <w:rPr>
                <w:noProof/>
              </w:rPr>
              <w:t>Целевите цифрови ресурси измерват увеличаването на количеството цифровизирани културни ценности, чието цифрово възпроизвеждане може да се използва онлайн чрез цифрови технологии.</w:t>
            </w:r>
          </w:p>
          <w:p w14:paraId="75BE9265" w14:textId="77777777" w:rsidR="006054AA" w:rsidRDefault="001F7667">
            <w:pPr>
              <w:pStyle w:val="P68B1DB1-Normal11"/>
              <w:rPr>
                <w:noProof/>
              </w:rPr>
            </w:pPr>
            <w:r>
              <w:rPr>
                <w:noProof/>
              </w:rPr>
              <w:t>Видът цифрови ресурси, които трябва да бъдат попълнени, включва: цифровизация на книги и ръкописи, документи и снимки, произведения на изкуството и исторически и археологически артефакти, паметници и археологически обекти, аудио-визуални материали, включително нормализиране на предишни дигитализации и метаданни</w:t>
            </w:r>
          </w:p>
          <w:p w14:paraId="2B032E8B" w14:textId="77777777" w:rsidR="006054AA" w:rsidRDefault="001F7667">
            <w:pPr>
              <w:pStyle w:val="P68B1DB1-Normal11"/>
              <w:rPr>
                <w:noProof/>
              </w:rPr>
            </w:pPr>
            <w:r>
              <w:rPr>
                <w:noProof/>
              </w:rPr>
              <w:t>Бенефициери: музеи, архиви, библиотеки и културни институти</w:t>
            </w:r>
          </w:p>
        </w:tc>
      </w:tr>
      <w:tr w:rsidR="006054AA" w14:paraId="6A56286B" w14:textId="77777777">
        <w:trPr>
          <w:trHeight w:val="309"/>
        </w:trPr>
        <w:tc>
          <w:tcPr>
            <w:tcW w:w="366" w:type="pct"/>
            <w:shd w:val="clear" w:color="auto" w:fill="C6EFCE"/>
            <w:noWrap/>
            <w:vAlign w:val="center"/>
            <w:hideMark/>
          </w:tcPr>
          <w:p w14:paraId="6562D723" w14:textId="77777777" w:rsidR="006054AA" w:rsidRDefault="001F7667">
            <w:pPr>
              <w:pStyle w:val="P68B1DB1-Normal11"/>
              <w:jc w:val="center"/>
              <w:rPr>
                <w:noProof/>
              </w:rPr>
            </w:pPr>
            <w:r>
              <w:rPr>
                <w:noProof/>
              </w:rPr>
              <w:t>M1C3—3</w:t>
            </w:r>
          </w:p>
        </w:tc>
        <w:tc>
          <w:tcPr>
            <w:tcW w:w="460" w:type="pct"/>
            <w:shd w:val="clear" w:color="auto" w:fill="C6EFCE"/>
            <w:noWrap/>
            <w:vAlign w:val="center"/>
            <w:hideMark/>
          </w:tcPr>
          <w:p w14:paraId="1BE4526D" w14:textId="77777777" w:rsidR="006054AA" w:rsidRDefault="001F7667">
            <w:pPr>
              <w:pStyle w:val="P68B1DB1-Normal11"/>
              <w:jc w:val="center"/>
              <w:rPr>
                <w:noProof/>
              </w:rPr>
            </w:pPr>
            <w:r>
              <w:rPr>
                <w:noProof/>
              </w:rPr>
              <w:t>Инвестиции — 1.2 Премахване на физическите и когнитивните бариери в музеите, библиотеките и архивите, за да се даде възможност за по-широк достъп до културата и участие в нея</w:t>
            </w:r>
          </w:p>
        </w:tc>
        <w:tc>
          <w:tcPr>
            <w:tcW w:w="368" w:type="pct"/>
            <w:shd w:val="clear" w:color="auto" w:fill="C6EFCE"/>
            <w:noWrap/>
            <w:vAlign w:val="center"/>
            <w:hideMark/>
          </w:tcPr>
          <w:p w14:paraId="213AEAFA" w14:textId="77777777" w:rsidR="006054AA" w:rsidRDefault="001F7667">
            <w:pPr>
              <w:pStyle w:val="P68B1DB1-Normal11"/>
              <w:jc w:val="center"/>
              <w:rPr>
                <w:noProof/>
              </w:rPr>
            </w:pPr>
            <w:r>
              <w:rPr>
                <w:noProof/>
              </w:rPr>
              <w:t>Целеви</w:t>
            </w:r>
          </w:p>
        </w:tc>
        <w:tc>
          <w:tcPr>
            <w:tcW w:w="436" w:type="pct"/>
            <w:shd w:val="clear" w:color="auto" w:fill="C6EFCE"/>
            <w:noWrap/>
            <w:vAlign w:val="center"/>
            <w:hideMark/>
          </w:tcPr>
          <w:p w14:paraId="6C554851" w14:textId="77777777" w:rsidR="006054AA" w:rsidRDefault="001F7667">
            <w:pPr>
              <w:pStyle w:val="P68B1DB1-Normal11"/>
              <w:jc w:val="center"/>
              <w:rPr>
                <w:noProof/>
              </w:rPr>
            </w:pPr>
            <w:r>
              <w:rPr>
                <w:noProof/>
              </w:rPr>
              <w:t>Интервенции за подобряване на физическата и когнитивната достъпност на местата на културата</w:t>
            </w:r>
          </w:p>
        </w:tc>
        <w:tc>
          <w:tcPr>
            <w:tcW w:w="520" w:type="pct"/>
            <w:shd w:val="clear" w:color="auto" w:fill="C6EFCE"/>
            <w:noWrap/>
            <w:vAlign w:val="center"/>
            <w:hideMark/>
          </w:tcPr>
          <w:p w14:paraId="1EC440EA"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69FB23A7" w14:textId="77777777" w:rsidR="006054AA" w:rsidRDefault="001F7667">
            <w:pPr>
              <w:pStyle w:val="P68B1DB1-Normal11"/>
              <w:jc w:val="center"/>
              <w:rPr>
                <w:noProof/>
              </w:rPr>
            </w:pPr>
            <w:r>
              <w:rPr>
                <w:noProof/>
              </w:rPr>
              <w:t>Брой</w:t>
            </w:r>
          </w:p>
        </w:tc>
        <w:tc>
          <w:tcPr>
            <w:tcW w:w="368" w:type="pct"/>
            <w:shd w:val="clear" w:color="auto" w:fill="C6EFCE"/>
            <w:noWrap/>
            <w:vAlign w:val="center"/>
            <w:hideMark/>
          </w:tcPr>
          <w:p w14:paraId="6293A4EB" w14:textId="77777777" w:rsidR="006054AA" w:rsidRDefault="001F7667">
            <w:pPr>
              <w:pStyle w:val="P68B1DB1-Normal11"/>
              <w:jc w:val="center"/>
              <w:rPr>
                <w:noProof/>
              </w:rPr>
            </w:pPr>
            <w:r>
              <w:rPr>
                <w:noProof/>
              </w:rPr>
              <w:t>0</w:t>
            </w:r>
          </w:p>
        </w:tc>
        <w:tc>
          <w:tcPr>
            <w:tcW w:w="377" w:type="pct"/>
            <w:shd w:val="clear" w:color="auto" w:fill="C6EFCE"/>
            <w:noWrap/>
            <w:vAlign w:val="center"/>
            <w:hideMark/>
          </w:tcPr>
          <w:p w14:paraId="552AB0C0" w14:textId="77777777" w:rsidR="006054AA" w:rsidRDefault="001F7667">
            <w:pPr>
              <w:pStyle w:val="P68B1DB1-Normal11"/>
              <w:jc w:val="center"/>
              <w:rPr>
                <w:noProof/>
              </w:rPr>
            </w:pPr>
            <w:r>
              <w:rPr>
                <w:noProof/>
              </w:rPr>
              <w:t>617</w:t>
            </w:r>
          </w:p>
        </w:tc>
        <w:tc>
          <w:tcPr>
            <w:tcW w:w="321" w:type="pct"/>
            <w:shd w:val="clear" w:color="auto" w:fill="C6EFCE"/>
            <w:noWrap/>
            <w:vAlign w:val="center"/>
            <w:hideMark/>
          </w:tcPr>
          <w:p w14:paraId="61CB865F" w14:textId="77777777" w:rsidR="006054AA" w:rsidRDefault="001F7667">
            <w:pPr>
              <w:pStyle w:val="P68B1DB1-Normal11"/>
              <w:jc w:val="center"/>
              <w:rPr>
                <w:noProof/>
              </w:rPr>
            </w:pPr>
            <w:r>
              <w:rPr>
                <w:noProof/>
              </w:rPr>
              <w:t>Т2 Г.</w:t>
            </w:r>
          </w:p>
        </w:tc>
        <w:tc>
          <w:tcPr>
            <w:tcW w:w="224" w:type="pct"/>
            <w:shd w:val="clear" w:color="auto" w:fill="C6EFCE"/>
            <w:noWrap/>
            <w:vAlign w:val="center"/>
            <w:hideMark/>
          </w:tcPr>
          <w:p w14:paraId="57EED56F" w14:textId="77777777" w:rsidR="006054AA" w:rsidRDefault="001F7667">
            <w:pPr>
              <w:pStyle w:val="P68B1DB1-Normal11"/>
              <w:jc w:val="center"/>
              <w:rPr>
                <w:noProof/>
              </w:rPr>
            </w:pPr>
            <w:r>
              <w:rPr>
                <w:noProof/>
              </w:rPr>
              <w:t>2026</w:t>
            </w:r>
          </w:p>
        </w:tc>
        <w:tc>
          <w:tcPr>
            <w:tcW w:w="1192" w:type="pct"/>
            <w:shd w:val="clear" w:color="auto" w:fill="C6EFCE"/>
            <w:noWrap/>
            <w:vAlign w:val="center"/>
            <w:hideMark/>
          </w:tcPr>
          <w:p w14:paraId="007EE4E3" w14:textId="77777777" w:rsidR="006054AA" w:rsidRDefault="006054AA">
            <w:pPr>
              <w:rPr>
                <w:rFonts w:ascii="Arial Narrow" w:hAnsi="Arial Narrow"/>
                <w:noProof/>
                <w:color w:val="006100"/>
                <w:sz w:val="20"/>
              </w:rPr>
            </w:pPr>
          </w:p>
          <w:p w14:paraId="1F1F789D" w14:textId="77777777" w:rsidR="006054AA" w:rsidRDefault="001F7667">
            <w:pPr>
              <w:pStyle w:val="P68B1DB1-Normal11"/>
              <w:rPr>
                <w:noProof/>
              </w:rPr>
            </w:pPr>
            <w:r>
              <w:rPr>
                <w:noProof/>
              </w:rPr>
              <w:t>352 музея, паметници, археологически зони и паркове, 129 архиви, 46 библиотеки и 90 недържавни културни обекта.</w:t>
            </w:r>
          </w:p>
          <w:p w14:paraId="1562CF98" w14:textId="77777777" w:rsidR="006054AA" w:rsidRDefault="006054AA">
            <w:pPr>
              <w:rPr>
                <w:rFonts w:ascii="Arial Narrow" w:hAnsi="Arial Narrow"/>
                <w:noProof/>
                <w:color w:val="006100"/>
                <w:sz w:val="20"/>
              </w:rPr>
            </w:pPr>
          </w:p>
          <w:p w14:paraId="0AC2ADCF" w14:textId="77777777" w:rsidR="006054AA" w:rsidRDefault="001F7667">
            <w:pPr>
              <w:pStyle w:val="P68B1DB1-Normal11"/>
              <w:rPr>
                <w:noProof/>
              </w:rPr>
            </w:pPr>
            <w:r>
              <w:rPr>
                <w:noProof/>
              </w:rPr>
              <w:t>Интервенциите се отнасят до физически интервенции за премахване на архитектурните бариери и инсталиране на технологични инструменти, които да позволят използването им за субекти с ограничени сетивни способности (тактилни, звукови, обонятелни преживявания)</w:t>
            </w:r>
          </w:p>
          <w:p w14:paraId="6992A724" w14:textId="77777777" w:rsidR="006054AA" w:rsidRDefault="006054AA">
            <w:pPr>
              <w:rPr>
                <w:rFonts w:ascii="Arial Narrow" w:hAnsi="Arial Narrow"/>
                <w:noProof/>
                <w:color w:val="006100"/>
                <w:sz w:val="20"/>
              </w:rPr>
            </w:pPr>
          </w:p>
          <w:p w14:paraId="3A22F678" w14:textId="77777777" w:rsidR="006054AA" w:rsidRDefault="001F7667">
            <w:pPr>
              <w:pStyle w:val="P68B1DB1-Normal11"/>
              <w:rPr>
                <w:noProof/>
              </w:rPr>
            </w:pPr>
            <w:r>
              <w:rPr>
                <w:noProof/>
              </w:rPr>
              <w:t>37 % от интервенциите се извършват в южните региони.</w:t>
            </w:r>
          </w:p>
        </w:tc>
      </w:tr>
      <w:tr w:rsidR="006054AA" w14:paraId="137FD82E" w14:textId="77777777">
        <w:trPr>
          <w:trHeight w:val="309"/>
        </w:trPr>
        <w:tc>
          <w:tcPr>
            <w:tcW w:w="366" w:type="pct"/>
            <w:shd w:val="clear" w:color="auto" w:fill="C6EFCE"/>
            <w:noWrap/>
            <w:vAlign w:val="center"/>
            <w:hideMark/>
          </w:tcPr>
          <w:p w14:paraId="06596E03" w14:textId="77777777" w:rsidR="006054AA" w:rsidRDefault="001F7667">
            <w:pPr>
              <w:pStyle w:val="P68B1DB1-Normal11"/>
              <w:jc w:val="center"/>
              <w:rPr>
                <w:noProof/>
              </w:rPr>
            </w:pPr>
            <w:r>
              <w:rPr>
                <w:noProof/>
              </w:rPr>
              <w:t>M1C3—4</w:t>
            </w:r>
          </w:p>
        </w:tc>
        <w:tc>
          <w:tcPr>
            <w:tcW w:w="460" w:type="pct"/>
            <w:shd w:val="clear" w:color="auto" w:fill="C6EFCE"/>
            <w:noWrap/>
            <w:vAlign w:val="center"/>
            <w:hideMark/>
          </w:tcPr>
          <w:p w14:paraId="2FDE141A" w14:textId="77777777" w:rsidR="006054AA" w:rsidRDefault="001F7667">
            <w:pPr>
              <w:pStyle w:val="P68B1DB1-Normal11"/>
              <w:jc w:val="center"/>
              <w:rPr>
                <w:noProof/>
              </w:rPr>
            </w:pPr>
            <w:r>
              <w:rPr>
                <w:noProof/>
              </w:rPr>
              <w:t>Инвестиции — 1.3 Подобряване на енергийната ефективност в киното, театрите и музеите</w:t>
            </w:r>
          </w:p>
        </w:tc>
        <w:tc>
          <w:tcPr>
            <w:tcW w:w="368" w:type="pct"/>
            <w:shd w:val="clear" w:color="auto" w:fill="C6EFCE"/>
            <w:noWrap/>
            <w:vAlign w:val="center"/>
            <w:hideMark/>
          </w:tcPr>
          <w:p w14:paraId="75B5E6F5" w14:textId="77777777" w:rsidR="006054AA" w:rsidRDefault="001F7667">
            <w:pPr>
              <w:pStyle w:val="P68B1DB1-Normal11"/>
              <w:jc w:val="center"/>
              <w:rPr>
                <w:noProof/>
              </w:rPr>
            </w:pPr>
            <w:r>
              <w:rPr>
                <w:noProof/>
              </w:rPr>
              <w:t>Целеви</w:t>
            </w:r>
          </w:p>
        </w:tc>
        <w:tc>
          <w:tcPr>
            <w:tcW w:w="436" w:type="pct"/>
            <w:shd w:val="clear" w:color="auto" w:fill="C6EFCE"/>
            <w:noWrap/>
            <w:vAlign w:val="center"/>
            <w:hideMark/>
          </w:tcPr>
          <w:p w14:paraId="5E6A4A13" w14:textId="77777777" w:rsidR="006054AA" w:rsidRDefault="001F7667">
            <w:pPr>
              <w:pStyle w:val="P68B1DB1-Normal11"/>
              <w:jc w:val="center"/>
              <w:rPr>
                <w:noProof/>
              </w:rPr>
            </w:pPr>
            <w:r>
              <w:rPr>
                <w:noProof/>
              </w:rPr>
              <w:t>Приключиха изказванията относно държавни музеи и културни обекти, театрални зали и кина (първа партида)</w:t>
            </w:r>
          </w:p>
        </w:tc>
        <w:tc>
          <w:tcPr>
            <w:tcW w:w="520" w:type="pct"/>
            <w:shd w:val="clear" w:color="auto" w:fill="C6EFCE"/>
            <w:noWrap/>
            <w:vAlign w:val="center"/>
            <w:hideMark/>
          </w:tcPr>
          <w:p w14:paraId="2EA8AB85"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17C8E762" w14:textId="77777777" w:rsidR="006054AA" w:rsidRDefault="001F7667">
            <w:pPr>
              <w:pStyle w:val="P68B1DB1-Normal11"/>
              <w:jc w:val="center"/>
              <w:rPr>
                <w:noProof/>
              </w:rPr>
            </w:pPr>
            <w:r>
              <w:rPr>
                <w:noProof/>
              </w:rPr>
              <w:t>Брой</w:t>
            </w:r>
          </w:p>
        </w:tc>
        <w:tc>
          <w:tcPr>
            <w:tcW w:w="368" w:type="pct"/>
            <w:shd w:val="clear" w:color="auto" w:fill="C6EFCE"/>
            <w:noWrap/>
            <w:vAlign w:val="center"/>
            <w:hideMark/>
          </w:tcPr>
          <w:p w14:paraId="11615AD1" w14:textId="77777777" w:rsidR="006054AA" w:rsidRDefault="001F7667">
            <w:pPr>
              <w:pStyle w:val="P68B1DB1-Normal11"/>
              <w:jc w:val="center"/>
              <w:rPr>
                <w:noProof/>
              </w:rPr>
            </w:pPr>
            <w:r>
              <w:rPr>
                <w:noProof/>
              </w:rPr>
              <w:t>0</w:t>
            </w:r>
          </w:p>
        </w:tc>
        <w:tc>
          <w:tcPr>
            <w:tcW w:w="377" w:type="pct"/>
            <w:shd w:val="clear" w:color="auto" w:fill="C6EFCE"/>
            <w:noWrap/>
            <w:vAlign w:val="center"/>
            <w:hideMark/>
          </w:tcPr>
          <w:p w14:paraId="5EE5D0F3" w14:textId="77777777" w:rsidR="006054AA" w:rsidRDefault="001F7667">
            <w:pPr>
              <w:pStyle w:val="P68B1DB1-Normal11"/>
              <w:jc w:val="center"/>
              <w:rPr>
                <w:noProof/>
              </w:rPr>
            </w:pPr>
            <w:r>
              <w:rPr>
                <w:noProof/>
              </w:rPr>
              <w:t>80</w:t>
            </w:r>
          </w:p>
        </w:tc>
        <w:tc>
          <w:tcPr>
            <w:tcW w:w="321" w:type="pct"/>
            <w:shd w:val="clear" w:color="auto" w:fill="C6EFCE"/>
            <w:noWrap/>
            <w:vAlign w:val="center"/>
            <w:hideMark/>
          </w:tcPr>
          <w:p w14:paraId="318DEFFE" w14:textId="77777777" w:rsidR="006054AA" w:rsidRDefault="001F7667">
            <w:pPr>
              <w:pStyle w:val="P68B1DB1-Normal11"/>
              <w:jc w:val="center"/>
              <w:rPr>
                <w:noProof/>
              </w:rPr>
            </w:pPr>
            <w:r>
              <w:rPr>
                <w:noProof/>
              </w:rPr>
              <w:t>Т3 Г.</w:t>
            </w:r>
          </w:p>
        </w:tc>
        <w:tc>
          <w:tcPr>
            <w:tcW w:w="224" w:type="pct"/>
            <w:shd w:val="clear" w:color="auto" w:fill="C6EFCE"/>
            <w:noWrap/>
            <w:vAlign w:val="center"/>
            <w:hideMark/>
          </w:tcPr>
          <w:p w14:paraId="2D3CA476" w14:textId="77777777" w:rsidR="006054AA" w:rsidRDefault="001F7667">
            <w:pPr>
              <w:pStyle w:val="P68B1DB1-Normal11"/>
              <w:jc w:val="center"/>
              <w:rPr>
                <w:noProof/>
              </w:rPr>
            </w:pPr>
            <w:r>
              <w:rPr>
                <w:noProof/>
              </w:rPr>
              <w:t>2023</w:t>
            </w:r>
          </w:p>
        </w:tc>
        <w:tc>
          <w:tcPr>
            <w:tcW w:w="1192" w:type="pct"/>
            <w:shd w:val="clear" w:color="auto" w:fill="C6EFCE"/>
            <w:noWrap/>
            <w:vAlign w:val="center"/>
            <w:hideMark/>
          </w:tcPr>
          <w:p w14:paraId="0A7E1DC2" w14:textId="77777777" w:rsidR="006054AA" w:rsidRDefault="001F7667">
            <w:pPr>
              <w:pStyle w:val="P68B1DB1-Normal11"/>
              <w:rPr>
                <w:noProof/>
              </w:rPr>
            </w:pPr>
            <w:r>
              <w:rPr>
                <w:noProof/>
              </w:rPr>
              <w:t>Показателят се отнася до броя на интервенциите, приключени с удостоверяването на редовното изпълнение на строителните работи.</w:t>
            </w:r>
          </w:p>
          <w:p w14:paraId="29EF8275" w14:textId="149DC8DA" w:rsidR="006054AA" w:rsidRDefault="001F7667">
            <w:pPr>
              <w:pStyle w:val="P68B1DB1-Normal11"/>
              <w:rPr>
                <w:noProof/>
              </w:rPr>
            </w:pPr>
            <w:r>
              <w:rPr>
                <w:noProof/>
              </w:rPr>
              <w:t>Видовете интервенции, които трябва да бъдат завършени, включват:</w:t>
            </w:r>
          </w:p>
          <w:p w14:paraId="646C95F9" w14:textId="77777777" w:rsidR="006054AA" w:rsidRDefault="001F7667">
            <w:pPr>
              <w:pStyle w:val="P68B1DB1-Normal10"/>
              <w:ind w:left="315" w:hanging="315"/>
              <w:rPr>
                <w:noProof/>
                <w:color w:val="006100"/>
                <w:sz w:val="20"/>
              </w:rPr>
            </w:pPr>
            <w:r>
              <w:rPr>
                <w:noProof/>
                <w:color w:val="006100"/>
                <w:sz w:val="20"/>
              </w:rPr>
              <w:t>-</w:t>
            </w:r>
            <w:r>
              <w:rPr>
                <w:noProof/>
              </w:rPr>
              <w:tab/>
            </w:r>
            <w:r>
              <w:rPr>
                <w:noProof/>
                <w:color w:val="006100"/>
                <w:sz w:val="20"/>
              </w:rPr>
              <w:t>техническо и икономическо финансово планиране, енергийни одити, първоначални екологични анализи, оценка на въздействието върху околната среда, облекчения и оценки, насочени към идентифициране на критични проблеми, идентифициране на последващите интервенции за подобряване на енергийните характеристики;</w:t>
            </w:r>
          </w:p>
          <w:p w14:paraId="34C258A2" w14:textId="77777777" w:rsidR="006054AA" w:rsidRDefault="001F7667">
            <w:pPr>
              <w:pStyle w:val="P68B1DB1-Normal10"/>
              <w:ind w:left="315" w:hanging="315"/>
              <w:rPr>
                <w:noProof/>
                <w:color w:val="006100"/>
                <w:sz w:val="20"/>
              </w:rPr>
            </w:pPr>
            <w:r>
              <w:rPr>
                <w:noProof/>
                <w:color w:val="006100"/>
                <w:sz w:val="20"/>
              </w:rPr>
              <w:t>-</w:t>
            </w:r>
            <w:r>
              <w:rPr>
                <w:noProof/>
              </w:rPr>
              <w:tab/>
            </w:r>
            <w:r>
              <w:rPr>
                <w:noProof/>
                <w:color w:val="006100"/>
                <w:sz w:val="20"/>
              </w:rPr>
              <w:t>интервенции по външните ограждащи елементи на сградата;</w:t>
            </w:r>
          </w:p>
          <w:p w14:paraId="1ECF1D43" w14:textId="77777777" w:rsidR="006054AA" w:rsidRDefault="001F7667">
            <w:pPr>
              <w:pStyle w:val="P68B1DB1-Normal10"/>
              <w:ind w:left="315" w:hanging="315"/>
              <w:rPr>
                <w:noProof/>
                <w:color w:val="006100"/>
                <w:sz w:val="20"/>
              </w:rPr>
            </w:pPr>
            <w:r>
              <w:rPr>
                <w:noProof/>
                <w:color w:val="006100"/>
                <w:sz w:val="20"/>
              </w:rPr>
              <w:t>-</w:t>
            </w:r>
            <w:r>
              <w:rPr>
                <w:noProof/>
              </w:rPr>
              <w:tab/>
            </w:r>
            <w:r>
              <w:rPr>
                <w:noProof/>
                <w:color w:val="006100"/>
                <w:sz w:val="20"/>
              </w:rPr>
              <w:t>интервенции за подмяна/придобиване на оборудване, инструменти, системи, устройства, цифров приложен софтуер, както и спомагателни инструменти за тяхното функциониране, придобиване на патенти, лицензи и ноу-хау;</w:t>
            </w:r>
          </w:p>
          <w:p w14:paraId="0AA26816" w14:textId="77777777" w:rsidR="006054AA" w:rsidRDefault="001F7667">
            <w:pPr>
              <w:pStyle w:val="P68B1DB1-Normal10"/>
              <w:ind w:left="315" w:hanging="315"/>
              <w:rPr>
                <w:noProof/>
                <w:color w:val="006100"/>
                <w:sz w:val="20"/>
              </w:rPr>
            </w:pPr>
            <w:r>
              <w:rPr>
                <w:noProof/>
                <w:color w:val="006100"/>
                <w:sz w:val="20"/>
              </w:rPr>
              <w:t>-</w:t>
            </w:r>
            <w:r>
              <w:rPr>
                <w:noProof/>
              </w:rPr>
              <w:tab/>
            </w:r>
            <w:r>
              <w:rPr>
                <w:noProof/>
                <w:color w:val="006100"/>
                <w:sz w:val="20"/>
              </w:rPr>
              <w:t>инсталиране на интелигентни системи за дистанционен контрол, регулиране, управление, мониторинг и оптимизиране на потреблението на енергия (интелигентни сгради) и замърсяващи емисии и чрез използване на технологични миксове.</w:t>
            </w:r>
          </w:p>
        </w:tc>
      </w:tr>
      <w:tr w:rsidR="006054AA" w14:paraId="7CEB9B37" w14:textId="77777777">
        <w:trPr>
          <w:trHeight w:val="309"/>
        </w:trPr>
        <w:tc>
          <w:tcPr>
            <w:tcW w:w="366" w:type="pct"/>
            <w:shd w:val="clear" w:color="auto" w:fill="C6EFCE"/>
            <w:noWrap/>
            <w:vAlign w:val="center"/>
            <w:hideMark/>
          </w:tcPr>
          <w:p w14:paraId="2A951B6D" w14:textId="77777777" w:rsidR="006054AA" w:rsidRDefault="001F7667">
            <w:pPr>
              <w:pStyle w:val="P68B1DB1-Normal11"/>
              <w:jc w:val="center"/>
              <w:rPr>
                <w:noProof/>
              </w:rPr>
            </w:pPr>
            <w:r>
              <w:rPr>
                <w:noProof/>
              </w:rPr>
              <w:t>M1C3—5</w:t>
            </w:r>
          </w:p>
        </w:tc>
        <w:tc>
          <w:tcPr>
            <w:tcW w:w="460" w:type="pct"/>
            <w:shd w:val="clear" w:color="auto" w:fill="C6EFCE"/>
            <w:noWrap/>
            <w:vAlign w:val="center"/>
            <w:hideMark/>
          </w:tcPr>
          <w:p w14:paraId="3549FFB6" w14:textId="77777777" w:rsidR="006054AA" w:rsidRDefault="001F7667">
            <w:pPr>
              <w:pStyle w:val="P68B1DB1-Normal11"/>
              <w:jc w:val="center"/>
              <w:rPr>
                <w:noProof/>
              </w:rPr>
            </w:pPr>
            <w:r>
              <w:rPr>
                <w:noProof/>
              </w:rPr>
              <w:t>Инвестиции — 1.3 Подобряване на енергийната ефективност в киното, театрите и музеите</w:t>
            </w:r>
          </w:p>
        </w:tc>
        <w:tc>
          <w:tcPr>
            <w:tcW w:w="368" w:type="pct"/>
            <w:shd w:val="clear" w:color="auto" w:fill="C6EFCE"/>
            <w:noWrap/>
            <w:vAlign w:val="center"/>
            <w:hideMark/>
          </w:tcPr>
          <w:p w14:paraId="72E3BE28" w14:textId="77777777" w:rsidR="006054AA" w:rsidRDefault="001F7667">
            <w:pPr>
              <w:pStyle w:val="P68B1DB1-Normal11"/>
              <w:jc w:val="center"/>
              <w:rPr>
                <w:noProof/>
              </w:rPr>
            </w:pPr>
            <w:r>
              <w:rPr>
                <w:noProof/>
              </w:rPr>
              <w:t>Целеви</w:t>
            </w:r>
          </w:p>
        </w:tc>
        <w:tc>
          <w:tcPr>
            <w:tcW w:w="436" w:type="pct"/>
            <w:shd w:val="clear" w:color="auto" w:fill="C6EFCE"/>
            <w:noWrap/>
            <w:vAlign w:val="center"/>
            <w:hideMark/>
          </w:tcPr>
          <w:p w14:paraId="26030AF4" w14:textId="77777777" w:rsidR="006054AA" w:rsidRDefault="001F7667">
            <w:pPr>
              <w:pStyle w:val="P68B1DB1-Normal11"/>
              <w:jc w:val="center"/>
              <w:rPr>
                <w:noProof/>
              </w:rPr>
            </w:pPr>
            <w:r>
              <w:rPr>
                <w:noProof/>
              </w:rPr>
              <w:t>Приключват се интервенции в държавни музеи и културни обекти, театрални зали и кина (втора партида)</w:t>
            </w:r>
          </w:p>
        </w:tc>
        <w:tc>
          <w:tcPr>
            <w:tcW w:w="520" w:type="pct"/>
            <w:shd w:val="clear" w:color="auto" w:fill="C6EFCE"/>
            <w:noWrap/>
            <w:vAlign w:val="center"/>
            <w:hideMark/>
          </w:tcPr>
          <w:p w14:paraId="5DC80762"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5DD02526" w14:textId="77777777" w:rsidR="006054AA" w:rsidRDefault="001F7667">
            <w:pPr>
              <w:pStyle w:val="P68B1DB1-Normal11"/>
              <w:jc w:val="center"/>
              <w:rPr>
                <w:noProof/>
              </w:rPr>
            </w:pPr>
            <w:r>
              <w:rPr>
                <w:noProof/>
              </w:rPr>
              <w:t>Брой</w:t>
            </w:r>
          </w:p>
        </w:tc>
        <w:tc>
          <w:tcPr>
            <w:tcW w:w="368" w:type="pct"/>
            <w:shd w:val="clear" w:color="auto" w:fill="C6EFCE"/>
            <w:noWrap/>
            <w:vAlign w:val="center"/>
            <w:hideMark/>
          </w:tcPr>
          <w:p w14:paraId="152E07E3" w14:textId="77777777" w:rsidR="006054AA" w:rsidRDefault="001F7667">
            <w:pPr>
              <w:pStyle w:val="P68B1DB1-Normal11"/>
              <w:jc w:val="center"/>
              <w:rPr>
                <w:noProof/>
              </w:rPr>
            </w:pPr>
            <w:r>
              <w:rPr>
                <w:noProof/>
              </w:rPr>
              <w:t>0</w:t>
            </w:r>
          </w:p>
        </w:tc>
        <w:tc>
          <w:tcPr>
            <w:tcW w:w="377" w:type="pct"/>
            <w:shd w:val="clear" w:color="auto" w:fill="C6EFCE"/>
            <w:noWrap/>
            <w:vAlign w:val="center"/>
            <w:hideMark/>
          </w:tcPr>
          <w:p w14:paraId="21F14437" w14:textId="77777777" w:rsidR="006054AA" w:rsidRDefault="001F7667">
            <w:pPr>
              <w:pStyle w:val="P68B1DB1-Normal11"/>
              <w:jc w:val="center"/>
              <w:rPr>
                <w:noProof/>
              </w:rPr>
            </w:pPr>
            <w:r>
              <w:rPr>
                <w:noProof/>
              </w:rPr>
              <w:t>420</w:t>
            </w:r>
          </w:p>
        </w:tc>
        <w:tc>
          <w:tcPr>
            <w:tcW w:w="321" w:type="pct"/>
            <w:shd w:val="clear" w:color="auto" w:fill="C6EFCE"/>
            <w:noWrap/>
            <w:vAlign w:val="center"/>
            <w:hideMark/>
          </w:tcPr>
          <w:p w14:paraId="3FD2C706" w14:textId="77777777" w:rsidR="006054AA" w:rsidRDefault="001F7667">
            <w:pPr>
              <w:pStyle w:val="P68B1DB1-Normal11"/>
              <w:jc w:val="center"/>
              <w:rPr>
                <w:noProof/>
              </w:rPr>
            </w:pPr>
            <w:r>
              <w:rPr>
                <w:noProof/>
              </w:rPr>
              <w:t>Т4 Г.</w:t>
            </w:r>
          </w:p>
        </w:tc>
        <w:tc>
          <w:tcPr>
            <w:tcW w:w="224" w:type="pct"/>
            <w:shd w:val="clear" w:color="auto" w:fill="C6EFCE"/>
            <w:noWrap/>
            <w:vAlign w:val="center"/>
            <w:hideMark/>
          </w:tcPr>
          <w:p w14:paraId="142A113E" w14:textId="77777777" w:rsidR="006054AA" w:rsidRDefault="001F7667">
            <w:pPr>
              <w:pStyle w:val="P68B1DB1-Normal11"/>
              <w:jc w:val="center"/>
              <w:rPr>
                <w:noProof/>
              </w:rPr>
            </w:pPr>
            <w:r>
              <w:rPr>
                <w:noProof/>
              </w:rPr>
              <w:t>2025</w:t>
            </w:r>
          </w:p>
        </w:tc>
        <w:tc>
          <w:tcPr>
            <w:tcW w:w="1192" w:type="pct"/>
            <w:shd w:val="clear" w:color="auto" w:fill="C6EFCE"/>
            <w:noWrap/>
            <w:vAlign w:val="center"/>
            <w:hideMark/>
          </w:tcPr>
          <w:p w14:paraId="2CE425C1" w14:textId="77777777" w:rsidR="006054AA" w:rsidRDefault="001F7667">
            <w:pPr>
              <w:pStyle w:val="P68B1DB1-Normal11"/>
              <w:rPr>
                <w:noProof/>
              </w:rPr>
            </w:pPr>
            <w:r>
              <w:rPr>
                <w:noProof/>
              </w:rPr>
              <w:t>Показателят се отнася до 55 интервенции в държавни музеи и културни обекти, 230 театрални зали и 135 кина, приключени със сертифицирането на редовното изпълнение на строителните работи.</w:t>
            </w:r>
          </w:p>
          <w:p w14:paraId="478939B9" w14:textId="77777777" w:rsidR="006054AA" w:rsidRDefault="001F7667">
            <w:pPr>
              <w:pStyle w:val="P68B1DB1-Normal11"/>
              <w:rPr>
                <w:noProof/>
              </w:rPr>
            </w:pPr>
            <w:r>
              <w:rPr>
                <w:noProof/>
              </w:rPr>
              <w:t>Видовете интервенции, които трябва да бъдат завършени, включват:</w:t>
            </w:r>
          </w:p>
          <w:p w14:paraId="76785B86" w14:textId="77777777" w:rsidR="006054AA" w:rsidRDefault="001F7667">
            <w:pPr>
              <w:pStyle w:val="P68B1DB1-Normal10"/>
              <w:ind w:left="173" w:hanging="173"/>
              <w:rPr>
                <w:noProof/>
                <w:color w:val="006100"/>
                <w:sz w:val="20"/>
              </w:rPr>
            </w:pPr>
            <w:r>
              <w:rPr>
                <w:noProof/>
                <w:color w:val="006100"/>
                <w:sz w:val="20"/>
              </w:rPr>
              <w:t>-</w:t>
            </w:r>
            <w:r>
              <w:rPr>
                <w:noProof/>
              </w:rPr>
              <w:tab/>
            </w:r>
            <w:r>
              <w:rPr>
                <w:noProof/>
                <w:color w:val="006100"/>
                <w:sz w:val="20"/>
              </w:rPr>
              <w:t>техническо и икономическо финансово планиране, енергийни одити, първоначални екологични анализи, оценка на въздействието върху околната среда, облекчения и оценки, насочени към идентифициране на критични проблеми, идентифициране на последващите интервенции за подобряване на енергийните характеристики;</w:t>
            </w:r>
          </w:p>
          <w:p w14:paraId="025C2469" w14:textId="77777777" w:rsidR="006054AA" w:rsidRDefault="001F7667">
            <w:pPr>
              <w:pStyle w:val="P68B1DB1-Normal10"/>
              <w:ind w:left="173" w:hanging="173"/>
              <w:rPr>
                <w:noProof/>
                <w:color w:val="006100"/>
                <w:sz w:val="20"/>
              </w:rPr>
            </w:pPr>
            <w:r>
              <w:rPr>
                <w:noProof/>
                <w:color w:val="006100"/>
                <w:sz w:val="20"/>
              </w:rPr>
              <w:t>-</w:t>
            </w:r>
            <w:r>
              <w:rPr>
                <w:noProof/>
              </w:rPr>
              <w:tab/>
            </w:r>
            <w:r>
              <w:rPr>
                <w:noProof/>
                <w:color w:val="006100"/>
                <w:sz w:val="20"/>
              </w:rPr>
              <w:t>интервенции по външните ограждащи елементи на сградата;</w:t>
            </w:r>
          </w:p>
          <w:p w14:paraId="23ED8605" w14:textId="77777777" w:rsidR="006054AA" w:rsidRDefault="001F7667">
            <w:pPr>
              <w:pStyle w:val="P68B1DB1-Normal10"/>
              <w:ind w:left="173" w:hanging="173"/>
              <w:rPr>
                <w:noProof/>
                <w:color w:val="006100"/>
                <w:sz w:val="20"/>
              </w:rPr>
            </w:pPr>
            <w:r>
              <w:rPr>
                <w:noProof/>
                <w:color w:val="006100"/>
                <w:sz w:val="20"/>
              </w:rPr>
              <w:t>-</w:t>
            </w:r>
            <w:r>
              <w:rPr>
                <w:noProof/>
              </w:rPr>
              <w:tab/>
            </w:r>
            <w:r>
              <w:rPr>
                <w:noProof/>
                <w:color w:val="006100"/>
                <w:sz w:val="20"/>
              </w:rPr>
              <w:t>интервенции за подмяна/придобиване на оборудване, инструменти, системи, устройства, цифров приложен софтуер, както и спомагателни инструменти за тяхното функциониране, придобиване на патенти, лицензи и ноу-хау;</w:t>
            </w:r>
          </w:p>
          <w:p w14:paraId="6A3B384C" w14:textId="77777777" w:rsidR="006054AA" w:rsidRDefault="001F7667">
            <w:pPr>
              <w:pStyle w:val="P68B1DB1-Normal10"/>
              <w:ind w:left="173" w:hanging="173"/>
              <w:rPr>
                <w:noProof/>
                <w:color w:val="006100"/>
                <w:sz w:val="20"/>
              </w:rPr>
            </w:pPr>
            <w:r>
              <w:rPr>
                <w:noProof/>
                <w:color w:val="006100"/>
                <w:sz w:val="20"/>
              </w:rPr>
              <w:t>-</w:t>
            </w:r>
            <w:r>
              <w:rPr>
                <w:noProof/>
              </w:rPr>
              <w:tab/>
            </w:r>
            <w:r>
              <w:rPr>
                <w:noProof/>
                <w:color w:val="006100"/>
                <w:sz w:val="20"/>
              </w:rPr>
              <w:t>инсталиране на интелигентни системи за дистанционен контрол, регулиране, управление, мониторинг и оптимизиране на потреблението на енергия (интелигентни сгради) и замърсяващи емисии и чрез използване на технологични миксове.</w:t>
            </w:r>
          </w:p>
        </w:tc>
      </w:tr>
      <w:tr w:rsidR="006054AA" w14:paraId="1DFA948A" w14:textId="77777777">
        <w:trPr>
          <w:trHeight w:val="309"/>
        </w:trPr>
        <w:tc>
          <w:tcPr>
            <w:tcW w:w="366" w:type="pct"/>
            <w:shd w:val="clear" w:color="auto" w:fill="C6EFCE"/>
            <w:noWrap/>
            <w:vAlign w:val="center"/>
            <w:hideMark/>
          </w:tcPr>
          <w:p w14:paraId="75AE847D" w14:textId="77777777" w:rsidR="006054AA" w:rsidRDefault="001F7667">
            <w:pPr>
              <w:pStyle w:val="P68B1DB1-Normal11"/>
              <w:jc w:val="center"/>
              <w:rPr>
                <w:noProof/>
              </w:rPr>
            </w:pPr>
            <w:r>
              <w:rPr>
                <w:noProof/>
              </w:rPr>
              <w:t>M1C3—6</w:t>
            </w:r>
          </w:p>
        </w:tc>
        <w:tc>
          <w:tcPr>
            <w:tcW w:w="460" w:type="pct"/>
            <w:shd w:val="clear" w:color="auto" w:fill="C6EFCE"/>
            <w:noWrap/>
            <w:vAlign w:val="center"/>
            <w:hideMark/>
          </w:tcPr>
          <w:p w14:paraId="431DA4D3" w14:textId="77777777" w:rsidR="006054AA" w:rsidRDefault="001F7667">
            <w:pPr>
              <w:pStyle w:val="P68B1DB1-Normal11"/>
              <w:jc w:val="center"/>
              <w:rPr>
                <w:noProof/>
              </w:rPr>
            </w:pPr>
            <w:r>
              <w:rPr>
                <w:noProof/>
              </w:rPr>
              <w:t>Реформа — Минимални екологични критерии за културни прояви от 3.1 г.</w:t>
            </w:r>
          </w:p>
        </w:tc>
        <w:tc>
          <w:tcPr>
            <w:tcW w:w="368" w:type="pct"/>
            <w:shd w:val="clear" w:color="auto" w:fill="C6EFCE"/>
            <w:noWrap/>
            <w:vAlign w:val="center"/>
            <w:hideMark/>
          </w:tcPr>
          <w:p w14:paraId="6348FE67" w14:textId="77777777" w:rsidR="006054AA" w:rsidRDefault="001F7667">
            <w:pPr>
              <w:pStyle w:val="P68B1DB1-Normal11"/>
              <w:jc w:val="center"/>
              <w:rPr>
                <w:noProof/>
              </w:rPr>
            </w:pPr>
            <w:r>
              <w:rPr>
                <w:noProof/>
              </w:rPr>
              <w:t>Ключов етап</w:t>
            </w:r>
          </w:p>
        </w:tc>
        <w:tc>
          <w:tcPr>
            <w:tcW w:w="436" w:type="pct"/>
            <w:shd w:val="clear" w:color="auto" w:fill="C6EFCE"/>
            <w:noWrap/>
            <w:vAlign w:val="center"/>
            <w:hideMark/>
          </w:tcPr>
          <w:p w14:paraId="0254A7C3" w14:textId="77777777" w:rsidR="006054AA" w:rsidRDefault="001F7667">
            <w:pPr>
              <w:pStyle w:val="P68B1DB1-Normal11"/>
              <w:jc w:val="center"/>
              <w:rPr>
                <w:noProof/>
              </w:rPr>
            </w:pPr>
            <w:r>
              <w:rPr>
                <w:noProof/>
              </w:rPr>
              <w:t>Влизане в сила на постановление за определяне на социални и екологични критерии в търговете за обществени поръчки във връзка с културни събития, финансирани с публични средства</w:t>
            </w:r>
          </w:p>
        </w:tc>
        <w:tc>
          <w:tcPr>
            <w:tcW w:w="520" w:type="pct"/>
            <w:shd w:val="clear" w:color="auto" w:fill="C6EFCE"/>
            <w:noWrap/>
            <w:vAlign w:val="center"/>
            <w:hideMark/>
          </w:tcPr>
          <w:p w14:paraId="04B49E5D" w14:textId="77777777" w:rsidR="006054AA" w:rsidRDefault="001F7667">
            <w:pPr>
              <w:pStyle w:val="P68B1DB1-Normal11"/>
              <w:jc w:val="center"/>
              <w:rPr>
                <w:noProof/>
              </w:rPr>
            </w:pPr>
            <w:r>
              <w:rPr>
                <w:noProof/>
              </w:rPr>
              <w:t>Разпоредба в постановлението, в която се посочва влизането в сила на декрета за приемане на минимални екологични критерии за културни събития</w:t>
            </w:r>
          </w:p>
        </w:tc>
        <w:tc>
          <w:tcPr>
            <w:tcW w:w="368" w:type="pct"/>
            <w:shd w:val="clear" w:color="auto" w:fill="C6EFCE"/>
            <w:noWrap/>
            <w:vAlign w:val="center"/>
            <w:hideMark/>
          </w:tcPr>
          <w:p w14:paraId="202C03F2"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53A02130" w14:textId="77777777" w:rsidR="006054AA" w:rsidRDefault="001F7667">
            <w:pPr>
              <w:pStyle w:val="P68B1DB1-Normal11"/>
              <w:jc w:val="center"/>
              <w:rPr>
                <w:noProof/>
              </w:rPr>
            </w:pPr>
            <w:r>
              <w:rPr>
                <w:noProof/>
              </w:rPr>
              <w:t>НЯМА</w:t>
            </w:r>
          </w:p>
        </w:tc>
        <w:tc>
          <w:tcPr>
            <w:tcW w:w="377" w:type="pct"/>
            <w:shd w:val="clear" w:color="auto" w:fill="C6EFCE"/>
            <w:noWrap/>
            <w:vAlign w:val="center"/>
            <w:hideMark/>
          </w:tcPr>
          <w:p w14:paraId="41260791" w14:textId="77777777" w:rsidR="006054AA" w:rsidRDefault="001F7667">
            <w:pPr>
              <w:pStyle w:val="P68B1DB1-Normal11"/>
              <w:jc w:val="center"/>
              <w:rPr>
                <w:noProof/>
              </w:rPr>
            </w:pPr>
            <w:r>
              <w:rPr>
                <w:noProof/>
              </w:rPr>
              <w:t>НЯМА</w:t>
            </w:r>
          </w:p>
        </w:tc>
        <w:tc>
          <w:tcPr>
            <w:tcW w:w="321" w:type="pct"/>
            <w:shd w:val="clear" w:color="auto" w:fill="C6EFCE"/>
            <w:noWrap/>
            <w:vAlign w:val="center"/>
            <w:hideMark/>
          </w:tcPr>
          <w:p w14:paraId="6AFD0EA7" w14:textId="77777777" w:rsidR="006054AA" w:rsidRDefault="001F7667">
            <w:pPr>
              <w:pStyle w:val="P68B1DB1-Normal11"/>
              <w:jc w:val="center"/>
              <w:rPr>
                <w:noProof/>
              </w:rPr>
            </w:pPr>
            <w:r>
              <w:rPr>
                <w:noProof/>
              </w:rPr>
              <w:t>Т4 Г.</w:t>
            </w:r>
          </w:p>
        </w:tc>
        <w:tc>
          <w:tcPr>
            <w:tcW w:w="224" w:type="pct"/>
            <w:shd w:val="clear" w:color="auto" w:fill="C6EFCE"/>
            <w:noWrap/>
            <w:vAlign w:val="center"/>
            <w:hideMark/>
          </w:tcPr>
          <w:p w14:paraId="092819BA" w14:textId="77777777" w:rsidR="006054AA" w:rsidRDefault="001F7667">
            <w:pPr>
              <w:pStyle w:val="P68B1DB1-Normal11"/>
              <w:jc w:val="center"/>
              <w:rPr>
                <w:noProof/>
              </w:rPr>
            </w:pPr>
            <w:r>
              <w:rPr>
                <w:noProof/>
              </w:rPr>
              <w:t>2022</w:t>
            </w:r>
          </w:p>
        </w:tc>
        <w:tc>
          <w:tcPr>
            <w:tcW w:w="1192" w:type="pct"/>
            <w:shd w:val="clear" w:color="auto" w:fill="C6EFCE"/>
            <w:noWrap/>
            <w:vAlign w:val="center"/>
            <w:hideMark/>
          </w:tcPr>
          <w:p w14:paraId="626FAE30" w14:textId="77777777" w:rsidR="006054AA" w:rsidRDefault="001F7667">
            <w:pPr>
              <w:pStyle w:val="P68B1DB1-Normal11"/>
              <w:rPr>
                <w:noProof/>
              </w:rPr>
            </w:pPr>
            <w:r>
              <w:rPr>
                <w:noProof/>
              </w:rPr>
              <w:t>Приемат се критерии за следните аспекти: намаляване на използването на хартия и отпечатъци, използване на екологосъобразни материали, поетапно проектиране с рециклирани и повторно използвани материали и устойчиво обзавеждане, устройства със слабо въздействие върху околната среда, избор на местоположение въз основа на опазването на биологичното разнообразие, кетъринг услуги със слабо въздействие върху околната среда, транспорт за достигане до събитието и транспортиране на материали, потребление на енергия за организацията на проявата.</w:t>
            </w:r>
          </w:p>
          <w:p w14:paraId="717A5B6C" w14:textId="77777777" w:rsidR="006054AA" w:rsidRDefault="001F7667">
            <w:pPr>
              <w:pStyle w:val="P68B1DB1-Normal11"/>
              <w:rPr>
                <w:noProof/>
              </w:rPr>
            </w:pPr>
            <w:r>
              <w:rPr>
                <w:noProof/>
              </w:rPr>
              <w:t>Социалните критерии за насърчаване на достъпността и приобщаването включват: насърчаване на достъпността за хората с увреждания; насърчаване на възможности за младежка заетост, за трайно безработни лица, за хора, принадлежащи към групи в неравностойно положение (като работници мигранти и етнически малцинства) и за хора с увреждания; да гарантират равен достъп до обществени поръчки за предприятия, чиито собственици или служители принадлежат към етнически или малцинствени групи, като кооперации, социални предприятия и организации с нестопанска цел; насърчаването на „достоен труд“, разбиран като правото на продуктивна и свободно избрана работа, на основните принципи и права на работното място, на достойно заплащане, социална закрила и социален диалог.</w:t>
            </w:r>
          </w:p>
          <w:p w14:paraId="7E124554" w14:textId="77777777" w:rsidR="006054AA" w:rsidRDefault="001F7667">
            <w:pPr>
              <w:pStyle w:val="P68B1DB1-Normal11"/>
              <w:rPr>
                <w:noProof/>
              </w:rPr>
            </w:pPr>
            <w:r>
              <w:rPr>
                <w:noProof/>
              </w:rPr>
              <w:t>Реформата обхваща културни събития като изложби, фестивали и сценични изкуства.</w:t>
            </w:r>
          </w:p>
        </w:tc>
      </w:tr>
      <w:tr w:rsidR="006054AA" w14:paraId="4B5AAAD1" w14:textId="77777777">
        <w:trPr>
          <w:trHeight w:val="309"/>
        </w:trPr>
        <w:tc>
          <w:tcPr>
            <w:tcW w:w="366" w:type="pct"/>
            <w:shd w:val="clear" w:color="auto" w:fill="C6EFCE"/>
            <w:noWrap/>
            <w:vAlign w:val="center"/>
            <w:hideMark/>
          </w:tcPr>
          <w:p w14:paraId="312130B3" w14:textId="77777777" w:rsidR="006054AA" w:rsidRDefault="001F7667">
            <w:pPr>
              <w:pStyle w:val="P68B1DB1-Normal11"/>
              <w:jc w:val="center"/>
              <w:rPr>
                <w:noProof/>
              </w:rPr>
            </w:pPr>
            <w:r>
              <w:rPr>
                <w:noProof/>
              </w:rPr>
              <w:t>M1C3—7</w:t>
            </w:r>
          </w:p>
        </w:tc>
        <w:tc>
          <w:tcPr>
            <w:tcW w:w="460" w:type="pct"/>
            <w:shd w:val="clear" w:color="auto" w:fill="C6EFCE"/>
            <w:noWrap/>
            <w:vAlign w:val="center"/>
            <w:hideMark/>
          </w:tcPr>
          <w:p w14:paraId="61561034" w14:textId="77777777" w:rsidR="006054AA" w:rsidRDefault="001F7667">
            <w:pPr>
              <w:pStyle w:val="P68B1DB1-Normal11"/>
              <w:jc w:val="center"/>
              <w:rPr>
                <w:noProof/>
              </w:rPr>
            </w:pPr>
            <w:r>
              <w:rPr>
                <w:noProof/>
              </w:rPr>
              <w:t>Инвестиции — 3.3 Изграждане на капацитет за операторите в областта на културата за управление на цифровия и екологичния преход.</w:t>
            </w:r>
          </w:p>
        </w:tc>
        <w:tc>
          <w:tcPr>
            <w:tcW w:w="368" w:type="pct"/>
            <w:shd w:val="clear" w:color="auto" w:fill="C6EFCE"/>
            <w:noWrap/>
            <w:vAlign w:val="center"/>
            <w:hideMark/>
          </w:tcPr>
          <w:p w14:paraId="3DB8782D" w14:textId="77777777" w:rsidR="006054AA" w:rsidRDefault="001F7667">
            <w:pPr>
              <w:pStyle w:val="P68B1DB1-Normal11"/>
              <w:jc w:val="center"/>
              <w:rPr>
                <w:noProof/>
              </w:rPr>
            </w:pPr>
            <w:r>
              <w:rPr>
                <w:noProof/>
              </w:rPr>
              <w:t>Ключов етап</w:t>
            </w:r>
          </w:p>
        </w:tc>
        <w:tc>
          <w:tcPr>
            <w:tcW w:w="436" w:type="pct"/>
            <w:shd w:val="clear" w:color="auto" w:fill="C6EFCE"/>
            <w:noWrap/>
            <w:vAlign w:val="center"/>
            <w:hideMark/>
          </w:tcPr>
          <w:p w14:paraId="68E735A7" w14:textId="77777777" w:rsidR="006054AA" w:rsidRDefault="001F7667">
            <w:pPr>
              <w:pStyle w:val="P68B1DB1-Normal11"/>
              <w:jc w:val="center"/>
              <w:rPr>
                <w:noProof/>
              </w:rPr>
            </w:pPr>
            <w:r>
              <w:rPr>
                <w:noProof/>
              </w:rPr>
              <w:t>Възлагане на всички обществени поръчки с изпълняващата организация/бенефициерите за всички интервенции за управление на цифровия и екологичния преход на културните оператори</w:t>
            </w:r>
          </w:p>
        </w:tc>
        <w:tc>
          <w:tcPr>
            <w:tcW w:w="520" w:type="pct"/>
            <w:shd w:val="clear" w:color="auto" w:fill="C6EFCE"/>
            <w:noWrap/>
            <w:vAlign w:val="center"/>
            <w:hideMark/>
          </w:tcPr>
          <w:p w14:paraId="090249AC" w14:textId="77777777" w:rsidR="006054AA" w:rsidRDefault="001F7667">
            <w:pPr>
              <w:pStyle w:val="P68B1DB1-Normal11"/>
              <w:jc w:val="center"/>
              <w:rPr>
                <w:noProof/>
              </w:rPr>
            </w:pPr>
            <w:r>
              <w:rPr>
                <w:noProof/>
              </w:rPr>
              <w:t>Уведомяване за възлагането на всички обществени поръчки за организациите и мрежите, които отговарят за осъществяването на дейностите по изграждане на капацитет</w:t>
            </w:r>
          </w:p>
        </w:tc>
        <w:tc>
          <w:tcPr>
            <w:tcW w:w="368" w:type="pct"/>
            <w:shd w:val="clear" w:color="auto" w:fill="C6EFCE"/>
            <w:noWrap/>
            <w:vAlign w:val="center"/>
            <w:hideMark/>
          </w:tcPr>
          <w:p w14:paraId="37D10495"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68A98B56" w14:textId="77777777" w:rsidR="006054AA" w:rsidRDefault="001F7667">
            <w:pPr>
              <w:pStyle w:val="P68B1DB1-Normal11"/>
              <w:jc w:val="center"/>
              <w:rPr>
                <w:noProof/>
              </w:rPr>
            </w:pPr>
            <w:r>
              <w:rPr>
                <w:noProof/>
              </w:rPr>
              <w:t>НЯМА</w:t>
            </w:r>
          </w:p>
        </w:tc>
        <w:tc>
          <w:tcPr>
            <w:tcW w:w="377" w:type="pct"/>
            <w:shd w:val="clear" w:color="auto" w:fill="C6EFCE"/>
            <w:noWrap/>
            <w:vAlign w:val="center"/>
            <w:hideMark/>
          </w:tcPr>
          <w:p w14:paraId="4B535FD2" w14:textId="77777777" w:rsidR="006054AA" w:rsidRDefault="001F7667">
            <w:pPr>
              <w:pStyle w:val="P68B1DB1-Normal11"/>
              <w:jc w:val="center"/>
              <w:rPr>
                <w:noProof/>
              </w:rPr>
            </w:pPr>
            <w:r>
              <w:rPr>
                <w:noProof/>
              </w:rPr>
              <w:t>НЯМА</w:t>
            </w:r>
          </w:p>
        </w:tc>
        <w:tc>
          <w:tcPr>
            <w:tcW w:w="321" w:type="pct"/>
            <w:shd w:val="clear" w:color="auto" w:fill="C6EFCE"/>
            <w:noWrap/>
            <w:vAlign w:val="center"/>
            <w:hideMark/>
          </w:tcPr>
          <w:p w14:paraId="588FE59C" w14:textId="77777777" w:rsidR="006054AA" w:rsidRDefault="001F7667">
            <w:pPr>
              <w:pStyle w:val="P68B1DB1-Normal11"/>
              <w:jc w:val="center"/>
              <w:rPr>
                <w:noProof/>
              </w:rPr>
            </w:pPr>
            <w:r>
              <w:rPr>
                <w:noProof/>
              </w:rPr>
              <w:t>Т4 Г.</w:t>
            </w:r>
          </w:p>
        </w:tc>
        <w:tc>
          <w:tcPr>
            <w:tcW w:w="224" w:type="pct"/>
            <w:shd w:val="clear" w:color="auto" w:fill="C6EFCE"/>
            <w:noWrap/>
            <w:vAlign w:val="center"/>
            <w:hideMark/>
          </w:tcPr>
          <w:p w14:paraId="23688836" w14:textId="77777777" w:rsidR="006054AA" w:rsidRDefault="001F7667">
            <w:pPr>
              <w:pStyle w:val="P68B1DB1-Normal11"/>
              <w:jc w:val="center"/>
              <w:rPr>
                <w:noProof/>
              </w:rPr>
            </w:pPr>
            <w:r>
              <w:rPr>
                <w:noProof/>
              </w:rPr>
              <w:t>2023</w:t>
            </w:r>
          </w:p>
        </w:tc>
        <w:tc>
          <w:tcPr>
            <w:tcW w:w="1192" w:type="pct"/>
            <w:shd w:val="clear" w:color="auto" w:fill="C6EFCE"/>
            <w:noWrap/>
            <w:vAlign w:val="center"/>
            <w:hideMark/>
          </w:tcPr>
          <w:p w14:paraId="7C3E40BA" w14:textId="77777777" w:rsidR="006054AA" w:rsidRDefault="001F7667">
            <w:pPr>
              <w:pStyle w:val="P68B1DB1-Normal11"/>
              <w:rPr>
                <w:noProof/>
              </w:rPr>
            </w:pPr>
            <w:r>
              <w:rPr>
                <w:noProof/>
              </w:rPr>
              <w:t>Избраните изпълнителни органи са специализирани организации или мрежи, които притежават умения и опит както в областта на обучението, така и в областта на културното творчество, околната среда, управлението на културата и обучението.</w:t>
            </w:r>
          </w:p>
          <w:p w14:paraId="7B4619DA" w14:textId="77777777" w:rsidR="006054AA" w:rsidRDefault="001F7667">
            <w:pPr>
              <w:pStyle w:val="P68B1DB1-Normal11"/>
              <w:rPr>
                <w:noProof/>
              </w:rPr>
            </w:pPr>
            <w:r>
              <w:rPr>
                <w:noProof/>
              </w:rPr>
              <w:t>Уведомяването за възлагането на всички обществени поръчки за проекти, избрани в рамките на състезателните покани за представяне на предложения, трябва да 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2937AE53" w14:textId="77777777">
        <w:trPr>
          <w:trHeight w:val="309"/>
        </w:trPr>
        <w:tc>
          <w:tcPr>
            <w:tcW w:w="366" w:type="pct"/>
            <w:shd w:val="clear" w:color="auto" w:fill="C6EFCE"/>
            <w:noWrap/>
            <w:vAlign w:val="center"/>
            <w:hideMark/>
          </w:tcPr>
          <w:p w14:paraId="7058000B" w14:textId="77777777" w:rsidR="006054AA" w:rsidRDefault="001F7667">
            <w:pPr>
              <w:pStyle w:val="P68B1DB1-Normal11"/>
              <w:jc w:val="center"/>
              <w:rPr>
                <w:noProof/>
              </w:rPr>
            </w:pPr>
            <w:r>
              <w:rPr>
                <w:noProof/>
              </w:rPr>
              <w:t>M1C3—8</w:t>
            </w:r>
          </w:p>
        </w:tc>
        <w:tc>
          <w:tcPr>
            <w:tcW w:w="460" w:type="pct"/>
            <w:shd w:val="clear" w:color="auto" w:fill="C6EFCE"/>
            <w:noWrap/>
            <w:vAlign w:val="center"/>
            <w:hideMark/>
          </w:tcPr>
          <w:p w14:paraId="7B06AA51" w14:textId="77777777" w:rsidR="006054AA" w:rsidRDefault="001F7667">
            <w:pPr>
              <w:pStyle w:val="P68B1DB1-Normal11"/>
              <w:jc w:val="center"/>
              <w:rPr>
                <w:noProof/>
              </w:rPr>
            </w:pPr>
            <w:r>
              <w:rPr>
                <w:noProof/>
              </w:rPr>
              <w:t>Инвестиции — 4.1 цифров туристически център</w:t>
            </w:r>
          </w:p>
        </w:tc>
        <w:tc>
          <w:tcPr>
            <w:tcW w:w="368" w:type="pct"/>
            <w:shd w:val="clear" w:color="auto" w:fill="C6EFCE"/>
            <w:noWrap/>
            <w:vAlign w:val="center"/>
            <w:hideMark/>
          </w:tcPr>
          <w:p w14:paraId="49C0DD3C" w14:textId="77777777" w:rsidR="006054AA" w:rsidRDefault="001F7667">
            <w:pPr>
              <w:pStyle w:val="P68B1DB1-Normal11"/>
              <w:jc w:val="center"/>
              <w:rPr>
                <w:noProof/>
              </w:rPr>
            </w:pPr>
            <w:r>
              <w:rPr>
                <w:noProof/>
              </w:rPr>
              <w:t>Ключов етап</w:t>
            </w:r>
          </w:p>
        </w:tc>
        <w:tc>
          <w:tcPr>
            <w:tcW w:w="436" w:type="pct"/>
            <w:shd w:val="clear" w:color="auto" w:fill="C6EFCE"/>
            <w:noWrap/>
            <w:vAlign w:val="center"/>
            <w:hideMark/>
          </w:tcPr>
          <w:p w14:paraId="06F431B9" w14:textId="77777777" w:rsidR="006054AA" w:rsidRDefault="001F7667">
            <w:pPr>
              <w:pStyle w:val="P68B1DB1-Normal11"/>
              <w:jc w:val="center"/>
              <w:rPr>
                <w:noProof/>
              </w:rPr>
            </w:pPr>
            <w:r>
              <w:rPr>
                <w:noProof/>
              </w:rPr>
              <w:t>Възлагане на договори за разработването на цифровия туристически портал</w:t>
            </w:r>
          </w:p>
        </w:tc>
        <w:tc>
          <w:tcPr>
            <w:tcW w:w="520" w:type="pct"/>
            <w:shd w:val="clear" w:color="auto" w:fill="C6EFCE"/>
            <w:noWrap/>
            <w:vAlign w:val="center"/>
            <w:hideMark/>
          </w:tcPr>
          <w:p w14:paraId="61244166" w14:textId="77777777" w:rsidR="006054AA" w:rsidRDefault="001F7667">
            <w:pPr>
              <w:pStyle w:val="P68B1DB1-Normal11"/>
              <w:jc w:val="center"/>
              <w:rPr>
                <w:noProof/>
              </w:rPr>
            </w:pPr>
            <w:r>
              <w:rPr>
                <w:noProof/>
              </w:rPr>
              <w:t>Уведомление за възлагането на всички обществени поръчки за разработването на цифровия туристически портал</w:t>
            </w:r>
          </w:p>
        </w:tc>
        <w:tc>
          <w:tcPr>
            <w:tcW w:w="368" w:type="pct"/>
            <w:shd w:val="clear" w:color="auto" w:fill="C6EFCE"/>
            <w:noWrap/>
            <w:vAlign w:val="center"/>
            <w:hideMark/>
          </w:tcPr>
          <w:p w14:paraId="46EDD2ED"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2CC1A504" w14:textId="77777777" w:rsidR="006054AA" w:rsidRDefault="001F7667">
            <w:pPr>
              <w:pStyle w:val="P68B1DB1-Normal11"/>
              <w:jc w:val="center"/>
              <w:rPr>
                <w:noProof/>
              </w:rPr>
            </w:pPr>
            <w:r>
              <w:rPr>
                <w:noProof/>
              </w:rPr>
              <w:t>НЯМА</w:t>
            </w:r>
          </w:p>
        </w:tc>
        <w:tc>
          <w:tcPr>
            <w:tcW w:w="377" w:type="pct"/>
            <w:shd w:val="clear" w:color="auto" w:fill="C6EFCE"/>
            <w:noWrap/>
            <w:vAlign w:val="center"/>
            <w:hideMark/>
          </w:tcPr>
          <w:p w14:paraId="1BE458E8" w14:textId="77777777" w:rsidR="006054AA" w:rsidRDefault="001F7667">
            <w:pPr>
              <w:pStyle w:val="P68B1DB1-Normal11"/>
              <w:jc w:val="center"/>
              <w:rPr>
                <w:noProof/>
              </w:rPr>
            </w:pPr>
            <w:r>
              <w:rPr>
                <w:noProof/>
              </w:rPr>
              <w:t>НЯМА</w:t>
            </w:r>
          </w:p>
        </w:tc>
        <w:tc>
          <w:tcPr>
            <w:tcW w:w="321" w:type="pct"/>
            <w:shd w:val="clear" w:color="auto" w:fill="C6EFCE"/>
            <w:noWrap/>
            <w:vAlign w:val="center"/>
            <w:hideMark/>
          </w:tcPr>
          <w:p w14:paraId="22337694" w14:textId="77777777" w:rsidR="006054AA" w:rsidRDefault="001F7667">
            <w:pPr>
              <w:pStyle w:val="P68B1DB1-Normal11"/>
              <w:jc w:val="center"/>
              <w:rPr>
                <w:noProof/>
              </w:rPr>
            </w:pPr>
            <w:r>
              <w:rPr>
                <w:noProof/>
              </w:rPr>
              <w:t>Т4 Г.</w:t>
            </w:r>
          </w:p>
        </w:tc>
        <w:tc>
          <w:tcPr>
            <w:tcW w:w="224" w:type="pct"/>
            <w:shd w:val="clear" w:color="auto" w:fill="C6EFCE"/>
            <w:noWrap/>
            <w:vAlign w:val="center"/>
            <w:hideMark/>
          </w:tcPr>
          <w:p w14:paraId="2B58CB62" w14:textId="77777777" w:rsidR="006054AA" w:rsidRDefault="001F7667">
            <w:pPr>
              <w:pStyle w:val="P68B1DB1-Normal11"/>
              <w:jc w:val="center"/>
              <w:rPr>
                <w:noProof/>
              </w:rPr>
            </w:pPr>
            <w:r>
              <w:rPr>
                <w:noProof/>
              </w:rPr>
              <w:t>2021</w:t>
            </w:r>
          </w:p>
        </w:tc>
        <w:tc>
          <w:tcPr>
            <w:tcW w:w="1192" w:type="pct"/>
            <w:shd w:val="clear" w:color="auto" w:fill="C6EFCE"/>
            <w:noWrap/>
            <w:vAlign w:val="center"/>
            <w:hideMark/>
          </w:tcPr>
          <w:p w14:paraId="087F2A40" w14:textId="77777777" w:rsidR="006054AA" w:rsidRDefault="001F7667">
            <w:pPr>
              <w:pStyle w:val="P68B1DB1-Normal11"/>
              <w:rPr>
                <w:noProof/>
              </w:rPr>
            </w:pPr>
            <w:r>
              <w:rPr>
                <w:noProof/>
              </w:rPr>
              <w:t>Уведомление за възлагането на (всички) обществени поръчки за разработването на цифровия туристически портал.</w:t>
            </w:r>
          </w:p>
          <w:p w14:paraId="11847CD8" w14:textId="77777777" w:rsidR="006054AA" w:rsidRDefault="001F7667">
            <w:pPr>
              <w:pStyle w:val="P68B1DB1-Normal11"/>
              <w:rPr>
                <w:noProof/>
              </w:rPr>
            </w:pPr>
            <w:r>
              <w:rPr>
                <w:noProof/>
              </w:rPr>
              <w:t>Цифровият туристически портал модернизира настоящия портал Italia.it чрез въвеждането на облачна и отворена архитектура, като значително благоприятства взаимосвързаността с екосистемата. Актуализираният портал включва: създаване на нов интерфейс и дърво за навигация; преглед на оформлението, структурата и функционалните възможности на разделите, страниците и членовете; въвеждане на карти; многоезично управление (по време на преминаването порталът ще бъде представен на италиански и английски език). Интегрирането на другите езици, които понастоящем се подкрепят, се очаква през месеците непосредствено след пускането в експлоатация.</w:t>
            </w:r>
          </w:p>
          <w:p w14:paraId="22B628A9" w14:textId="77777777" w:rsidR="006054AA" w:rsidRDefault="006054AA">
            <w:pPr>
              <w:rPr>
                <w:rFonts w:ascii="Arial Narrow" w:hAnsi="Arial Narrow"/>
                <w:noProof/>
                <w:color w:val="006100"/>
                <w:sz w:val="20"/>
              </w:rPr>
            </w:pPr>
          </w:p>
          <w:p w14:paraId="4142AC18" w14:textId="77777777" w:rsidR="006054AA" w:rsidRDefault="001F7667">
            <w:pPr>
              <w:pStyle w:val="P68B1DB1-Normal11"/>
              <w:rPr>
                <w:noProof/>
              </w:rPr>
            </w:pPr>
            <w:r>
              <w:rPr>
                <w:noProof/>
              </w:rPr>
              <w:t>Възлагане на поръчките на проектите, избрани в рамките на конкурсните покани за представяне на предложения,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35D0E03F" w14:textId="77777777" w:rsidR="006054AA" w:rsidRDefault="006054AA">
            <w:pPr>
              <w:rPr>
                <w:rFonts w:ascii="Arial Narrow" w:hAnsi="Arial Narrow"/>
                <w:noProof/>
                <w:color w:val="006100"/>
                <w:sz w:val="20"/>
              </w:rPr>
            </w:pPr>
          </w:p>
        </w:tc>
      </w:tr>
      <w:tr w:rsidR="006054AA" w14:paraId="40E94FD7" w14:textId="77777777">
        <w:trPr>
          <w:trHeight w:val="309"/>
        </w:trPr>
        <w:tc>
          <w:tcPr>
            <w:tcW w:w="366" w:type="pct"/>
            <w:shd w:val="clear" w:color="auto" w:fill="C6EFCE"/>
            <w:noWrap/>
            <w:vAlign w:val="center"/>
            <w:hideMark/>
          </w:tcPr>
          <w:p w14:paraId="58276D09" w14:textId="77777777" w:rsidR="006054AA" w:rsidRDefault="001F7667">
            <w:pPr>
              <w:pStyle w:val="P68B1DB1-Normal11"/>
              <w:jc w:val="center"/>
              <w:rPr>
                <w:noProof/>
              </w:rPr>
            </w:pPr>
            <w:r>
              <w:rPr>
                <w:noProof/>
              </w:rPr>
              <w:t>M1C3—9</w:t>
            </w:r>
          </w:p>
        </w:tc>
        <w:tc>
          <w:tcPr>
            <w:tcW w:w="460" w:type="pct"/>
            <w:shd w:val="clear" w:color="auto" w:fill="C6EFCE"/>
            <w:noWrap/>
            <w:vAlign w:val="center"/>
            <w:hideMark/>
          </w:tcPr>
          <w:p w14:paraId="7B8EC5A9" w14:textId="77777777" w:rsidR="006054AA" w:rsidRDefault="001F7667">
            <w:pPr>
              <w:pStyle w:val="P68B1DB1-Normal11"/>
              <w:jc w:val="center"/>
              <w:rPr>
                <w:noProof/>
              </w:rPr>
            </w:pPr>
            <w:r>
              <w:rPr>
                <w:noProof/>
              </w:rPr>
              <w:t>Цифров туристически център „Инвестиция 4.1“</w:t>
            </w:r>
          </w:p>
        </w:tc>
        <w:tc>
          <w:tcPr>
            <w:tcW w:w="368" w:type="pct"/>
            <w:shd w:val="clear" w:color="auto" w:fill="C6EFCE"/>
            <w:noWrap/>
            <w:vAlign w:val="center"/>
            <w:hideMark/>
          </w:tcPr>
          <w:p w14:paraId="2F41EAF8" w14:textId="77777777" w:rsidR="006054AA" w:rsidRDefault="001F7667">
            <w:pPr>
              <w:pStyle w:val="P68B1DB1-Normal11"/>
              <w:jc w:val="center"/>
              <w:rPr>
                <w:noProof/>
              </w:rPr>
            </w:pPr>
            <w:r>
              <w:rPr>
                <w:noProof/>
              </w:rPr>
              <w:t>Целеви</w:t>
            </w:r>
          </w:p>
        </w:tc>
        <w:tc>
          <w:tcPr>
            <w:tcW w:w="436" w:type="pct"/>
            <w:shd w:val="clear" w:color="auto" w:fill="C6EFCE"/>
            <w:noWrap/>
            <w:vAlign w:val="center"/>
            <w:hideMark/>
          </w:tcPr>
          <w:p w14:paraId="0EDFE844" w14:textId="77777777" w:rsidR="006054AA" w:rsidRDefault="001F7667">
            <w:pPr>
              <w:pStyle w:val="P68B1DB1-Normal11"/>
              <w:jc w:val="center"/>
              <w:rPr>
                <w:noProof/>
              </w:rPr>
            </w:pPr>
            <w:r>
              <w:rPr>
                <w:noProof/>
              </w:rPr>
              <w:t>Участие на туристически оператори в цифровия туристически център</w:t>
            </w:r>
          </w:p>
        </w:tc>
        <w:tc>
          <w:tcPr>
            <w:tcW w:w="520" w:type="pct"/>
            <w:shd w:val="clear" w:color="auto" w:fill="C6EFCE"/>
            <w:noWrap/>
            <w:vAlign w:val="center"/>
            <w:hideMark/>
          </w:tcPr>
          <w:p w14:paraId="3EDE26B6"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6B7FDBD2" w14:textId="77777777" w:rsidR="006054AA" w:rsidRDefault="001F7667">
            <w:pPr>
              <w:pStyle w:val="P68B1DB1-Normal11"/>
              <w:jc w:val="center"/>
              <w:rPr>
                <w:noProof/>
              </w:rPr>
            </w:pPr>
            <w:r>
              <w:rPr>
                <w:noProof/>
              </w:rPr>
              <w:t>Брой</w:t>
            </w:r>
          </w:p>
        </w:tc>
        <w:tc>
          <w:tcPr>
            <w:tcW w:w="368" w:type="pct"/>
            <w:shd w:val="clear" w:color="auto" w:fill="C6EFCE"/>
            <w:noWrap/>
            <w:vAlign w:val="center"/>
            <w:hideMark/>
          </w:tcPr>
          <w:p w14:paraId="232100FA" w14:textId="77777777" w:rsidR="006054AA" w:rsidRDefault="001F7667">
            <w:pPr>
              <w:pStyle w:val="P68B1DB1-Normal11"/>
              <w:jc w:val="center"/>
              <w:rPr>
                <w:noProof/>
              </w:rPr>
            </w:pPr>
            <w:r>
              <w:rPr>
                <w:noProof/>
              </w:rPr>
              <w:t>0</w:t>
            </w:r>
          </w:p>
        </w:tc>
        <w:tc>
          <w:tcPr>
            <w:tcW w:w="377" w:type="pct"/>
            <w:shd w:val="clear" w:color="auto" w:fill="C6EFCE"/>
            <w:noWrap/>
            <w:vAlign w:val="center"/>
            <w:hideMark/>
          </w:tcPr>
          <w:p w14:paraId="442F29B2" w14:textId="5E31F7FB" w:rsidR="006054AA" w:rsidRDefault="001F7667">
            <w:pPr>
              <w:pStyle w:val="P68B1DB1-Normal11"/>
              <w:jc w:val="center"/>
              <w:rPr>
                <w:noProof/>
              </w:rPr>
            </w:pPr>
            <w:r>
              <w:rPr>
                <w:noProof/>
              </w:rPr>
              <w:t>20 000</w:t>
            </w:r>
          </w:p>
        </w:tc>
        <w:tc>
          <w:tcPr>
            <w:tcW w:w="321" w:type="pct"/>
            <w:shd w:val="clear" w:color="auto" w:fill="C6EFCE"/>
            <w:noWrap/>
            <w:vAlign w:val="center"/>
            <w:hideMark/>
          </w:tcPr>
          <w:p w14:paraId="605F7850" w14:textId="77777777" w:rsidR="006054AA" w:rsidRDefault="001F7667">
            <w:pPr>
              <w:pStyle w:val="P68B1DB1-Normal11"/>
              <w:jc w:val="center"/>
              <w:rPr>
                <w:noProof/>
              </w:rPr>
            </w:pPr>
            <w:r>
              <w:rPr>
                <w:noProof/>
              </w:rPr>
              <w:t>Т2 Г.</w:t>
            </w:r>
          </w:p>
        </w:tc>
        <w:tc>
          <w:tcPr>
            <w:tcW w:w="224" w:type="pct"/>
            <w:shd w:val="clear" w:color="auto" w:fill="C6EFCE"/>
            <w:noWrap/>
            <w:vAlign w:val="center"/>
            <w:hideMark/>
          </w:tcPr>
          <w:p w14:paraId="49978F6C" w14:textId="77777777" w:rsidR="006054AA" w:rsidRDefault="001F7667">
            <w:pPr>
              <w:pStyle w:val="P68B1DB1-Normal11"/>
              <w:jc w:val="center"/>
              <w:rPr>
                <w:noProof/>
              </w:rPr>
            </w:pPr>
            <w:r>
              <w:rPr>
                <w:noProof/>
              </w:rPr>
              <w:t>2024</w:t>
            </w:r>
          </w:p>
        </w:tc>
        <w:tc>
          <w:tcPr>
            <w:tcW w:w="1192" w:type="pct"/>
            <w:shd w:val="clear" w:color="auto" w:fill="C6EFCE"/>
            <w:noWrap/>
            <w:vAlign w:val="center"/>
            <w:hideMark/>
          </w:tcPr>
          <w:p w14:paraId="5665ED76" w14:textId="7796C960" w:rsidR="006054AA" w:rsidRDefault="001F7667">
            <w:pPr>
              <w:pStyle w:val="P68B1DB1-Normal12"/>
              <w:jc w:val="both"/>
              <w:rPr>
                <w:rFonts w:ascii="Arial Narrow" w:hAnsi="Arial Narrow"/>
                <w:noProof/>
              </w:rPr>
            </w:pPr>
            <w:r>
              <w:rPr>
                <w:rFonts w:ascii="Arial Narrow" w:hAnsi="Arial Narrow"/>
                <w:noProof/>
              </w:rPr>
              <w:t>Броя на участващите туристически оператори (като хотел, туроператор и фирми, определени с ATECO кодове 55.00.00; 56.00.00 Г.; 79.00.00 и други структури от сектора) съответства на 4 % от прогнозираните 500</w:t>
            </w:r>
            <w:r>
              <w:rPr>
                <w:noProof/>
              </w:rPr>
              <w:t xml:space="preserve"> </w:t>
            </w:r>
            <w:r>
              <w:rPr>
                <w:rFonts w:ascii="Arial Narrow" w:hAnsi="Arial Narrow"/>
                <w:noProof/>
              </w:rPr>
              <w:t>000 италиански оператори (повишаване на квалификацията, дейности по обучение, комуникация, анализ на данни, решения в подкрепа на иновациите).</w:t>
            </w:r>
          </w:p>
          <w:p w14:paraId="1F53AFCC" w14:textId="77777777" w:rsidR="006054AA" w:rsidRDefault="006054AA">
            <w:pPr>
              <w:jc w:val="both"/>
              <w:rPr>
                <w:rFonts w:ascii="Arial Narrow" w:hAnsi="Arial Narrow"/>
                <w:noProof/>
                <w:color w:val="006100"/>
                <w:sz w:val="20"/>
              </w:rPr>
            </w:pPr>
          </w:p>
          <w:p w14:paraId="57A1E86E" w14:textId="042F10A4" w:rsidR="006054AA" w:rsidRDefault="001F7667">
            <w:pPr>
              <w:pStyle w:val="P68B1DB1-Normal11"/>
              <w:jc w:val="both"/>
              <w:rPr>
                <w:noProof/>
              </w:rPr>
            </w:pPr>
            <w:r>
              <w:rPr>
                <w:noProof/>
              </w:rPr>
              <w:t>Най-малко 37 % от участващите туристически оператори трябва да се намират на юг.</w:t>
            </w:r>
          </w:p>
          <w:p w14:paraId="795EB241" w14:textId="77777777" w:rsidR="006054AA" w:rsidRDefault="006054AA">
            <w:pPr>
              <w:rPr>
                <w:rFonts w:ascii="Arial Narrow" w:hAnsi="Arial Narrow"/>
                <w:noProof/>
                <w:color w:val="006100"/>
                <w:sz w:val="20"/>
              </w:rPr>
            </w:pPr>
          </w:p>
        </w:tc>
      </w:tr>
      <w:tr w:rsidR="006054AA" w14:paraId="655CDADE" w14:textId="77777777">
        <w:trPr>
          <w:trHeight w:val="309"/>
        </w:trPr>
        <w:tc>
          <w:tcPr>
            <w:tcW w:w="366" w:type="pct"/>
            <w:shd w:val="clear" w:color="auto" w:fill="C6EFCE"/>
            <w:noWrap/>
            <w:vAlign w:val="center"/>
            <w:hideMark/>
          </w:tcPr>
          <w:p w14:paraId="51A8B80E" w14:textId="77777777" w:rsidR="006054AA" w:rsidRDefault="001F7667">
            <w:pPr>
              <w:pStyle w:val="P68B1DB1-Normal11"/>
              <w:jc w:val="center"/>
              <w:rPr>
                <w:noProof/>
              </w:rPr>
            </w:pPr>
            <w:r>
              <w:rPr>
                <w:noProof/>
              </w:rPr>
              <w:t>M1C3—10</w:t>
            </w:r>
          </w:p>
        </w:tc>
        <w:tc>
          <w:tcPr>
            <w:tcW w:w="460" w:type="pct"/>
            <w:shd w:val="clear" w:color="auto" w:fill="C6EFCE"/>
            <w:noWrap/>
            <w:vAlign w:val="center"/>
            <w:hideMark/>
          </w:tcPr>
          <w:p w14:paraId="50A9DFD4" w14:textId="77777777" w:rsidR="006054AA" w:rsidRDefault="001F7667">
            <w:pPr>
              <w:pStyle w:val="P68B1DB1-Normal11"/>
              <w:jc w:val="center"/>
              <w:rPr>
                <w:noProof/>
              </w:rPr>
            </w:pPr>
            <w:r>
              <w:rPr>
                <w:noProof/>
              </w:rPr>
              <w:t>Реформа от 4.1 г. на регламентирането на професиите екскурзоводи.</w:t>
            </w:r>
          </w:p>
          <w:p w14:paraId="1FFCB3B1" w14:textId="77777777" w:rsidR="006054AA" w:rsidRDefault="006054AA">
            <w:pPr>
              <w:jc w:val="center"/>
              <w:rPr>
                <w:rFonts w:ascii="Arial Narrow" w:hAnsi="Arial Narrow"/>
                <w:noProof/>
                <w:color w:val="006100"/>
                <w:sz w:val="20"/>
              </w:rPr>
            </w:pPr>
          </w:p>
        </w:tc>
        <w:tc>
          <w:tcPr>
            <w:tcW w:w="368" w:type="pct"/>
            <w:shd w:val="clear" w:color="auto" w:fill="C6EFCE"/>
            <w:noWrap/>
            <w:vAlign w:val="center"/>
            <w:hideMark/>
          </w:tcPr>
          <w:p w14:paraId="3C864174" w14:textId="77777777" w:rsidR="006054AA" w:rsidRDefault="001F7667">
            <w:pPr>
              <w:pStyle w:val="P68B1DB1-Normal11"/>
              <w:jc w:val="center"/>
              <w:rPr>
                <w:noProof/>
              </w:rPr>
            </w:pPr>
            <w:r>
              <w:rPr>
                <w:noProof/>
              </w:rPr>
              <w:t>Ключов етап</w:t>
            </w:r>
          </w:p>
        </w:tc>
        <w:tc>
          <w:tcPr>
            <w:tcW w:w="436" w:type="pct"/>
            <w:shd w:val="clear" w:color="auto" w:fill="C6EFCE"/>
            <w:noWrap/>
            <w:vAlign w:val="center"/>
            <w:hideMark/>
          </w:tcPr>
          <w:p w14:paraId="0589C2CE" w14:textId="77777777" w:rsidR="006054AA" w:rsidRDefault="001F7667">
            <w:pPr>
              <w:pStyle w:val="P68B1DB1-Normal11"/>
              <w:jc w:val="center"/>
              <w:rPr>
                <w:noProof/>
              </w:rPr>
            </w:pPr>
            <w:r>
              <w:rPr>
                <w:noProof/>
              </w:rPr>
              <w:t>Определяне на национален стандарт за екскурзоводите</w:t>
            </w:r>
          </w:p>
        </w:tc>
        <w:tc>
          <w:tcPr>
            <w:tcW w:w="520" w:type="pct"/>
            <w:shd w:val="clear" w:color="auto" w:fill="C6EFCE"/>
            <w:noWrap/>
            <w:vAlign w:val="center"/>
            <w:hideMark/>
          </w:tcPr>
          <w:p w14:paraId="11030D24" w14:textId="77777777" w:rsidR="006054AA" w:rsidRDefault="001F7667">
            <w:pPr>
              <w:pStyle w:val="P68B1DB1-Normal11"/>
              <w:jc w:val="center"/>
              <w:rPr>
                <w:noProof/>
              </w:rPr>
            </w:pPr>
            <w:r>
              <w:rPr>
                <w:noProof/>
              </w:rPr>
              <w:t>Определянето на минималния национален стандарт не предполага създаването на нова регулирана професия.</w:t>
            </w:r>
          </w:p>
        </w:tc>
        <w:tc>
          <w:tcPr>
            <w:tcW w:w="368" w:type="pct"/>
            <w:shd w:val="clear" w:color="auto" w:fill="C6EFCE"/>
            <w:noWrap/>
            <w:vAlign w:val="center"/>
            <w:hideMark/>
          </w:tcPr>
          <w:p w14:paraId="3D1BC950" w14:textId="77777777" w:rsidR="006054AA" w:rsidRDefault="001F7667">
            <w:pPr>
              <w:pStyle w:val="P68B1DB1-Normal11"/>
              <w:jc w:val="center"/>
              <w:rPr>
                <w:noProof/>
              </w:rPr>
            </w:pPr>
            <w:r>
              <w:rPr>
                <w:noProof/>
              </w:rPr>
              <w:t>НЯМА</w:t>
            </w:r>
          </w:p>
        </w:tc>
        <w:tc>
          <w:tcPr>
            <w:tcW w:w="368" w:type="pct"/>
            <w:shd w:val="clear" w:color="auto" w:fill="C6EFCE"/>
            <w:noWrap/>
            <w:vAlign w:val="center"/>
            <w:hideMark/>
          </w:tcPr>
          <w:p w14:paraId="6E06D47B" w14:textId="77777777" w:rsidR="006054AA" w:rsidRDefault="001F7667">
            <w:pPr>
              <w:pStyle w:val="P68B1DB1-Normal11"/>
              <w:jc w:val="center"/>
              <w:rPr>
                <w:noProof/>
              </w:rPr>
            </w:pPr>
            <w:r>
              <w:rPr>
                <w:noProof/>
              </w:rPr>
              <w:t>НЯМА</w:t>
            </w:r>
          </w:p>
        </w:tc>
        <w:tc>
          <w:tcPr>
            <w:tcW w:w="377" w:type="pct"/>
            <w:shd w:val="clear" w:color="auto" w:fill="C6EFCE"/>
            <w:noWrap/>
            <w:vAlign w:val="center"/>
            <w:hideMark/>
          </w:tcPr>
          <w:p w14:paraId="17126B65" w14:textId="77777777" w:rsidR="006054AA" w:rsidRDefault="001F7667">
            <w:pPr>
              <w:pStyle w:val="P68B1DB1-Normal11"/>
              <w:jc w:val="center"/>
              <w:rPr>
                <w:noProof/>
              </w:rPr>
            </w:pPr>
            <w:r>
              <w:rPr>
                <w:noProof/>
              </w:rPr>
              <w:t>НЯМА</w:t>
            </w:r>
          </w:p>
        </w:tc>
        <w:tc>
          <w:tcPr>
            <w:tcW w:w="321" w:type="pct"/>
            <w:shd w:val="clear" w:color="auto" w:fill="C6EFCE"/>
            <w:noWrap/>
            <w:vAlign w:val="center"/>
            <w:hideMark/>
          </w:tcPr>
          <w:p w14:paraId="38AECD25" w14:textId="77777777" w:rsidR="006054AA" w:rsidRDefault="001F7667">
            <w:pPr>
              <w:pStyle w:val="P68B1DB1-Normal11"/>
              <w:jc w:val="center"/>
              <w:rPr>
                <w:noProof/>
              </w:rPr>
            </w:pPr>
            <w:r>
              <w:rPr>
                <w:noProof/>
              </w:rPr>
              <w:t>Т2 Г.</w:t>
            </w:r>
          </w:p>
          <w:p w14:paraId="2500DAE9" w14:textId="77777777" w:rsidR="006054AA" w:rsidRDefault="006054AA">
            <w:pPr>
              <w:jc w:val="center"/>
              <w:rPr>
                <w:rFonts w:ascii="Arial Narrow" w:hAnsi="Arial Narrow"/>
                <w:noProof/>
                <w:color w:val="006100"/>
                <w:sz w:val="20"/>
              </w:rPr>
            </w:pPr>
          </w:p>
        </w:tc>
        <w:tc>
          <w:tcPr>
            <w:tcW w:w="224" w:type="pct"/>
            <w:shd w:val="clear" w:color="auto" w:fill="C6EFCE"/>
            <w:noWrap/>
            <w:vAlign w:val="center"/>
            <w:hideMark/>
          </w:tcPr>
          <w:p w14:paraId="2CDAE7A6" w14:textId="77777777" w:rsidR="006054AA" w:rsidRDefault="001F7667">
            <w:pPr>
              <w:pStyle w:val="P68B1DB1-Normal11"/>
              <w:jc w:val="center"/>
              <w:rPr>
                <w:noProof/>
              </w:rPr>
            </w:pPr>
            <w:r>
              <w:rPr>
                <w:noProof/>
              </w:rPr>
              <w:t>2024</w:t>
            </w:r>
          </w:p>
          <w:p w14:paraId="64F59E53" w14:textId="77777777" w:rsidR="006054AA" w:rsidRDefault="006054AA">
            <w:pPr>
              <w:jc w:val="center"/>
              <w:rPr>
                <w:rFonts w:ascii="Arial Narrow" w:hAnsi="Arial Narrow"/>
                <w:noProof/>
                <w:color w:val="006100"/>
                <w:sz w:val="20"/>
              </w:rPr>
            </w:pPr>
          </w:p>
        </w:tc>
        <w:tc>
          <w:tcPr>
            <w:tcW w:w="1192" w:type="pct"/>
            <w:shd w:val="clear" w:color="auto" w:fill="C6EFCE"/>
            <w:noWrap/>
            <w:vAlign w:val="center"/>
            <w:hideMark/>
          </w:tcPr>
          <w:p w14:paraId="3DC7B9E2" w14:textId="77777777" w:rsidR="006054AA" w:rsidRDefault="001F7667">
            <w:pPr>
              <w:pStyle w:val="P68B1DB1-Normal11"/>
              <w:rPr>
                <w:noProof/>
              </w:rPr>
            </w:pPr>
            <w:r>
              <w:rPr>
                <w:noProof/>
              </w:rPr>
              <w:t>Определянето на минималния национален стандарт не предполага създаването на нова регулирана професия.</w:t>
            </w:r>
          </w:p>
          <w:p w14:paraId="3232E3E0" w14:textId="654B9FCB" w:rsidR="006054AA" w:rsidRDefault="001F7667">
            <w:pPr>
              <w:pStyle w:val="P68B1DB1-Normal11"/>
              <w:rPr>
                <w:noProof/>
              </w:rPr>
            </w:pPr>
            <w:r>
              <w:rPr>
                <w:noProof/>
              </w:rPr>
              <w:t>Реформата предвижда също така обучение и професионално актуализиране с цел по-добро подпомагане на предлагането. Реформата се определя като метод за придобиване на уникална професионална квалификация, приета с единни стандарти на национално равнище чрез национален закон и последващо прилагане на министерски укази за разбирателство между държавните региони.</w:t>
            </w:r>
          </w:p>
        </w:tc>
      </w:tr>
      <w:tr w:rsidR="006054AA" w14:paraId="19500451" w14:textId="77777777">
        <w:trPr>
          <w:trHeight w:val="309"/>
        </w:trPr>
        <w:tc>
          <w:tcPr>
            <w:tcW w:w="366" w:type="pct"/>
            <w:shd w:val="clear" w:color="auto" w:fill="C6EFCE"/>
            <w:noWrap/>
            <w:vAlign w:val="center"/>
          </w:tcPr>
          <w:p w14:paraId="36457654" w14:textId="77777777" w:rsidR="006054AA" w:rsidRDefault="001F7667">
            <w:pPr>
              <w:pStyle w:val="P68B1DB1-Normal11"/>
              <w:jc w:val="center"/>
              <w:rPr>
                <w:noProof/>
              </w:rPr>
            </w:pPr>
            <w:r>
              <w:rPr>
                <w:noProof/>
              </w:rPr>
              <w:t>M1C3—11</w:t>
            </w:r>
          </w:p>
        </w:tc>
        <w:tc>
          <w:tcPr>
            <w:tcW w:w="460" w:type="pct"/>
            <w:shd w:val="clear" w:color="auto" w:fill="C6EFCE"/>
            <w:noWrap/>
            <w:vAlign w:val="center"/>
          </w:tcPr>
          <w:p w14:paraId="21D93BC6" w14:textId="77777777" w:rsidR="006054AA" w:rsidRDefault="001F7667">
            <w:pPr>
              <w:pStyle w:val="P68B1DB1-Normal11"/>
              <w:jc w:val="center"/>
              <w:rPr>
                <w:noProof/>
              </w:rPr>
            </w:pPr>
            <w:r>
              <w:rPr>
                <w:noProof/>
              </w:rPr>
              <w:t>Инвестиция 1.3 — Подобряване на енергийната ефективност в киното, театрите и музеите</w:t>
            </w:r>
          </w:p>
        </w:tc>
        <w:tc>
          <w:tcPr>
            <w:tcW w:w="368" w:type="pct"/>
            <w:shd w:val="clear" w:color="auto" w:fill="C6EFCE"/>
            <w:noWrap/>
            <w:vAlign w:val="center"/>
          </w:tcPr>
          <w:p w14:paraId="25D6EACE" w14:textId="77777777" w:rsidR="006054AA" w:rsidRDefault="001F7667">
            <w:pPr>
              <w:pStyle w:val="P68B1DB1-Normal11"/>
              <w:jc w:val="center"/>
              <w:rPr>
                <w:noProof/>
              </w:rPr>
            </w:pPr>
            <w:r>
              <w:rPr>
                <w:noProof/>
              </w:rPr>
              <w:t>Ключов етап</w:t>
            </w:r>
          </w:p>
        </w:tc>
        <w:tc>
          <w:tcPr>
            <w:tcW w:w="436" w:type="pct"/>
            <w:shd w:val="clear" w:color="auto" w:fill="C6EFCE"/>
            <w:noWrap/>
            <w:vAlign w:val="center"/>
          </w:tcPr>
          <w:p w14:paraId="40FAAC70" w14:textId="77777777" w:rsidR="006054AA" w:rsidRDefault="001F7667">
            <w:pPr>
              <w:pStyle w:val="P68B1DB1-Normal11"/>
              <w:spacing w:line="276" w:lineRule="auto"/>
              <w:jc w:val="center"/>
              <w:rPr>
                <w:noProof/>
              </w:rPr>
            </w:pPr>
            <w:r>
              <w:rPr>
                <w:noProof/>
              </w:rPr>
              <w:t>Влизане в сила на постановлението на Министерството на културата за разпределението на ресурсите:</w:t>
            </w:r>
          </w:p>
          <w:p w14:paraId="6BB62917" w14:textId="77777777" w:rsidR="006054AA" w:rsidRDefault="001F7667">
            <w:pPr>
              <w:pStyle w:val="P68B1DB1-Normal11"/>
              <w:spacing w:line="276" w:lineRule="auto"/>
              <w:jc w:val="center"/>
              <w:rPr>
                <w:noProof/>
              </w:rPr>
            </w:pPr>
            <w:r>
              <w:rPr>
                <w:noProof/>
              </w:rPr>
              <w:t>подобряване на енергийната ефективност на местата на културата</w:t>
            </w:r>
          </w:p>
          <w:p w14:paraId="4653407B" w14:textId="77777777" w:rsidR="006054AA" w:rsidRDefault="006054AA">
            <w:pPr>
              <w:jc w:val="center"/>
              <w:rPr>
                <w:rFonts w:ascii="Arial Narrow" w:hAnsi="Arial Narrow"/>
                <w:noProof/>
                <w:color w:val="006100"/>
                <w:sz w:val="20"/>
              </w:rPr>
            </w:pPr>
          </w:p>
        </w:tc>
        <w:tc>
          <w:tcPr>
            <w:tcW w:w="520" w:type="pct"/>
            <w:shd w:val="clear" w:color="auto" w:fill="C6EFCE"/>
            <w:noWrap/>
            <w:vAlign w:val="center"/>
          </w:tcPr>
          <w:p w14:paraId="02DD8288" w14:textId="77777777" w:rsidR="006054AA" w:rsidRDefault="001F7667">
            <w:pPr>
              <w:pStyle w:val="P68B1DB1-Normal11"/>
              <w:jc w:val="center"/>
              <w:rPr>
                <w:noProof/>
              </w:rPr>
            </w:pPr>
            <w:r>
              <w:rPr>
                <w:noProof/>
              </w:rPr>
              <w:t>Разпоредба в постановлението, посочваща влизането в сила на постановлението на Министерството на културата (MIC) за разпределяне на ресурси за подобряване на енергийната ефективност на местата на културата</w:t>
            </w:r>
          </w:p>
          <w:p w14:paraId="06E558B4" w14:textId="77777777" w:rsidR="006054AA" w:rsidRDefault="006054AA">
            <w:pPr>
              <w:jc w:val="center"/>
              <w:rPr>
                <w:rFonts w:ascii="Arial Narrow" w:hAnsi="Arial Narrow"/>
                <w:noProof/>
                <w:color w:val="006100"/>
                <w:sz w:val="20"/>
              </w:rPr>
            </w:pPr>
          </w:p>
        </w:tc>
        <w:tc>
          <w:tcPr>
            <w:tcW w:w="368" w:type="pct"/>
            <w:shd w:val="clear" w:color="auto" w:fill="C6EFCE"/>
            <w:noWrap/>
            <w:vAlign w:val="center"/>
          </w:tcPr>
          <w:p w14:paraId="278894D6" w14:textId="77777777" w:rsidR="006054AA" w:rsidRDefault="001F7667">
            <w:pPr>
              <w:pStyle w:val="P68B1DB1-Normal11"/>
              <w:jc w:val="center"/>
              <w:rPr>
                <w:noProof/>
              </w:rPr>
            </w:pPr>
            <w:r>
              <w:rPr>
                <w:noProof/>
              </w:rPr>
              <w:t>НЯМА</w:t>
            </w:r>
          </w:p>
        </w:tc>
        <w:tc>
          <w:tcPr>
            <w:tcW w:w="368" w:type="pct"/>
            <w:shd w:val="clear" w:color="auto" w:fill="C6EFCE"/>
            <w:noWrap/>
            <w:vAlign w:val="center"/>
          </w:tcPr>
          <w:p w14:paraId="3DC29CFD" w14:textId="77777777" w:rsidR="006054AA" w:rsidRDefault="001F7667">
            <w:pPr>
              <w:pStyle w:val="P68B1DB1-Normal11"/>
              <w:jc w:val="center"/>
              <w:rPr>
                <w:noProof/>
              </w:rPr>
            </w:pPr>
            <w:r>
              <w:rPr>
                <w:noProof/>
              </w:rPr>
              <w:t>НЯМА</w:t>
            </w:r>
          </w:p>
        </w:tc>
        <w:tc>
          <w:tcPr>
            <w:tcW w:w="377" w:type="pct"/>
            <w:shd w:val="clear" w:color="auto" w:fill="C6EFCE"/>
            <w:noWrap/>
            <w:vAlign w:val="center"/>
          </w:tcPr>
          <w:p w14:paraId="6E0D7CE6" w14:textId="77777777" w:rsidR="006054AA" w:rsidRDefault="001F7667">
            <w:pPr>
              <w:pStyle w:val="P68B1DB1-Normal11"/>
              <w:jc w:val="center"/>
              <w:rPr>
                <w:noProof/>
              </w:rPr>
            </w:pPr>
            <w:r>
              <w:rPr>
                <w:noProof/>
              </w:rPr>
              <w:t>НЯМА</w:t>
            </w:r>
          </w:p>
        </w:tc>
        <w:tc>
          <w:tcPr>
            <w:tcW w:w="321" w:type="pct"/>
            <w:shd w:val="clear" w:color="auto" w:fill="C6EFCE"/>
            <w:noWrap/>
            <w:vAlign w:val="center"/>
          </w:tcPr>
          <w:p w14:paraId="167D63C4" w14:textId="77777777" w:rsidR="006054AA" w:rsidRDefault="001F7667">
            <w:pPr>
              <w:pStyle w:val="P68B1DB1-Normal11"/>
              <w:jc w:val="center"/>
              <w:rPr>
                <w:noProof/>
              </w:rPr>
            </w:pPr>
            <w:r>
              <w:rPr>
                <w:noProof/>
              </w:rPr>
              <w:t>Т2 Г.</w:t>
            </w:r>
          </w:p>
        </w:tc>
        <w:tc>
          <w:tcPr>
            <w:tcW w:w="224" w:type="pct"/>
            <w:shd w:val="clear" w:color="auto" w:fill="C6EFCE"/>
            <w:noWrap/>
            <w:vAlign w:val="center"/>
          </w:tcPr>
          <w:p w14:paraId="6369125E" w14:textId="77777777" w:rsidR="006054AA" w:rsidRDefault="001F7667">
            <w:pPr>
              <w:pStyle w:val="P68B1DB1-Normal11"/>
              <w:jc w:val="center"/>
              <w:rPr>
                <w:noProof/>
              </w:rPr>
            </w:pPr>
            <w:r>
              <w:rPr>
                <w:noProof/>
              </w:rPr>
              <w:t>2022</w:t>
            </w:r>
          </w:p>
        </w:tc>
        <w:tc>
          <w:tcPr>
            <w:tcW w:w="1192" w:type="pct"/>
            <w:shd w:val="clear" w:color="auto" w:fill="C6EFCE"/>
            <w:noWrap/>
            <w:vAlign w:val="center"/>
          </w:tcPr>
          <w:p w14:paraId="50F29AE1" w14:textId="77777777" w:rsidR="006054AA" w:rsidRDefault="001F7667">
            <w:pPr>
              <w:pStyle w:val="P68B1DB1-Normal11"/>
              <w:rPr>
                <w:noProof/>
              </w:rPr>
            </w:pPr>
            <w:r>
              <w:rPr>
                <w:noProof/>
              </w:rPr>
              <w:t>„Места на културата“ означава кина, театри и музеи.</w:t>
            </w:r>
          </w:p>
          <w:p w14:paraId="062C97D0" w14:textId="77777777" w:rsidR="006054AA" w:rsidRDefault="001F7667">
            <w:pPr>
              <w:pStyle w:val="P68B1DB1-Normal11"/>
              <w:rPr>
                <w:noProof/>
              </w:rPr>
            </w:pPr>
            <w:r>
              <w:rPr>
                <w:noProof/>
              </w:rPr>
              <w:t>(INV. 1.3) за музеи и културни обекти за подобряване на енергийната ефективност интервенцията се осъществява чрез признаване на проектните предложения в държавните културни обекти в Министерството на културата (МК) в случая по цел 1. В противен случай идентифицирането на недържавните институции в случаите по цели 2 и 3 се извършва чрез покани за участие в търг.</w:t>
            </w:r>
          </w:p>
          <w:p w14:paraId="77C8B384" w14:textId="77777777" w:rsidR="006054AA" w:rsidRDefault="001F7667">
            <w:pPr>
              <w:pStyle w:val="P68B1DB1-Normal11"/>
              <w:rPr>
                <w:noProof/>
              </w:rPr>
            </w:pPr>
            <w:r>
              <w:rPr>
                <w:noProof/>
              </w:rPr>
              <w:t>Възлагането на поръчките на проектите, избрани в рамките на конкурсните покани за представяне на предложения, трябва да бъде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699BCE8E" w14:textId="77777777" w:rsidR="006054AA" w:rsidRDefault="006054AA">
            <w:pPr>
              <w:rPr>
                <w:rFonts w:ascii="Arial Narrow" w:hAnsi="Arial Narrow"/>
                <w:noProof/>
                <w:color w:val="006100"/>
                <w:sz w:val="20"/>
              </w:rPr>
            </w:pPr>
          </w:p>
        </w:tc>
      </w:tr>
    </w:tbl>
    <w:p w14:paraId="2DC24C07" w14:textId="77777777" w:rsidR="006054AA" w:rsidRDefault="006054AA">
      <w:pPr>
        <w:spacing w:before="120" w:after="120"/>
        <w:ind w:left="709"/>
        <w:jc w:val="both"/>
        <w:rPr>
          <w:noProof/>
        </w:rPr>
      </w:pPr>
    </w:p>
    <w:p w14:paraId="11EB6FA7" w14:textId="77777777" w:rsidR="006054AA" w:rsidRDefault="006054AA">
      <w:pPr>
        <w:spacing w:before="120" w:after="120"/>
        <w:ind w:left="709"/>
        <w:jc w:val="both"/>
        <w:rPr>
          <w:noProof/>
        </w:rPr>
        <w:sectPr w:rsidR="006054AA" w:rsidSect="001354D1">
          <w:headerReference w:type="even" r:id="rId74"/>
          <w:headerReference w:type="default" r:id="rId75"/>
          <w:footerReference w:type="even" r:id="rId76"/>
          <w:footerReference w:type="default" r:id="rId77"/>
          <w:headerReference w:type="first" r:id="rId78"/>
          <w:footerReference w:type="first" r:id="rId79"/>
          <w:pgSz w:w="16839" w:h="11907" w:orient="landscape"/>
          <w:pgMar w:top="1134" w:right="1134" w:bottom="1134" w:left="1134" w:header="567" w:footer="567" w:gutter="0"/>
          <w:cols w:space="720"/>
          <w:docGrid w:linePitch="360"/>
        </w:sectPr>
      </w:pPr>
    </w:p>
    <w:p w14:paraId="10271B9C" w14:textId="77777777" w:rsidR="006054AA" w:rsidRDefault="001F7667">
      <w:pPr>
        <w:pStyle w:val="Heading3"/>
        <w:numPr>
          <w:ilvl w:val="0"/>
          <w:numId w:val="0"/>
        </w:numPr>
        <w:ind w:left="850" w:hanging="850"/>
        <w:rPr>
          <w:b/>
          <w:i w:val="0"/>
          <w:noProof/>
          <w:u w:val="single"/>
        </w:rPr>
      </w:pPr>
      <w:r>
        <w:rPr>
          <w:b/>
          <w:i w:val="0"/>
          <w:noProof/>
          <w:u w:val="single"/>
        </w:rPr>
        <w:t xml:space="preserve">В3. </w:t>
      </w:r>
      <w:r>
        <w:rPr>
          <w:noProof/>
        </w:rPr>
        <w:tab/>
      </w:r>
      <w:r>
        <w:rPr>
          <w:b/>
          <w:i w:val="0"/>
          <w:noProof/>
          <w:u w:val="single"/>
        </w:rPr>
        <w:t xml:space="preserve">Описание на реформите и инвестициите за заема </w:t>
      </w:r>
    </w:p>
    <w:p w14:paraId="475ADD27" w14:textId="77777777" w:rsidR="006054AA" w:rsidRDefault="001F7667">
      <w:pPr>
        <w:pStyle w:val="P68B1DB1-Normal2"/>
        <w:jc w:val="both"/>
        <w:rPr>
          <w:noProof/>
        </w:rPr>
      </w:pPr>
      <w:r>
        <w:rPr>
          <w:noProof/>
        </w:rPr>
        <w:t>Инвестиция 2.1: Привлекателност на малките исторически градове</w:t>
      </w:r>
    </w:p>
    <w:p w14:paraId="03E304D4" w14:textId="77777777" w:rsidR="006054AA" w:rsidRDefault="006054AA">
      <w:pPr>
        <w:jc w:val="both"/>
        <w:rPr>
          <w:noProof/>
        </w:rPr>
      </w:pPr>
    </w:p>
    <w:p w14:paraId="373CDC75" w14:textId="77777777" w:rsidR="006054AA" w:rsidRDefault="001F7667">
      <w:pPr>
        <w:jc w:val="both"/>
        <w:rPr>
          <w:noProof/>
        </w:rPr>
      </w:pPr>
      <w:r>
        <w:rPr>
          <w:noProof/>
        </w:rPr>
        <w:t>Тази инвестиция е интегрирана в „Piano Nazionale Borghi“ — програма за подпомагане на икономическото/социалното развитие на необлагодетелстваните райони въз основа на културното обновление на малките градове и съживяването на туризма. Действията са структурирани около интегрирани местни културни проекти.</w:t>
      </w:r>
    </w:p>
    <w:p w14:paraId="34E24B1F" w14:textId="77777777" w:rsidR="006054AA" w:rsidRDefault="006054AA">
      <w:pPr>
        <w:jc w:val="both"/>
        <w:rPr>
          <w:noProof/>
        </w:rPr>
      </w:pPr>
    </w:p>
    <w:p w14:paraId="6868BD33" w14:textId="77777777" w:rsidR="006054AA" w:rsidRDefault="001F7667">
      <w:pPr>
        <w:spacing w:after="120"/>
        <w:jc w:val="both"/>
        <w:rPr>
          <w:noProof/>
        </w:rPr>
      </w:pPr>
      <w:r>
        <w:rPr>
          <w:noProof/>
        </w:rPr>
        <w:t>Мерките са насочени към: възстановяване на историческото наследство, подобряване на откритите обществени пространства (напр. премахване на архитектурните бариери, подобряване на градското обзавеждане), създаване на малки културни услуги, включително за туристически цели; II) насърчава се създаването и популяризирането на нови маршрути (напр. тематични маршрути, исторически маршрути) и обиколки с екскурзовод; III) въвеждане на финансова подкрепа за културни, творчески, туристически, търговски, селскостопански и занаятчийски дейности, насочени към съживяване на местните икономики чрез подобряване на местните продукти, знания и техники.</w:t>
      </w:r>
    </w:p>
    <w:p w14:paraId="50840A99" w14:textId="38F90647" w:rsidR="006054AA" w:rsidRDefault="001F7667">
      <w:pPr>
        <w:spacing w:after="120"/>
        <w:jc w:val="both"/>
        <w:rPr>
          <w:noProof/>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27"/>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28"/>
      </w:r>
      <w:r>
        <w:rPr>
          <w:noProof/>
        </w:rPr>
        <w:t>; III) дейности, свързани с депа за отпадъци, инсинератори</w:t>
      </w:r>
      <w:r>
        <w:rPr>
          <w:rStyle w:val="FootnoteReference"/>
          <w:noProof/>
        </w:rPr>
        <w:footnoteReference w:id="29"/>
      </w:r>
      <w:r>
        <w:rPr>
          <w:noProof/>
        </w:rPr>
        <w:t xml:space="preserve"> и инсталации за механично-биологично третиране</w:t>
      </w:r>
      <w:r>
        <w:rPr>
          <w:rStyle w:val="FootnoteReference"/>
          <w:noProof/>
        </w:rPr>
        <w:footnoteReference w:id="30"/>
      </w:r>
      <w:r>
        <w:rPr>
          <w:noProof/>
        </w:rPr>
        <w:t>; и iv) дейности, при които дългосрочното обезвреждане на отпадъци може да причини вреда на околната среда. В заданието се изисква освен това да се избират само дейности, които са в съответствие със съответното законодателство на ЕС и национално законодателство в областта на околната среда.</w:t>
      </w:r>
    </w:p>
    <w:p w14:paraId="7309DF7E" w14:textId="1F1084FE" w:rsidR="006054AA" w:rsidRDefault="001F7667">
      <w:pPr>
        <w:pStyle w:val="P68B1DB1-Normal2"/>
        <w:spacing w:after="120"/>
        <w:jc w:val="both"/>
        <w:rPr>
          <w:noProof/>
        </w:rPr>
      </w:pPr>
      <w:r>
        <w:rPr>
          <w:noProof/>
        </w:rPr>
        <w:t xml:space="preserve">Инвестиция 2.2: Опазване и подобряване на структурата и ландшафта на селските райони </w:t>
      </w:r>
    </w:p>
    <w:p w14:paraId="2F0E96E1" w14:textId="225206C7" w:rsidR="006054AA" w:rsidRDefault="001F7667">
      <w:pPr>
        <w:spacing w:after="120"/>
        <w:jc w:val="both"/>
        <w:rPr>
          <w:noProof/>
        </w:rPr>
      </w:pPr>
      <w:r>
        <w:rPr>
          <w:noProof/>
        </w:rPr>
        <w:t>Тези инвестиции стимулират систематичен процес на модернизиране на исторически селски сгради (частни или трети субекти) и опазване на ландшафта.</w:t>
      </w:r>
    </w:p>
    <w:p w14:paraId="5DBEFA39" w14:textId="77777777" w:rsidR="006054AA" w:rsidRDefault="001F7667">
      <w:pPr>
        <w:spacing w:after="120"/>
        <w:jc w:val="both"/>
        <w:rPr>
          <w:noProof/>
        </w:rPr>
      </w:pPr>
      <w:r>
        <w:rPr>
          <w:noProof/>
        </w:rPr>
        <w:t xml:space="preserve">Много селски сгради и селскостопански структури претърпяха постепенен процес на изоставяне, деградация и промени, които подкопаха отличителните им характеристики и връзката им със заобикалящата ги среда. Чрез възстановяване на сградния фонд в селските райони мярката подобрява качеството на ландшафта на селските райони, като връща на общността недостатъчно използван сграден фонд, който не е достъпен за обществеността. </w:t>
      </w:r>
    </w:p>
    <w:p w14:paraId="3E60293D" w14:textId="35299CFB" w:rsidR="006054AA" w:rsidRDefault="001F7667">
      <w:pPr>
        <w:pStyle w:val="P68B1DB1-Normal2"/>
        <w:spacing w:after="120"/>
        <w:jc w:val="both"/>
        <w:rPr>
          <w:noProof/>
        </w:rPr>
      </w:pPr>
      <w:r>
        <w:rPr>
          <w:noProof/>
        </w:rPr>
        <w:t xml:space="preserve">Инвестиция 2.3: Програми за подобряване на идентичността на местата: паркове и исторически градини </w:t>
      </w:r>
    </w:p>
    <w:p w14:paraId="0A1ADFB5" w14:textId="77777777" w:rsidR="006054AA" w:rsidRDefault="001F7667">
      <w:pPr>
        <w:spacing w:after="120"/>
        <w:jc w:val="both"/>
        <w:rPr>
          <w:noProof/>
        </w:rPr>
      </w:pPr>
      <w:r>
        <w:rPr>
          <w:noProof/>
        </w:rPr>
        <w:t xml:space="preserve">Тази инвестиция има за цел да се противодейства на градския упадък и да се възстанови споделената идентичност на местата, като се създадат нови възможности за съживяване на местните икономики и смекчаване на въздействието на кризата, както и за повишаване на уменията за управление и поддръжка на исторически паркове и градини. </w:t>
      </w:r>
    </w:p>
    <w:p w14:paraId="4404E55E" w14:textId="77777777" w:rsidR="006054AA" w:rsidRDefault="001F7667">
      <w:pPr>
        <w:spacing w:after="120"/>
        <w:jc w:val="both"/>
        <w:rPr>
          <w:noProof/>
        </w:rPr>
      </w:pPr>
      <w:r>
        <w:rPr>
          <w:noProof/>
        </w:rPr>
        <w:t>Инвестицията предвижда обновяване на исторически паркове и градини и въвежда обширни познания и рехабилитация на италианските исторически паркове и градини с оглед на тяхната правилна поддръжка, управление и обществено ползване. Заделят се ресурси за възстановяването на тези обекти и за обучението на местния персонал, който може да ги обработва/съхранява с течение на времето.</w:t>
      </w:r>
    </w:p>
    <w:p w14:paraId="505EDE1D" w14:textId="52A49F2F" w:rsidR="006054AA" w:rsidRDefault="001F7667">
      <w:pPr>
        <w:spacing w:after="120"/>
        <w:jc w:val="both"/>
        <w:rPr>
          <w:noProof/>
        </w:rPr>
      </w:pPr>
      <w:r>
        <w:rPr>
          <w:noProof/>
        </w:rPr>
        <w:t>Освен културната и историческата стойност, градините и историческите паркове допринасят за повишаване на екологичните ценности и играят важна роля за опазването на околната среда, генерирането на кислород, намаляването на замърсяването на околната среда и шума и регулирането на микроклимата.</w:t>
      </w:r>
    </w:p>
    <w:p w14:paraId="627BCBB6" w14:textId="77777777" w:rsidR="006054AA" w:rsidRDefault="001F7667">
      <w:pPr>
        <w:pStyle w:val="P68B1DB1-Normal2"/>
        <w:spacing w:after="120"/>
        <w:jc w:val="both"/>
        <w:rPr>
          <w:noProof/>
        </w:rPr>
      </w:pPr>
      <w:r>
        <w:rPr>
          <w:noProof/>
        </w:rPr>
        <w:t>Инвестиция 2.4: Сеизмична безопасност на местата за богослужение, реставрация на културното наследство и приюти за произведения на изкуството (Възстановяване на изкуство)</w:t>
      </w:r>
    </w:p>
    <w:p w14:paraId="1AF468BB" w14:textId="04FFF39A" w:rsidR="006054AA" w:rsidRDefault="001F7667">
      <w:pPr>
        <w:spacing w:after="120"/>
        <w:jc w:val="both"/>
        <w:rPr>
          <w:noProof/>
        </w:rPr>
      </w:pPr>
      <w:r>
        <w:rPr>
          <w:noProof/>
        </w:rPr>
        <w:t>Въвежда се план за противосеизмични превантивни действия, за да се намали значително рискът от местата за богослужение и по този начин да се избегнат потенциалните разходи за възстановяване след бедствия, както и постоянната загуба на много активи. Планът за действие съдържа три направления на действие:  защитата на местата за богослужение срещу сеизмични рискове; възстановяване на наследството на Фонда за храмове (FEC) и изграждане на складове като подслон за произведения на изкуството в случай на катастрофални събития.</w:t>
      </w:r>
    </w:p>
    <w:p w14:paraId="375067B7" w14:textId="5E4E8C85" w:rsidR="006054AA" w:rsidRDefault="001F7667">
      <w:pPr>
        <w:spacing w:after="120"/>
        <w:jc w:val="both"/>
        <w:rPr>
          <w:b/>
          <w:noProof/>
          <w:u w:val="single"/>
        </w:rPr>
      </w:pPr>
      <w:r>
        <w:rPr>
          <w:noProof/>
        </w:rPr>
        <w:t>Инвестицията предвижда също така създаването на Национален функционален център за защита на културните активи от човешки и природни рискове (CEFURISC), който да даде възможност за по-синергично използване на съществуващите технологии и екологични системи за наблюдение, наблюдение и управление на културни обекти.</w:t>
      </w:r>
      <w:r>
        <w:rPr>
          <w:b/>
          <w:noProof/>
          <w:u w:val="single"/>
        </w:rPr>
        <w:t xml:space="preserve"> </w:t>
      </w:r>
    </w:p>
    <w:p w14:paraId="12E64F85" w14:textId="0F13C509" w:rsidR="006054AA" w:rsidRDefault="001F7667">
      <w:pPr>
        <w:pStyle w:val="P68B1DB1-Normal2"/>
        <w:spacing w:after="120"/>
        <w:jc w:val="both"/>
        <w:rPr>
          <w:noProof/>
        </w:rPr>
      </w:pPr>
      <w:r>
        <w:rPr>
          <w:noProof/>
        </w:rPr>
        <w:t>Инвестиция 4.2: Фондове за конкурентоспособността на туристическите предприятия</w:t>
      </w:r>
    </w:p>
    <w:p w14:paraId="28856547" w14:textId="77777777" w:rsidR="006054AA" w:rsidRDefault="001F7667">
      <w:pPr>
        <w:spacing w:after="120"/>
        <w:jc w:val="both"/>
        <w:rPr>
          <w:noProof/>
        </w:rPr>
      </w:pPr>
      <w:r>
        <w:rPr>
          <w:noProof/>
        </w:rPr>
        <w:t>Мярката има за цел да подпомогне предприятията, извършващи дейност в туристическия сектор.  Той включва данъчен кредит за строителни работи, насочени към подобряване на съоръженията за настаняване, гаранционен фонд за улесняване на достъпа до кредитиране за предприятията в сектора (чрез специален раздел на Гаранционния фонд за МСП), активиране на тематичния фонд на ЕИБ за туризъм в подкрепа на иновативни инвестиции в сектора, капиталов фонд (Национален фонд за туризъм) за възстановяване на имоти с висок туристически потенциал. С допълнителен финансов инструмент (FRI — Fondo Rotativo) се допълват горепосочените мерки за подпомагане на предприятията, извършващи дейност в туристическия сектор. Горепосочените интервенции се извършват в съответствие с инвестиционните политики в съответствие с целите на Регламент (ЕС) 2021/241, включително във връзка с прилагането на принципа за ненанасяне на значителни вреди, както е допълнително уточнено в техническите насоки относно прилагането на принципа за ненанасяне на значителни вреди съгласно Регламента за Механизма за възстановяване и устойчивост (2021/C58/01).</w:t>
      </w:r>
    </w:p>
    <w:p w14:paraId="208B24F8" w14:textId="38B667E3" w:rsidR="006054AA" w:rsidRDefault="001F7667">
      <w:pPr>
        <w:pStyle w:val="Text1"/>
        <w:spacing w:before="0"/>
        <w:ind w:left="0"/>
        <w:rPr>
          <w:noProof/>
        </w:rPr>
      </w:pPr>
      <w:r>
        <w:rPr>
          <w:noProof/>
        </w:rPr>
        <w:t xml:space="preserve">За да се гарантира, че мярката е в съответствие с техническите насоки за ненанасяне на значителни вреди (2021/C58/01), правното споразумение и последващата инвестиционна политика на финансовите инструменти: </w:t>
      </w:r>
    </w:p>
    <w:p w14:paraId="1515FF36" w14:textId="77777777" w:rsidR="006054AA" w:rsidRDefault="001F7667">
      <w:pPr>
        <w:pStyle w:val="Text1"/>
        <w:numPr>
          <w:ilvl w:val="0"/>
          <w:numId w:val="78"/>
        </w:numPr>
        <w:spacing w:before="0"/>
        <w:ind w:left="567" w:hanging="283"/>
        <w:rPr>
          <w:noProof/>
        </w:rPr>
      </w:pPr>
      <w:r>
        <w:rPr>
          <w:noProof/>
        </w:rPr>
        <w:t>ще изиска прилагане на техническите насоки на Комисията относно проверката на устойчивостта на фонд InvestEU; и че</w:t>
      </w:r>
    </w:p>
    <w:p w14:paraId="07EC682D" w14:textId="744129E1" w:rsidR="006054AA" w:rsidRDefault="001F7667">
      <w:pPr>
        <w:pStyle w:val="Text1"/>
        <w:numPr>
          <w:ilvl w:val="0"/>
          <w:numId w:val="78"/>
        </w:numPr>
        <w:spacing w:before="0"/>
        <w:ind w:left="567" w:hanging="283"/>
        <w:rPr>
          <w:noProof/>
        </w:rPr>
      </w:pPr>
      <w:r>
        <w:rPr>
          <w:noProof/>
        </w:rPr>
        <w:t>изключване на следния списък с дейности: I) дейности, свързани с изкопаеми горива, включително използване надолу по веригата</w:t>
      </w:r>
      <w:r>
        <w:rPr>
          <w:rStyle w:val="FootnoteReference"/>
          <w:noProof/>
        </w:rPr>
        <w:footnoteReference w:id="31"/>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32"/>
      </w:r>
      <w:r>
        <w:rPr>
          <w:noProof/>
        </w:rPr>
        <w:t>; III) дейности, свързани с депа за отпадъци, инсинератори</w:t>
      </w:r>
      <w:r>
        <w:rPr>
          <w:rStyle w:val="FootnoteReference"/>
          <w:noProof/>
        </w:rPr>
        <w:footnoteReference w:id="33"/>
      </w:r>
      <w:r>
        <w:rPr>
          <w:noProof/>
        </w:rPr>
        <w:t xml:space="preserve"> и инсталации за механично-биологично третиране</w:t>
      </w:r>
      <w:r>
        <w:rPr>
          <w:rStyle w:val="FootnoteReference"/>
          <w:noProof/>
        </w:rPr>
        <w:footnoteReference w:id="34"/>
      </w:r>
      <w:r>
        <w:rPr>
          <w:noProof/>
        </w:rPr>
        <w:t>; и iv) дейности, при които дългосрочното обезвреждане на отпадъци може да причини вреда на околната среда; и че</w:t>
      </w:r>
    </w:p>
    <w:p w14:paraId="13654A9C" w14:textId="77777777" w:rsidR="006054AA" w:rsidRDefault="001F7667">
      <w:pPr>
        <w:pStyle w:val="Text1"/>
        <w:numPr>
          <w:ilvl w:val="0"/>
          <w:numId w:val="78"/>
        </w:numPr>
        <w:spacing w:before="0"/>
        <w:ind w:left="567" w:hanging="283"/>
        <w:rPr>
          <w:noProof/>
        </w:rPr>
      </w:pPr>
      <w:r>
        <w:rPr>
          <w:noProof/>
        </w:rPr>
        <w:t>изискват проверка на правното съответствие на проектите със съответното законодателство на ЕС и национално законодателство в областта на околната среда от упълномощения субект или финансовия посредник за всички сделки, включително тези, които са освободени от проверка на устойчивостта.</w:t>
      </w:r>
    </w:p>
    <w:p w14:paraId="0D09620E" w14:textId="618DB066" w:rsidR="006054AA" w:rsidRDefault="001F7667">
      <w:pPr>
        <w:pStyle w:val="P68B1DB1-Normal2"/>
        <w:spacing w:after="120"/>
        <w:jc w:val="both"/>
        <w:rPr>
          <w:noProof/>
        </w:rPr>
      </w:pPr>
      <w:r>
        <w:rPr>
          <w:noProof/>
        </w:rPr>
        <w:t>Инвестиция 3.2: Развитие на филмовата индустрия (проект Cinecittà)</w:t>
      </w:r>
    </w:p>
    <w:p w14:paraId="3C036224" w14:textId="77777777" w:rsidR="006054AA" w:rsidRDefault="001F7667">
      <w:pPr>
        <w:spacing w:after="120"/>
        <w:jc w:val="both"/>
        <w:rPr>
          <w:noProof/>
        </w:rPr>
      </w:pPr>
      <w:r>
        <w:rPr>
          <w:noProof/>
        </w:rPr>
        <w:t xml:space="preserve"> Целта на инвестицията е да се повиши конкурентоспособността на италианския филмов и аудио-визуален сектор. Проектът има за цел да смекчи социалното и икономическото въздействие на кризата с цел засилване на икономическия растеж, заетостта и конкурентоспособността, включително чрез действия в областта на обучението, с три направления на действие.</w:t>
      </w:r>
    </w:p>
    <w:p w14:paraId="68D8DB9D" w14:textId="77777777" w:rsidR="006054AA" w:rsidRDefault="001F7667">
      <w:pPr>
        <w:pStyle w:val="ListParagraph"/>
        <w:numPr>
          <w:ilvl w:val="0"/>
          <w:numId w:val="77"/>
        </w:numPr>
        <w:spacing w:before="0"/>
        <w:contextualSpacing w:val="0"/>
        <w:rPr>
          <w:noProof/>
        </w:rPr>
      </w:pPr>
      <w:r>
        <w:rPr>
          <w:noProof/>
        </w:rPr>
        <w:t>Линия А: Изграждане на нови студия и възстановяване на съществуващи такива и приложения, включително високотехнологични решения.</w:t>
      </w:r>
    </w:p>
    <w:p w14:paraId="626DFC63" w14:textId="77777777" w:rsidR="006054AA" w:rsidRDefault="001F7667">
      <w:pPr>
        <w:pStyle w:val="ListParagraph"/>
        <w:numPr>
          <w:ilvl w:val="0"/>
          <w:numId w:val="77"/>
        </w:numPr>
        <w:spacing w:before="0"/>
        <w:contextualSpacing w:val="0"/>
        <w:rPr>
          <w:noProof/>
        </w:rPr>
      </w:pPr>
      <w:r>
        <w:rPr>
          <w:noProof/>
        </w:rPr>
        <w:t>Линия B: Иновативни инвестиции за засилване на дейностите по производство и обучение на експерименталния център по кинематография, включително нови инструменти за аудио-визуално производство, интернационализация, културен и образователен обмен; развитие на инфраструктура (виртуално производство на живо) за професионална и образователна употреба чрез електронно обучение, цифровизация и модернизиране на сградния и растителен фонд, по-специално с цел насърчаване на технологичната и екологичната трансформация; съхраняване и цифровизация на аудио-визуалното наследство</w:t>
      </w:r>
    </w:p>
    <w:p w14:paraId="30784073" w14:textId="77777777" w:rsidR="006054AA" w:rsidRDefault="001F7667">
      <w:pPr>
        <w:pStyle w:val="ListParagraph"/>
        <w:numPr>
          <w:ilvl w:val="0"/>
          <w:numId w:val="77"/>
        </w:numPr>
        <w:spacing w:before="0"/>
        <w:contextualSpacing w:val="0"/>
        <w:rPr>
          <w:noProof/>
        </w:rPr>
      </w:pPr>
      <w:r>
        <w:rPr>
          <w:noProof/>
        </w:rPr>
        <w:t>Линия С: Укрепване на професионалните умения и компетентности в аудио-визуалния сектор в 3 професионални макрообласти: стопанска/управленска дейност; творчески/художествен; технически работници.</w:t>
      </w:r>
    </w:p>
    <w:p w14:paraId="104D577E" w14:textId="77777777" w:rsidR="006054AA" w:rsidRDefault="001F7667">
      <w:pPr>
        <w:pStyle w:val="P68B1DB1-Normal2"/>
        <w:spacing w:after="120"/>
        <w:jc w:val="both"/>
        <w:rPr>
          <w:noProof/>
        </w:rPr>
      </w:pPr>
      <w:r>
        <w:rPr>
          <w:noProof/>
        </w:rPr>
        <w:t>Инвестиция 4.3: Caput Mundi Next Generation EU за големи туристически прояви.</w:t>
      </w:r>
    </w:p>
    <w:p w14:paraId="02223CD7" w14:textId="48BC50CC" w:rsidR="006054AA" w:rsidRDefault="001F7667">
      <w:pPr>
        <w:tabs>
          <w:tab w:val="left" w:pos="1340"/>
          <w:tab w:val="left" w:pos="1341"/>
        </w:tabs>
        <w:spacing w:after="120"/>
        <w:ind w:right="-7"/>
        <w:jc w:val="both"/>
        <w:rPr>
          <w:noProof/>
        </w:rPr>
      </w:pPr>
      <w:r>
        <w:rPr>
          <w:noProof/>
        </w:rPr>
        <w:t>Проектът ще увеличи броя на достъпните туристически обекти, ще създаде валидни и квалифицирани туристически и културни алтернативи по отношение на претоварените централни зони, както и ще увеличи използването на цифрови технологии, ще подобри зелените площи и устойчивостта на туризма. Инвестицията предвижда шест линии на намеса:</w:t>
      </w:r>
    </w:p>
    <w:p w14:paraId="7684C331" w14:textId="77777777" w:rsidR="006054AA" w:rsidRDefault="001F7667">
      <w:pPr>
        <w:pStyle w:val="ListParagraph"/>
        <w:numPr>
          <w:ilvl w:val="0"/>
          <w:numId w:val="139"/>
        </w:numPr>
        <w:tabs>
          <w:tab w:val="left" w:pos="1340"/>
          <w:tab w:val="left" w:pos="1341"/>
        </w:tabs>
        <w:ind w:right="-7"/>
        <w:rPr>
          <w:noProof/>
        </w:rPr>
      </w:pPr>
      <w:r>
        <w:rPr>
          <w:noProof/>
        </w:rPr>
        <w:t xml:space="preserve">„Римското културно наследство за следващото поколение на ЕС“, което обхваща възстановяването и възстановяването на културното и градското наследство и комплекси с висока историческа архитектурна стойност на град Рим;  </w:t>
      </w:r>
    </w:p>
    <w:p w14:paraId="5E412CC2" w14:textId="3838EE7A" w:rsidR="006054AA" w:rsidRDefault="001F7667">
      <w:pPr>
        <w:pStyle w:val="ListParagraph"/>
        <w:numPr>
          <w:ilvl w:val="0"/>
          <w:numId w:val="139"/>
        </w:numPr>
        <w:tabs>
          <w:tab w:val="left" w:pos="1340"/>
          <w:tab w:val="left" w:pos="1341"/>
        </w:tabs>
        <w:ind w:right="-7"/>
        <w:rPr>
          <w:noProof/>
        </w:rPr>
      </w:pPr>
      <w:r>
        <w:rPr>
          <w:noProof/>
        </w:rPr>
        <w:t>„Пътеки Джубилей“ (от паган до християн Рим), насочени към подобряване, безопасност, антисеизмична консолидация, възстановяване на места и сгради от исторически интерес и археологически пътища;</w:t>
      </w:r>
    </w:p>
    <w:p w14:paraId="055EE5EC" w14:textId="77777777" w:rsidR="006054AA" w:rsidRDefault="001F7667">
      <w:pPr>
        <w:pStyle w:val="ListParagraph"/>
        <w:numPr>
          <w:ilvl w:val="0"/>
          <w:numId w:val="139"/>
        </w:numPr>
        <w:tabs>
          <w:tab w:val="left" w:pos="1340"/>
          <w:tab w:val="left" w:pos="1341"/>
        </w:tabs>
        <w:ind w:right="-7"/>
        <w:rPr>
          <w:noProof/>
        </w:rPr>
      </w:pPr>
      <w:r>
        <w:rPr>
          <w:noProof/>
        </w:rPr>
        <w:t>#LaCittàCondivisa, която обхваща преустройството на обектите в периферните райони;</w:t>
      </w:r>
    </w:p>
    <w:p w14:paraId="24A7413D" w14:textId="77777777" w:rsidR="006054AA" w:rsidRDefault="001F7667">
      <w:pPr>
        <w:pStyle w:val="ListParagraph"/>
        <w:numPr>
          <w:ilvl w:val="0"/>
          <w:numId w:val="139"/>
        </w:numPr>
        <w:tabs>
          <w:tab w:val="left" w:pos="1340"/>
          <w:tab w:val="left" w:pos="1341"/>
        </w:tabs>
        <w:ind w:right="-7"/>
        <w:rPr>
          <w:noProof/>
        </w:rPr>
      </w:pPr>
      <w:r>
        <w:rPr>
          <w:noProof/>
        </w:rPr>
        <w:t>#Mitingodiverde, обхващаща интервенции в паркове, исторически градини, вили и фонтани;</w:t>
      </w:r>
    </w:p>
    <w:p w14:paraId="3F7E84F8" w14:textId="77777777" w:rsidR="006054AA" w:rsidRDefault="001F7667">
      <w:pPr>
        <w:pStyle w:val="ListParagraph"/>
        <w:numPr>
          <w:ilvl w:val="0"/>
          <w:numId w:val="139"/>
        </w:numPr>
        <w:tabs>
          <w:tab w:val="left" w:pos="1340"/>
          <w:tab w:val="left" w:pos="1341"/>
        </w:tabs>
        <w:ind w:right="-7"/>
        <w:rPr>
          <w:noProof/>
        </w:rPr>
      </w:pPr>
      <w:r>
        <w:rPr>
          <w:noProof/>
        </w:rPr>
        <w:t>#Roma, обхващаща цифровизацията на културните услуги и разработването на приложения за туристи;</w:t>
      </w:r>
    </w:p>
    <w:p w14:paraId="73C006B1" w14:textId="77777777" w:rsidR="006054AA" w:rsidRDefault="001F7667">
      <w:pPr>
        <w:pStyle w:val="ListParagraph"/>
        <w:numPr>
          <w:ilvl w:val="0"/>
          <w:numId w:val="139"/>
        </w:numPr>
        <w:tabs>
          <w:tab w:val="left" w:pos="1340"/>
          <w:tab w:val="left" w:pos="1341"/>
        </w:tabs>
        <w:ind w:right="-7"/>
        <w:rPr>
          <w:noProof/>
          <w:shd w:val="clear" w:color="auto" w:fill="E6E6E6"/>
        </w:rPr>
        <w:sectPr w:rsidR="006054AA">
          <w:headerReference w:type="even" r:id="rId80"/>
          <w:headerReference w:type="default" r:id="rId81"/>
          <w:footerReference w:type="even" r:id="rId82"/>
          <w:footerReference w:type="default" r:id="rId83"/>
          <w:headerReference w:type="first" r:id="rId84"/>
          <w:footerReference w:type="first" r:id="rId85"/>
          <w:pgSz w:w="11907" w:h="16839"/>
          <w:pgMar w:top="1134" w:right="1134" w:bottom="1134" w:left="1134" w:header="567" w:footer="567" w:gutter="0"/>
          <w:cols w:space="720"/>
          <w:docGrid w:linePitch="360"/>
        </w:sectPr>
      </w:pPr>
      <w:r>
        <w:rPr>
          <w:noProof/>
        </w:rPr>
        <w:t>#Amanotesa, насочена към увеличаване на предлагането на културно предлагане на периферните региони за социална интеграция.</w:t>
      </w:r>
    </w:p>
    <w:p w14:paraId="28CDA405" w14:textId="77777777" w:rsidR="006054AA" w:rsidRDefault="001F7667">
      <w:pPr>
        <w:pStyle w:val="Heading3"/>
        <w:numPr>
          <w:ilvl w:val="0"/>
          <w:numId w:val="0"/>
        </w:numPr>
        <w:ind w:left="850" w:hanging="850"/>
        <w:rPr>
          <w:b/>
          <w:i w:val="0"/>
          <w:noProof/>
          <w:u w:val="single"/>
        </w:rPr>
      </w:pPr>
      <w:r>
        <w:rPr>
          <w:b/>
          <w:i w:val="0"/>
          <w:noProof/>
          <w:u w:val="single"/>
        </w:rPr>
        <w:t xml:space="preserve">В.4. </w:t>
      </w:r>
      <w:r>
        <w:rPr>
          <w:noProof/>
        </w:rPr>
        <w:tab/>
      </w:r>
      <w:r>
        <w:rPr>
          <w:b/>
          <w:i w:val="0"/>
          <w:noProof/>
          <w:u w:val="single"/>
        </w:rPr>
        <w:t xml:space="preserve">Ключови етапи, цели, показатели и график за мониторинг и изпълнение на заема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271"/>
        <w:gridCol w:w="995"/>
        <w:gridCol w:w="660"/>
        <w:gridCol w:w="3136"/>
      </w:tblGrid>
      <w:tr w:rsidR="006054AA" w14:paraId="07EFF2B5" w14:textId="77777777">
        <w:trPr>
          <w:trHeight w:val="313"/>
          <w:tblHeader/>
          <w:jc w:val="center"/>
        </w:trPr>
        <w:tc>
          <w:tcPr>
            <w:tcW w:w="377" w:type="pct"/>
            <w:vMerge w:val="restart"/>
            <w:shd w:val="clear" w:color="auto" w:fill="BDD7EE"/>
            <w:noWrap/>
            <w:vAlign w:val="center"/>
          </w:tcPr>
          <w:p w14:paraId="741A270F" w14:textId="77777777" w:rsidR="006054AA" w:rsidRDefault="006054AA">
            <w:pPr>
              <w:jc w:val="center"/>
              <w:rPr>
                <w:rFonts w:ascii="Arial Narrow" w:hAnsi="Arial Narrow"/>
                <w:noProof/>
                <w:sz w:val="20"/>
              </w:rPr>
            </w:pPr>
          </w:p>
          <w:p w14:paraId="2A596316" w14:textId="77777777" w:rsidR="006054AA" w:rsidRDefault="001F7667">
            <w:pPr>
              <w:pStyle w:val="P68B1DB1-Normal9"/>
              <w:jc w:val="center"/>
              <w:rPr>
                <w:noProof/>
              </w:rPr>
            </w:pPr>
            <w:r>
              <w:rPr>
                <w:noProof/>
              </w:rPr>
              <w:t>Пореден номер</w:t>
            </w:r>
          </w:p>
        </w:tc>
        <w:tc>
          <w:tcPr>
            <w:tcW w:w="520" w:type="pct"/>
            <w:vMerge w:val="restart"/>
            <w:shd w:val="clear" w:color="auto" w:fill="BDD7EE"/>
            <w:noWrap/>
            <w:vAlign w:val="center"/>
          </w:tcPr>
          <w:p w14:paraId="423B078D" w14:textId="77777777" w:rsidR="006054AA" w:rsidRDefault="001F7667">
            <w:pPr>
              <w:pStyle w:val="P68B1DB1-Normal9"/>
              <w:jc w:val="center"/>
              <w:rPr>
                <w:noProof/>
              </w:rPr>
            </w:pPr>
            <w:r>
              <w:rPr>
                <w:noProof/>
              </w:rPr>
              <w:t>Свързана мярка (реформа или инвестиции)</w:t>
            </w:r>
          </w:p>
        </w:tc>
        <w:tc>
          <w:tcPr>
            <w:tcW w:w="378" w:type="pct"/>
            <w:vMerge w:val="restart"/>
            <w:shd w:val="clear" w:color="auto" w:fill="BDD7EE"/>
            <w:noWrap/>
            <w:vAlign w:val="center"/>
          </w:tcPr>
          <w:p w14:paraId="6D9D8DC7" w14:textId="77777777" w:rsidR="006054AA" w:rsidRDefault="001F7667">
            <w:pPr>
              <w:pStyle w:val="P68B1DB1-Normal9"/>
              <w:jc w:val="center"/>
              <w:rPr>
                <w:noProof/>
              </w:rPr>
            </w:pPr>
            <w:r>
              <w:rPr>
                <w:noProof/>
              </w:rPr>
              <w:t>Ключов етап/Цел</w:t>
            </w:r>
          </w:p>
        </w:tc>
        <w:tc>
          <w:tcPr>
            <w:tcW w:w="520" w:type="pct"/>
            <w:vMerge w:val="restart"/>
            <w:shd w:val="clear" w:color="auto" w:fill="BDD7EE"/>
            <w:noWrap/>
            <w:vAlign w:val="center"/>
          </w:tcPr>
          <w:p w14:paraId="5054F82A" w14:textId="77777777" w:rsidR="006054AA" w:rsidRDefault="001F7667">
            <w:pPr>
              <w:pStyle w:val="P68B1DB1-Normal9"/>
              <w:jc w:val="center"/>
              <w:rPr>
                <w:noProof/>
              </w:rPr>
            </w:pPr>
            <w:r>
              <w:rPr>
                <w:noProof/>
              </w:rPr>
              <w:t>Име</w:t>
            </w:r>
          </w:p>
        </w:tc>
        <w:tc>
          <w:tcPr>
            <w:tcW w:w="520" w:type="pct"/>
            <w:vMerge w:val="restart"/>
            <w:shd w:val="clear" w:color="auto" w:fill="BDD7EE"/>
            <w:noWrap/>
            <w:vAlign w:val="center"/>
          </w:tcPr>
          <w:p w14:paraId="66C13A3F"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1087" w:type="pct"/>
            <w:gridSpan w:val="3"/>
            <w:shd w:val="clear" w:color="auto" w:fill="BDD7EE"/>
            <w:noWrap/>
            <w:vAlign w:val="center"/>
          </w:tcPr>
          <w:p w14:paraId="1DE47EAC" w14:textId="77777777" w:rsidR="006054AA" w:rsidRDefault="001F7667">
            <w:pPr>
              <w:pStyle w:val="P68B1DB1-Normal10"/>
              <w:jc w:val="center"/>
              <w:rPr>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551" w:type="pct"/>
            <w:gridSpan w:val="2"/>
            <w:shd w:val="clear" w:color="auto" w:fill="BDD7EE"/>
            <w:noWrap/>
            <w:vAlign w:val="center"/>
          </w:tcPr>
          <w:p w14:paraId="61DC42A8" w14:textId="77777777" w:rsidR="006054AA" w:rsidRDefault="001F7667">
            <w:pPr>
              <w:pStyle w:val="P68B1DB1-Normal9"/>
              <w:jc w:val="center"/>
              <w:rPr>
                <w:noProof/>
              </w:rPr>
            </w:pPr>
            <w:r>
              <w:rPr>
                <w:noProof/>
              </w:rPr>
              <w:t>Примерен график за приключване</w:t>
            </w:r>
          </w:p>
        </w:tc>
        <w:tc>
          <w:tcPr>
            <w:tcW w:w="1047" w:type="pct"/>
            <w:vMerge w:val="restart"/>
            <w:shd w:val="clear" w:color="auto" w:fill="BDD7EE"/>
            <w:noWrap/>
            <w:vAlign w:val="center"/>
          </w:tcPr>
          <w:p w14:paraId="59F60D62" w14:textId="77777777" w:rsidR="006054AA" w:rsidRDefault="006054AA">
            <w:pPr>
              <w:jc w:val="center"/>
              <w:rPr>
                <w:rFonts w:ascii="Arial Narrow" w:eastAsia="Calibri" w:hAnsi="Arial Narrow"/>
                <w:noProof/>
                <w:color w:val="006100"/>
                <w:sz w:val="20"/>
              </w:rPr>
            </w:pPr>
          </w:p>
          <w:p w14:paraId="4F6C4716" w14:textId="77777777" w:rsidR="006054AA" w:rsidRDefault="001F7667">
            <w:pPr>
              <w:pStyle w:val="P68B1DB1-Normal9"/>
              <w:jc w:val="center"/>
              <w:rPr>
                <w:rFonts w:eastAsia="Calibri"/>
                <w:noProof/>
                <w:color w:val="006100"/>
              </w:rPr>
            </w:pPr>
            <w:r>
              <w:rPr>
                <w:noProof/>
              </w:rPr>
              <w:t>Описание на всеки ключов етап и цел</w:t>
            </w:r>
          </w:p>
        </w:tc>
      </w:tr>
      <w:tr w:rsidR="006054AA" w14:paraId="3236FAFF" w14:textId="77777777">
        <w:trPr>
          <w:trHeight w:val="313"/>
          <w:tblHeader/>
          <w:jc w:val="center"/>
        </w:trPr>
        <w:tc>
          <w:tcPr>
            <w:tcW w:w="377" w:type="pct"/>
            <w:vMerge/>
            <w:noWrap/>
            <w:vAlign w:val="center"/>
          </w:tcPr>
          <w:p w14:paraId="1B3EC9D2" w14:textId="77777777" w:rsidR="006054AA" w:rsidRDefault="006054AA">
            <w:pPr>
              <w:jc w:val="center"/>
              <w:rPr>
                <w:rFonts w:ascii="Arial Narrow" w:hAnsi="Arial Narrow"/>
                <w:noProof/>
                <w:sz w:val="20"/>
              </w:rPr>
            </w:pPr>
          </w:p>
        </w:tc>
        <w:tc>
          <w:tcPr>
            <w:tcW w:w="520" w:type="pct"/>
            <w:vMerge/>
            <w:noWrap/>
            <w:vAlign w:val="center"/>
          </w:tcPr>
          <w:p w14:paraId="52D13C61" w14:textId="77777777" w:rsidR="006054AA" w:rsidRDefault="006054AA">
            <w:pPr>
              <w:jc w:val="center"/>
              <w:rPr>
                <w:rFonts w:ascii="Arial Narrow" w:hAnsi="Arial Narrow"/>
                <w:noProof/>
                <w:sz w:val="20"/>
              </w:rPr>
            </w:pPr>
          </w:p>
        </w:tc>
        <w:tc>
          <w:tcPr>
            <w:tcW w:w="378" w:type="pct"/>
            <w:vMerge/>
            <w:noWrap/>
            <w:vAlign w:val="center"/>
          </w:tcPr>
          <w:p w14:paraId="40062CD4" w14:textId="77777777" w:rsidR="006054AA" w:rsidRDefault="006054AA">
            <w:pPr>
              <w:jc w:val="center"/>
              <w:rPr>
                <w:rFonts w:ascii="Arial Narrow" w:hAnsi="Arial Narrow"/>
                <w:noProof/>
                <w:sz w:val="20"/>
              </w:rPr>
            </w:pPr>
          </w:p>
        </w:tc>
        <w:tc>
          <w:tcPr>
            <w:tcW w:w="520" w:type="pct"/>
            <w:vMerge/>
            <w:noWrap/>
            <w:vAlign w:val="center"/>
          </w:tcPr>
          <w:p w14:paraId="47F2A7D1" w14:textId="77777777" w:rsidR="006054AA" w:rsidRDefault="006054AA">
            <w:pPr>
              <w:jc w:val="center"/>
              <w:rPr>
                <w:rFonts w:ascii="Arial Narrow" w:hAnsi="Arial Narrow"/>
                <w:noProof/>
                <w:sz w:val="20"/>
              </w:rPr>
            </w:pPr>
          </w:p>
        </w:tc>
        <w:tc>
          <w:tcPr>
            <w:tcW w:w="520" w:type="pct"/>
            <w:vMerge/>
            <w:noWrap/>
            <w:vAlign w:val="center"/>
          </w:tcPr>
          <w:p w14:paraId="431CDEDB" w14:textId="77777777" w:rsidR="006054AA" w:rsidRDefault="006054AA">
            <w:pPr>
              <w:jc w:val="center"/>
              <w:rPr>
                <w:rFonts w:ascii="Arial Narrow" w:eastAsia="Calibri" w:hAnsi="Arial Narrow"/>
                <w:noProof/>
                <w:sz w:val="20"/>
              </w:rPr>
            </w:pPr>
          </w:p>
        </w:tc>
        <w:tc>
          <w:tcPr>
            <w:tcW w:w="331" w:type="pct"/>
            <w:shd w:val="clear" w:color="auto" w:fill="BDD7EE"/>
            <w:noWrap/>
            <w:vAlign w:val="center"/>
          </w:tcPr>
          <w:p w14:paraId="459E60E8" w14:textId="77777777" w:rsidR="006054AA" w:rsidRDefault="001F7667">
            <w:pPr>
              <w:pStyle w:val="P68B1DB1-Normal9"/>
              <w:jc w:val="center"/>
              <w:rPr>
                <w:noProof/>
              </w:rPr>
            </w:pPr>
            <w:r>
              <w:rPr>
                <w:noProof/>
              </w:rPr>
              <w:t>Единица мярка</w:t>
            </w:r>
          </w:p>
        </w:tc>
        <w:tc>
          <w:tcPr>
            <w:tcW w:w="332" w:type="pct"/>
            <w:shd w:val="clear" w:color="auto" w:fill="BDD7EE"/>
            <w:noWrap/>
            <w:vAlign w:val="center"/>
          </w:tcPr>
          <w:p w14:paraId="67F88CF4" w14:textId="77777777" w:rsidR="006054AA" w:rsidRDefault="001F7667">
            <w:pPr>
              <w:pStyle w:val="P68B1DB1-Normal9"/>
              <w:jc w:val="center"/>
              <w:rPr>
                <w:noProof/>
              </w:rPr>
            </w:pPr>
            <w:r>
              <w:rPr>
                <w:noProof/>
              </w:rPr>
              <w:t>Базова линия</w:t>
            </w:r>
          </w:p>
        </w:tc>
        <w:tc>
          <w:tcPr>
            <w:tcW w:w="424" w:type="pct"/>
            <w:shd w:val="clear" w:color="auto" w:fill="BDD7EE"/>
            <w:noWrap/>
            <w:vAlign w:val="center"/>
          </w:tcPr>
          <w:p w14:paraId="45446354" w14:textId="77777777" w:rsidR="006054AA" w:rsidRDefault="001F7667">
            <w:pPr>
              <w:pStyle w:val="P68B1DB1-Normal9"/>
              <w:jc w:val="center"/>
              <w:rPr>
                <w:noProof/>
              </w:rPr>
            </w:pPr>
            <w:r>
              <w:rPr>
                <w:noProof/>
              </w:rPr>
              <w:t>Цел</w:t>
            </w:r>
          </w:p>
        </w:tc>
        <w:tc>
          <w:tcPr>
            <w:tcW w:w="332" w:type="pct"/>
            <w:shd w:val="clear" w:color="auto" w:fill="BDD7EE"/>
            <w:noWrap/>
            <w:vAlign w:val="center"/>
          </w:tcPr>
          <w:p w14:paraId="6BA35C90" w14:textId="77777777" w:rsidR="006054AA" w:rsidRDefault="001F7667">
            <w:pPr>
              <w:pStyle w:val="P68B1DB1-Normal9"/>
              <w:jc w:val="center"/>
              <w:rPr>
                <w:noProof/>
              </w:rPr>
            </w:pPr>
            <w:r>
              <w:rPr>
                <w:noProof/>
              </w:rPr>
              <w:t>Тримесечие</w:t>
            </w:r>
          </w:p>
        </w:tc>
        <w:tc>
          <w:tcPr>
            <w:tcW w:w="220" w:type="pct"/>
            <w:shd w:val="clear" w:color="auto" w:fill="BDD7EE"/>
            <w:noWrap/>
            <w:vAlign w:val="center"/>
          </w:tcPr>
          <w:p w14:paraId="7522F25A" w14:textId="77777777" w:rsidR="006054AA" w:rsidRDefault="001F7667">
            <w:pPr>
              <w:pStyle w:val="P68B1DB1-Normal9"/>
              <w:jc w:val="center"/>
              <w:rPr>
                <w:noProof/>
              </w:rPr>
            </w:pPr>
            <w:r>
              <w:rPr>
                <w:noProof/>
              </w:rPr>
              <w:t>Година</w:t>
            </w:r>
          </w:p>
        </w:tc>
        <w:tc>
          <w:tcPr>
            <w:tcW w:w="1047" w:type="pct"/>
            <w:vMerge/>
            <w:noWrap/>
            <w:vAlign w:val="center"/>
          </w:tcPr>
          <w:p w14:paraId="58B85237" w14:textId="77777777" w:rsidR="006054AA" w:rsidRDefault="006054AA">
            <w:pPr>
              <w:jc w:val="center"/>
              <w:rPr>
                <w:rFonts w:ascii="Arial Narrow" w:eastAsia="Calibri" w:hAnsi="Arial Narrow"/>
                <w:noProof/>
                <w:color w:val="006100"/>
                <w:sz w:val="20"/>
              </w:rPr>
            </w:pPr>
          </w:p>
        </w:tc>
      </w:tr>
      <w:tr w:rsidR="006054AA" w14:paraId="1D4257FE" w14:textId="77777777">
        <w:trPr>
          <w:trHeight w:val="313"/>
          <w:jc w:val="center"/>
        </w:trPr>
        <w:tc>
          <w:tcPr>
            <w:tcW w:w="377" w:type="pct"/>
            <w:shd w:val="clear" w:color="auto" w:fill="C6EFCE"/>
            <w:noWrap/>
            <w:vAlign w:val="center"/>
          </w:tcPr>
          <w:p w14:paraId="0247DB83" w14:textId="77777777" w:rsidR="006054AA" w:rsidRDefault="001F7667">
            <w:pPr>
              <w:pStyle w:val="P68B1DB1-Normal11"/>
              <w:jc w:val="center"/>
              <w:rPr>
                <w:noProof/>
              </w:rPr>
            </w:pPr>
            <w:r>
              <w:rPr>
                <w:noProof/>
              </w:rPr>
              <w:t>M1C3—12</w:t>
            </w:r>
          </w:p>
        </w:tc>
        <w:tc>
          <w:tcPr>
            <w:tcW w:w="520" w:type="pct"/>
            <w:shd w:val="clear" w:color="auto" w:fill="C6EFCE"/>
            <w:noWrap/>
            <w:vAlign w:val="center"/>
          </w:tcPr>
          <w:p w14:paraId="19BCE006" w14:textId="77777777" w:rsidR="006054AA" w:rsidRDefault="001F7667">
            <w:pPr>
              <w:pStyle w:val="P68B1DB1-Normal11"/>
              <w:jc w:val="center"/>
              <w:rPr>
                <w:noProof/>
              </w:rPr>
            </w:pPr>
            <w:r>
              <w:rPr>
                <w:noProof/>
              </w:rPr>
              <w:t>Инвестиция 2.1 — привлекателност на малък исторически град</w:t>
            </w:r>
          </w:p>
        </w:tc>
        <w:tc>
          <w:tcPr>
            <w:tcW w:w="378" w:type="pct"/>
            <w:shd w:val="clear" w:color="auto" w:fill="C6EFCE"/>
            <w:noWrap/>
            <w:vAlign w:val="center"/>
          </w:tcPr>
          <w:p w14:paraId="7DEAF8D5"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tcPr>
          <w:p w14:paraId="1E76A5D4" w14:textId="513EC9A2" w:rsidR="006054AA" w:rsidRDefault="001F7667">
            <w:pPr>
              <w:pStyle w:val="P68B1DB1-Normal11"/>
              <w:jc w:val="center"/>
              <w:rPr>
                <w:noProof/>
              </w:rPr>
            </w:pPr>
            <w:r>
              <w:rPr>
                <w:noProof/>
              </w:rPr>
              <w:t>Влизане в сила на постановлението на Министерството на културата за предоставяне на средства на общините за привлекателността на малките исторически градове</w:t>
            </w:r>
          </w:p>
        </w:tc>
        <w:tc>
          <w:tcPr>
            <w:tcW w:w="520" w:type="pct"/>
            <w:shd w:val="clear" w:color="auto" w:fill="C6EFCE"/>
            <w:noWrap/>
            <w:vAlign w:val="center"/>
          </w:tcPr>
          <w:p w14:paraId="48C479D4" w14:textId="77777777" w:rsidR="006054AA" w:rsidRDefault="001F7667">
            <w:pPr>
              <w:pStyle w:val="P68B1DB1-Normal11"/>
              <w:jc w:val="center"/>
              <w:rPr>
                <w:noProof/>
              </w:rPr>
            </w:pPr>
            <w:r>
              <w:rPr>
                <w:noProof/>
              </w:rPr>
              <w:t>Разпоредба в постановлението, указваща влизането в сила на постановлението на Министерството на културата за предоставяне на средства на общините за привлекателността на малките исторически градове</w:t>
            </w:r>
          </w:p>
        </w:tc>
        <w:tc>
          <w:tcPr>
            <w:tcW w:w="331" w:type="pct"/>
            <w:shd w:val="clear" w:color="auto" w:fill="C6EFCE"/>
            <w:noWrap/>
            <w:vAlign w:val="center"/>
          </w:tcPr>
          <w:p w14:paraId="34828AA4"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0F0D7A24" w14:textId="77777777" w:rsidR="006054AA" w:rsidRDefault="001F7667">
            <w:pPr>
              <w:pStyle w:val="P68B1DB1-Normal11"/>
              <w:jc w:val="center"/>
              <w:rPr>
                <w:noProof/>
              </w:rPr>
            </w:pPr>
            <w:r>
              <w:rPr>
                <w:noProof/>
              </w:rPr>
              <w:t>НЯМА</w:t>
            </w:r>
          </w:p>
        </w:tc>
        <w:tc>
          <w:tcPr>
            <w:tcW w:w="424" w:type="pct"/>
            <w:shd w:val="clear" w:color="auto" w:fill="C6EFCE"/>
            <w:noWrap/>
            <w:vAlign w:val="center"/>
          </w:tcPr>
          <w:p w14:paraId="13137246"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6C13ADEF" w14:textId="77777777" w:rsidR="006054AA" w:rsidRDefault="001F7667">
            <w:pPr>
              <w:pStyle w:val="P68B1DB1-Normal11"/>
              <w:jc w:val="center"/>
              <w:rPr>
                <w:noProof/>
              </w:rPr>
            </w:pPr>
            <w:r>
              <w:rPr>
                <w:noProof/>
              </w:rPr>
              <w:t>Т2 Г.</w:t>
            </w:r>
          </w:p>
        </w:tc>
        <w:tc>
          <w:tcPr>
            <w:tcW w:w="220" w:type="pct"/>
            <w:shd w:val="clear" w:color="auto" w:fill="C6EFCE"/>
            <w:noWrap/>
            <w:vAlign w:val="center"/>
          </w:tcPr>
          <w:p w14:paraId="4A04A71B" w14:textId="77777777" w:rsidR="006054AA" w:rsidRDefault="001F7667">
            <w:pPr>
              <w:pStyle w:val="P68B1DB1-Normal11"/>
              <w:jc w:val="center"/>
              <w:rPr>
                <w:noProof/>
              </w:rPr>
            </w:pPr>
            <w:r>
              <w:rPr>
                <w:noProof/>
              </w:rPr>
              <w:t>2022</w:t>
            </w:r>
          </w:p>
        </w:tc>
        <w:tc>
          <w:tcPr>
            <w:tcW w:w="1047" w:type="pct"/>
            <w:shd w:val="clear" w:color="auto" w:fill="C6EFCE"/>
            <w:noWrap/>
            <w:vAlign w:val="center"/>
          </w:tcPr>
          <w:p w14:paraId="2F8B8543" w14:textId="77777777" w:rsidR="006054AA" w:rsidRDefault="001F7667">
            <w:pPr>
              <w:pStyle w:val="P68B1DB1-Normal11"/>
              <w:rPr>
                <w:noProof/>
              </w:rPr>
            </w:pPr>
            <w:r>
              <w:rPr>
                <w:noProof/>
              </w:rPr>
              <w:t>С наредбата на Министерството на културата се предоставят средства на общините за привлекателността на малките исторически градове.</w:t>
            </w:r>
          </w:p>
          <w:p w14:paraId="168415A3" w14:textId="77777777" w:rsidR="006054AA" w:rsidRDefault="006054AA">
            <w:pPr>
              <w:rPr>
                <w:rFonts w:ascii="Arial Narrow" w:hAnsi="Arial Narrow"/>
                <w:noProof/>
                <w:color w:val="006100"/>
                <w:sz w:val="20"/>
              </w:rPr>
            </w:pPr>
          </w:p>
          <w:p w14:paraId="643ECDD4" w14:textId="77777777" w:rsidR="006054AA" w:rsidRDefault="001F7667">
            <w:pPr>
              <w:pStyle w:val="P68B1DB1-Normal11"/>
              <w:rPr>
                <w:noProof/>
              </w:rPr>
            </w:pPr>
            <w:r>
              <w:rPr>
                <w:noProof/>
              </w:rPr>
              <w:t>Участващите общини за повишаване на привлекателността на малък исторически град се отнасят до 250-те общини/села, които са предали на Министерството на културата програмите за интервенция.</w:t>
            </w:r>
          </w:p>
          <w:p w14:paraId="586B2005" w14:textId="77777777" w:rsidR="006054AA" w:rsidRDefault="006054AA">
            <w:pPr>
              <w:rPr>
                <w:rFonts w:ascii="Arial Narrow" w:hAnsi="Arial Narrow"/>
                <w:noProof/>
                <w:color w:val="006100"/>
                <w:sz w:val="20"/>
              </w:rPr>
            </w:pPr>
          </w:p>
          <w:p w14:paraId="20B85023" w14:textId="500DCE05" w:rsidR="006054AA" w:rsidRDefault="001F7667">
            <w:pPr>
              <w:pStyle w:val="P68B1DB1-Normal12"/>
              <w:rPr>
                <w:rFonts w:ascii="Arial Narrow" w:hAnsi="Arial Narrow"/>
                <w:noProof/>
              </w:rPr>
            </w:pPr>
            <w:r>
              <w:rPr>
                <w:rFonts w:ascii="Arial Narrow" w:hAnsi="Arial Narrow"/>
                <w:noProof/>
              </w:rPr>
              <w:t>Критериите за подбор на 250-те села (Inv. 2.1) се споделят от MiC, региони, ANCI и вътрешни области, които; предварително те определят териториалните райони, които отговарят на условията за финансиране (Inv2.1) поради взаимното допълване между различните програми. След това подборът на селата се извършва въз основа на а) териториални, икономически и социални критерии (статистически показатели) б) способността на проекта да окаже въздействие върху туристическата привлекателност и да увеличи културното участие. Статистическите показатели, които се вземат под внимание, са: демографски размер (общини с поп. 5</w:t>
            </w:r>
            <w:r>
              <w:rPr>
                <w:noProof/>
              </w:rPr>
              <w:t xml:space="preserve"> </w:t>
            </w:r>
            <w:r>
              <w:rPr>
                <w:rFonts w:ascii="Arial Narrow" w:hAnsi="Arial Narrow"/>
                <w:noProof/>
              </w:rPr>
              <w:t>000 inhab.) и тенденция; туристически потоци, посетители на музеи; последователността на туристическата оферта (хотели и други хотели, B -Bs, стаи и места за настаняване под наем); демографската тенденция на общината; степента на културно участие на населението; съгласуваността на културните, творческите и туристическите предприятия (със стопанска и нестопанска цел) и свързаните с тях служители.</w:t>
            </w:r>
          </w:p>
          <w:p w14:paraId="59E70CE7" w14:textId="77777777" w:rsidR="006054AA" w:rsidRDefault="001F7667">
            <w:pPr>
              <w:pStyle w:val="P68B1DB1-Normal11"/>
              <w:rPr>
                <w:noProof/>
              </w:rPr>
            </w:pPr>
            <w:r>
              <w:rPr>
                <w:noProof/>
              </w:rPr>
              <w:t xml:space="preserve">Възлагането на договорите на проектите, избрани в рамките на състезателните покани за представяне на предложения, включва следното: </w:t>
            </w:r>
          </w:p>
          <w:p w14:paraId="0FE6F0FB" w14:textId="3CA5726E" w:rsidR="006054AA" w:rsidRDefault="001F7667">
            <w:pPr>
              <w:pStyle w:val="P68B1DB1-Normal11"/>
              <w:rPr>
                <w:noProof/>
              </w:rPr>
            </w:pPr>
            <w:r>
              <w:rPr>
                <w:noProof/>
              </w:rPr>
              <w:t xml:space="preserve">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съответствие със съответното законодателство на ЕС и национално законодателство в областта на околната среда. </w:t>
            </w:r>
          </w:p>
          <w:p w14:paraId="29B798B7" w14:textId="77777777" w:rsidR="006054AA" w:rsidRDefault="001F7667">
            <w:pPr>
              <w:pStyle w:val="P68B1DB1-Normal11"/>
              <w:rPr>
                <w:noProof/>
              </w:rPr>
            </w:pPr>
            <w:r>
              <w:rPr>
                <w:noProof/>
              </w:rPr>
              <w:t xml:space="preserve">ангажимент, че приносът на инвестицията в областта на климата съгласно методиката в приложение VI към Регламент (ЕС) 2021/241 трябва да представлява най-малко 25 % от общите разходи за инвестицията, подкрепена от МВУ. </w:t>
            </w:r>
          </w:p>
          <w:p w14:paraId="036A5B8F" w14:textId="77777777" w:rsidR="006054AA" w:rsidRDefault="001F7667">
            <w:pPr>
              <w:pStyle w:val="P68B1DB1-Normal11"/>
              <w:rPr>
                <w:noProof/>
              </w:rPr>
            </w:pPr>
            <w:r>
              <w:rPr>
                <w:noProof/>
              </w:rPr>
              <w:t>ангажимент за докладване относно изпълнението на мярката в средата на жизнения цикъл на схемата и края на схемата.</w:t>
            </w:r>
          </w:p>
          <w:p w14:paraId="22471D78" w14:textId="77777777" w:rsidR="006054AA" w:rsidRDefault="006054AA">
            <w:pPr>
              <w:rPr>
                <w:rFonts w:ascii="Arial Narrow" w:hAnsi="Arial Narrow"/>
                <w:noProof/>
                <w:color w:val="006100"/>
                <w:sz w:val="20"/>
              </w:rPr>
            </w:pPr>
          </w:p>
        </w:tc>
      </w:tr>
      <w:tr w:rsidR="006054AA" w14:paraId="4B6A81E1" w14:textId="77777777">
        <w:trPr>
          <w:trHeight w:val="313"/>
          <w:jc w:val="center"/>
        </w:trPr>
        <w:tc>
          <w:tcPr>
            <w:tcW w:w="377" w:type="pct"/>
            <w:shd w:val="clear" w:color="auto" w:fill="C6EFCE"/>
            <w:noWrap/>
            <w:vAlign w:val="center"/>
          </w:tcPr>
          <w:p w14:paraId="1536651F" w14:textId="77777777" w:rsidR="006054AA" w:rsidRDefault="001F7667">
            <w:pPr>
              <w:pStyle w:val="P68B1DB1-Normal11"/>
              <w:jc w:val="center"/>
              <w:rPr>
                <w:noProof/>
              </w:rPr>
            </w:pPr>
            <w:r>
              <w:rPr>
                <w:noProof/>
              </w:rPr>
              <w:t>M1C3—13</w:t>
            </w:r>
          </w:p>
        </w:tc>
        <w:tc>
          <w:tcPr>
            <w:tcW w:w="520" w:type="pct"/>
            <w:shd w:val="clear" w:color="auto" w:fill="C6EFCE"/>
            <w:noWrap/>
            <w:vAlign w:val="center"/>
          </w:tcPr>
          <w:p w14:paraId="62D2126D" w14:textId="77777777" w:rsidR="006054AA" w:rsidRDefault="001F7667">
            <w:pPr>
              <w:pStyle w:val="P68B1DB1-Normal11"/>
              <w:jc w:val="center"/>
              <w:rPr>
                <w:noProof/>
              </w:rPr>
            </w:pPr>
            <w:r>
              <w:rPr>
                <w:noProof/>
              </w:rPr>
              <w:t>Инвестиция 2.2 — Опазване и подобряване на структурата и ландшафта на селските райони</w:t>
            </w:r>
          </w:p>
        </w:tc>
        <w:tc>
          <w:tcPr>
            <w:tcW w:w="378" w:type="pct"/>
            <w:shd w:val="clear" w:color="auto" w:fill="C6EFCE"/>
            <w:noWrap/>
            <w:vAlign w:val="center"/>
          </w:tcPr>
          <w:p w14:paraId="3019DA55"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tcPr>
          <w:p w14:paraId="6AD9B695" w14:textId="77777777" w:rsidR="006054AA" w:rsidRDefault="001F7667">
            <w:pPr>
              <w:pStyle w:val="P68B1DB1-Normal11"/>
              <w:jc w:val="center"/>
              <w:rPr>
                <w:noProof/>
              </w:rPr>
            </w:pPr>
            <w:r>
              <w:rPr>
                <w:noProof/>
              </w:rPr>
              <w:t>Влизане в сила на постановлението на Министерството на културата за разпределението на ресурсите:</w:t>
            </w:r>
          </w:p>
          <w:p w14:paraId="1EBAE3CE" w14:textId="14A00ED0" w:rsidR="006054AA" w:rsidRDefault="001F7667">
            <w:pPr>
              <w:pStyle w:val="P68B1DB1-Normal11"/>
              <w:jc w:val="center"/>
              <w:rPr>
                <w:noProof/>
              </w:rPr>
            </w:pPr>
            <w:r>
              <w:rPr>
                <w:noProof/>
              </w:rPr>
              <w:t>за опазване и подобряване на структурата и ландшафта на селските райони</w:t>
            </w:r>
          </w:p>
        </w:tc>
        <w:tc>
          <w:tcPr>
            <w:tcW w:w="520" w:type="pct"/>
            <w:shd w:val="clear" w:color="auto" w:fill="C6EFCE"/>
            <w:noWrap/>
            <w:vAlign w:val="center"/>
          </w:tcPr>
          <w:p w14:paraId="02C21621" w14:textId="77777777" w:rsidR="006054AA" w:rsidRDefault="001F7667">
            <w:pPr>
              <w:pStyle w:val="P68B1DB1-Normal11"/>
              <w:jc w:val="center"/>
              <w:rPr>
                <w:noProof/>
              </w:rPr>
            </w:pPr>
            <w:r>
              <w:rPr>
                <w:noProof/>
              </w:rPr>
              <w:t>Разпоредба в постановлението, указваща влизането в сила на постановлението на Министерството на културата (MIC) за разпределението на ресурсите</w:t>
            </w:r>
          </w:p>
          <w:p w14:paraId="6AD79D9E" w14:textId="77777777" w:rsidR="006054AA" w:rsidRDefault="001F7667">
            <w:pPr>
              <w:pStyle w:val="P68B1DB1-Normal11"/>
              <w:jc w:val="center"/>
              <w:rPr>
                <w:noProof/>
              </w:rPr>
            </w:pPr>
            <w:r>
              <w:rPr>
                <w:noProof/>
              </w:rPr>
              <w:t>за опазване и подобряване на структурата и ландшафта на селските райони</w:t>
            </w:r>
          </w:p>
        </w:tc>
        <w:tc>
          <w:tcPr>
            <w:tcW w:w="331" w:type="pct"/>
            <w:shd w:val="clear" w:color="auto" w:fill="C6EFCE"/>
            <w:noWrap/>
            <w:vAlign w:val="center"/>
          </w:tcPr>
          <w:p w14:paraId="6CC6A7FD"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1C2793EB" w14:textId="77777777" w:rsidR="006054AA" w:rsidRDefault="001F7667">
            <w:pPr>
              <w:pStyle w:val="P68B1DB1-Normal11"/>
              <w:jc w:val="center"/>
              <w:rPr>
                <w:noProof/>
              </w:rPr>
            </w:pPr>
            <w:r>
              <w:rPr>
                <w:noProof/>
              </w:rPr>
              <w:t>НЯМА</w:t>
            </w:r>
          </w:p>
        </w:tc>
        <w:tc>
          <w:tcPr>
            <w:tcW w:w="424" w:type="pct"/>
            <w:shd w:val="clear" w:color="auto" w:fill="C6EFCE"/>
            <w:noWrap/>
            <w:vAlign w:val="center"/>
          </w:tcPr>
          <w:p w14:paraId="35624D5A"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173E4B44" w14:textId="77777777" w:rsidR="006054AA" w:rsidRDefault="001F7667">
            <w:pPr>
              <w:pStyle w:val="P68B1DB1-Normal11"/>
              <w:jc w:val="center"/>
              <w:rPr>
                <w:noProof/>
              </w:rPr>
            </w:pPr>
            <w:r>
              <w:rPr>
                <w:noProof/>
              </w:rPr>
              <w:t>Т2 Г.</w:t>
            </w:r>
          </w:p>
        </w:tc>
        <w:tc>
          <w:tcPr>
            <w:tcW w:w="220" w:type="pct"/>
            <w:shd w:val="clear" w:color="auto" w:fill="C6EFCE"/>
            <w:noWrap/>
            <w:vAlign w:val="center"/>
          </w:tcPr>
          <w:p w14:paraId="4BDA33D0" w14:textId="77777777" w:rsidR="006054AA" w:rsidRDefault="001F7667">
            <w:pPr>
              <w:pStyle w:val="P68B1DB1-Normal11"/>
              <w:jc w:val="center"/>
              <w:rPr>
                <w:noProof/>
              </w:rPr>
            </w:pPr>
            <w:r>
              <w:rPr>
                <w:noProof/>
              </w:rPr>
              <w:t>2022</w:t>
            </w:r>
          </w:p>
        </w:tc>
        <w:tc>
          <w:tcPr>
            <w:tcW w:w="1047" w:type="pct"/>
            <w:shd w:val="clear" w:color="auto" w:fill="C6EFCE"/>
            <w:noWrap/>
            <w:vAlign w:val="center"/>
          </w:tcPr>
          <w:p w14:paraId="0D0290AD" w14:textId="77777777" w:rsidR="006054AA" w:rsidRDefault="001F7667">
            <w:pPr>
              <w:pStyle w:val="P68B1DB1-Normal11"/>
              <w:rPr>
                <w:noProof/>
              </w:rPr>
            </w:pPr>
            <w:r>
              <w:rPr>
                <w:noProof/>
              </w:rPr>
              <w:t>С наредбата на Министерството на културата се разпределят средствата</w:t>
            </w:r>
          </w:p>
          <w:p w14:paraId="3674F5B8" w14:textId="77777777" w:rsidR="006054AA" w:rsidRDefault="001F7667">
            <w:pPr>
              <w:pStyle w:val="P68B1DB1-Normal11"/>
              <w:rPr>
                <w:noProof/>
              </w:rPr>
            </w:pPr>
            <w:r>
              <w:rPr>
                <w:noProof/>
              </w:rPr>
              <w:t xml:space="preserve">за защита и подобряване на структурата и ландшафта в селските райони. </w:t>
            </w:r>
          </w:p>
          <w:p w14:paraId="40036883" w14:textId="77777777" w:rsidR="006054AA" w:rsidRDefault="006054AA">
            <w:pPr>
              <w:rPr>
                <w:rFonts w:ascii="Arial Narrow" w:hAnsi="Arial Narrow"/>
                <w:noProof/>
                <w:color w:val="006100"/>
                <w:sz w:val="20"/>
              </w:rPr>
            </w:pPr>
          </w:p>
          <w:p w14:paraId="5DCD4D2B" w14:textId="77777777" w:rsidR="006054AA" w:rsidRDefault="001F7667">
            <w:pPr>
              <w:pStyle w:val="P68B1DB1-Normal11"/>
              <w:rPr>
                <w:noProof/>
              </w:rPr>
            </w:pPr>
            <w:r>
              <w:rPr>
                <w:noProof/>
              </w:rPr>
              <w:t>За защитата и подобряването на структурата и ландшафта в селските райони (Inv 2.2) изборът на активите, които трябва да бъдат възстановени, дава предимство на способността на инвестицията да генерира въздействие върху природозащитните цели на ландшафтните ценности. Приоритет се дава:</w:t>
            </w:r>
          </w:p>
          <w:p w14:paraId="281653D2" w14:textId="77777777" w:rsidR="006054AA" w:rsidRDefault="001F7667">
            <w:pPr>
              <w:pStyle w:val="P68B1DB1-Normal11"/>
              <w:rPr>
                <w:noProof/>
              </w:rPr>
            </w:pPr>
            <w:r>
              <w:rPr>
                <w:noProof/>
              </w:rPr>
              <w:t>— за активи, разположени в териториални райони с висока стойност на ландшафта (активи, разположени в области от интерес за ландшафта или от значим обществен интерес (членове 142—139 от DLgs 42/2004), за ландшафта, който подлежи на признаване от ЮНЕСКО, ФАО GIAHS;</w:t>
            </w:r>
          </w:p>
          <w:p w14:paraId="7B9A7A06" w14:textId="77777777" w:rsidR="006054AA" w:rsidRDefault="001F7667">
            <w:pPr>
              <w:pStyle w:val="P68B1DB1-Normal11"/>
              <w:rPr>
                <w:noProof/>
              </w:rPr>
            </w:pPr>
            <w:r>
              <w:rPr>
                <w:noProof/>
              </w:rPr>
              <w:t>— на активи, които вече са на разположение за обществено ползване или които собственикът се съгласява да бъде достъпен, включително в рамките на местни и интегрални схеми и мрежи;</w:t>
            </w:r>
          </w:p>
          <w:p w14:paraId="7048371B" w14:textId="77777777" w:rsidR="006054AA" w:rsidRDefault="001F7667">
            <w:pPr>
              <w:pStyle w:val="P68B1DB1-Normal11"/>
              <w:rPr>
                <w:noProof/>
              </w:rPr>
            </w:pPr>
            <w:r>
              <w:rPr>
                <w:noProof/>
              </w:rPr>
              <w:t>„регионални проекти“, представени по обобщени теми, които са в състояние да гарантират по-ефективно постигането на целите за възстановяване на ландшафта;</w:t>
            </w:r>
          </w:p>
          <w:p w14:paraId="1D76FBA0" w14:textId="77777777" w:rsidR="006054AA" w:rsidRDefault="001F7667">
            <w:pPr>
              <w:pStyle w:val="P68B1DB1-Normal11"/>
              <w:rPr>
                <w:noProof/>
              </w:rPr>
            </w:pPr>
            <w:r>
              <w:rPr>
                <w:noProof/>
              </w:rPr>
              <w:t>— проекти, разположени в райони, които засилват интеграцията и полезните взаимодействия с други кандидати за PNRR и други планове/проекти с териториален характер, подпомагани от националния програмен национален орган (Министерство на културата).</w:t>
            </w:r>
          </w:p>
          <w:p w14:paraId="789FE37E" w14:textId="77777777" w:rsidR="006054AA" w:rsidRDefault="001F7667">
            <w:pPr>
              <w:pStyle w:val="P68B1DB1-Normal11"/>
              <w:rPr>
                <w:noProof/>
              </w:rPr>
            </w:pPr>
            <w:r>
              <w:rPr>
                <w:noProof/>
              </w:rPr>
              <w:t>За целите на определянето на видовете архитектура на селските райони, които са предмет на интервенцията, може да се използва Декрет на MiBAC от 6 октомври 2005 г. (в изпълнение на Закон № 378 от 24 декември 2003 г. — защита и подобряване на структурата на селските райони). Предварително критериите могат да се отнасят до: състоянието на опазване на активите, равнищата на използване, ролята, която тези активи играят в териториалния и градския контекст.</w:t>
            </w:r>
          </w:p>
          <w:p w14:paraId="28E745B9" w14:textId="77777777" w:rsidR="006054AA" w:rsidRDefault="001F7667">
            <w:pPr>
              <w:pStyle w:val="P68B1DB1-Normal11"/>
              <w:rPr>
                <w:noProof/>
              </w:rPr>
            </w:pPr>
            <w:r>
              <w:rPr>
                <w:noProof/>
              </w:rPr>
              <w:t>Възлагането на поръчките на проектите, избрани в рамките на конкурсните покани за представяне на предложения, трябва да бъде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035461EE" w14:textId="77777777">
        <w:trPr>
          <w:trHeight w:val="313"/>
          <w:jc w:val="center"/>
        </w:trPr>
        <w:tc>
          <w:tcPr>
            <w:tcW w:w="377" w:type="pct"/>
            <w:shd w:val="clear" w:color="auto" w:fill="C6EFCE"/>
            <w:noWrap/>
            <w:vAlign w:val="center"/>
          </w:tcPr>
          <w:p w14:paraId="50056D01" w14:textId="77777777" w:rsidR="006054AA" w:rsidRDefault="001F7667">
            <w:pPr>
              <w:pStyle w:val="P68B1DB1-Normal11"/>
              <w:jc w:val="center"/>
              <w:rPr>
                <w:noProof/>
              </w:rPr>
            </w:pPr>
            <w:r>
              <w:rPr>
                <w:noProof/>
              </w:rPr>
              <w:t>M1C3—14</w:t>
            </w:r>
          </w:p>
        </w:tc>
        <w:tc>
          <w:tcPr>
            <w:tcW w:w="520" w:type="pct"/>
            <w:shd w:val="clear" w:color="auto" w:fill="C6EFCE"/>
            <w:noWrap/>
            <w:vAlign w:val="center"/>
          </w:tcPr>
          <w:p w14:paraId="7B339826" w14:textId="77777777" w:rsidR="006054AA" w:rsidRDefault="001F7667">
            <w:pPr>
              <w:pStyle w:val="P68B1DB1-Normal11"/>
              <w:jc w:val="center"/>
              <w:rPr>
                <w:noProof/>
              </w:rPr>
            </w:pPr>
            <w:r>
              <w:rPr>
                <w:noProof/>
              </w:rPr>
              <w:t>Инвестиция 2.3 — Програми за подобряване на идентичността на местата, парковете и историческите градини</w:t>
            </w:r>
          </w:p>
        </w:tc>
        <w:tc>
          <w:tcPr>
            <w:tcW w:w="378" w:type="pct"/>
            <w:shd w:val="clear" w:color="auto" w:fill="C6EFCE"/>
            <w:noWrap/>
            <w:vAlign w:val="center"/>
          </w:tcPr>
          <w:p w14:paraId="0560F360"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tcPr>
          <w:p w14:paraId="158F76C8" w14:textId="31902F82" w:rsidR="006054AA" w:rsidRDefault="001F7667">
            <w:pPr>
              <w:pStyle w:val="P68B1DB1-Normal11"/>
              <w:jc w:val="center"/>
              <w:rPr>
                <w:noProof/>
              </w:rPr>
            </w:pPr>
            <w:r>
              <w:rPr>
                <w:noProof/>
              </w:rPr>
              <w:t>Влизане в сила на постановлението на Министерството на културата за разпределението на ресурсите: за проекти за подобряване на идентичността на местата, парковете и историческите градини</w:t>
            </w:r>
          </w:p>
          <w:p w14:paraId="3BCC8723" w14:textId="77777777" w:rsidR="006054AA" w:rsidRDefault="006054AA">
            <w:pPr>
              <w:jc w:val="center"/>
              <w:rPr>
                <w:rFonts w:ascii="Arial Narrow" w:hAnsi="Arial Narrow"/>
                <w:noProof/>
                <w:color w:val="006100"/>
                <w:sz w:val="20"/>
              </w:rPr>
            </w:pPr>
          </w:p>
        </w:tc>
        <w:tc>
          <w:tcPr>
            <w:tcW w:w="520" w:type="pct"/>
            <w:shd w:val="clear" w:color="auto" w:fill="C6EFCE"/>
            <w:noWrap/>
            <w:vAlign w:val="center"/>
          </w:tcPr>
          <w:p w14:paraId="49C58FF1" w14:textId="037B5F14" w:rsidR="006054AA" w:rsidRDefault="001F7667">
            <w:pPr>
              <w:pStyle w:val="P68B1DB1-Normal11"/>
              <w:jc w:val="center"/>
              <w:rPr>
                <w:noProof/>
              </w:rPr>
            </w:pPr>
            <w:r>
              <w:rPr>
                <w:noProof/>
              </w:rPr>
              <w:t>Разпоредба в постановлението, указваща влизането в сила на постановлението на Министерството на културата за разпределяне на средства за проекти за подобряване на идентичността на местата, парковете и историческите градини</w:t>
            </w:r>
          </w:p>
        </w:tc>
        <w:tc>
          <w:tcPr>
            <w:tcW w:w="331" w:type="pct"/>
            <w:shd w:val="clear" w:color="auto" w:fill="C6EFCE"/>
            <w:noWrap/>
            <w:vAlign w:val="center"/>
          </w:tcPr>
          <w:p w14:paraId="3B2FF627"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3A031BB2" w14:textId="77777777" w:rsidR="006054AA" w:rsidRDefault="001F7667">
            <w:pPr>
              <w:pStyle w:val="P68B1DB1-Normal11"/>
              <w:jc w:val="center"/>
              <w:rPr>
                <w:noProof/>
              </w:rPr>
            </w:pPr>
            <w:r>
              <w:rPr>
                <w:noProof/>
              </w:rPr>
              <w:t>НЯМА</w:t>
            </w:r>
          </w:p>
        </w:tc>
        <w:tc>
          <w:tcPr>
            <w:tcW w:w="424" w:type="pct"/>
            <w:shd w:val="clear" w:color="auto" w:fill="C6EFCE"/>
            <w:noWrap/>
            <w:vAlign w:val="center"/>
          </w:tcPr>
          <w:p w14:paraId="244A5A3A"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53741F63" w14:textId="77777777" w:rsidR="006054AA" w:rsidRDefault="001F7667">
            <w:pPr>
              <w:pStyle w:val="P68B1DB1-Normal11"/>
              <w:jc w:val="center"/>
              <w:rPr>
                <w:noProof/>
              </w:rPr>
            </w:pPr>
            <w:r>
              <w:rPr>
                <w:noProof/>
              </w:rPr>
              <w:t>Т2 Г.</w:t>
            </w:r>
          </w:p>
        </w:tc>
        <w:tc>
          <w:tcPr>
            <w:tcW w:w="220" w:type="pct"/>
            <w:shd w:val="clear" w:color="auto" w:fill="C6EFCE"/>
            <w:noWrap/>
            <w:vAlign w:val="center"/>
          </w:tcPr>
          <w:p w14:paraId="28E4FB46" w14:textId="77777777" w:rsidR="006054AA" w:rsidRDefault="001F7667">
            <w:pPr>
              <w:pStyle w:val="P68B1DB1-Normal11"/>
              <w:jc w:val="center"/>
              <w:rPr>
                <w:noProof/>
              </w:rPr>
            </w:pPr>
            <w:r>
              <w:rPr>
                <w:noProof/>
              </w:rPr>
              <w:t>2022</w:t>
            </w:r>
          </w:p>
        </w:tc>
        <w:tc>
          <w:tcPr>
            <w:tcW w:w="1047" w:type="pct"/>
            <w:shd w:val="clear" w:color="auto" w:fill="C6EFCE"/>
            <w:noWrap/>
            <w:vAlign w:val="center"/>
          </w:tcPr>
          <w:p w14:paraId="73886BE4" w14:textId="77777777" w:rsidR="006054AA" w:rsidRDefault="001F7667">
            <w:pPr>
              <w:pStyle w:val="P68B1DB1-Normal11"/>
              <w:rPr>
                <w:noProof/>
              </w:rPr>
            </w:pPr>
            <w:r>
              <w:rPr>
                <w:noProof/>
              </w:rPr>
              <w:t>С наредбата на Министерството на културата се предоставят ресурси на отговорните администрации за проекти за подобряване на идентичността на местата, парковете и историческите градини.</w:t>
            </w:r>
          </w:p>
          <w:p w14:paraId="53A00443" w14:textId="77777777" w:rsidR="006054AA" w:rsidRDefault="006054AA">
            <w:pPr>
              <w:rPr>
                <w:rFonts w:ascii="Arial Narrow" w:hAnsi="Arial Narrow"/>
                <w:noProof/>
                <w:color w:val="006100"/>
                <w:sz w:val="20"/>
              </w:rPr>
            </w:pPr>
          </w:p>
          <w:p w14:paraId="3CD050B0" w14:textId="77777777" w:rsidR="006054AA" w:rsidRDefault="001F7667">
            <w:pPr>
              <w:pStyle w:val="P68B1DB1-Normal11"/>
              <w:rPr>
                <w:noProof/>
              </w:rPr>
            </w:pPr>
            <w:r>
              <w:rPr>
                <w:noProof/>
              </w:rPr>
              <w:t>Историческите паркове и градини (Inv. 2.3) предмет на намеса са изключително защитени културни ценности, за които е деклариран художествен или исторически интерес. Те могат да принадлежат както на държавното министерство на културата (MiC), така и на недържавни активи. Подборът се извършва въз основа на критерии, които се определят от техническа и научна координационна група, съставена от представители на MiC, Университета, ANCI, секторните сдружения.</w:t>
            </w:r>
          </w:p>
          <w:p w14:paraId="1EB43B51" w14:textId="77777777" w:rsidR="006054AA" w:rsidRDefault="001F7667">
            <w:pPr>
              <w:pStyle w:val="P68B1DB1-Normal11"/>
              <w:rPr>
                <w:noProof/>
              </w:rPr>
            </w:pPr>
            <w:r>
              <w:rPr>
                <w:noProof/>
              </w:rPr>
              <w:t>Възлагането на поръчките на проектите, избрани в рамките на конкурсните покани за представяне на предложения, трябва да бъде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7A3827F8" w14:textId="77777777">
        <w:trPr>
          <w:trHeight w:val="313"/>
          <w:jc w:val="center"/>
        </w:trPr>
        <w:tc>
          <w:tcPr>
            <w:tcW w:w="377" w:type="pct"/>
            <w:shd w:val="clear" w:color="auto" w:fill="C6EFCE"/>
            <w:noWrap/>
            <w:vAlign w:val="center"/>
          </w:tcPr>
          <w:p w14:paraId="573D9039" w14:textId="77777777" w:rsidR="006054AA" w:rsidRDefault="001F7667">
            <w:pPr>
              <w:pStyle w:val="P68B1DB1-Normal11"/>
              <w:jc w:val="center"/>
              <w:rPr>
                <w:noProof/>
              </w:rPr>
            </w:pPr>
            <w:r>
              <w:rPr>
                <w:noProof/>
              </w:rPr>
              <w:t>M1C3—15</w:t>
            </w:r>
          </w:p>
        </w:tc>
        <w:tc>
          <w:tcPr>
            <w:tcW w:w="520" w:type="pct"/>
            <w:shd w:val="clear" w:color="auto" w:fill="C6EFCE"/>
            <w:noWrap/>
            <w:vAlign w:val="center"/>
          </w:tcPr>
          <w:p w14:paraId="6FD2AD5A" w14:textId="77777777" w:rsidR="006054AA" w:rsidRDefault="001F7667">
            <w:pPr>
              <w:pStyle w:val="P68B1DB1-Normal11"/>
              <w:jc w:val="center"/>
              <w:rPr>
                <w:noProof/>
              </w:rPr>
            </w:pPr>
            <w:r>
              <w:rPr>
                <w:noProof/>
              </w:rPr>
              <w:t>Инвестиция 2.4 — Зеизмична безопасност на местата за богослужение, реставрация на културното наследство и приюти за произведения на изкуството</w:t>
            </w:r>
          </w:p>
        </w:tc>
        <w:tc>
          <w:tcPr>
            <w:tcW w:w="378" w:type="pct"/>
            <w:shd w:val="clear" w:color="auto" w:fill="C6EFCE"/>
            <w:noWrap/>
            <w:vAlign w:val="center"/>
          </w:tcPr>
          <w:p w14:paraId="005153F4"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tcPr>
          <w:p w14:paraId="4B0E6DAA" w14:textId="77777777" w:rsidR="006054AA" w:rsidRDefault="001F7667">
            <w:pPr>
              <w:pStyle w:val="P68B1DB1-Normal11"/>
              <w:jc w:val="center"/>
              <w:rPr>
                <w:noProof/>
              </w:rPr>
            </w:pPr>
            <w:r>
              <w:rPr>
                <w:noProof/>
              </w:rPr>
              <w:t>Влизане в сила на постановлението на Министерството на културата за разпределението на ресурсите:</w:t>
            </w:r>
          </w:p>
          <w:p w14:paraId="0FF7EC1A" w14:textId="32CAA8E1" w:rsidR="006054AA" w:rsidRDefault="001F7667">
            <w:pPr>
              <w:pStyle w:val="P68B1DB1-Normal11"/>
              <w:jc w:val="center"/>
              <w:rPr>
                <w:noProof/>
              </w:rPr>
            </w:pPr>
            <w:r>
              <w:rPr>
                <w:noProof/>
              </w:rPr>
              <w:t>за сеизмична безопасност вместо богослужение и възстановяване на културното наследство (Fondo Edifici di Culto)</w:t>
            </w:r>
          </w:p>
        </w:tc>
        <w:tc>
          <w:tcPr>
            <w:tcW w:w="520" w:type="pct"/>
            <w:shd w:val="clear" w:color="auto" w:fill="C6EFCE"/>
            <w:noWrap/>
            <w:vAlign w:val="center"/>
          </w:tcPr>
          <w:p w14:paraId="35295140" w14:textId="2EFB355E" w:rsidR="006054AA" w:rsidRDefault="001F7667">
            <w:pPr>
              <w:pStyle w:val="P68B1DB1-Normal11"/>
              <w:jc w:val="center"/>
              <w:rPr>
                <w:noProof/>
              </w:rPr>
            </w:pPr>
            <w:r>
              <w:rPr>
                <w:noProof/>
              </w:rPr>
              <w:t>Разпоредба в постановлението, указваща влизането в сила на постановлението на Министерството на културата относно разпределението на ресурсите</w:t>
            </w:r>
          </w:p>
          <w:p w14:paraId="0D1ED9BF" w14:textId="77777777" w:rsidR="006054AA" w:rsidRDefault="001F7667">
            <w:pPr>
              <w:pStyle w:val="P68B1DB1-Normal11"/>
              <w:jc w:val="center"/>
              <w:rPr>
                <w:noProof/>
              </w:rPr>
            </w:pPr>
            <w:r>
              <w:rPr>
                <w:noProof/>
              </w:rPr>
              <w:t>за сеизмична безопасност вместо богослужение и възстановяване на културното наследство (Fondo Edifici di Culto)</w:t>
            </w:r>
          </w:p>
        </w:tc>
        <w:tc>
          <w:tcPr>
            <w:tcW w:w="331" w:type="pct"/>
            <w:shd w:val="clear" w:color="auto" w:fill="C6EFCE"/>
            <w:noWrap/>
            <w:vAlign w:val="center"/>
          </w:tcPr>
          <w:p w14:paraId="73943186"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173CEA47" w14:textId="77777777" w:rsidR="006054AA" w:rsidRDefault="001F7667">
            <w:pPr>
              <w:pStyle w:val="P68B1DB1-Normal11"/>
              <w:jc w:val="center"/>
              <w:rPr>
                <w:noProof/>
              </w:rPr>
            </w:pPr>
            <w:r>
              <w:rPr>
                <w:noProof/>
              </w:rPr>
              <w:t>НЯМА</w:t>
            </w:r>
          </w:p>
        </w:tc>
        <w:tc>
          <w:tcPr>
            <w:tcW w:w="424" w:type="pct"/>
            <w:shd w:val="clear" w:color="auto" w:fill="C6EFCE"/>
            <w:noWrap/>
            <w:vAlign w:val="center"/>
          </w:tcPr>
          <w:p w14:paraId="16F45E5E"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37D4F4F2" w14:textId="77777777" w:rsidR="006054AA" w:rsidRDefault="001F7667">
            <w:pPr>
              <w:pStyle w:val="P68B1DB1-Normal11"/>
              <w:jc w:val="center"/>
              <w:rPr>
                <w:noProof/>
              </w:rPr>
            </w:pPr>
            <w:r>
              <w:rPr>
                <w:noProof/>
              </w:rPr>
              <w:t>Т2 Г.</w:t>
            </w:r>
          </w:p>
        </w:tc>
        <w:tc>
          <w:tcPr>
            <w:tcW w:w="220" w:type="pct"/>
            <w:shd w:val="clear" w:color="auto" w:fill="C6EFCE"/>
            <w:noWrap/>
            <w:vAlign w:val="center"/>
          </w:tcPr>
          <w:p w14:paraId="7FC5B59C" w14:textId="77777777" w:rsidR="006054AA" w:rsidRDefault="001F7667">
            <w:pPr>
              <w:pStyle w:val="P68B1DB1-Normal11"/>
              <w:jc w:val="center"/>
              <w:rPr>
                <w:noProof/>
              </w:rPr>
            </w:pPr>
            <w:r>
              <w:rPr>
                <w:noProof/>
              </w:rPr>
              <w:t>2022</w:t>
            </w:r>
          </w:p>
        </w:tc>
        <w:tc>
          <w:tcPr>
            <w:tcW w:w="1047" w:type="pct"/>
            <w:shd w:val="clear" w:color="auto" w:fill="C6EFCE"/>
            <w:noWrap/>
            <w:vAlign w:val="center"/>
          </w:tcPr>
          <w:p w14:paraId="5ED52FBC" w14:textId="77777777" w:rsidR="006054AA" w:rsidRDefault="006054AA">
            <w:pPr>
              <w:rPr>
                <w:rFonts w:ascii="Arial Narrow" w:hAnsi="Arial Narrow"/>
                <w:noProof/>
                <w:color w:val="006100"/>
                <w:sz w:val="20"/>
              </w:rPr>
            </w:pPr>
          </w:p>
          <w:p w14:paraId="3395281F" w14:textId="77777777" w:rsidR="006054AA" w:rsidRDefault="001F7667">
            <w:pPr>
              <w:pStyle w:val="P68B1DB1-Normal11"/>
              <w:rPr>
                <w:noProof/>
              </w:rPr>
            </w:pPr>
            <w:r>
              <w:rPr>
                <w:noProof/>
              </w:rPr>
              <w:t>С наредбата на Министерството на културата се определят изпълнителният орган, допустимостта и финансирането на сградите, които са в процес на намеса.</w:t>
            </w:r>
          </w:p>
          <w:p w14:paraId="7C310B85" w14:textId="77777777" w:rsidR="006054AA" w:rsidRDefault="001F7667">
            <w:pPr>
              <w:pStyle w:val="P68B1DB1-Normal11"/>
              <w:rPr>
                <w:noProof/>
              </w:rPr>
            </w:pPr>
            <w:r>
              <w:rPr>
                <w:noProof/>
              </w:rPr>
              <w:t>и типологията.</w:t>
            </w:r>
          </w:p>
          <w:p w14:paraId="0093DA7E" w14:textId="77777777" w:rsidR="006054AA" w:rsidRDefault="006054AA">
            <w:pPr>
              <w:rPr>
                <w:rFonts w:ascii="Arial Narrow" w:hAnsi="Arial Narrow"/>
                <w:noProof/>
                <w:color w:val="006100"/>
                <w:sz w:val="20"/>
              </w:rPr>
            </w:pPr>
          </w:p>
          <w:p w14:paraId="4331B9E9" w14:textId="77777777" w:rsidR="006054AA" w:rsidRDefault="001F7667">
            <w:pPr>
              <w:pStyle w:val="P68B1DB1-Normal11"/>
              <w:rPr>
                <w:noProof/>
              </w:rPr>
            </w:pPr>
            <w:r>
              <w:rPr>
                <w:noProof/>
              </w:rPr>
              <w:t>(INV 2.4) Зеизмичната превенция и мерките за безопасност на местата за богослужение засягат районите, засегнати от няколко земетресения, които засегнаха регионите на Италия от 2009 г. нататък (Абруцо, Лацио, Марке и Умбрия).</w:t>
            </w:r>
          </w:p>
          <w:p w14:paraId="65B60AF1" w14:textId="77777777" w:rsidR="006054AA" w:rsidRDefault="001F7667">
            <w:pPr>
              <w:pStyle w:val="P68B1DB1-Normal11"/>
              <w:rPr>
                <w:noProof/>
              </w:rPr>
            </w:pPr>
            <w:r>
              <w:rPr>
                <w:noProof/>
              </w:rPr>
              <w:t>Интервенциите на FEC (Fondo Edifici di Culto) се избират въз основа на състоянието на опазване на активите на културното наследство Fondo Edifici di Culto.</w:t>
            </w:r>
          </w:p>
          <w:p w14:paraId="13CEA90E" w14:textId="77777777" w:rsidR="006054AA" w:rsidRDefault="001F7667">
            <w:pPr>
              <w:pStyle w:val="P68B1DB1-Normal11"/>
              <w:rPr>
                <w:noProof/>
              </w:rPr>
            </w:pPr>
            <w:r>
              <w:rPr>
                <w:noProof/>
              </w:rPr>
              <w:t>Възлагането на поръчките на проектите, избрани в рамките на конкурсните покани за представяне на предложения, трябва да бъде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48425214" w14:textId="77777777">
        <w:trPr>
          <w:trHeight w:val="313"/>
          <w:jc w:val="center"/>
        </w:trPr>
        <w:tc>
          <w:tcPr>
            <w:tcW w:w="377" w:type="pct"/>
            <w:shd w:val="clear" w:color="auto" w:fill="C6EFCE"/>
            <w:noWrap/>
            <w:vAlign w:val="center"/>
            <w:hideMark/>
          </w:tcPr>
          <w:p w14:paraId="57624389" w14:textId="77777777" w:rsidR="006054AA" w:rsidRDefault="001F7667">
            <w:pPr>
              <w:pStyle w:val="P68B1DB1-Normal11"/>
              <w:jc w:val="center"/>
              <w:rPr>
                <w:noProof/>
              </w:rPr>
            </w:pPr>
            <w:r>
              <w:rPr>
                <w:noProof/>
              </w:rPr>
              <w:t>M1C3—16</w:t>
            </w:r>
          </w:p>
        </w:tc>
        <w:tc>
          <w:tcPr>
            <w:tcW w:w="520" w:type="pct"/>
            <w:shd w:val="clear" w:color="auto" w:fill="C6EFCE"/>
            <w:noWrap/>
            <w:vAlign w:val="center"/>
          </w:tcPr>
          <w:p w14:paraId="6FC5D514" w14:textId="77777777" w:rsidR="006054AA" w:rsidRDefault="001F7667">
            <w:pPr>
              <w:pStyle w:val="P68B1DB1-Normal11"/>
              <w:jc w:val="center"/>
              <w:rPr>
                <w:noProof/>
              </w:rPr>
            </w:pPr>
            <w:r>
              <w:rPr>
                <w:noProof/>
              </w:rPr>
              <w:t>Инвестиции — 2.1 привлекателност на малките исторически градове</w:t>
            </w:r>
          </w:p>
        </w:tc>
        <w:tc>
          <w:tcPr>
            <w:tcW w:w="378" w:type="pct"/>
            <w:shd w:val="clear" w:color="auto" w:fill="C6EFCE"/>
            <w:noWrap/>
            <w:vAlign w:val="center"/>
            <w:hideMark/>
          </w:tcPr>
          <w:p w14:paraId="138C5934" w14:textId="77777777" w:rsidR="006054AA" w:rsidRDefault="001F7667">
            <w:pPr>
              <w:pStyle w:val="P68B1DB1-Normal11"/>
              <w:jc w:val="center"/>
              <w:rPr>
                <w:noProof/>
              </w:rPr>
            </w:pPr>
            <w:r>
              <w:rPr>
                <w:noProof/>
              </w:rPr>
              <w:t>Целеви</w:t>
            </w:r>
          </w:p>
        </w:tc>
        <w:tc>
          <w:tcPr>
            <w:tcW w:w="520" w:type="pct"/>
            <w:shd w:val="clear" w:color="auto" w:fill="C6EFCE"/>
            <w:noWrap/>
            <w:vAlign w:val="center"/>
          </w:tcPr>
          <w:p w14:paraId="0A46D9F7" w14:textId="77777777" w:rsidR="006054AA" w:rsidRDefault="001F7667">
            <w:pPr>
              <w:pStyle w:val="P68B1DB1-Normal11"/>
              <w:jc w:val="center"/>
              <w:rPr>
                <w:noProof/>
              </w:rPr>
            </w:pPr>
            <w:r>
              <w:rPr>
                <w:noProof/>
              </w:rPr>
              <w:t>Извършени интервенции за подобряване на културните или туристическите обекти</w:t>
            </w:r>
          </w:p>
        </w:tc>
        <w:tc>
          <w:tcPr>
            <w:tcW w:w="520" w:type="pct"/>
            <w:shd w:val="clear" w:color="auto" w:fill="C6EFCE"/>
            <w:noWrap/>
            <w:vAlign w:val="center"/>
            <w:hideMark/>
          </w:tcPr>
          <w:p w14:paraId="5B248370"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22D34E0F" w14:textId="77777777" w:rsidR="006054AA" w:rsidRDefault="001F7667">
            <w:pPr>
              <w:pStyle w:val="P68B1DB1-Normal11"/>
              <w:jc w:val="center"/>
              <w:rPr>
                <w:noProof/>
              </w:rPr>
            </w:pPr>
            <w:r>
              <w:rPr>
                <w:noProof/>
              </w:rPr>
              <w:t>Брой</w:t>
            </w:r>
          </w:p>
        </w:tc>
        <w:tc>
          <w:tcPr>
            <w:tcW w:w="332" w:type="pct"/>
            <w:shd w:val="clear" w:color="auto" w:fill="C6EFCE"/>
            <w:noWrap/>
            <w:vAlign w:val="center"/>
          </w:tcPr>
          <w:p w14:paraId="1F665E48" w14:textId="77777777" w:rsidR="006054AA" w:rsidRDefault="001F7667">
            <w:pPr>
              <w:pStyle w:val="P68B1DB1-Normal11"/>
              <w:jc w:val="center"/>
              <w:rPr>
                <w:noProof/>
              </w:rPr>
            </w:pPr>
            <w:r>
              <w:rPr>
                <w:noProof/>
              </w:rPr>
              <w:t>0</w:t>
            </w:r>
          </w:p>
        </w:tc>
        <w:tc>
          <w:tcPr>
            <w:tcW w:w="424" w:type="pct"/>
            <w:shd w:val="clear" w:color="auto" w:fill="C6EFCE"/>
            <w:noWrap/>
            <w:vAlign w:val="center"/>
          </w:tcPr>
          <w:p w14:paraId="353BB8EA" w14:textId="6EFFB705" w:rsidR="006054AA" w:rsidRDefault="001F7667">
            <w:pPr>
              <w:pStyle w:val="P68B1DB1-Normal11"/>
              <w:jc w:val="center"/>
              <w:rPr>
                <w:noProof/>
              </w:rPr>
            </w:pPr>
            <w:r>
              <w:rPr>
                <w:noProof/>
              </w:rPr>
              <w:t>1 300</w:t>
            </w:r>
          </w:p>
        </w:tc>
        <w:tc>
          <w:tcPr>
            <w:tcW w:w="332" w:type="pct"/>
            <w:shd w:val="clear" w:color="auto" w:fill="C6EFCE"/>
            <w:noWrap/>
            <w:vAlign w:val="center"/>
            <w:hideMark/>
          </w:tcPr>
          <w:p w14:paraId="4F31AACB" w14:textId="77777777" w:rsidR="006054AA" w:rsidRDefault="001F7667">
            <w:pPr>
              <w:pStyle w:val="P68B1DB1-Normal11"/>
              <w:jc w:val="center"/>
              <w:rPr>
                <w:noProof/>
              </w:rPr>
            </w:pPr>
            <w:r>
              <w:rPr>
                <w:noProof/>
              </w:rPr>
              <w:t>Т2 Г.</w:t>
            </w:r>
          </w:p>
        </w:tc>
        <w:tc>
          <w:tcPr>
            <w:tcW w:w="220" w:type="pct"/>
            <w:shd w:val="clear" w:color="auto" w:fill="C6EFCE"/>
            <w:noWrap/>
            <w:vAlign w:val="center"/>
            <w:hideMark/>
          </w:tcPr>
          <w:p w14:paraId="3F721A05" w14:textId="77777777" w:rsidR="006054AA" w:rsidRDefault="001F7667">
            <w:pPr>
              <w:pStyle w:val="P68B1DB1-Normal11"/>
              <w:jc w:val="center"/>
              <w:rPr>
                <w:noProof/>
              </w:rPr>
            </w:pPr>
            <w:r>
              <w:rPr>
                <w:noProof/>
              </w:rPr>
              <w:t>2025</w:t>
            </w:r>
          </w:p>
        </w:tc>
        <w:tc>
          <w:tcPr>
            <w:tcW w:w="1047" w:type="pct"/>
            <w:shd w:val="clear" w:color="auto" w:fill="C6EFCE"/>
            <w:noWrap/>
            <w:vAlign w:val="center"/>
            <w:hideMark/>
          </w:tcPr>
          <w:p w14:paraId="175CF75A" w14:textId="262E274D" w:rsidR="006054AA" w:rsidRDefault="001F7667">
            <w:pPr>
              <w:pStyle w:val="P68B1DB1-Normal12"/>
              <w:rPr>
                <w:rFonts w:ascii="Arial Narrow" w:hAnsi="Arial Narrow"/>
                <w:noProof/>
              </w:rPr>
            </w:pPr>
            <w:r>
              <w:rPr>
                <w:rFonts w:ascii="Arial Narrow" w:hAnsi="Arial Narrow"/>
                <w:noProof/>
              </w:rPr>
              <w:t>Задоволителното изпълнение на целта зависи и от подкрепата на най-малко 1</w:t>
            </w:r>
            <w:r>
              <w:rPr>
                <w:noProof/>
              </w:rPr>
              <w:t xml:space="preserve"> </w:t>
            </w:r>
            <w:r>
              <w:rPr>
                <w:rFonts w:ascii="Arial Narrow" w:hAnsi="Arial Narrow"/>
                <w:noProof/>
              </w:rPr>
              <w:t>МСП за проекти в малките исторически градове.</w:t>
            </w:r>
          </w:p>
          <w:p w14:paraId="1D4BA36A" w14:textId="77777777" w:rsidR="006054AA" w:rsidRDefault="006054AA">
            <w:pPr>
              <w:rPr>
                <w:rFonts w:ascii="Arial Narrow" w:hAnsi="Arial Narrow"/>
                <w:noProof/>
                <w:color w:val="006100"/>
                <w:sz w:val="20"/>
              </w:rPr>
            </w:pPr>
          </w:p>
          <w:p w14:paraId="79C8CEEE" w14:textId="77777777" w:rsidR="006054AA" w:rsidRDefault="001F7667">
            <w:pPr>
              <w:pStyle w:val="P68B1DB1-Normal11"/>
              <w:rPr>
                <w:noProof/>
              </w:rPr>
            </w:pPr>
            <w:r>
              <w:rPr>
                <w:noProof/>
              </w:rPr>
              <w:t>Целта измерва броя на извършените интервенции за подобряване на културните и туристическите обекти, удостоверени с индивидуални удостоверения за редовно изпълнение (реставрация и развитие на културното наследство, сгради, предназначени за културни и туристически услуги, малки туристически инфраструктури). Тя включва:</w:t>
            </w:r>
          </w:p>
          <w:p w14:paraId="27B76DDC" w14:textId="77777777" w:rsidR="006054AA" w:rsidRDefault="001F7667">
            <w:pPr>
              <w:pStyle w:val="P68B1DB1-Normal11"/>
              <w:rPr>
                <w:noProof/>
              </w:rPr>
            </w:pPr>
            <w:r>
              <w:rPr>
                <w:noProof/>
              </w:rPr>
              <w:t>Адаптивна повторна употреба и функционално, структурно и инженерно преустройство на сгради и обществени пространства за културни услуги (като музеи и библиотеки), подобряване на енергийната ефективност, използване на алтернативна и възобновяема енергия и премахване на пречките, които ограничават достъпа на хората с увреждания.</w:t>
            </w:r>
          </w:p>
          <w:p w14:paraId="42FE4BE4" w14:textId="77777777" w:rsidR="006054AA" w:rsidRDefault="001F7667">
            <w:pPr>
              <w:pStyle w:val="P68B1DB1-Normal11"/>
              <w:rPr>
                <w:noProof/>
              </w:rPr>
            </w:pPr>
            <w:r>
              <w:rPr>
                <w:noProof/>
              </w:rPr>
              <w:t>Опазване и оползотворяване на културното наследство (като археологическо, историческо, архитектурно, демографско антропологично);</w:t>
            </w:r>
          </w:p>
          <w:p w14:paraId="30B241CC" w14:textId="77777777" w:rsidR="006054AA" w:rsidRDefault="001F7667">
            <w:pPr>
              <w:pStyle w:val="P68B1DB1-Normal11"/>
              <w:rPr>
                <w:noProof/>
              </w:rPr>
            </w:pPr>
            <w:r>
              <w:rPr>
                <w:noProof/>
              </w:rPr>
              <w:t>— създаване на платформи за знания и информация и интегрирани информационни системи;</w:t>
            </w:r>
          </w:p>
          <w:p w14:paraId="4192EC07" w14:textId="77777777" w:rsidR="006054AA" w:rsidRDefault="001F7667">
            <w:pPr>
              <w:pStyle w:val="P68B1DB1-Normal11"/>
              <w:rPr>
                <w:noProof/>
              </w:rPr>
            </w:pPr>
            <w:r>
              <w:rPr>
                <w:noProof/>
              </w:rPr>
              <w:t>създаване на културни и художествени дейности, създаване и популяризиране на културни и тематични маршрути, исторически маршрути, велосипедни и/или пешеходни маршрути за свързване и използване на места от туристически и културен интерес (като музеи, паметници, обекти на ЮНЕСКО, библиотеки, археологически зони и други културни, религиозни и художествени атракции);</w:t>
            </w:r>
          </w:p>
          <w:p w14:paraId="3C7595DF" w14:textId="53A66BF8" w:rsidR="006054AA" w:rsidRDefault="001F7667">
            <w:pPr>
              <w:pStyle w:val="P68B1DB1-Normal11"/>
              <w:rPr>
                <w:noProof/>
              </w:rPr>
            </w:pPr>
            <w:r>
              <w:rPr>
                <w:noProof/>
              </w:rPr>
              <w:t>— Подкрепа за предприятията в областта на културата, туризма, търговията, хранително-вкусовата промишленост и занаятите.</w:t>
            </w:r>
          </w:p>
          <w:p w14:paraId="060350E0" w14:textId="77777777" w:rsidR="006054AA" w:rsidRDefault="001F7667">
            <w:pPr>
              <w:pStyle w:val="P68B1DB1-Normal11"/>
              <w:rPr>
                <w:noProof/>
              </w:rPr>
            </w:pPr>
            <w:r>
              <w:rPr>
                <w:noProof/>
              </w:rPr>
              <w:t>37 % от интервенциите се извършват в по-слабо развити региони.</w:t>
            </w:r>
          </w:p>
        </w:tc>
      </w:tr>
      <w:tr w:rsidR="006054AA" w14:paraId="777F8CD0" w14:textId="77777777">
        <w:trPr>
          <w:trHeight w:val="313"/>
          <w:jc w:val="center"/>
        </w:trPr>
        <w:tc>
          <w:tcPr>
            <w:tcW w:w="377" w:type="pct"/>
            <w:shd w:val="clear" w:color="auto" w:fill="C6EFCE"/>
            <w:noWrap/>
            <w:vAlign w:val="center"/>
            <w:hideMark/>
          </w:tcPr>
          <w:p w14:paraId="3353A5A7" w14:textId="77777777" w:rsidR="006054AA" w:rsidRDefault="001F7667">
            <w:pPr>
              <w:pStyle w:val="P68B1DB1-Normal11"/>
              <w:jc w:val="center"/>
              <w:rPr>
                <w:noProof/>
              </w:rPr>
            </w:pPr>
            <w:r>
              <w:rPr>
                <w:noProof/>
              </w:rPr>
              <w:t>M1C3—17</w:t>
            </w:r>
          </w:p>
        </w:tc>
        <w:tc>
          <w:tcPr>
            <w:tcW w:w="520" w:type="pct"/>
            <w:shd w:val="clear" w:color="auto" w:fill="C6EFCE"/>
            <w:noWrap/>
            <w:vAlign w:val="center"/>
            <w:hideMark/>
          </w:tcPr>
          <w:p w14:paraId="2B06D016" w14:textId="77777777" w:rsidR="006054AA" w:rsidRDefault="001F7667">
            <w:pPr>
              <w:pStyle w:val="P68B1DB1-Normal11"/>
              <w:jc w:val="center"/>
              <w:rPr>
                <w:noProof/>
              </w:rPr>
            </w:pPr>
            <w:r>
              <w:rPr>
                <w:noProof/>
              </w:rPr>
              <w:t>Инвестиции — 2.2 Опазване и подобряване на структурата и ландшафта на селските райони</w:t>
            </w:r>
          </w:p>
        </w:tc>
        <w:tc>
          <w:tcPr>
            <w:tcW w:w="378" w:type="pct"/>
            <w:shd w:val="clear" w:color="auto" w:fill="C6EFCE"/>
            <w:noWrap/>
            <w:vAlign w:val="center"/>
            <w:hideMark/>
          </w:tcPr>
          <w:p w14:paraId="3F699C5B"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51A02A05" w14:textId="77777777" w:rsidR="006054AA" w:rsidRDefault="001F7667">
            <w:pPr>
              <w:pStyle w:val="P68B1DB1-Normal11"/>
              <w:jc w:val="center"/>
              <w:rPr>
                <w:noProof/>
              </w:rPr>
            </w:pPr>
            <w:r>
              <w:rPr>
                <w:noProof/>
              </w:rPr>
              <w:t>Приключване на интервенциите за защита и подобряване на структурата и ландшафта на селските райони</w:t>
            </w:r>
          </w:p>
        </w:tc>
        <w:tc>
          <w:tcPr>
            <w:tcW w:w="520" w:type="pct"/>
            <w:shd w:val="clear" w:color="auto" w:fill="C6EFCE"/>
            <w:noWrap/>
            <w:vAlign w:val="center"/>
            <w:hideMark/>
          </w:tcPr>
          <w:p w14:paraId="0878EF4A"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2280ABD2"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3D4C6B22"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03672907" w14:textId="6F3810FC" w:rsidR="006054AA" w:rsidRDefault="001F7667">
            <w:pPr>
              <w:pStyle w:val="P68B1DB1-Normal11"/>
              <w:jc w:val="center"/>
              <w:rPr>
                <w:noProof/>
              </w:rPr>
            </w:pPr>
            <w:r>
              <w:rPr>
                <w:noProof/>
              </w:rPr>
              <w:t>3 000</w:t>
            </w:r>
          </w:p>
        </w:tc>
        <w:tc>
          <w:tcPr>
            <w:tcW w:w="332" w:type="pct"/>
            <w:shd w:val="clear" w:color="auto" w:fill="C6EFCE"/>
            <w:noWrap/>
            <w:vAlign w:val="center"/>
            <w:hideMark/>
          </w:tcPr>
          <w:p w14:paraId="279DA41F" w14:textId="77777777" w:rsidR="006054AA" w:rsidRDefault="001F7667">
            <w:pPr>
              <w:pStyle w:val="P68B1DB1-Normal11"/>
              <w:jc w:val="center"/>
              <w:rPr>
                <w:noProof/>
              </w:rPr>
            </w:pPr>
            <w:r>
              <w:rPr>
                <w:noProof/>
              </w:rPr>
              <w:t>Т4 Г.</w:t>
            </w:r>
          </w:p>
        </w:tc>
        <w:tc>
          <w:tcPr>
            <w:tcW w:w="220" w:type="pct"/>
            <w:shd w:val="clear" w:color="auto" w:fill="C6EFCE"/>
            <w:noWrap/>
            <w:vAlign w:val="center"/>
            <w:hideMark/>
          </w:tcPr>
          <w:p w14:paraId="65AE040A" w14:textId="77777777" w:rsidR="006054AA" w:rsidRDefault="001F7667">
            <w:pPr>
              <w:pStyle w:val="P68B1DB1-Normal11"/>
              <w:jc w:val="center"/>
              <w:rPr>
                <w:noProof/>
              </w:rPr>
            </w:pPr>
            <w:r>
              <w:rPr>
                <w:noProof/>
              </w:rPr>
              <w:t>2025</w:t>
            </w:r>
          </w:p>
        </w:tc>
        <w:tc>
          <w:tcPr>
            <w:tcW w:w="1047" w:type="pct"/>
            <w:shd w:val="clear" w:color="auto" w:fill="C6EFCE"/>
            <w:noWrap/>
            <w:vAlign w:val="center"/>
            <w:hideMark/>
          </w:tcPr>
          <w:p w14:paraId="5FDDD81C" w14:textId="77777777" w:rsidR="006054AA" w:rsidRDefault="001F7667">
            <w:pPr>
              <w:pStyle w:val="P68B1DB1-Normal11"/>
              <w:rPr>
                <w:noProof/>
              </w:rPr>
            </w:pPr>
            <w:r>
              <w:rPr>
                <w:noProof/>
              </w:rPr>
              <w:t>Целта открива общия брой активи, подлежащи на извършени интервенции (както е доказано със сертификата за редовно изпълнение на строителните работи).</w:t>
            </w:r>
          </w:p>
          <w:p w14:paraId="5CB89A43" w14:textId="77777777" w:rsidR="006054AA" w:rsidRDefault="006054AA">
            <w:pPr>
              <w:rPr>
                <w:rFonts w:ascii="Arial Narrow" w:hAnsi="Arial Narrow"/>
                <w:noProof/>
                <w:color w:val="006100"/>
                <w:sz w:val="20"/>
              </w:rPr>
            </w:pPr>
          </w:p>
          <w:p w14:paraId="3102F25A" w14:textId="77777777" w:rsidR="006054AA" w:rsidRDefault="001F7667">
            <w:pPr>
              <w:pStyle w:val="P68B1DB1-Normal11"/>
              <w:rPr>
                <w:noProof/>
              </w:rPr>
            </w:pPr>
            <w:r>
              <w:rPr>
                <w:noProof/>
              </w:rPr>
              <w:t>Задоволителното изпълнение на целта зависи и от започването на 900 допълнителни дейности по опазване и подобряване на архитектурата на селските райони и опазването на ландшафта (както се доказва от сертификата за започване на работите).</w:t>
            </w:r>
          </w:p>
          <w:p w14:paraId="591843C1" w14:textId="77777777" w:rsidR="006054AA" w:rsidRDefault="006054AA">
            <w:pPr>
              <w:rPr>
                <w:rFonts w:ascii="Arial Narrow" w:hAnsi="Arial Narrow"/>
                <w:noProof/>
                <w:color w:val="006100"/>
                <w:sz w:val="20"/>
              </w:rPr>
            </w:pPr>
          </w:p>
          <w:p w14:paraId="12EC33E2" w14:textId="77777777" w:rsidR="006054AA" w:rsidRDefault="001F7667">
            <w:pPr>
              <w:pStyle w:val="P68B1DB1-Normal11"/>
              <w:rPr>
                <w:noProof/>
              </w:rPr>
            </w:pPr>
            <w:r>
              <w:rPr>
                <w:noProof/>
              </w:rPr>
              <w:t>Видовете интервенции, които трябва да бъдат завършени, включват:</w:t>
            </w:r>
          </w:p>
          <w:p w14:paraId="0A8F26BE" w14:textId="77777777" w:rsidR="006054AA" w:rsidRDefault="006054AA">
            <w:pPr>
              <w:rPr>
                <w:rFonts w:ascii="Arial Narrow" w:hAnsi="Arial Narrow"/>
                <w:noProof/>
                <w:color w:val="006100"/>
                <w:sz w:val="20"/>
              </w:rPr>
            </w:pPr>
          </w:p>
          <w:p w14:paraId="30CDFEFF" w14:textId="77777777" w:rsidR="006054AA" w:rsidRDefault="001F7667">
            <w:pPr>
              <w:pStyle w:val="P68B1DB1-Normal11"/>
              <w:rPr>
                <w:noProof/>
              </w:rPr>
            </w:pPr>
            <w:r>
              <w:rPr>
                <w:noProof/>
              </w:rPr>
              <w:t>1. Консервативна рехабилитация и функционално възстановяване на земеделски селища, артефакти и исторически селски сгради, селскостопански култури от исторически интерес и типични елементи на архитектурата и селския ландшафт. Сред техниките за възстановяване и структурна корекция се отдава предпочитание на екологично съвместимите решения и използването на алтернативни енергийни източници.</w:t>
            </w:r>
          </w:p>
          <w:p w14:paraId="69BC4A69" w14:textId="77777777" w:rsidR="006054AA" w:rsidRDefault="001F7667">
            <w:pPr>
              <w:pStyle w:val="P68B1DB1-Normal11"/>
              <w:rPr>
                <w:noProof/>
              </w:rPr>
            </w:pPr>
            <w:r>
              <w:rPr>
                <w:noProof/>
              </w:rPr>
              <w:t>2. Приключване на преброяването на застроеното наследство в селските райони и прилагане на национални и регионални информационни инструменти</w:t>
            </w:r>
          </w:p>
        </w:tc>
      </w:tr>
      <w:tr w:rsidR="006054AA" w14:paraId="32EFDCD9" w14:textId="77777777">
        <w:trPr>
          <w:trHeight w:val="364"/>
          <w:jc w:val="center"/>
        </w:trPr>
        <w:tc>
          <w:tcPr>
            <w:tcW w:w="377" w:type="pct"/>
            <w:shd w:val="clear" w:color="auto" w:fill="C6EFCE"/>
            <w:noWrap/>
            <w:vAlign w:val="center"/>
            <w:hideMark/>
          </w:tcPr>
          <w:p w14:paraId="7349EC43" w14:textId="77777777" w:rsidR="006054AA" w:rsidRDefault="001F7667">
            <w:pPr>
              <w:pStyle w:val="P68B1DB1-Normal11"/>
              <w:jc w:val="center"/>
              <w:rPr>
                <w:noProof/>
              </w:rPr>
            </w:pPr>
            <w:r>
              <w:rPr>
                <w:noProof/>
              </w:rPr>
              <w:t>M1C3—18</w:t>
            </w:r>
          </w:p>
        </w:tc>
        <w:tc>
          <w:tcPr>
            <w:tcW w:w="520" w:type="pct"/>
            <w:shd w:val="clear" w:color="auto" w:fill="C6EFCE"/>
            <w:noWrap/>
            <w:vAlign w:val="center"/>
            <w:hideMark/>
          </w:tcPr>
          <w:p w14:paraId="75F9CB56" w14:textId="77777777" w:rsidR="006054AA" w:rsidRDefault="001F7667">
            <w:pPr>
              <w:pStyle w:val="P68B1DB1-Normal11"/>
              <w:jc w:val="center"/>
              <w:rPr>
                <w:noProof/>
              </w:rPr>
            </w:pPr>
            <w:r>
              <w:rPr>
                <w:noProof/>
              </w:rPr>
              <w:t>Програми за инвестиции 2.3 за подобряване на идентичността на местата: паркове и исторически градини</w:t>
            </w:r>
          </w:p>
        </w:tc>
        <w:tc>
          <w:tcPr>
            <w:tcW w:w="378" w:type="pct"/>
            <w:shd w:val="clear" w:color="auto" w:fill="C6EFCE"/>
            <w:noWrap/>
            <w:vAlign w:val="center"/>
            <w:hideMark/>
          </w:tcPr>
          <w:p w14:paraId="0AFA8BF8"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48D867F5" w14:textId="77777777" w:rsidR="006054AA" w:rsidRDefault="001F7667">
            <w:pPr>
              <w:pStyle w:val="P68B1DB1-Normal11"/>
              <w:jc w:val="center"/>
              <w:rPr>
                <w:noProof/>
              </w:rPr>
            </w:pPr>
            <w:r>
              <w:rPr>
                <w:noProof/>
              </w:rPr>
              <w:t>Брой преустроени паркове и исторически градини</w:t>
            </w:r>
          </w:p>
        </w:tc>
        <w:tc>
          <w:tcPr>
            <w:tcW w:w="520" w:type="pct"/>
            <w:shd w:val="clear" w:color="auto" w:fill="C6EFCE"/>
            <w:noWrap/>
            <w:vAlign w:val="center"/>
            <w:hideMark/>
          </w:tcPr>
          <w:p w14:paraId="28C9E4E4" w14:textId="18EFACE1" w:rsidR="006054AA" w:rsidRDefault="001F7667">
            <w:pPr>
              <w:pStyle w:val="P68B1DB1-Normal11"/>
              <w:jc w:val="center"/>
              <w:rPr>
                <w:noProof/>
              </w:rPr>
            </w:pPr>
            <w:r>
              <w:rPr>
                <w:noProof/>
              </w:rPr>
              <w:t>НЯМА</w:t>
            </w:r>
          </w:p>
        </w:tc>
        <w:tc>
          <w:tcPr>
            <w:tcW w:w="331" w:type="pct"/>
            <w:shd w:val="clear" w:color="auto" w:fill="C6EFCE"/>
            <w:noWrap/>
            <w:vAlign w:val="center"/>
            <w:hideMark/>
          </w:tcPr>
          <w:p w14:paraId="645EB945"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20F67FFC"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2B9899F3" w14:textId="77777777" w:rsidR="006054AA" w:rsidRDefault="001F7667">
            <w:pPr>
              <w:pStyle w:val="P68B1DB1-Normal11"/>
              <w:jc w:val="center"/>
              <w:rPr>
                <w:noProof/>
              </w:rPr>
            </w:pPr>
            <w:r>
              <w:rPr>
                <w:noProof/>
              </w:rPr>
              <w:t>40</w:t>
            </w:r>
          </w:p>
        </w:tc>
        <w:tc>
          <w:tcPr>
            <w:tcW w:w="332" w:type="pct"/>
            <w:shd w:val="clear" w:color="auto" w:fill="C6EFCE"/>
            <w:noWrap/>
            <w:vAlign w:val="center"/>
            <w:hideMark/>
          </w:tcPr>
          <w:p w14:paraId="1856C9FC" w14:textId="77777777" w:rsidR="006054AA" w:rsidRDefault="001F7667">
            <w:pPr>
              <w:pStyle w:val="P68B1DB1-Normal11"/>
              <w:jc w:val="center"/>
              <w:rPr>
                <w:noProof/>
              </w:rPr>
            </w:pPr>
            <w:r>
              <w:rPr>
                <w:noProof/>
              </w:rPr>
              <w:t>Т4 Г.</w:t>
            </w:r>
          </w:p>
        </w:tc>
        <w:tc>
          <w:tcPr>
            <w:tcW w:w="220" w:type="pct"/>
            <w:shd w:val="clear" w:color="auto" w:fill="C6EFCE"/>
            <w:noWrap/>
            <w:vAlign w:val="center"/>
            <w:hideMark/>
          </w:tcPr>
          <w:p w14:paraId="548F7FB1" w14:textId="77777777" w:rsidR="006054AA" w:rsidRDefault="001F7667">
            <w:pPr>
              <w:pStyle w:val="P68B1DB1-Normal11"/>
              <w:jc w:val="center"/>
              <w:rPr>
                <w:noProof/>
              </w:rPr>
            </w:pPr>
            <w:r>
              <w:rPr>
                <w:noProof/>
              </w:rPr>
              <w:t>2025</w:t>
            </w:r>
          </w:p>
        </w:tc>
        <w:tc>
          <w:tcPr>
            <w:tcW w:w="1047" w:type="pct"/>
            <w:shd w:val="clear" w:color="auto" w:fill="C6EFCE"/>
            <w:noWrap/>
            <w:vAlign w:val="center"/>
            <w:hideMark/>
          </w:tcPr>
          <w:p w14:paraId="20229D84" w14:textId="77777777" w:rsidR="006054AA" w:rsidRDefault="001F7667">
            <w:pPr>
              <w:pStyle w:val="P68B1DB1-Normal11"/>
              <w:rPr>
                <w:noProof/>
              </w:rPr>
            </w:pPr>
            <w:r>
              <w:rPr>
                <w:noProof/>
              </w:rPr>
              <w:t>Показателят се отнася до броя на преминалите паркове и градини (както е доказано със сертификата за редовно изпълнение на строителните работи).</w:t>
            </w:r>
          </w:p>
          <w:p w14:paraId="6B01A03A" w14:textId="77777777" w:rsidR="006054AA" w:rsidRDefault="006054AA">
            <w:pPr>
              <w:rPr>
                <w:rFonts w:ascii="Arial Narrow" w:hAnsi="Arial Narrow"/>
                <w:noProof/>
                <w:color w:val="006100"/>
                <w:sz w:val="20"/>
              </w:rPr>
            </w:pPr>
          </w:p>
          <w:p w14:paraId="386CB1A7" w14:textId="4A53E707" w:rsidR="006054AA" w:rsidRDefault="001F7667">
            <w:pPr>
              <w:pStyle w:val="P68B1DB1-Normal12"/>
              <w:rPr>
                <w:rFonts w:ascii="Arial Narrow" w:hAnsi="Arial Narrow"/>
                <w:noProof/>
              </w:rPr>
            </w:pPr>
            <w:r>
              <w:rPr>
                <w:rFonts w:ascii="Arial Narrow" w:hAnsi="Arial Narrow"/>
                <w:noProof/>
              </w:rPr>
              <w:t>Задоволителното изпълнение на целта зависи и от завършването на обучителни дейности за най-малко 1</w:t>
            </w:r>
            <w:r>
              <w:rPr>
                <w:noProof/>
              </w:rPr>
              <w:t xml:space="preserve"> </w:t>
            </w:r>
            <w:r>
              <w:rPr>
                <w:rFonts w:ascii="Arial Narrow" w:hAnsi="Arial Narrow"/>
                <w:noProof/>
              </w:rPr>
              <w:t>260 оператора.</w:t>
            </w:r>
          </w:p>
          <w:p w14:paraId="7F0F6412" w14:textId="77777777" w:rsidR="006054AA" w:rsidRDefault="001F7667">
            <w:pPr>
              <w:pStyle w:val="P68B1DB1-Normal11"/>
              <w:rPr>
                <w:noProof/>
              </w:rPr>
            </w:pPr>
            <w:r>
              <w:rPr>
                <w:noProof/>
              </w:rPr>
              <w:t>Видовете интервенции, които трябва да бъдат извършени за задоволително изпълнение на преквалификацията на паркове и исторически градини, включват:</w:t>
            </w:r>
          </w:p>
          <w:p w14:paraId="695E7CEA" w14:textId="77777777" w:rsidR="006054AA" w:rsidRDefault="001F7667">
            <w:pPr>
              <w:pStyle w:val="P68B1DB1-ListParagraph13"/>
              <w:numPr>
                <w:ilvl w:val="0"/>
                <w:numId w:val="76"/>
              </w:numPr>
              <w:rPr>
                <w:noProof/>
              </w:rPr>
            </w:pPr>
            <w:r>
              <w:rPr>
                <w:noProof/>
              </w:rPr>
              <w:t xml:space="preserve">поддържане/възстановяване/управление на развитието на растителния компонент; </w:t>
            </w:r>
          </w:p>
          <w:p w14:paraId="19714FFB" w14:textId="77777777" w:rsidR="006054AA" w:rsidRDefault="001F7667">
            <w:pPr>
              <w:pStyle w:val="P68B1DB1-ListParagraph13"/>
              <w:numPr>
                <w:ilvl w:val="0"/>
                <w:numId w:val="76"/>
              </w:numPr>
              <w:rPr>
                <w:noProof/>
              </w:rPr>
            </w:pPr>
            <w:r>
              <w:rPr>
                <w:noProof/>
              </w:rPr>
              <w:t xml:space="preserve">възстановяване на настоящите архитектурни и монументални компоненти (като малки сгради, фонтани и обзавеждане); </w:t>
            </w:r>
          </w:p>
          <w:p w14:paraId="07E78CF0" w14:textId="77777777" w:rsidR="006054AA" w:rsidRDefault="001F7667">
            <w:pPr>
              <w:pStyle w:val="P68B1DB1-ListParagraph13"/>
              <w:numPr>
                <w:ilvl w:val="0"/>
                <w:numId w:val="76"/>
              </w:numPr>
              <w:rPr>
                <w:noProof/>
              </w:rPr>
            </w:pPr>
            <w:r>
              <w:rPr>
                <w:noProof/>
              </w:rPr>
              <w:t xml:space="preserve">анализ и оптимизиране на настоящите методи за използване на пространствата, за да се даде възможност за оптимално използване, </w:t>
            </w:r>
          </w:p>
          <w:p w14:paraId="52A2FDA0" w14:textId="77777777" w:rsidR="006054AA" w:rsidRDefault="001F7667">
            <w:pPr>
              <w:pStyle w:val="P68B1DB1-ListParagraph13"/>
              <w:numPr>
                <w:ilvl w:val="0"/>
                <w:numId w:val="76"/>
              </w:numPr>
              <w:rPr>
                <w:noProof/>
              </w:rPr>
            </w:pPr>
            <w:r>
              <w:rPr>
                <w:noProof/>
              </w:rPr>
              <w:t xml:space="preserve">зачитане на най-нестабилните или ценни области; </w:t>
            </w:r>
          </w:p>
          <w:p w14:paraId="68080883" w14:textId="77777777" w:rsidR="006054AA" w:rsidRDefault="001F7667">
            <w:pPr>
              <w:pStyle w:val="P68B1DB1-ListParagraph13"/>
              <w:numPr>
                <w:ilvl w:val="0"/>
                <w:numId w:val="76"/>
              </w:numPr>
              <w:rPr>
                <w:noProof/>
              </w:rPr>
            </w:pPr>
            <w:r>
              <w:rPr>
                <w:noProof/>
              </w:rPr>
              <w:t xml:space="preserve">интервенции за осигуряване на достъпност за хора с намалена функционалност, </w:t>
            </w:r>
          </w:p>
          <w:p w14:paraId="6189A945" w14:textId="77777777" w:rsidR="006054AA" w:rsidRDefault="001F7667">
            <w:pPr>
              <w:pStyle w:val="P68B1DB1-ListParagraph13"/>
              <w:numPr>
                <w:ilvl w:val="0"/>
                <w:numId w:val="76"/>
              </w:numPr>
              <w:rPr>
                <w:noProof/>
              </w:rPr>
            </w:pPr>
            <w:r>
              <w:rPr>
                <w:noProof/>
              </w:rPr>
              <w:t xml:space="preserve">обезопасяване на оградени зони, входни врати, системи за видеонаблюдение; </w:t>
            </w:r>
          </w:p>
          <w:p w14:paraId="3581E9D2" w14:textId="77777777" w:rsidR="006054AA" w:rsidRDefault="001F7667">
            <w:pPr>
              <w:pStyle w:val="P68B1DB1-ListParagraph13"/>
              <w:numPr>
                <w:ilvl w:val="0"/>
                <w:numId w:val="76"/>
              </w:numPr>
              <w:rPr>
                <w:noProof/>
              </w:rPr>
            </w:pPr>
            <w:r>
              <w:rPr>
                <w:noProof/>
              </w:rPr>
              <w:t xml:space="preserve">внедряване на информационни инструменти (като плакати и ръководства) за насърчаване на знанията и съзнателното използване от страна на гражданите; </w:t>
            </w:r>
          </w:p>
          <w:p w14:paraId="3CE832C1" w14:textId="53F3E3F2" w:rsidR="006054AA" w:rsidRDefault="001F7667">
            <w:pPr>
              <w:pStyle w:val="P68B1DB1-ListParagraph13"/>
              <w:numPr>
                <w:ilvl w:val="0"/>
                <w:numId w:val="76"/>
              </w:numPr>
              <w:rPr>
                <w:noProof/>
              </w:rPr>
            </w:pPr>
            <w:r>
              <w:rPr>
                <w:noProof/>
              </w:rPr>
              <w:t>действия за валоризация с цел насърчаване на културното, образователното и развлекателното използване.</w:t>
            </w:r>
          </w:p>
        </w:tc>
      </w:tr>
      <w:tr w:rsidR="006054AA" w14:paraId="73C99594" w14:textId="77777777">
        <w:trPr>
          <w:trHeight w:val="313"/>
          <w:jc w:val="center"/>
        </w:trPr>
        <w:tc>
          <w:tcPr>
            <w:tcW w:w="377" w:type="pct"/>
            <w:shd w:val="clear" w:color="auto" w:fill="C6EFCE"/>
            <w:noWrap/>
            <w:vAlign w:val="center"/>
            <w:hideMark/>
          </w:tcPr>
          <w:p w14:paraId="36F8364B" w14:textId="77777777" w:rsidR="006054AA" w:rsidRDefault="001F7667">
            <w:pPr>
              <w:pStyle w:val="P68B1DB1-Normal11"/>
              <w:jc w:val="center"/>
              <w:rPr>
                <w:noProof/>
              </w:rPr>
            </w:pPr>
            <w:r>
              <w:rPr>
                <w:noProof/>
              </w:rPr>
              <w:t>M1C3—19</w:t>
            </w:r>
          </w:p>
        </w:tc>
        <w:tc>
          <w:tcPr>
            <w:tcW w:w="520" w:type="pct"/>
            <w:shd w:val="clear" w:color="auto" w:fill="C6EFCE"/>
            <w:noWrap/>
            <w:vAlign w:val="center"/>
            <w:hideMark/>
          </w:tcPr>
          <w:p w14:paraId="6B479D55" w14:textId="77777777" w:rsidR="006054AA" w:rsidRDefault="001F7667">
            <w:pPr>
              <w:pStyle w:val="P68B1DB1-Normal11"/>
              <w:jc w:val="center"/>
              <w:rPr>
                <w:noProof/>
              </w:rPr>
            </w:pPr>
            <w:r>
              <w:rPr>
                <w:noProof/>
              </w:rPr>
              <w:t>Инвестиции — 2.4 сеизмична безопасност на местата за богослужение, реставрация на културното наследство и приютите за произведения на изкуството (Fondo Edifici di Culto) (Възстановяване на изкуство)</w:t>
            </w:r>
          </w:p>
        </w:tc>
        <w:tc>
          <w:tcPr>
            <w:tcW w:w="378" w:type="pct"/>
            <w:shd w:val="clear" w:color="auto" w:fill="C6EFCE"/>
            <w:noWrap/>
            <w:vAlign w:val="center"/>
            <w:hideMark/>
          </w:tcPr>
          <w:p w14:paraId="356BA7A9"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7E0BD9E1" w14:textId="77777777" w:rsidR="006054AA" w:rsidRDefault="001F7667">
            <w:pPr>
              <w:pStyle w:val="P68B1DB1-Normal11"/>
              <w:jc w:val="center"/>
              <w:rPr>
                <w:noProof/>
              </w:rPr>
            </w:pPr>
            <w:r>
              <w:rPr>
                <w:noProof/>
              </w:rPr>
              <w:t>Приключване на интервенциите за сеизмична безопасност на местата за поклонение, реставрация на културното наследство на FEC (Fondo Edifici di Culto) и приюти за произведения на изкуството</w:t>
            </w:r>
          </w:p>
        </w:tc>
        <w:tc>
          <w:tcPr>
            <w:tcW w:w="520" w:type="pct"/>
            <w:shd w:val="clear" w:color="auto" w:fill="C6EFCE"/>
            <w:noWrap/>
            <w:vAlign w:val="center"/>
            <w:hideMark/>
          </w:tcPr>
          <w:p w14:paraId="27B284A0"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0696B995"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5F5A393B"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23527DCD" w14:textId="77777777" w:rsidR="006054AA" w:rsidRDefault="001F7667">
            <w:pPr>
              <w:pStyle w:val="P68B1DB1-Normal11"/>
              <w:jc w:val="center"/>
              <w:rPr>
                <w:noProof/>
              </w:rPr>
            </w:pPr>
            <w:r>
              <w:rPr>
                <w:noProof/>
              </w:rPr>
              <w:t>300</w:t>
            </w:r>
          </w:p>
        </w:tc>
        <w:tc>
          <w:tcPr>
            <w:tcW w:w="332" w:type="pct"/>
            <w:shd w:val="clear" w:color="auto" w:fill="C6EFCE"/>
            <w:noWrap/>
            <w:vAlign w:val="center"/>
            <w:hideMark/>
          </w:tcPr>
          <w:p w14:paraId="2EB0F47F" w14:textId="77777777" w:rsidR="006054AA" w:rsidRDefault="001F7667">
            <w:pPr>
              <w:pStyle w:val="P68B1DB1-Normal11"/>
              <w:jc w:val="center"/>
              <w:rPr>
                <w:noProof/>
              </w:rPr>
            </w:pPr>
            <w:r>
              <w:rPr>
                <w:noProof/>
              </w:rPr>
              <w:t>Т4 Г.</w:t>
            </w:r>
          </w:p>
        </w:tc>
        <w:tc>
          <w:tcPr>
            <w:tcW w:w="220" w:type="pct"/>
            <w:shd w:val="clear" w:color="auto" w:fill="C6EFCE"/>
            <w:noWrap/>
            <w:vAlign w:val="center"/>
            <w:hideMark/>
          </w:tcPr>
          <w:p w14:paraId="55A06981" w14:textId="77777777" w:rsidR="006054AA" w:rsidRDefault="001F7667">
            <w:pPr>
              <w:pStyle w:val="P68B1DB1-Normal11"/>
              <w:jc w:val="center"/>
              <w:rPr>
                <w:noProof/>
              </w:rPr>
            </w:pPr>
            <w:r>
              <w:rPr>
                <w:noProof/>
              </w:rPr>
              <w:t>2025</w:t>
            </w:r>
          </w:p>
        </w:tc>
        <w:tc>
          <w:tcPr>
            <w:tcW w:w="1047" w:type="pct"/>
            <w:shd w:val="clear" w:color="auto" w:fill="C6EFCE"/>
            <w:noWrap/>
            <w:vAlign w:val="center"/>
            <w:hideMark/>
          </w:tcPr>
          <w:p w14:paraId="05FC4AA4" w14:textId="77777777" w:rsidR="006054AA" w:rsidRDefault="001F7667">
            <w:pPr>
              <w:pStyle w:val="P68B1DB1-Normal11"/>
              <w:rPr>
                <w:noProof/>
              </w:rPr>
            </w:pPr>
            <w:r>
              <w:rPr>
                <w:noProof/>
              </w:rPr>
              <w:t>Целта измерва броя на интервенциите за противосеизмична безопасност на местата за поклонение, възстановяване на FEC (Fondo Edifici di Culto), подслон за произведения на изкуството в случай на бедствия (както е доказано със сертификата за редовно изпълнение на строителни работи).</w:t>
            </w:r>
          </w:p>
          <w:p w14:paraId="3AC821B6" w14:textId="77777777" w:rsidR="006054AA" w:rsidRDefault="001F7667">
            <w:pPr>
              <w:pStyle w:val="P68B1DB1-Normal11"/>
              <w:rPr>
                <w:noProof/>
              </w:rPr>
            </w:pPr>
            <w:r>
              <w:rPr>
                <w:noProof/>
              </w:rPr>
              <w:t xml:space="preserve">Интервенциите включват: </w:t>
            </w:r>
          </w:p>
          <w:p w14:paraId="2AC21C6F" w14:textId="4E7C9FC4" w:rsidR="006054AA" w:rsidRDefault="001F7667">
            <w:pPr>
              <w:pStyle w:val="P68B1DB1-Normal10"/>
              <w:rPr>
                <w:noProof/>
                <w:color w:val="006100"/>
                <w:sz w:val="20"/>
              </w:rPr>
            </w:pPr>
            <w:r>
              <w:rPr>
                <w:noProof/>
                <w:color w:val="006100"/>
                <w:sz w:val="20"/>
              </w:rPr>
              <w:t>I) превантивни антисеизмични интервенции на архитектурни активи с цел възстановяване на съществуващите щети и обезпечаване на културното наследство;</w:t>
            </w:r>
            <w:r>
              <w:rPr>
                <w:noProof/>
              </w:rPr>
              <w:t xml:space="preserve"> </w:t>
            </w:r>
            <w:r>
              <w:rPr>
                <w:noProof/>
              </w:rPr>
              <w:br/>
            </w:r>
            <w:r>
              <w:rPr>
                <w:noProof/>
                <w:color w:val="006100"/>
                <w:sz w:val="20"/>
              </w:rPr>
              <w:t>II) проектът за опазване на наследството създава временни и защитени находища за съхраняване на движимо имущество в случай на бедствие.</w:t>
            </w:r>
          </w:p>
        </w:tc>
      </w:tr>
      <w:tr w:rsidR="006054AA" w14:paraId="7C234CDF" w14:textId="77777777">
        <w:trPr>
          <w:trHeight w:val="313"/>
          <w:jc w:val="center"/>
        </w:trPr>
        <w:tc>
          <w:tcPr>
            <w:tcW w:w="377" w:type="pct"/>
            <w:shd w:val="clear" w:color="auto" w:fill="C6EFCE"/>
            <w:noWrap/>
            <w:vAlign w:val="center"/>
            <w:hideMark/>
          </w:tcPr>
          <w:p w14:paraId="177C4501" w14:textId="77777777" w:rsidR="006054AA" w:rsidRDefault="001F7667">
            <w:pPr>
              <w:pStyle w:val="P68B1DB1-Normal11"/>
              <w:jc w:val="center"/>
              <w:rPr>
                <w:noProof/>
              </w:rPr>
            </w:pPr>
            <w:r>
              <w:rPr>
                <w:noProof/>
              </w:rPr>
              <w:t>M1C3—20</w:t>
            </w:r>
          </w:p>
        </w:tc>
        <w:tc>
          <w:tcPr>
            <w:tcW w:w="520" w:type="pct"/>
            <w:shd w:val="clear" w:color="auto" w:fill="C6EFCE"/>
            <w:noWrap/>
            <w:vAlign w:val="center"/>
            <w:hideMark/>
          </w:tcPr>
          <w:p w14:paraId="1570031E" w14:textId="77777777" w:rsidR="006054AA" w:rsidRDefault="001F7667">
            <w:pPr>
              <w:pStyle w:val="P68B1DB1-Normal11"/>
              <w:jc w:val="center"/>
              <w:rPr>
                <w:noProof/>
              </w:rPr>
            </w:pPr>
            <w:r>
              <w:rPr>
                <w:noProof/>
              </w:rPr>
              <w:t>Инвестиции — 3.2 Развитие на филмовата индустрия (проект Cinecittà)</w:t>
            </w:r>
          </w:p>
        </w:tc>
        <w:tc>
          <w:tcPr>
            <w:tcW w:w="378" w:type="pct"/>
            <w:shd w:val="clear" w:color="auto" w:fill="C6EFCE"/>
            <w:noWrap/>
            <w:vAlign w:val="center"/>
            <w:hideMark/>
          </w:tcPr>
          <w:p w14:paraId="053461E1"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hideMark/>
          </w:tcPr>
          <w:p w14:paraId="459BAF42" w14:textId="77777777" w:rsidR="006054AA" w:rsidRDefault="001F7667">
            <w:pPr>
              <w:pStyle w:val="P68B1DB1-Normal11"/>
              <w:jc w:val="center"/>
              <w:rPr>
                <w:noProof/>
              </w:rPr>
            </w:pPr>
            <w:r>
              <w:rPr>
                <w:noProof/>
              </w:rPr>
              <w:t>Подписване на договорите между изпълнителя Cinecittà SPA и дружествата във връзка с изграждането на девет студиа</w:t>
            </w:r>
          </w:p>
        </w:tc>
        <w:tc>
          <w:tcPr>
            <w:tcW w:w="520" w:type="pct"/>
            <w:shd w:val="clear" w:color="auto" w:fill="C6EFCE"/>
            <w:noWrap/>
            <w:vAlign w:val="center"/>
            <w:hideMark/>
          </w:tcPr>
          <w:p w14:paraId="3CFCEFBC" w14:textId="77777777" w:rsidR="006054AA" w:rsidRDefault="001F7667">
            <w:pPr>
              <w:pStyle w:val="P68B1DB1-Normal11"/>
              <w:jc w:val="center"/>
              <w:rPr>
                <w:noProof/>
              </w:rPr>
            </w:pPr>
            <w:r>
              <w:rPr>
                <w:noProof/>
              </w:rPr>
              <w:t>Подписване на договорите</w:t>
            </w:r>
          </w:p>
        </w:tc>
        <w:tc>
          <w:tcPr>
            <w:tcW w:w="331" w:type="pct"/>
            <w:shd w:val="clear" w:color="auto" w:fill="C6EFCE"/>
            <w:noWrap/>
            <w:vAlign w:val="center"/>
            <w:hideMark/>
          </w:tcPr>
          <w:p w14:paraId="4E85E4D3" w14:textId="77777777" w:rsidR="006054AA" w:rsidRDefault="001F7667">
            <w:pPr>
              <w:pStyle w:val="P68B1DB1-Normal11"/>
              <w:spacing w:before="120" w:after="120"/>
              <w:jc w:val="center"/>
              <w:rPr>
                <w:noProof/>
              </w:rPr>
            </w:pPr>
            <w:r>
              <w:rPr>
                <w:noProof/>
              </w:rPr>
              <w:t>НЯМА</w:t>
            </w:r>
          </w:p>
        </w:tc>
        <w:tc>
          <w:tcPr>
            <w:tcW w:w="332" w:type="pct"/>
            <w:shd w:val="clear" w:color="auto" w:fill="C6EFCE"/>
            <w:noWrap/>
            <w:vAlign w:val="center"/>
            <w:hideMark/>
          </w:tcPr>
          <w:p w14:paraId="01A85137" w14:textId="77777777" w:rsidR="006054AA" w:rsidRDefault="001F7667">
            <w:pPr>
              <w:pStyle w:val="P68B1DB1-Normal11"/>
              <w:jc w:val="center"/>
              <w:rPr>
                <w:noProof/>
              </w:rPr>
            </w:pPr>
            <w:r>
              <w:rPr>
                <w:noProof/>
              </w:rPr>
              <w:t>НЯМА</w:t>
            </w:r>
          </w:p>
        </w:tc>
        <w:tc>
          <w:tcPr>
            <w:tcW w:w="424" w:type="pct"/>
            <w:shd w:val="clear" w:color="auto" w:fill="C6EFCE"/>
            <w:noWrap/>
            <w:vAlign w:val="center"/>
            <w:hideMark/>
          </w:tcPr>
          <w:p w14:paraId="3140674D" w14:textId="77777777" w:rsidR="006054AA" w:rsidRDefault="001F7667">
            <w:pPr>
              <w:pStyle w:val="P68B1DB1-Normal11"/>
              <w:jc w:val="center"/>
              <w:rPr>
                <w:noProof/>
              </w:rPr>
            </w:pPr>
            <w:r>
              <w:rPr>
                <w:noProof/>
              </w:rPr>
              <w:t>НЯМА</w:t>
            </w:r>
          </w:p>
        </w:tc>
        <w:tc>
          <w:tcPr>
            <w:tcW w:w="332" w:type="pct"/>
            <w:shd w:val="clear" w:color="auto" w:fill="C6EFCE"/>
            <w:noWrap/>
            <w:vAlign w:val="center"/>
            <w:hideMark/>
          </w:tcPr>
          <w:p w14:paraId="0EC7B0EB" w14:textId="77777777" w:rsidR="006054AA" w:rsidRDefault="001F7667">
            <w:pPr>
              <w:pStyle w:val="P68B1DB1-Normal11"/>
              <w:jc w:val="center"/>
              <w:rPr>
                <w:noProof/>
              </w:rPr>
            </w:pPr>
            <w:r>
              <w:rPr>
                <w:noProof/>
              </w:rPr>
              <w:t>Т2 Г.</w:t>
            </w:r>
          </w:p>
        </w:tc>
        <w:tc>
          <w:tcPr>
            <w:tcW w:w="220" w:type="pct"/>
            <w:shd w:val="clear" w:color="auto" w:fill="C6EFCE"/>
            <w:noWrap/>
            <w:vAlign w:val="center"/>
            <w:hideMark/>
          </w:tcPr>
          <w:p w14:paraId="1DDAF257" w14:textId="77777777" w:rsidR="006054AA" w:rsidRDefault="001F7667">
            <w:pPr>
              <w:pStyle w:val="P68B1DB1-Normal11"/>
              <w:jc w:val="center"/>
              <w:rPr>
                <w:noProof/>
              </w:rPr>
            </w:pPr>
            <w:r>
              <w:rPr>
                <w:noProof/>
              </w:rPr>
              <w:t>2023</w:t>
            </w:r>
          </w:p>
        </w:tc>
        <w:tc>
          <w:tcPr>
            <w:tcW w:w="1047" w:type="pct"/>
            <w:shd w:val="clear" w:color="auto" w:fill="C6EFCE"/>
            <w:noWrap/>
            <w:vAlign w:val="center"/>
            <w:hideMark/>
          </w:tcPr>
          <w:p w14:paraId="738FAFF5" w14:textId="77777777" w:rsidR="006054AA" w:rsidRDefault="001F7667">
            <w:pPr>
              <w:pStyle w:val="P68B1DB1-Normal11"/>
              <w:rPr>
                <w:noProof/>
              </w:rPr>
            </w:pPr>
            <w:r>
              <w:rPr>
                <w:noProof/>
              </w:rPr>
              <w:t xml:space="preserve">Подписване на договорите между изпълнителната организация Cinecittà SPA и дружествата във връзка с изграждането на девет студиа. </w:t>
            </w:r>
          </w:p>
          <w:p w14:paraId="6A5E42F9" w14:textId="77777777" w:rsidR="006054AA" w:rsidRDefault="001F7667">
            <w:pPr>
              <w:pStyle w:val="P68B1DB1-Normal11"/>
              <w:rPr>
                <w:noProof/>
              </w:rPr>
            </w:pPr>
            <w:r>
              <w:rPr>
                <w:noProof/>
              </w:rPr>
              <w:t xml:space="preserve"> </w:t>
            </w:r>
          </w:p>
          <w:p w14:paraId="3D3C4185" w14:textId="77777777" w:rsidR="006054AA" w:rsidRDefault="001F7667">
            <w:pPr>
              <w:pStyle w:val="P68B1DB1-Normal11"/>
              <w:rPr>
                <w:noProof/>
              </w:rPr>
            </w:pPr>
            <w:r>
              <w:rPr>
                <w:noProof/>
              </w:rPr>
              <w:t>Тази намеса включва изграждането на нови студиа, възстановяването на съществуващи студия, инвестициите в нови цифрови технологии, системи и услуги, насочени към укрепване на филмовите студия Cinecittà, управлявани от SPA Cinecittà.</w:t>
            </w:r>
          </w:p>
          <w:p w14:paraId="4BAA56D8" w14:textId="77777777" w:rsidR="006054AA" w:rsidRDefault="006054AA">
            <w:pPr>
              <w:rPr>
                <w:rFonts w:ascii="Arial Narrow" w:hAnsi="Arial Narrow"/>
                <w:noProof/>
                <w:color w:val="006100"/>
                <w:sz w:val="20"/>
              </w:rPr>
            </w:pPr>
          </w:p>
          <w:p w14:paraId="60D279E7" w14:textId="73237D90" w:rsidR="006054AA" w:rsidRDefault="001F7667">
            <w:pPr>
              <w:pStyle w:val="P68B1DB1-Normal11"/>
              <w:rPr>
                <w:noProof/>
              </w:rPr>
            </w:pPr>
            <w:r>
              <w:rPr>
                <w:noProof/>
              </w:rPr>
              <w:t>Договорът между изпълняващия субект Cinecittà SPA и дружествата трябва да съдържа критерии за подбор/допустимост за съответствие с техническите насоки за НЗВ (2021/C58/01) на подпомаганите активи/дейности и/или дружества.</w:t>
            </w:r>
          </w:p>
          <w:p w14:paraId="059B802B" w14:textId="77777777" w:rsidR="006054AA" w:rsidRDefault="006054AA">
            <w:pPr>
              <w:rPr>
                <w:rFonts w:ascii="Arial Narrow" w:hAnsi="Arial Narrow"/>
                <w:noProof/>
                <w:color w:val="006100"/>
                <w:sz w:val="20"/>
              </w:rPr>
            </w:pPr>
          </w:p>
          <w:p w14:paraId="39909EA7" w14:textId="04E924A2" w:rsidR="006054AA" w:rsidRDefault="001F7667">
            <w:pPr>
              <w:pStyle w:val="P68B1DB1-Normal11"/>
              <w:rPr>
                <w:noProof/>
              </w:rPr>
            </w:pPr>
            <w:r>
              <w:rPr>
                <w:noProof/>
              </w:rPr>
              <w:t>Ангажимент/цел за инвестиране на 20 % в активи/дейности и/или дружества, които отговарят на критериите за подбор за цифрово маркиране, и 70 % — в критерии за подбор за проследяване на разходите в областта на климата.</w:t>
            </w:r>
          </w:p>
        </w:tc>
      </w:tr>
      <w:tr w:rsidR="006054AA" w14:paraId="7E51AD89" w14:textId="77777777">
        <w:trPr>
          <w:trHeight w:val="313"/>
          <w:jc w:val="center"/>
        </w:trPr>
        <w:tc>
          <w:tcPr>
            <w:tcW w:w="377" w:type="pct"/>
            <w:shd w:val="clear" w:color="auto" w:fill="C6EFCE"/>
            <w:noWrap/>
            <w:vAlign w:val="center"/>
            <w:hideMark/>
          </w:tcPr>
          <w:p w14:paraId="71490FE7" w14:textId="77777777" w:rsidR="006054AA" w:rsidRDefault="001F7667">
            <w:pPr>
              <w:pStyle w:val="P68B1DB1-Normal11"/>
              <w:jc w:val="center"/>
              <w:rPr>
                <w:noProof/>
              </w:rPr>
            </w:pPr>
            <w:r>
              <w:rPr>
                <w:noProof/>
              </w:rPr>
              <w:t>M1C3—21</w:t>
            </w:r>
          </w:p>
        </w:tc>
        <w:tc>
          <w:tcPr>
            <w:tcW w:w="520" w:type="pct"/>
            <w:shd w:val="clear" w:color="auto" w:fill="C6EFCE"/>
            <w:noWrap/>
            <w:vAlign w:val="center"/>
            <w:hideMark/>
          </w:tcPr>
          <w:p w14:paraId="1AF40BBA" w14:textId="77777777" w:rsidR="006054AA" w:rsidRDefault="001F7667">
            <w:pPr>
              <w:pStyle w:val="P68B1DB1-Normal11"/>
              <w:jc w:val="center"/>
              <w:rPr>
                <w:noProof/>
              </w:rPr>
            </w:pPr>
            <w:r>
              <w:rPr>
                <w:noProof/>
              </w:rPr>
              <w:t>Инвестиции — 3.2 Развитие на филмовата индустрия (проект Cinecittà)</w:t>
            </w:r>
          </w:p>
        </w:tc>
        <w:tc>
          <w:tcPr>
            <w:tcW w:w="378" w:type="pct"/>
            <w:shd w:val="clear" w:color="auto" w:fill="C6EFCE"/>
            <w:noWrap/>
            <w:vAlign w:val="center"/>
            <w:hideMark/>
          </w:tcPr>
          <w:p w14:paraId="1F72AD52"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0D6FF8F6" w14:textId="77777777" w:rsidR="006054AA" w:rsidRDefault="001F7667">
            <w:pPr>
              <w:pStyle w:val="P68B1DB1-Normal11"/>
              <w:jc w:val="center"/>
              <w:rPr>
                <w:noProof/>
              </w:rPr>
            </w:pPr>
            <w:r>
              <w:rPr>
                <w:noProof/>
              </w:rPr>
              <w:t>Брой студиа, чиито строителни работи по преквалифициране, модернизация, строителство са завършени</w:t>
            </w:r>
          </w:p>
        </w:tc>
        <w:tc>
          <w:tcPr>
            <w:tcW w:w="520" w:type="pct"/>
            <w:shd w:val="clear" w:color="auto" w:fill="C6EFCE"/>
            <w:noWrap/>
            <w:vAlign w:val="center"/>
            <w:hideMark/>
          </w:tcPr>
          <w:p w14:paraId="1BAEA480"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15E97FA5"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39D298CF"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5F3D1C0F" w14:textId="77777777" w:rsidR="006054AA" w:rsidRDefault="001F7667">
            <w:pPr>
              <w:pStyle w:val="P68B1DB1-Normal11"/>
              <w:jc w:val="center"/>
              <w:rPr>
                <w:noProof/>
              </w:rPr>
            </w:pPr>
            <w:r>
              <w:rPr>
                <w:noProof/>
              </w:rPr>
              <w:t>9</w:t>
            </w:r>
          </w:p>
        </w:tc>
        <w:tc>
          <w:tcPr>
            <w:tcW w:w="332" w:type="pct"/>
            <w:shd w:val="clear" w:color="auto" w:fill="C6EFCE"/>
            <w:noWrap/>
            <w:vAlign w:val="center"/>
            <w:hideMark/>
          </w:tcPr>
          <w:p w14:paraId="466A43A4" w14:textId="77777777" w:rsidR="006054AA" w:rsidRDefault="001F7667">
            <w:pPr>
              <w:pStyle w:val="P68B1DB1-Normal11"/>
              <w:jc w:val="center"/>
              <w:rPr>
                <w:noProof/>
              </w:rPr>
            </w:pPr>
            <w:r>
              <w:rPr>
                <w:noProof/>
              </w:rPr>
              <w:t>Т2 Г.</w:t>
            </w:r>
          </w:p>
        </w:tc>
        <w:tc>
          <w:tcPr>
            <w:tcW w:w="220" w:type="pct"/>
            <w:shd w:val="clear" w:color="auto" w:fill="C6EFCE"/>
            <w:noWrap/>
            <w:vAlign w:val="center"/>
            <w:hideMark/>
          </w:tcPr>
          <w:p w14:paraId="75B1BC66" w14:textId="77777777" w:rsidR="006054AA" w:rsidRDefault="001F7667">
            <w:pPr>
              <w:pStyle w:val="P68B1DB1-Normal11"/>
              <w:jc w:val="center"/>
              <w:rPr>
                <w:noProof/>
              </w:rPr>
            </w:pPr>
            <w:r>
              <w:rPr>
                <w:noProof/>
              </w:rPr>
              <w:t>2026</w:t>
            </w:r>
          </w:p>
        </w:tc>
        <w:tc>
          <w:tcPr>
            <w:tcW w:w="1047" w:type="pct"/>
            <w:shd w:val="clear" w:color="auto" w:fill="C6EFCE"/>
            <w:noWrap/>
            <w:vAlign w:val="center"/>
            <w:hideMark/>
          </w:tcPr>
          <w:p w14:paraId="3E957C62" w14:textId="77777777" w:rsidR="006054AA" w:rsidRDefault="001F7667">
            <w:pPr>
              <w:pStyle w:val="P68B1DB1-Normal11"/>
              <w:rPr>
                <w:noProof/>
              </w:rPr>
            </w:pPr>
            <w:r>
              <w:rPr>
                <w:noProof/>
              </w:rPr>
              <w:t xml:space="preserve">Намесите се отнасят до </w:t>
            </w:r>
          </w:p>
          <w:p w14:paraId="07D181AA" w14:textId="77777777" w:rsidR="006054AA" w:rsidRDefault="001F7667">
            <w:pPr>
              <w:pStyle w:val="P68B1DB1-Normal11"/>
              <w:rPr>
                <w:noProof/>
              </w:rPr>
            </w:pPr>
            <w:r>
              <w:rPr>
                <w:noProof/>
              </w:rPr>
              <w:t xml:space="preserve">изграждане на пет нови студиа и </w:t>
            </w:r>
          </w:p>
          <w:p w14:paraId="0B6803DE" w14:textId="1628A57A" w:rsidR="006054AA" w:rsidRDefault="001F7667">
            <w:pPr>
              <w:pStyle w:val="P68B1DB1-Normal11"/>
              <w:rPr>
                <w:noProof/>
              </w:rPr>
            </w:pPr>
            <w:r>
              <w:rPr>
                <w:noProof/>
              </w:rPr>
              <w:t>обновяването на четири съществуващи студиа.</w:t>
            </w:r>
          </w:p>
          <w:p w14:paraId="30691C76" w14:textId="77777777" w:rsidR="006054AA" w:rsidRDefault="006054AA">
            <w:pPr>
              <w:rPr>
                <w:rFonts w:ascii="Arial Narrow" w:hAnsi="Arial Narrow"/>
                <w:noProof/>
                <w:color w:val="006100"/>
                <w:sz w:val="20"/>
              </w:rPr>
            </w:pPr>
          </w:p>
          <w:p w14:paraId="4B75B947" w14:textId="6BB8D151" w:rsidR="006054AA" w:rsidRDefault="001F7667">
            <w:pPr>
              <w:pStyle w:val="P68B1DB1-Normal11"/>
              <w:rPr>
                <w:noProof/>
              </w:rPr>
            </w:pPr>
            <w:r>
              <w:rPr>
                <w:noProof/>
              </w:rPr>
              <w:t>Задоволителното изпълнение на целта зависи и от приключването на интервенциите, посочени в редове Б и В в описанието на мярката.</w:t>
            </w:r>
          </w:p>
        </w:tc>
      </w:tr>
      <w:tr w:rsidR="006054AA" w14:paraId="390116B2" w14:textId="77777777">
        <w:trPr>
          <w:trHeight w:val="313"/>
          <w:jc w:val="center"/>
        </w:trPr>
        <w:tc>
          <w:tcPr>
            <w:tcW w:w="377" w:type="pct"/>
            <w:shd w:val="clear" w:color="auto" w:fill="C6EFCE"/>
            <w:noWrap/>
            <w:vAlign w:val="center"/>
          </w:tcPr>
          <w:p w14:paraId="1E7B4B52" w14:textId="77777777" w:rsidR="006054AA" w:rsidRDefault="001F7667">
            <w:pPr>
              <w:pStyle w:val="P68B1DB1-Normal11"/>
              <w:jc w:val="center"/>
              <w:rPr>
                <w:noProof/>
              </w:rPr>
            </w:pPr>
            <w:r>
              <w:rPr>
                <w:noProof/>
              </w:rPr>
              <w:t>M1C3—22</w:t>
            </w:r>
          </w:p>
        </w:tc>
        <w:tc>
          <w:tcPr>
            <w:tcW w:w="520" w:type="pct"/>
            <w:shd w:val="clear" w:color="auto" w:fill="C6EFCE"/>
            <w:noWrap/>
            <w:vAlign w:val="center"/>
          </w:tcPr>
          <w:p w14:paraId="149ABAB8" w14:textId="74CCAC5C" w:rsidR="006054AA" w:rsidRDefault="001F7667">
            <w:pPr>
              <w:pStyle w:val="P68B1DB1-Normal11"/>
              <w:jc w:val="center"/>
              <w:rPr>
                <w:noProof/>
              </w:rPr>
            </w:pPr>
            <w:r>
              <w:rPr>
                <w:noProof/>
              </w:rPr>
              <w:t>Фонд „Инвестиция 4.2“ за конкурентоспособност на туристическите предприятия</w:t>
            </w:r>
          </w:p>
        </w:tc>
        <w:tc>
          <w:tcPr>
            <w:tcW w:w="378" w:type="pct"/>
            <w:shd w:val="clear" w:color="auto" w:fill="C6EFCE"/>
            <w:noWrap/>
            <w:vAlign w:val="center"/>
          </w:tcPr>
          <w:p w14:paraId="0EF9F1CC"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tcPr>
          <w:p w14:paraId="25BDE77E" w14:textId="77777777" w:rsidR="006054AA" w:rsidRDefault="001F7667">
            <w:pPr>
              <w:pStyle w:val="P68B1DB1-Normal11"/>
              <w:jc w:val="center"/>
              <w:rPr>
                <w:noProof/>
              </w:rPr>
            </w:pPr>
            <w:r>
              <w:rPr>
                <w:noProof/>
              </w:rPr>
              <w:t>Инвестиционна политика за:</w:t>
            </w:r>
          </w:p>
          <w:p w14:paraId="1134F11B" w14:textId="474FFACE" w:rsidR="006054AA" w:rsidRDefault="001F7667">
            <w:pPr>
              <w:pStyle w:val="P68B1DB1-Normal11"/>
              <w:jc w:val="center"/>
              <w:rPr>
                <w:noProof/>
              </w:rPr>
            </w:pPr>
            <w:r>
              <w:rPr>
                <w:noProof/>
              </w:rPr>
              <w:t>тематичен фонд на Европейската инвестиционна банка;</w:t>
            </w:r>
          </w:p>
        </w:tc>
        <w:tc>
          <w:tcPr>
            <w:tcW w:w="520" w:type="pct"/>
            <w:shd w:val="clear" w:color="auto" w:fill="C6EFCE"/>
            <w:noWrap/>
            <w:vAlign w:val="center"/>
          </w:tcPr>
          <w:p w14:paraId="37125893" w14:textId="77777777" w:rsidR="006054AA" w:rsidRDefault="001F7667">
            <w:pPr>
              <w:pStyle w:val="P68B1DB1-Normal11"/>
              <w:jc w:val="center"/>
              <w:rPr>
                <w:noProof/>
              </w:rPr>
            </w:pPr>
            <w:r>
              <w:rPr>
                <w:noProof/>
              </w:rPr>
              <w:t>Приемане на инвестиционната политика</w:t>
            </w:r>
          </w:p>
        </w:tc>
        <w:tc>
          <w:tcPr>
            <w:tcW w:w="331" w:type="pct"/>
            <w:shd w:val="clear" w:color="auto" w:fill="C6EFCE"/>
            <w:noWrap/>
            <w:vAlign w:val="center"/>
          </w:tcPr>
          <w:p w14:paraId="55DCC8FB"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12172D43" w14:textId="77777777" w:rsidR="006054AA" w:rsidRDefault="001F7667">
            <w:pPr>
              <w:pStyle w:val="P68B1DB1-Normal11"/>
              <w:jc w:val="center"/>
              <w:rPr>
                <w:noProof/>
              </w:rPr>
            </w:pPr>
            <w:r>
              <w:rPr>
                <w:noProof/>
              </w:rPr>
              <w:t>НЯМА</w:t>
            </w:r>
          </w:p>
        </w:tc>
        <w:tc>
          <w:tcPr>
            <w:tcW w:w="424" w:type="pct"/>
            <w:shd w:val="clear" w:color="auto" w:fill="C6EFCE"/>
            <w:noWrap/>
            <w:vAlign w:val="center"/>
          </w:tcPr>
          <w:p w14:paraId="1E302248"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379FEDD0" w14:textId="77777777" w:rsidR="006054AA" w:rsidRDefault="001F7667">
            <w:pPr>
              <w:pStyle w:val="P68B1DB1-Normal11"/>
              <w:jc w:val="center"/>
              <w:rPr>
                <w:noProof/>
              </w:rPr>
            </w:pPr>
            <w:r>
              <w:rPr>
                <w:noProof/>
              </w:rPr>
              <w:t>Т4 Г.</w:t>
            </w:r>
          </w:p>
        </w:tc>
        <w:tc>
          <w:tcPr>
            <w:tcW w:w="220" w:type="pct"/>
            <w:shd w:val="clear" w:color="auto" w:fill="C6EFCE"/>
            <w:noWrap/>
            <w:vAlign w:val="center"/>
          </w:tcPr>
          <w:p w14:paraId="0D730D3F" w14:textId="77777777" w:rsidR="006054AA" w:rsidRDefault="001F7667">
            <w:pPr>
              <w:pStyle w:val="P68B1DB1-Normal11"/>
              <w:jc w:val="center"/>
              <w:rPr>
                <w:noProof/>
              </w:rPr>
            </w:pPr>
            <w:r>
              <w:rPr>
                <w:noProof/>
              </w:rPr>
              <w:t>2021</w:t>
            </w:r>
          </w:p>
        </w:tc>
        <w:tc>
          <w:tcPr>
            <w:tcW w:w="1047" w:type="pct"/>
            <w:shd w:val="clear" w:color="auto" w:fill="C6EFCE"/>
            <w:noWrap/>
            <w:vAlign w:val="center"/>
          </w:tcPr>
          <w:p w14:paraId="11CFE4B5" w14:textId="77777777" w:rsidR="006054AA" w:rsidRDefault="001F7667">
            <w:pPr>
              <w:pStyle w:val="P68B1DB1-Normal11"/>
              <w:rPr>
                <w:noProof/>
              </w:rPr>
            </w:pPr>
            <w:r>
              <w:rPr>
                <w:noProof/>
              </w:rPr>
              <w:t>Инвестиционната политика определя като минимум: естеството, обхвата и подкрепяните операции, бенефициерите от целевата група, критериите за допустимост на финансовите бенефициери и техния подбор чрез открита покана; и разпоредби за реинвестиране на потенциални обратни постъпления за същите цели на политиката.</w:t>
            </w:r>
          </w:p>
          <w:p w14:paraId="6F85BDC8" w14:textId="77777777" w:rsidR="006054AA" w:rsidRDefault="001F7667">
            <w:pPr>
              <w:pStyle w:val="P68B1DB1-Normal11"/>
              <w:rPr>
                <w:noProof/>
              </w:rPr>
            </w:pPr>
            <w:r>
              <w:rPr>
                <w:noProof/>
              </w:rPr>
              <w:t>Инвестиционната политика предвижда 50 % от фонда да бъдат предназначени за мерки за енергийна ефективност.</w:t>
            </w:r>
          </w:p>
          <w:p w14:paraId="68CDC4BB" w14:textId="3EF7D3C6" w:rsidR="006054AA" w:rsidRDefault="001F7667">
            <w:pPr>
              <w:pStyle w:val="P68B1DB1-Normal11"/>
              <w:rPr>
                <w:noProof/>
              </w:rPr>
            </w:pPr>
            <w:r>
              <w:rPr>
                <w:noProof/>
              </w:rPr>
              <w:t>Инвестиционната политика включва критерии за подбор, за да се гарантира спазването на техническите насоки за ненанасяне на значителни вреди (2021/C58/01) на подпомогнатите сделки по тази мярка чрез използване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w:t>
            </w:r>
          </w:p>
        </w:tc>
      </w:tr>
      <w:tr w:rsidR="006054AA" w14:paraId="065AE54B" w14:textId="77777777">
        <w:trPr>
          <w:trHeight w:val="313"/>
          <w:jc w:val="center"/>
        </w:trPr>
        <w:tc>
          <w:tcPr>
            <w:tcW w:w="377" w:type="pct"/>
            <w:shd w:val="clear" w:color="auto" w:fill="C6EFCE"/>
            <w:noWrap/>
            <w:vAlign w:val="center"/>
          </w:tcPr>
          <w:p w14:paraId="79D07F8E" w14:textId="77777777" w:rsidR="006054AA" w:rsidRDefault="001F7667">
            <w:pPr>
              <w:pStyle w:val="P68B1DB1-Normal11"/>
              <w:jc w:val="center"/>
              <w:rPr>
                <w:noProof/>
              </w:rPr>
            </w:pPr>
            <w:r>
              <w:rPr>
                <w:noProof/>
              </w:rPr>
              <w:t>M1C3—23</w:t>
            </w:r>
          </w:p>
        </w:tc>
        <w:tc>
          <w:tcPr>
            <w:tcW w:w="520" w:type="pct"/>
            <w:shd w:val="clear" w:color="auto" w:fill="C6EFCE"/>
            <w:noWrap/>
            <w:vAlign w:val="center"/>
          </w:tcPr>
          <w:p w14:paraId="5F778660" w14:textId="74C49773" w:rsidR="006054AA" w:rsidRDefault="001F7667">
            <w:pPr>
              <w:pStyle w:val="P68B1DB1-Normal11"/>
              <w:jc w:val="center"/>
              <w:rPr>
                <w:noProof/>
              </w:rPr>
            </w:pPr>
            <w:r>
              <w:rPr>
                <w:noProof/>
              </w:rPr>
              <w:t>Инвестиция 4.2:  Фондове за конкурентоспособността на туристическите предприятия</w:t>
            </w:r>
          </w:p>
        </w:tc>
        <w:tc>
          <w:tcPr>
            <w:tcW w:w="378" w:type="pct"/>
            <w:shd w:val="clear" w:color="auto" w:fill="C6EFCE"/>
            <w:noWrap/>
            <w:vAlign w:val="center"/>
          </w:tcPr>
          <w:p w14:paraId="076AECBE"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tcPr>
          <w:p w14:paraId="6B061C9A" w14:textId="349A918B" w:rsidR="006054AA" w:rsidRDefault="001F7667">
            <w:pPr>
              <w:pStyle w:val="P68B1DB1-Normal11"/>
              <w:jc w:val="center"/>
              <w:rPr>
                <w:noProof/>
              </w:rPr>
            </w:pPr>
            <w:r>
              <w:rPr>
                <w:noProof/>
              </w:rPr>
              <w:t>Инвестиционна политика за Националния фонд за туризъм,</w:t>
            </w:r>
          </w:p>
        </w:tc>
        <w:tc>
          <w:tcPr>
            <w:tcW w:w="520" w:type="pct"/>
            <w:shd w:val="clear" w:color="auto" w:fill="C6EFCE"/>
            <w:noWrap/>
            <w:vAlign w:val="center"/>
          </w:tcPr>
          <w:p w14:paraId="64843EA6" w14:textId="77777777" w:rsidR="006054AA" w:rsidRDefault="001F7667">
            <w:pPr>
              <w:pStyle w:val="P68B1DB1-Normal11"/>
              <w:jc w:val="center"/>
              <w:rPr>
                <w:noProof/>
              </w:rPr>
            </w:pPr>
            <w:r>
              <w:rPr>
                <w:noProof/>
              </w:rPr>
              <w:t>Приемане на инвестиционната политика</w:t>
            </w:r>
          </w:p>
        </w:tc>
        <w:tc>
          <w:tcPr>
            <w:tcW w:w="331" w:type="pct"/>
            <w:shd w:val="clear" w:color="auto" w:fill="C6EFCE"/>
            <w:noWrap/>
            <w:vAlign w:val="center"/>
          </w:tcPr>
          <w:p w14:paraId="40644623"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61E392C4" w14:textId="77777777" w:rsidR="006054AA" w:rsidRDefault="001F7667">
            <w:pPr>
              <w:pStyle w:val="P68B1DB1-Normal11"/>
              <w:jc w:val="center"/>
              <w:rPr>
                <w:noProof/>
              </w:rPr>
            </w:pPr>
            <w:r>
              <w:rPr>
                <w:noProof/>
              </w:rPr>
              <w:t>НЯМА</w:t>
            </w:r>
          </w:p>
        </w:tc>
        <w:tc>
          <w:tcPr>
            <w:tcW w:w="424" w:type="pct"/>
            <w:shd w:val="clear" w:color="auto" w:fill="C6EFCE"/>
            <w:noWrap/>
            <w:vAlign w:val="center"/>
          </w:tcPr>
          <w:p w14:paraId="7282522D"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0C97748C" w14:textId="77777777" w:rsidR="006054AA" w:rsidRDefault="001F7667">
            <w:pPr>
              <w:pStyle w:val="P68B1DB1-Normal11"/>
              <w:jc w:val="center"/>
              <w:rPr>
                <w:noProof/>
              </w:rPr>
            </w:pPr>
            <w:r>
              <w:rPr>
                <w:noProof/>
              </w:rPr>
              <w:t>Т4 Г.</w:t>
            </w:r>
          </w:p>
        </w:tc>
        <w:tc>
          <w:tcPr>
            <w:tcW w:w="220" w:type="pct"/>
            <w:shd w:val="clear" w:color="auto" w:fill="C6EFCE"/>
            <w:noWrap/>
            <w:vAlign w:val="center"/>
          </w:tcPr>
          <w:p w14:paraId="295EDD6D" w14:textId="77777777" w:rsidR="006054AA" w:rsidRDefault="001F7667">
            <w:pPr>
              <w:pStyle w:val="P68B1DB1-Normal11"/>
              <w:jc w:val="center"/>
              <w:rPr>
                <w:noProof/>
              </w:rPr>
            </w:pPr>
            <w:r>
              <w:rPr>
                <w:noProof/>
              </w:rPr>
              <w:t>2021</w:t>
            </w:r>
          </w:p>
        </w:tc>
        <w:tc>
          <w:tcPr>
            <w:tcW w:w="1047" w:type="pct"/>
            <w:shd w:val="clear" w:color="auto" w:fill="C6EFCE"/>
            <w:noWrap/>
            <w:vAlign w:val="center"/>
          </w:tcPr>
          <w:p w14:paraId="37616BC6" w14:textId="7E8D7A36" w:rsidR="006054AA" w:rsidRDefault="001F7667">
            <w:pPr>
              <w:pStyle w:val="P68B1DB1-Normal11"/>
              <w:rPr>
                <w:noProof/>
              </w:rPr>
            </w:pPr>
            <w:r>
              <w:rPr>
                <w:noProof/>
              </w:rPr>
              <w:t xml:space="preserve">Фондът е предназначен за закупуване, преструктуриране и преквалифициране на италиански недвижими имоти в подкрепа на развитието на туризма в районите, които са най-силно засегнати от кризата или маргиналните райони (крайбрежни райони, малки острови, свръхпериферни региони и селски и планински райони). </w:t>
            </w:r>
          </w:p>
          <w:p w14:paraId="2F706837" w14:textId="77777777" w:rsidR="006054AA" w:rsidRDefault="001F7667">
            <w:pPr>
              <w:pStyle w:val="P68B1DB1-Normal11"/>
              <w:rPr>
                <w:noProof/>
              </w:rPr>
            </w:pPr>
            <w:r>
              <w:rPr>
                <w:noProof/>
              </w:rPr>
              <w:t>Инвестиционната политика включва критерии за подбор, за да се гарантира спазването на техническите насоки за ненанасяне на значителни вреди (2021/C58/01) на подпомогнатите сделки по тази мярка чрез използване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w:t>
            </w:r>
          </w:p>
        </w:tc>
      </w:tr>
      <w:tr w:rsidR="006054AA" w14:paraId="6FD1F849" w14:textId="77777777">
        <w:trPr>
          <w:trHeight w:val="313"/>
          <w:jc w:val="center"/>
        </w:trPr>
        <w:tc>
          <w:tcPr>
            <w:tcW w:w="377" w:type="pct"/>
            <w:shd w:val="clear" w:color="auto" w:fill="C6EFCE"/>
            <w:noWrap/>
            <w:vAlign w:val="center"/>
          </w:tcPr>
          <w:p w14:paraId="681B2385" w14:textId="77777777" w:rsidR="006054AA" w:rsidRDefault="001F7667">
            <w:pPr>
              <w:pStyle w:val="P68B1DB1-Normal11"/>
              <w:jc w:val="center"/>
              <w:rPr>
                <w:noProof/>
              </w:rPr>
            </w:pPr>
            <w:r>
              <w:rPr>
                <w:noProof/>
              </w:rPr>
              <w:t>M1C3—24</w:t>
            </w:r>
          </w:p>
        </w:tc>
        <w:tc>
          <w:tcPr>
            <w:tcW w:w="520" w:type="pct"/>
            <w:shd w:val="clear" w:color="auto" w:fill="C6EFCE"/>
            <w:noWrap/>
            <w:vAlign w:val="center"/>
          </w:tcPr>
          <w:p w14:paraId="37A88981" w14:textId="6D4B3E44" w:rsidR="006054AA" w:rsidRDefault="001F7667">
            <w:pPr>
              <w:pStyle w:val="P68B1DB1-Normal11"/>
              <w:jc w:val="center"/>
              <w:rPr>
                <w:noProof/>
              </w:rPr>
            </w:pPr>
            <w:r>
              <w:rPr>
                <w:noProof/>
              </w:rPr>
              <w:t>Фонд „Инвестиция 4.2“ за конкурентоспособността на туристическите предприятия</w:t>
            </w:r>
          </w:p>
        </w:tc>
        <w:tc>
          <w:tcPr>
            <w:tcW w:w="378" w:type="pct"/>
            <w:shd w:val="clear" w:color="auto" w:fill="C6EFCE"/>
            <w:noWrap/>
            <w:vAlign w:val="center"/>
          </w:tcPr>
          <w:p w14:paraId="57AFF127"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tcPr>
          <w:p w14:paraId="47D8B8EB" w14:textId="2750BF76" w:rsidR="006054AA" w:rsidRDefault="001F7667">
            <w:pPr>
              <w:pStyle w:val="P68B1DB1-Normal11"/>
              <w:jc w:val="center"/>
              <w:rPr>
                <w:noProof/>
              </w:rPr>
            </w:pPr>
            <w:r>
              <w:rPr>
                <w:noProof/>
              </w:rPr>
              <w:t>Инвестиционна политика за: Гаранционен фонд за МСП,</w:t>
            </w:r>
          </w:p>
        </w:tc>
        <w:tc>
          <w:tcPr>
            <w:tcW w:w="520" w:type="pct"/>
            <w:shd w:val="clear" w:color="auto" w:fill="C6EFCE"/>
            <w:noWrap/>
            <w:vAlign w:val="center"/>
          </w:tcPr>
          <w:p w14:paraId="603AF738" w14:textId="77777777" w:rsidR="006054AA" w:rsidRDefault="001F7667">
            <w:pPr>
              <w:pStyle w:val="P68B1DB1-Normal11"/>
              <w:jc w:val="center"/>
              <w:rPr>
                <w:noProof/>
              </w:rPr>
            </w:pPr>
            <w:r>
              <w:rPr>
                <w:noProof/>
              </w:rPr>
              <w:t>Приемане на инвестиционната политика</w:t>
            </w:r>
          </w:p>
        </w:tc>
        <w:tc>
          <w:tcPr>
            <w:tcW w:w="331" w:type="pct"/>
            <w:shd w:val="clear" w:color="auto" w:fill="C6EFCE"/>
            <w:noWrap/>
            <w:vAlign w:val="center"/>
          </w:tcPr>
          <w:p w14:paraId="512B161B"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7CFBDFD3" w14:textId="77777777" w:rsidR="006054AA" w:rsidRDefault="001F7667">
            <w:pPr>
              <w:pStyle w:val="P68B1DB1-Normal11"/>
              <w:jc w:val="center"/>
              <w:rPr>
                <w:noProof/>
              </w:rPr>
            </w:pPr>
            <w:r>
              <w:rPr>
                <w:noProof/>
              </w:rPr>
              <w:t>НЯМА</w:t>
            </w:r>
          </w:p>
        </w:tc>
        <w:tc>
          <w:tcPr>
            <w:tcW w:w="424" w:type="pct"/>
            <w:shd w:val="clear" w:color="auto" w:fill="C6EFCE"/>
            <w:noWrap/>
            <w:vAlign w:val="center"/>
          </w:tcPr>
          <w:p w14:paraId="65C68F92"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0D7EBFDD" w14:textId="77777777" w:rsidR="006054AA" w:rsidRDefault="001F7667">
            <w:pPr>
              <w:pStyle w:val="P68B1DB1-Normal11"/>
              <w:jc w:val="center"/>
              <w:rPr>
                <w:noProof/>
              </w:rPr>
            </w:pPr>
            <w:r>
              <w:rPr>
                <w:noProof/>
              </w:rPr>
              <w:t>Т4 Г.</w:t>
            </w:r>
          </w:p>
        </w:tc>
        <w:tc>
          <w:tcPr>
            <w:tcW w:w="220" w:type="pct"/>
            <w:shd w:val="clear" w:color="auto" w:fill="C6EFCE"/>
            <w:noWrap/>
            <w:vAlign w:val="center"/>
          </w:tcPr>
          <w:p w14:paraId="5293435F" w14:textId="77777777" w:rsidR="006054AA" w:rsidRDefault="001F7667">
            <w:pPr>
              <w:pStyle w:val="P68B1DB1-Normal11"/>
              <w:jc w:val="center"/>
              <w:rPr>
                <w:noProof/>
              </w:rPr>
            </w:pPr>
            <w:r>
              <w:rPr>
                <w:noProof/>
              </w:rPr>
              <w:t>2021</w:t>
            </w:r>
          </w:p>
        </w:tc>
        <w:tc>
          <w:tcPr>
            <w:tcW w:w="1047" w:type="pct"/>
            <w:shd w:val="clear" w:color="auto" w:fill="C6EFCE"/>
            <w:noWrap/>
            <w:vAlign w:val="center"/>
          </w:tcPr>
          <w:p w14:paraId="768C754A" w14:textId="77777777" w:rsidR="006054AA" w:rsidRDefault="001F7667">
            <w:pPr>
              <w:pStyle w:val="P68B1DB1-Normal11"/>
              <w:rPr>
                <w:noProof/>
              </w:rPr>
            </w:pPr>
            <w:r>
              <w:rPr>
                <w:noProof/>
              </w:rPr>
              <w:t>Инвестиционната политика предвижда 50 % от фонда да бъдат предназначени за мерки за енергийна ефективност.</w:t>
            </w:r>
          </w:p>
          <w:p w14:paraId="181FB2F3" w14:textId="515AB0FF" w:rsidR="006054AA" w:rsidRDefault="001F7667">
            <w:pPr>
              <w:pStyle w:val="P68B1DB1-Normal11"/>
              <w:rPr>
                <w:noProof/>
              </w:rPr>
            </w:pPr>
            <w:r>
              <w:rPr>
                <w:noProof/>
              </w:rPr>
              <w:t>Инвестиционната политика включва критерии за подбор, за да се гарантира спазването на техническите насоки за ненанасяне на значителни вреди (2021/C58/01) на подпомогнатите сделки по тази мярка чрез използване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w:t>
            </w:r>
          </w:p>
          <w:p w14:paraId="1320E3DB" w14:textId="77777777" w:rsidR="006054AA" w:rsidRDefault="006054AA">
            <w:pPr>
              <w:rPr>
                <w:rFonts w:ascii="Arial Narrow" w:hAnsi="Arial Narrow"/>
                <w:noProof/>
                <w:color w:val="006100"/>
                <w:sz w:val="20"/>
              </w:rPr>
            </w:pPr>
          </w:p>
        </w:tc>
      </w:tr>
      <w:tr w:rsidR="006054AA" w14:paraId="00CE7785" w14:textId="77777777">
        <w:trPr>
          <w:trHeight w:val="313"/>
          <w:jc w:val="center"/>
        </w:trPr>
        <w:tc>
          <w:tcPr>
            <w:tcW w:w="377" w:type="pct"/>
            <w:shd w:val="clear" w:color="auto" w:fill="C6EFCE"/>
            <w:noWrap/>
            <w:vAlign w:val="center"/>
          </w:tcPr>
          <w:p w14:paraId="652EFD68" w14:textId="77777777" w:rsidR="006054AA" w:rsidRDefault="001F7667">
            <w:pPr>
              <w:pStyle w:val="P68B1DB1-Normal11"/>
              <w:jc w:val="center"/>
              <w:rPr>
                <w:noProof/>
              </w:rPr>
            </w:pPr>
            <w:r>
              <w:rPr>
                <w:noProof/>
              </w:rPr>
              <w:t>M1C3—25</w:t>
            </w:r>
          </w:p>
        </w:tc>
        <w:tc>
          <w:tcPr>
            <w:tcW w:w="520" w:type="pct"/>
            <w:shd w:val="clear" w:color="auto" w:fill="C6EFCE"/>
            <w:noWrap/>
            <w:vAlign w:val="center"/>
          </w:tcPr>
          <w:p w14:paraId="14B185A4" w14:textId="2AD5AD7A" w:rsidR="006054AA" w:rsidRDefault="001F7667">
            <w:pPr>
              <w:pStyle w:val="P68B1DB1-Normal11"/>
              <w:jc w:val="center"/>
              <w:rPr>
                <w:noProof/>
              </w:rPr>
            </w:pPr>
            <w:r>
              <w:rPr>
                <w:noProof/>
              </w:rPr>
              <w:t>Инвестиция 4.2:  Фондове за конкурентоспособността на туристическите предприятия</w:t>
            </w:r>
          </w:p>
        </w:tc>
        <w:tc>
          <w:tcPr>
            <w:tcW w:w="378" w:type="pct"/>
            <w:shd w:val="clear" w:color="auto" w:fill="C6EFCE"/>
            <w:noWrap/>
            <w:vAlign w:val="center"/>
          </w:tcPr>
          <w:p w14:paraId="7960A098"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tcPr>
          <w:p w14:paraId="1F60DAFE" w14:textId="1855BCD5" w:rsidR="006054AA" w:rsidRDefault="001F7667">
            <w:pPr>
              <w:pStyle w:val="P68B1DB1-Normal11"/>
              <w:jc w:val="center"/>
              <w:rPr>
                <w:noProof/>
              </w:rPr>
            </w:pPr>
            <w:r>
              <w:rPr>
                <w:noProof/>
              </w:rPr>
              <w:t>Инвестиционна политика за Fondo Rotativo</w:t>
            </w:r>
          </w:p>
        </w:tc>
        <w:tc>
          <w:tcPr>
            <w:tcW w:w="520" w:type="pct"/>
            <w:shd w:val="clear" w:color="auto" w:fill="C6EFCE"/>
            <w:noWrap/>
            <w:vAlign w:val="center"/>
          </w:tcPr>
          <w:p w14:paraId="61BDFC31" w14:textId="77777777" w:rsidR="006054AA" w:rsidRDefault="001F7667">
            <w:pPr>
              <w:pStyle w:val="P68B1DB1-Normal11"/>
              <w:jc w:val="center"/>
              <w:rPr>
                <w:noProof/>
              </w:rPr>
            </w:pPr>
            <w:r>
              <w:rPr>
                <w:noProof/>
              </w:rPr>
              <w:t>Приемане на инвестиционната политика</w:t>
            </w:r>
          </w:p>
        </w:tc>
        <w:tc>
          <w:tcPr>
            <w:tcW w:w="331" w:type="pct"/>
            <w:shd w:val="clear" w:color="auto" w:fill="C6EFCE"/>
            <w:noWrap/>
            <w:vAlign w:val="center"/>
          </w:tcPr>
          <w:p w14:paraId="5080CD4D"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7850D338" w14:textId="77777777" w:rsidR="006054AA" w:rsidRDefault="001F7667">
            <w:pPr>
              <w:pStyle w:val="P68B1DB1-Normal11"/>
              <w:jc w:val="center"/>
              <w:rPr>
                <w:noProof/>
              </w:rPr>
            </w:pPr>
            <w:r>
              <w:rPr>
                <w:noProof/>
              </w:rPr>
              <w:t>НЯМА</w:t>
            </w:r>
          </w:p>
        </w:tc>
        <w:tc>
          <w:tcPr>
            <w:tcW w:w="424" w:type="pct"/>
            <w:shd w:val="clear" w:color="auto" w:fill="C6EFCE"/>
            <w:noWrap/>
            <w:vAlign w:val="center"/>
          </w:tcPr>
          <w:p w14:paraId="4FC3F9CA" w14:textId="77777777" w:rsidR="006054AA" w:rsidRDefault="001F7667">
            <w:pPr>
              <w:pStyle w:val="P68B1DB1-Normal11"/>
              <w:jc w:val="center"/>
              <w:rPr>
                <w:noProof/>
              </w:rPr>
            </w:pPr>
            <w:r>
              <w:rPr>
                <w:noProof/>
              </w:rPr>
              <w:t>НЯМА</w:t>
            </w:r>
          </w:p>
        </w:tc>
        <w:tc>
          <w:tcPr>
            <w:tcW w:w="332" w:type="pct"/>
            <w:shd w:val="clear" w:color="auto" w:fill="C6EFCE"/>
            <w:noWrap/>
            <w:vAlign w:val="center"/>
          </w:tcPr>
          <w:p w14:paraId="2C528A55" w14:textId="77777777" w:rsidR="006054AA" w:rsidRDefault="001F7667">
            <w:pPr>
              <w:pStyle w:val="P68B1DB1-Normal11"/>
              <w:jc w:val="center"/>
              <w:rPr>
                <w:noProof/>
              </w:rPr>
            </w:pPr>
            <w:r>
              <w:rPr>
                <w:noProof/>
              </w:rPr>
              <w:t>Т4 Г.</w:t>
            </w:r>
          </w:p>
        </w:tc>
        <w:tc>
          <w:tcPr>
            <w:tcW w:w="220" w:type="pct"/>
            <w:shd w:val="clear" w:color="auto" w:fill="C6EFCE"/>
            <w:noWrap/>
            <w:vAlign w:val="center"/>
          </w:tcPr>
          <w:p w14:paraId="7591B172" w14:textId="77777777" w:rsidR="006054AA" w:rsidRDefault="001F7667">
            <w:pPr>
              <w:pStyle w:val="P68B1DB1-Normal11"/>
              <w:jc w:val="center"/>
              <w:rPr>
                <w:noProof/>
              </w:rPr>
            </w:pPr>
            <w:r>
              <w:rPr>
                <w:noProof/>
              </w:rPr>
              <w:t>2021</w:t>
            </w:r>
          </w:p>
        </w:tc>
        <w:tc>
          <w:tcPr>
            <w:tcW w:w="1047" w:type="pct"/>
            <w:shd w:val="clear" w:color="auto" w:fill="C6EFCE"/>
            <w:noWrap/>
            <w:vAlign w:val="center"/>
          </w:tcPr>
          <w:p w14:paraId="7151690F" w14:textId="77777777" w:rsidR="006054AA" w:rsidRDefault="001F7667">
            <w:pPr>
              <w:pStyle w:val="P68B1DB1-Normal11"/>
              <w:rPr>
                <w:noProof/>
              </w:rPr>
            </w:pPr>
            <w:r>
              <w:rPr>
                <w:noProof/>
              </w:rPr>
              <w:t>Инвестиционната политика предвижда 50 % от фонда да бъдат предназначени за мерки за енергийна ефективност.</w:t>
            </w:r>
          </w:p>
          <w:p w14:paraId="5BF5D3E2" w14:textId="02E5A357" w:rsidR="006054AA" w:rsidRDefault="001F7667">
            <w:pPr>
              <w:pStyle w:val="P68B1DB1-Normal11"/>
              <w:rPr>
                <w:noProof/>
              </w:rPr>
            </w:pPr>
            <w:r>
              <w:rPr>
                <w:noProof/>
              </w:rPr>
              <w:t>Инвестиционната политика включва критерии за подбор, за да се гарантира спазването на техническите насоки за ненанасяне на значителни вреди (2021/C58/01) на подпомогнатите сделки по тази мярка чрез използване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w:t>
            </w:r>
          </w:p>
        </w:tc>
      </w:tr>
      <w:tr w:rsidR="006054AA" w14:paraId="1F7D4ADF" w14:textId="77777777">
        <w:trPr>
          <w:trHeight w:val="313"/>
          <w:jc w:val="center"/>
        </w:trPr>
        <w:tc>
          <w:tcPr>
            <w:tcW w:w="377" w:type="pct"/>
            <w:shd w:val="clear" w:color="auto" w:fill="C6EFCE"/>
            <w:noWrap/>
            <w:vAlign w:val="center"/>
            <w:hideMark/>
          </w:tcPr>
          <w:p w14:paraId="0BCBEACF" w14:textId="77777777" w:rsidR="006054AA" w:rsidRDefault="001F7667">
            <w:pPr>
              <w:pStyle w:val="P68B1DB1-Normal11"/>
              <w:jc w:val="center"/>
              <w:rPr>
                <w:noProof/>
              </w:rPr>
            </w:pPr>
            <w:r>
              <w:rPr>
                <w:noProof/>
              </w:rPr>
              <w:t>M1C3—26</w:t>
            </w:r>
          </w:p>
        </w:tc>
        <w:tc>
          <w:tcPr>
            <w:tcW w:w="520" w:type="pct"/>
            <w:shd w:val="clear" w:color="auto" w:fill="C6EFCE"/>
            <w:noWrap/>
            <w:vAlign w:val="center"/>
            <w:hideMark/>
          </w:tcPr>
          <w:p w14:paraId="3F6FF5A2" w14:textId="5A6CE012" w:rsidR="006054AA" w:rsidRDefault="001F7667">
            <w:pPr>
              <w:pStyle w:val="P68B1DB1-Normal11"/>
              <w:jc w:val="center"/>
              <w:rPr>
                <w:noProof/>
              </w:rPr>
            </w:pPr>
            <w:r>
              <w:rPr>
                <w:noProof/>
              </w:rPr>
              <w:t>Инвестиция 4.2:  Фондове за конкурентоспособността на туристическите предприятия</w:t>
            </w:r>
          </w:p>
        </w:tc>
        <w:tc>
          <w:tcPr>
            <w:tcW w:w="378" w:type="pct"/>
            <w:shd w:val="clear" w:color="auto" w:fill="C6EFCE"/>
            <w:noWrap/>
            <w:vAlign w:val="center"/>
            <w:hideMark/>
          </w:tcPr>
          <w:p w14:paraId="452F0DAF"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hideMark/>
          </w:tcPr>
          <w:p w14:paraId="392CD781" w14:textId="77777777" w:rsidR="006054AA" w:rsidRDefault="001F7667">
            <w:pPr>
              <w:pStyle w:val="P68B1DB1-Normal11"/>
              <w:jc w:val="center"/>
              <w:rPr>
                <w:noProof/>
              </w:rPr>
            </w:pPr>
            <w:r>
              <w:rPr>
                <w:noProof/>
              </w:rPr>
              <w:t>Влизане в сила на постановлението за прилагане на данъчния кредит за преустройство на съоръженията за настаняване.</w:t>
            </w:r>
          </w:p>
        </w:tc>
        <w:tc>
          <w:tcPr>
            <w:tcW w:w="520" w:type="pct"/>
            <w:shd w:val="clear" w:color="auto" w:fill="C6EFCE"/>
            <w:noWrap/>
            <w:vAlign w:val="center"/>
            <w:hideMark/>
          </w:tcPr>
          <w:p w14:paraId="08543D0B" w14:textId="77777777" w:rsidR="006054AA" w:rsidRDefault="001F7667">
            <w:pPr>
              <w:pStyle w:val="P68B1DB1-Normal11"/>
              <w:jc w:val="center"/>
              <w:rPr>
                <w:noProof/>
              </w:rPr>
            </w:pPr>
            <w:r>
              <w:rPr>
                <w:noProof/>
              </w:rPr>
              <w:t>Законова разпоредба, указваща влизането в сила на Закона за бюджета, позволяваща данъчните кредити, и разпоредба в съответните актове за изпълнение, указваща влизането им в сила</w:t>
            </w:r>
          </w:p>
        </w:tc>
        <w:tc>
          <w:tcPr>
            <w:tcW w:w="331" w:type="pct"/>
            <w:shd w:val="clear" w:color="auto" w:fill="C6EFCE"/>
            <w:noWrap/>
            <w:vAlign w:val="center"/>
            <w:hideMark/>
          </w:tcPr>
          <w:p w14:paraId="22B685EC" w14:textId="77777777" w:rsidR="006054AA" w:rsidRDefault="001F7667">
            <w:pPr>
              <w:pStyle w:val="P68B1DB1-Normal11"/>
              <w:jc w:val="center"/>
              <w:rPr>
                <w:noProof/>
              </w:rPr>
            </w:pPr>
            <w:r>
              <w:rPr>
                <w:noProof/>
              </w:rPr>
              <w:t>НЯМА</w:t>
            </w:r>
          </w:p>
        </w:tc>
        <w:tc>
          <w:tcPr>
            <w:tcW w:w="332" w:type="pct"/>
            <w:shd w:val="clear" w:color="auto" w:fill="C6EFCE"/>
            <w:noWrap/>
            <w:vAlign w:val="center"/>
            <w:hideMark/>
          </w:tcPr>
          <w:p w14:paraId="4F3C67AE" w14:textId="77777777" w:rsidR="006054AA" w:rsidRDefault="001F7667">
            <w:pPr>
              <w:pStyle w:val="P68B1DB1-Normal11"/>
              <w:jc w:val="center"/>
              <w:rPr>
                <w:noProof/>
              </w:rPr>
            </w:pPr>
            <w:r>
              <w:rPr>
                <w:noProof/>
              </w:rPr>
              <w:t>НЯМА</w:t>
            </w:r>
          </w:p>
        </w:tc>
        <w:tc>
          <w:tcPr>
            <w:tcW w:w="424" w:type="pct"/>
            <w:shd w:val="clear" w:color="auto" w:fill="C6EFCE"/>
            <w:noWrap/>
            <w:vAlign w:val="center"/>
            <w:hideMark/>
          </w:tcPr>
          <w:p w14:paraId="5B6259D9" w14:textId="77777777" w:rsidR="006054AA" w:rsidRDefault="001F7667">
            <w:pPr>
              <w:pStyle w:val="P68B1DB1-Normal11"/>
              <w:jc w:val="center"/>
              <w:rPr>
                <w:noProof/>
              </w:rPr>
            </w:pPr>
            <w:r>
              <w:rPr>
                <w:noProof/>
              </w:rPr>
              <w:t>НЯМА</w:t>
            </w:r>
          </w:p>
        </w:tc>
        <w:tc>
          <w:tcPr>
            <w:tcW w:w="332" w:type="pct"/>
            <w:shd w:val="clear" w:color="auto" w:fill="C6EFCE"/>
            <w:noWrap/>
            <w:vAlign w:val="center"/>
            <w:hideMark/>
          </w:tcPr>
          <w:p w14:paraId="671DB94A" w14:textId="77777777" w:rsidR="006054AA" w:rsidRDefault="001F7667">
            <w:pPr>
              <w:pStyle w:val="P68B1DB1-Normal11"/>
              <w:jc w:val="center"/>
              <w:rPr>
                <w:noProof/>
              </w:rPr>
            </w:pPr>
            <w:r>
              <w:rPr>
                <w:noProof/>
              </w:rPr>
              <w:t>Т4 Г.</w:t>
            </w:r>
          </w:p>
        </w:tc>
        <w:tc>
          <w:tcPr>
            <w:tcW w:w="220" w:type="pct"/>
            <w:shd w:val="clear" w:color="auto" w:fill="C6EFCE"/>
            <w:noWrap/>
            <w:vAlign w:val="center"/>
            <w:hideMark/>
          </w:tcPr>
          <w:p w14:paraId="7A5A3574" w14:textId="77777777" w:rsidR="006054AA" w:rsidRDefault="001F7667">
            <w:pPr>
              <w:pStyle w:val="P68B1DB1-Normal11"/>
              <w:jc w:val="center"/>
              <w:rPr>
                <w:noProof/>
              </w:rPr>
            </w:pPr>
            <w:r>
              <w:rPr>
                <w:noProof/>
              </w:rPr>
              <w:t>2021</w:t>
            </w:r>
          </w:p>
        </w:tc>
        <w:tc>
          <w:tcPr>
            <w:tcW w:w="1047" w:type="pct"/>
            <w:shd w:val="clear" w:color="auto" w:fill="C6EFCE"/>
            <w:noWrap/>
            <w:vAlign w:val="center"/>
            <w:hideMark/>
          </w:tcPr>
          <w:p w14:paraId="71C1A0B8" w14:textId="77777777" w:rsidR="006054AA" w:rsidRDefault="001F7667">
            <w:pPr>
              <w:pStyle w:val="P68B1DB1-Normal11"/>
              <w:rPr>
                <w:noProof/>
              </w:rPr>
            </w:pPr>
            <w:r>
              <w:rPr>
                <w:noProof/>
              </w:rPr>
              <w:t>Референтното законодателство за предоставянето на данъчен кредит е Закон № 83 от 31 май 2014 г., с който се въвежда признаването на данъчен кредит за интервенции за възстановяване на обекти за туристическо настаняване.</w:t>
            </w:r>
          </w:p>
          <w:p w14:paraId="2C3F9D2B" w14:textId="77777777" w:rsidR="006054AA" w:rsidRDefault="001F7667">
            <w:pPr>
              <w:pStyle w:val="P68B1DB1-Normal11"/>
              <w:rPr>
                <w:noProof/>
              </w:rPr>
            </w:pPr>
            <w:r>
              <w:rPr>
                <w:noProof/>
              </w:rPr>
              <w:t>Критерии за подбор/допустимост за съответствие с техническите насоки за принципа за ненанасяне на значителни вреди (2021/C58/01) на подпомаганите активи/дейности и бенефициери, изискващи поне използването на списък за изключване и спазване на съответните достижения на правото на ЕС и национално законодателство в областта на околната среда на подпомаганите активи/дейности и бенефициери, както и осигуряване на съответствие.</w:t>
            </w:r>
          </w:p>
        </w:tc>
      </w:tr>
      <w:tr w:rsidR="006054AA" w14:paraId="553F6BD3" w14:textId="77777777">
        <w:trPr>
          <w:trHeight w:val="313"/>
          <w:jc w:val="center"/>
        </w:trPr>
        <w:tc>
          <w:tcPr>
            <w:tcW w:w="377" w:type="pct"/>
            <w:shd w:val="clear" w:color="auto" w:fill="C6EFCE"/>
            <w:noWrap/>
            <w:vAlign w:val="center"/>
            <w:hideMark/>
          </w:tcPr>
          <w:p w14:paraId="24AE1518" w14:textId="77777777" w:rsidR="006054AA" w:rsidRDefault="001F7667">
            <w:pPr>
              <w:pStyle w:val="P68B1DB1-Normal11"/>
              <w:jc w:val="center"/>
              <w:rPr>
                <w:noProof/>
              </w:rPr>
            </w:pPr>
            <w:r>
              <w:rPr>
                <w:noProof/>
              </w:rPr>
              <w:t>M1C3—27</w:t>
            </w:r>
          </w:p>
        </w:tc>
        <w:tc>
          <w:tcPr>
            <w:tcW w:w="520" w:type="pct"/>
            <w:shd w:val="clear" w:color="auto" w:fill="C6EFCE"/>
            <w:noWrap/>
            <w:vAlign w:val="center"/>
            <w:hideMark/>
          </w:tcPr>
          <w:p w14:paraId="456C0984" w14:textId="77777777" w:rsidR="006054AA" w:rsidRDefault="001F7667">
            <w:pPr>
              <w:pStyle w:val="P68B1DB1-Normal11"/>
              <w:jc w:val="center"/>
              <w:rPr>
                <w:noProof/>
              </w:rPr>
            </w:pPr>
            <w:r>
              <w:rPr>
                <w:noProof/>
              </w:rPr>
              <w:t>Инвестиции — 4.3 Caput Mundi-Next Generation EU за големи туристически прояви</w:t>
            </w:r>
          </w:p>
        </w:tc>
        <w:tc>
          <w:tcPr>
            <w:tcW w:w="378" w:type="pct"/>
            <w:shd w:val="clear" w:color="auto" w:fill="C6EFCE"/>
            <w:noWrap/>
            <w:vAlign w:val="center"/>
            <w:hideMark/>
          </w:tcPr>
          <w:p w14:paraId="5CB5F7F3"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4BF60DCD" w14:textId="77777777" w:rsidR="006054AA" w:rsidRDefault="001F7667">
            <w:pPr>
              <w:pStyle w:val="P68B1DB1-Normal11"/>
              <w:jc w:val="center"/>
              <w:rPr>
                <w:noProof/>
              </w:rPr>
            </w:pPr>
            <w:r>
              <w:rPr>
                <w:noProof/>
              </w:rPr>
              <w:t>Брой на</w:t>
            </w:r>
          </w:p>
          <w:p w14:paraId="729E13FF" w14:textId="453C95C3" w:rsidR="006054AA" w:rsidRDefault="001F7667">
            <w:pPr>
              <w:pStyle w:val="P68B1DB1-Normal11"/>
              <w:jc w:val="center"/>
              <w:rPr>
                <w:noProof/>
              </w:rPr>
            </w:pPr>
            <w:r>
              <w:rPr>
                <w:noProof/>
              </w:rPr>
              <w:t>културни и туристически обекти, чиято преквалификация достига средно 50 % от Stato Avanzamento Lavori (SAL) (първа партида)</w:t>
            </w:r>
          </w:p>
        </w:tc>
        <w:tc>
          <w:tcPr>
            <w:tcW w:w="520" w:type="pct"/>
            <w:shd w:val="clear" w:color="auto" w:fill="C6EFCE"/>
            <w:noWrap/>
            <w:vAlign w:val="center"/>
            <w:hideMark/>
          </w:tcPr>
          <w:p w14:paraId="35720EEE"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73B38C83"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4A226571"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249A709A" w14:textId="77777777" w:rsidR="006054AA" w:rsidRDefault="001F7667">
            <w:pPr>
              <w:pStyle w:val="P68B1DB1-Normal11"/>
              <w:jc w:val="center"/>
              <w:rPr>
                <w:noProof/>
              </w:rPr>
            </w:pPr>
            <w:r>
              <w:rPr>
                <w:noProof/>
              </w:rPr>
              <w:t>100</w:t>
            </w:r>
          </w:p>
        </w:tc>
        <w:tc>
          <w:tcPr>
            <w:tcW w:w="332" w:type="pct"/>
            <w:shd w:val="clear" w:color="auto" w:fill="C6EFCE"/>
            <w:noWrap/>
            <w:vAlign w:val="center"/>
            <w:hideMark/>
          </w:tcPr>
          <w:p w14:paraId="53DE8189" w14:textId="77777777" w:rsidR="006054AA" w:rsidRDefault="001F7667">
            <w:pPr>
              <w:pStyle w:val="P68B1DB1-Normal11"/>
              <w:jc w:val="center"/>
              <w:rPr>
                <w:noProof/>
              </w:rPr>
            </w:pPr>
            <w:r>
              <w:rPr>
                <w:noProof/>
              </w:rPr>
              <w:t>Т4 Г.</w:t>
            </w:r>
          </w:p>
        </w:tc>
        <w:tc>
          <w:tcPr>
            <w:tcW w:w="220" w:type="pct"/>
            <w:shd w:val="clear" w:color="auto" w:fill="C6EFCE"/>
            <w:noWrap/>
            <w:vAlign w:val="center"/>
            <w:hideMark/>
          </w:tcPr>
          <w:p w14:paraId="1A1C4A73" w14:textId="77777777" w:rsidR="006054AA" w:rsidRDefault="001F7667">
            <w:pPr>
              <w:pStyle w:val="P68B1DB1-Normal11"/>
              <w:jc w:val="center"/>
              <w:rPr>
                <w:noProof/>
              </w:rPr>
            </w:pPr>
            <w:r>
              <w:rPr>
                <w:noProof/>
              </w:rPr>
              <w:t>2024</w:t>
            </w:r>
          </w:p>
        </w:tc>
        <w:tc>
          <w:tcPr>
            <w:tcW w:w="1047" w:type="pct"/>
            <w:shd w:val="clear" w:color="auto" w:fill="C6EFCE"/>
            <w:noWrap/>
            <w:vAlign w:val="center"/>
            <w:hideMark/>
          </w:tcPr>
          <w:p w14:paraId="4A60E3E9" w14:textId="77777777" w:rsidR="006054AA" w:rsidRDefault="001F7667">
            <w:pPr>
              <w:pStyle w:val="P68B1DB1-Normal11"/>
              <w:rPr>
                <w:noProof/>
              </w:rPr>
            </w:pPr>
            <w:r>
              <w:rPr>
                <w:noProof/>
              </w:rPr>
              <w:t>Инвестицията включва интервенции, обхващащи:</w:t>
            </w:r>
          </w:p>
          <w:p w14:paraId="02143C16" w14:textId="77777777" w:rsidR="006054AA" w:rsidRDefault="001F7667">
            <w:pPr>
              <w:pStyle w:val="P68B1DB1-ListParagraph13"/>
              <w:numPr>
                <w:ilvl w:val="0"/>
                <w:numId w:val="86"/>
              </w:numPr>
              <w:jc w:val="left"/>
              <w:rPr>
                <w:noProof/>
              </w:rPr>
            </w:pPr>
            <w:r>
              <w:rPr>
                <w:noProof/>
              </w:rPr>
              <w:t xml:space="preserve"> възстановяването и възстановяването на културното и градското наследство и комплекси с висока историческа архитектурна стойност на град Рим за инвестиционния бюджетен ред „Романското културно наследство за следващото поколение на ЕС“;  </w:t>
            </w:r>
          </w:p>
          <w:p w14:paraId="5D51D4AF" w14:textId="0DBBE65C" w:rsidR="006054AA" w:rsidRDefault="001F7667">
            <w:pPr>
              <w:pStyle w:val="P68B1DB1-ListParagraph13"/>
              <w:numPr>
                <w:ilvl w:val="0"/>
                <w:numId w:val="86"/>
              </w:numPr>
              <w:tabs>
                <w:tab w:val="left" w:pos="1340"/>
                <w:tab w:val="left" w:pos="1341"/>
              </w:tabs>
              <w:ind w:right="-7"/>
              <w:jc w:val="left"/>
              <w:rPr>
                <w:noProof/>
              </w:rPr>
            </w:pPr>
            <w:r>
              <w:rPr>
                <w:noProof/>
              </w:rPr>
              <w:t>подобряване, безопасност, антисеизмична консолидация, възстановяване на места и сгради от историческо значение и археологически пътища за инвестиционната линия „Жубилейски пътеки“;</w:t>
            </w:r>
          </w:p>
          <w:p w14:paraId="27591C5D" w14:textId="77777777" w:rsidR="006054AA" w:rsidRDefault="001F7667">
            <w:pPr>
              <w:pStyle w:val="P68B1DB1-ListParagraph13"/>
              <w:numPr>
                <w:ilvl w:val="0"/>
                <w:numId w:val="86"/>
              </w:numPr>
              <w:tabs>
                <w:tab w:val="left" w:pos="1340"/>
                <w:tab w:val="left" w:pos="1341"/>
              </w:tabs>
              <w:ind w:right="-7"/>
              <w:jc w:val="left"/>
              <w:rPr>
                <w:noProof/>
              </w:rPr>
            </w:pPr>
            <w:r>
              <w:rPr>
                <w:noProof/>
              </w:rPr>
              <w:t>преустройство на обекти в периферните райони за инвестиционен бюджетен ред „#LaCittàCondivisa“;</w:t>
            </w:r>
          </w:p>
          <w:p w14:paraId="20A1DDA6" w14:textId="77777777" w:rsidR="006054AA" w:rsidRDefault="001F7667">
            <w:pPr>
              <w:pStyle w:val="P68B1DB1-ListParagraph13"/>
              <w:numPr>
                <w:ilvl w:val="0"/>
                <w:numId w:val="86"/>
              </w:numPr>
              <w:tabs>
                <w:tab w:val="left" w:pos="1340"/>
                <w:tab w:val="left" w:pos="1341"/>
              </w:tabs>
              <w:ind w:right="-7"/>
              <w:jc w:val="left"/>
              <w:rPr>
                <w:noProof/>
              </w:rPr>
            </w:pPr>
            <w:r>
              <w:rPr>
                <w:noProof/>
              </w:rPr>
              <w:t>интервенции в паркове, исторически градини, вили и фонтани за инвестиционна линия № #Mitingodiverde;</w:t>
            </w:r>
          </w:p>
          <w:p w14:paraId="7CC0F62D" w14:textId="77777777" w:rsidR="006054AA" w:rsidRDefault="001F7667">
            <w:pPr>
              <w:pStyle w:val="P68B1DB1-ListParagraph13"/>
              <w:numPr>
                <w:ilvl w:val="0"/>
                <w:numId w:val="86"/>
              </w:numPr>
              <w:tabs>
                <w:tab w:val="left" w:pos="1340"/>
                <w:tab w:val="left" w:pos="1341"/>
              </w:tabs>
              <w:ind w:right="-7"/>
              <w:jc w:val="left"/>
              <w:rPr>
                <w:noProof/>
              </w:rPr>
            </w:pPr>
            <w:r>
              <w:rPr>
                <w:noProof/>
              </w:rPr>
              <w:t>цифровизацията на културните услуги и разработването на приложения за туристи или инвестиционен бюджетен ред № #Roma 4.0;</w:t>
            </w:r>
          </w:p>
          <w:p w14:paraId="340C41A7" w14:textId="1E54446B" w:rsidR="006054AA" w:rsidRDefault="001F7667">
            <w:pPr>
              <w:pStyle w:val="P68B1DB1-ListParagraph13"/>
              <w:numPr>
                <w:ilvl w:val="0"/>
                <w:numId w:val="86"/>
              </w:numPr>
              <w:tabs>
                <w:tab w:val="left" w:pos="1340"/>
                <w:tab w:val="left" w:pos="1341"/>
              </w:tabs>
              <w:ind w:right="-7"/>
              <w:jc w:val="left"/>
              <w:rPr>
                <w:noProof/>
              </w:rPr>
            </w:pPr>
            <w:r>
              <w:rPr>
                <w:noProof/>
              </w:rPr>
              <w:t>Интервенции за увеличаване на предлагането на културни продукти в периферията за социална интеграция за инвестиционен бюджетен ред № #Amanotesa.</w:t>
            </w:r>
          </w:p>
        </w:tc>
      </w:tr>
      <w:tr w:rsidR="006054AA" w14:paraId="70BA11F3" w14:textId="77777777">
        <w:trPr>
          <w:trHeight w:val="313"/>
          <w:jc w:val="center"/>
        </w:trPr>
        <w:tc>
          <w:tcPr>
            <w:tcW w:w="377" w:type="pct"/>
            <w:shd w:val="clear" w:color="auto" w:fill="C6EFCE"/>
            <w:noWrap/>
            <w:vAlign w:val="center"/>
            <w:hideMark/>
          </w:tcPr>
          <w:p w14:paraId="7D18546A" w14:textId="77777777" w:rsidR="006054AA" w:rsidRDefault="001F7667">
            <w:pPr>
              <w:pStyle w:val="P68B1DB1-Normal11"/>
              <w:jc w:val="center"/>
              <w:rPr>
                <w:noProof/>
              </w:rPr>
            </w:pPr>
            <w:r>
              <w:rPr>
                <w:noProof/>
              </w:rPr>
              <w:t>M1C3—28</w:t>
            </w:r>
          </w:p>
        </w:tc>
        <w:tc>
          <w:tcPr>
            <w:tcW w:w="520" w:type="pct"/>
            <w:shd w:val="clear" w:color="auto" w:fill="C6EFCE"/>
            <w:noWrap/>
            <w:vAlign w:val="center"/>
            <w:hideMark/>
          </w:tcPr>
          <w:p w14:paraId="1A444F5D" w14:textId="77777777" w:rsidR="006054AA" w:rsidRDefault="001F7667">
            <w:pPr>
              <w:pStyle w:val="P68B1DB1-Normal11"/>
              <w:jc w:val="center"/>
              <w:rPr>
                <w:noProof/>
              </w:rPr>
            </w:pPr>
            <w:r>
              <w:rPr>
                <w:noProof/>
              </w:rPr>
              <w:t>Инвестиция 4.2:  Фондове за конкурентоспособността на туристическите предприятия</w:t>
            </w:r>
          </w:p>
        </w:tc>
        <w:tc>
          <w:tcPr>
            <w:tcW w:w="378" w:type="pct"/>
            <w:shd w:val="clear" w:color="auto" w:fill="C6EFCE"/>
            <w:noWrap/>
            <w:vAlign w:val="center"/>
            <w:hideMark/>
          </w:tcPr>
          <w:p w14:paraId="49A5689E"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570E0496" w14:textId="11E36953" w:rsidR="006054AA" w:rsidRDefault="001F7667">
            <w:pPr>
              <w:pStyle w:val="P68B1DB1-Normal11"/>
              <w:jc w:val="center"/>
              <w:rPr>
                <w:noProof/>
              </w:rPr>
            </w:pPr>
            <w:r>
              <w:rPr>
                <w:noProof/>
              </w:rPr>
              <w:t>Брой на туристическите предприятия, подпомагани от данъчния кредит за инфраструктура и/или услуги;</w:t>
            </w:r>
          </w:p>
        </w:tc>
        <w:tc>
          <w:tcPr>
            <w:tcW w:w="520" w:type="pct"/>
            <w:shd w:val="clear" w:color="auto" w:fill="C6EFCE"/>
            <w:noWrap/>
            <w:vAlign w:val="center"/>
            <w:hideMark/>
          </w:tcPr>
          <w:p w14:paraId="6530ECFB"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21003486"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1FEBBC44"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31A25066" w14:textId="2830CED0" w:rsidR="006054AA" w:rsidRDefault="001F7667">
            <w:pPr>
              <w:pStyle w:val="P68B1DB1-Normal11"/>
              <w:jc w:val="center"/>
              <w:rPr>
                <w:noProof/>
              </w:rPr>
            </w:pPr>
            <w:r>
              <w:rPr>
                <w:noProof/>
              </w:rPr>
              <w:t>3 500</w:t>
            </w:r>
          </w:p>
        </w:tc>
        <w:tc>
          <w:tcPr>
            <w:tcW w:w="332" w:type="pct"/>
            <w:shd w:val="clear" w:color="auto" w:fill="C6EFCE"/>
            <w:noWrap/>
            <w:vAlign w:val="center"/>
            <w:hideMark/>
          </w:tcPr>
          <w:p w14:paraId="3AF32EC6" w14:textId="77777777" w:rsidR="006054AA" w:rsidRDefault="001F7667">
            <w:pPr>
              <w:pStyle w:val="P68B1DB1-Normal11"/>
              <w:jc w:val="center"/>
              <w:rPr>
                <w:noProof/>
              </w:rPr>
            </w:pPr>
            <w:r>
              <w:rPr>
                <w:noProof/>
              </w:rPr>
              <w:t>Т4 Г.</w:t>
            </w:r>
          </w:p>
        </w:tc>
        <w:tc>
          <w:tcPr>
            <w:tcW w:w="220" w:type="pct"/>
            <w:shd w:val="clear" w:color="auto" w:fill="C6EFCE"/>
            <w:noWrap/>
            <w:vAlign w:val="center"/>
            <w:hideMark/>
          </w:tcPr>
          <w:p w14:paraId="1E5633FB" w14:textId="77777777" w:rsidR="006054AA" w:rsidRDefault="001F7667">
            <w:pPr>
              <w:pStyle w:val="P68B1DB1-Normal11"/>
              <w:jc w:val="center"/>
              <w:rPr>
                <w:noProof/>
              </w:rPr>
            </w:pPr>
            <w:r>
              <w:rPr>
                <w:noProof/>
              </w:rPr>
              <w:t>2025</w:t>
            </w:r>
          </w:p>
        </w:tc>
        <w:tc>
          <w:tcPr>
            <w:tcW w:w="1047" w:type="pct"/>
            <w:shd w:val="clear" w:color="auto" w:fill="C6EFCE"/>
            <w:noWrap/>
            <w:vAlign w:val="center"/>
            <w:hideMark/>
          </w:tcPr>
          <w:p w14:paraId="6C14D3B0" w14:textId="3EB7F92D" w:rsidR="006054AA" w:rsidRDefault="001F7667">
            <w:pPr>
              <w:pStyle w:val="P68B1DB1-Normal12"/>
              <w:rPr>
                <w:rFonts w:ascii="Arial Narrow" w:hAnsi="Arial Narrow"/>
                <w:noProof/>
              </w:rPr>
            </w:pPr>
            <w:r>
              <w:rPr>
                <w:rFonts w:ascii="Arial Narrow" w:hAnsi="Arial Narrow"/>
                <w:noProof/>
              </w:rPr>
              <w:t>Най-малко 3</w:t>
            </w:r>
            <w:r>
              <w:rPr>
                <w:noProof/>
              </w:rPr>
              <w:t xml:space="preserve"> </w:t>
            </w:r>
            <w:r>
              <w:rPr>
                <w:rFonts w:ascii="Arial Narrow" w:hAnsi="Arial Narrow"/>
                <w:noProof/>
              </w:rPr>
              <w:t>500 туристически предприятия, подпомагани от данъчния кредит за инфраструктура и/или услуги;</w:t>
            </w:r>
          </w:p>
          <w:p w14:paraId="7609E6EB" w14:textId="77777777" w:rsidR="006054AA" w:rsidRDefault="001F7667">
            <w:pPr>
              <w:pStyle w:val="P68B1DB1-Normal11"/>
              <w:rPr>
                <w:noProof/>
              </w:rPr>
            </w:pPr>
            <w:r>
              <w:rPr>
                <w:noProof/>
              </w:rPr>
              <w:t xml:space="preserve">Подкрепата, предоставяна чрез данъчния кредит, повишава качеството на туристическото хотелиерство и ресторантьорство чрез: </w:t>
            </w:r>
          </w:p>
          <w:p w14:paraId="74ECB96F" w14:textId="77777777" w:rsidR="006054AA" w:rsidRDefault="001F7667">
            <w:pPr>
              <w:pStyle w:val="P68B1DB1-ListParagraph13"/>
              <w:numPr>
                <w:ilvl w:val="0"/>
                <w:numId w:val="88"/>
              </w:numPr>
              <w:ind w:left="310" w:hanging="310"/>
              <w:jc w:val="left"/>
              <w:rPr>
                <w:noProof/>
              </w:rPr>
            </w:pPr>
            <w:r>
              <w:rPr>
                <w:noProof/>
              </w:rPr>
              <w:t>инвестиране за екологична устойчивост (възобновяеми източници, които са по-малко енергоемки)</w:t>
            </w:r>
          </w:p>
          <w:p w14:paraId="3892BF1A" w14:textId="77777777" w:rsidR="006054AA" w:rsidRDefault="001F7667">
            <w:pPr>
              <w:pStyle w:val="P68B1DB1-ListParagraph13"/>
              <w:numPr>
                <w:ilvl w:val="0"/>
                <w:numId w:val="88"/>
              </w:numPr>
              <w:ind w:left="310" w:hanging="310"/>
              <w:jc w:val="left"/>
              <w:rPr>
                <w:noProof/>
              </w:rPr>
            </w:pPr>
            <w:r>
              <w:rPr>
                <w:noProof/>
              </w:rPr>
              <w:t>преработване и повишаване на стандартите за качество на италианските съоръжения за настаняване </w:t>
            </w:r>
          </w:p>
        </w:tc>
      </w:tr>
      <w:tr w:rsidR="006054AA" w14:paraId="5BD8D19E" w14:textId="77777777">
        <w:trPr>
          <w:trHeight w:val="313"/>
          <w:jc w:val="center"/>
        </w:trPr>
        <w:tc>
          <w:tcPr>
            <w:tcW w:w="377" w:type="pct"/>
            <w:shd w:val="clear" w:color="auto" w:fill="C6EFCE"/>
            <w:noWrap/>
            <w:vAlign w:val="center"/>
            <w:hideMark/>
          </w:tcPr>
          <w:p w14:paraId="2D4F7863" w14:textId="77777777" w:rsidR="006054AA" w:rsidRDefault="001F7667">
            <w:pPr>
              <w:pStyle w:val="P68B1DB1-Normal11"/>
              <w:jc w:val="center"/>
              <w:rPr>
                <w:noProof/>
              </w:rPr>
            </w:pPr>
            <w:r>
              <w:rPr>
                <w:noProof/>
              </w:rPr>
              <w:t>M1C3—29</w:t>
            </w:r>
          </w:p>
        </w:tc>
        <w:tc>
          <w:tcPr>
            <w:tcW w:w="520" w:type="pct"/>
            <w:shd w:val="clear" w:color="auto" w:fill="C6EFCE"/>
            <w:noWrap/>
            <w:vAlign w:val="center"/>
            <w:hideMark/>
          </w:tcPr>
          <w:p w14:paraId="2CBE44DB" w14:textId="3B9DADD2" w:rsidR="006054AA" w:rsidRDefault="001F7667">
            <w:pPr>
              <w:pStyle w:val="P68B1DB1-Normal11"/>
              <w:jc w:val="center"/>
              <w:rPr>
                <w:noProof/>
              </w:rPr>
            </w:pPr>
            <w:r>
              <w:rPr>
                <w:noProof/>
              </w:rPr>
              <w:t>Инвестиция 4.2:  Фондове за конкурентоспособността на туристическите предприятия</w:t>
            </w:r>
          </w:p>
        </w:tc>
        <w:tc>
          <w:tcPr>
            <w:tcW w:w="378" w:type="pct"/>
            <w:shd w:val="clear" w:color="auto" w:fill="C6EFCE"/>
            <w:noWrap/>
            <w:vAlign w:val="center"/>
            <w:hideMark/>
          </w:tcPr>
          <w:p w14:paraId="1A6454FC"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634D3C68" w14:textId="4974F7D5" w:rsidR="006054AA" w:rsidRDefault="001F7667">
            <w:pPr>
              <w:pStyle w:val="P68B1DB1-Normal11"/>
              <w:jc w:val="center"/>
              <w:rPr>
                <w:noProof/>
              </w:rPr>
            </w:pPr>
            <w:r>
              <w:rPr>
                <w:noProof/>
              </w:rPr>
              <w:t>Брой проекти в областта на туризма, които ще бъдат подкрепени чрез тематичните фондове на Европейската инвестиционна банка</w:t>
            </w:r>
          </w:p>
        </w:tc>
        <w:tc>
          <w:tcPr>
            <w:tcW w:w="520" w:type="pct"/>
            <w:shd w:val="clear" w:color="auto" w:fill="C6EFCE"/>
            <w:noWrap/>
            <w:vAlign w:val="center"/>
            <w:hideMark/>
          </w:tcPr>
          <w:p w14:paraId="7027BA4F"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3F234DA1"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4865E6BD"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43FC2032" w14:textId="7806EEE0" w:rsidR="006054AA" w:rsidRDefault="001F7667">
            <w:pPr>
              <w:pStyle w:val="P68B1DB1-Normal11"/>
              <w:jc w:val="center"/>
              <w:rPr>
                <w:noProof/>
              </w:rPr>
            </w:pPr>
            <w:r>
              <w:rPr>
                <w:noProof/>
              </w:rPr>
              <w:t>170</w:t>
            </w:r>
          </w:p>
        </w:tc>
        <w:tc>
          <w:tcPr>
            <w:tcW w:w="332" w:type="pct"/>
            <w:shd w:val="clear" w:color="auto" w:fill="C6EFCE"/>
            <w:noWrap/>
            <w:vAlign w:val="center"/>
            <w:hideMark/>
          </w:tcPr>
          <w:p w14:paraId="5B696C49" w14:textId="02CFFEC9" w:rsidR="006054AA" w:rsidRDefault="001F7667">
            <w:pPr>
              <w:pStyle w:val="P68B1DB1-Normal11"/>
              <w:jc w:val="center"/>
              <w:rPr>
                <w:noProof/>
              </w:rPr>
            </w:pPr>
            <w:r>
              <w:rPr>
                <w:noProof/>
              </w:rPr>
              <w:t>Т2 Г.</w:t>
            </w:r>
          </w:p>
        </w:tc>
        <w:tc>
          <w:tcPr>
            <w:tcW w:w="220" w:type="pct"/>
            <w:shd w:val="clear" w:color="auto" w:fill="C6EFCE"/>
            <w:noWrap/>
            <w:vAlign w:val="center"/>
            <w:hideMark/>
          </w:tcPr>
          <w:p w14:paraId="2881F180" w14:textId="0701E3C6" w:rsidR="006054AA" w:rsidRDefault="001F7667">
            <w:pPr>
              <w:pStyle w:val="P68B1DB1-Normal11"/>
              <w:jc w:val="center"/>
              <w:rPr>
                <w:noProof/>
              </w:rPr>
            </w:pPr>
            <w:r>
              <w:rPr>
                <w:noProof/>
              </w:rPr>
              <w:t>2026</w:t>
            </w:r>
          </w:p>
        </w:tc>
        <w:tc>
          <w:tcPr>
            <w:tcW w:w="1047" w:type="pct"/>
            <w:shd w:val="clear" w:color="auto" w:fill="C6EFCE"/>
            <w:noWrap/>
            <w:vAlign w:val="center"/>
            <w:hideMark/>
          </w:tcPr>
          <w:p w14:paraId="1C1A944B" w14:textId="77777777" w:rsidR="006054AA" w:rsidRDefault="001F7667">
            <w:pPr>
              <w:pStyle w:val="P68B1DB1-Normal11"/>
              <w:rPr>
                <w:noProof/>
              </w:rPr>
            </w:pPr>
            <w:r>
              <w:rPr>
                <w:noProof/>
              </w:rPr>
              <w:t>Подкрепа за най-малко 170 проекта в областта на туризма;</w:t>
            </w:r>
          </w:p>
          <w:p w14:paraId="42B7BE17" w14:textId="77777777" w:rsidR="006054AA" w:rsidRDefault="001F7667">
            <w:pPr>
              <w:pStyle w:val="P68B1DB1-Normal11"/>
              <w:rPr>
                <w:noProof/>
              </w:rPr>
            </w:pPr>
            <w:r>
              <w:rPr>
                <w:noProof/>
              </w:rPr>
              <w:t xml:space="preserve">Подкрепата, предоставяна чрез тематичните фондове на Европейската инвестиционна банка, е насочена към: </w:t>
            </w:r>
          </w:p>
          <w:p w14:paraId="1E043EB7" w14:textId="77777777" w:rsidR="006054AA" w:rsidRDefault="001F7667">
            <w:pPr>
              <w:pStyle w:val="P68B1DB1-ListParagraph13"/>
              <w:numPr>
                <w:ilvl w:val="0"/>
                <w:numId w:val="106"/>
              </w:numPr>
              <w:jc w:val="left"/>
              <w:rPr>
                <w:noProof/>
              </w:rPr>
            </w:pPr>
            <w:r>
              <w:rPr>
                <w:noProof/>
              </w:rPr>
              <w:t>подкрепа за иновативни инвестиции за цифровия преход</w:t>
            </w:r>
          </w:p>
          <w:p w14:paraId="23E6BB76" w14:textId="77777777" w:rsidR="006054AA" w:rsidRDefault="001F7667">
            <w:pPr>
              <w:pStyle w:val="P68B1DB1-ListParagraph13"/>
              <w:numPr>
                <w:ilvl w:val="0"/>
                <w:numId w:val="106"/>
              </w:numPr>
              <w:jc w:val="left"/>
              <w:rPr>
                <w:noProof/>
              </w:rPr>
            </w:pPr>
            <w:r>
              <w:rPr>
                <w:noProof/>
              </w:rPr>
              <w:t>увеличаване на предлагането на услуги за туризма</w:t>
            </w:r>
          </w:p>
          <w:p w14:paraId="0A2E71DC" w14:textId="77777777" w:rsidR="006054AA" w:rsidRDefault="001F7667">
            <w:pPr>
              <w:pStyle w:val="P68B1DB1-ListParagraph13"/>
              <w:numPr>
                <w:ilvl w:val="0"/>
                <w:numId w:val="106"/>
              </w:numPr>
              <w:jc w:val="left"/>
              <w:rPr>
                <w:noProof/>
              </w:rPr>
            </w:pPr>
            <w:r>
              <w:rPr>
                <w:noProof/>
              </w:rPr>
              <w:t>насърчаване на процесите на обединяване на дружества</w:t>
            </w:r>
          </w:p>
          <w:p w14:paraId="32D2CB95" w14:textId="77777777" w:rsidR="006054AA" w:rsidRDefault="006054AA">
            <w:pPr>
              <w:rPr>
                <w:rFonts w:ascii="Arial Narrow" w:hAnsi="Arial Narrow"/>
                <w:noProof/>
                <w:color w:val="006100"/>
                <w:sz w:val="20"/>
              </w:rPr>
            </w:pPr>
          </w:p>
        </w:tc>
      </w:tr>
      <w:tr w:rsidR="006054AA" w14:paraId="0FB20534" w14:textId="77777777">
        <w:trPr>
          <w:trHeight w:val="313"/>
          <w:jc w:val="center"/>
        </w:trPr>
        <w:tc>
          <w:tcPr>
            <w:tcW w:w="377" w:type="pct"/>
            <w:shd w:val="clear" w:color="auto" w:fill="C6EFCE"/>
            <w:noWrap/>
            <w:vAlign w:val="center"/>
          </w:tcPr>
          <w:p w14:paraId="27EE86F9" w14:textId="77777777" w:rsidR="006054AA" w:rsidRDefault="001F7667">
            <w:pPr>
              <w:pStyle w:val="P68B1DB1-Normal11"/>
              <w:jc w:val="center"/>
              <w:rPr>
                <w:noProof/>
              </w:rPr>
            </w:pPr>
            <w:r>
              <w:rPr>
                <w:noProof/>
              </w:rPr>
              <w:t>M1C3—30</w:t>
            </w:r>
          </w:p>
        </w:tc>
        <w:tc>
          <w:tcPr>
            <w:tcW w:w="520" w:type="pct"/>
            <w:shd w:val="clear" w:color="auto" w:fill="C6EFCE"/>
            <w:noWrap/>
            <w:vAlign w:val="center"/>
          </w:tcPr>
          <w:p w14:paraId="04BCB981" w14:textId="77777777" w:rsidR="006054AA" w:rsidRDefault="001F7667">
            <w:pPr>
              <w:pStyle w:val="P68B1DB1-Normal11"/>
              <w:jc w:val="center"/>
              <w:rPr>
                <w:noProof/>
              </w:rPr>
            </w:pPr>
            <w:r>
              <w:rPr>
                <w:noProof/>
              </w:rPr>
              <w:t>Инвестиция 4.2:  Фондове за конкурентоспособността на туризма</w:t>
            </w:r>
          </w:p>
          <w:p w14:paraId="5725426F" w14:textId="77777777" w:rsidR="006054AA" w:rsidRDefault="001F7667">
            <w:pPr>
              <w:pStyle w:val="P68B1DB1-Normal11"/>
              <w:jc w:val="center"/>
              <w:rPr>
                <w:noProof/>
              </w:rPr>
            </w:pPr>
            <w:r>
              <w:rPr>
                <w:noProof/>
              </w:rPr>
              <w:t>предприятия</w:t>
            </w:r>
          </w:p>
        </w:tc>
        <w:tc>
          <w:tcPr>
            <w:tcW w:w="378" w:type="pct"/>
            <w:shd w:val="clear" w:color="auto" w:fill="C6EFCE"/>
            <w:noWrap/>
            <w:vAlign w:val="center"/>
          </w:tcPr>
          <w:p w14:paraId="4B727B7C" w14:textId="77777777" w:rsidR="006054AA" w:rsidRDefault="001F7667">
            <w:pPr>
              <w:pStyle w:val="P68B1DB1-Normal11"/>
              <w:jc w:val="center"/>
              <w:rPr>
                <w:noProof/>
              </w:rPr>
            </w:pPr>
            <w:r>
              <w:rPr>
                <w:noProof/>
              </w:rPr>
              <w:t>Целеви</w:t>
            </w:r>
          </w:p>
        </w:tc>
        <w:tc>
          <w:tcPr>
            <w:tcW w:w="520" w:type="pct"/>
            <w:shd w:val="clear" w:color="auto" w:fill="C6EFCE"/>
            <w:noWrap/>
            <w:vAlign w:val="center"/>
          </w:tcPr>
          <w:p w14:paraId="01F811C0" w14:textId="77777777" w:rsidR="006054AA" w:rsidRDefault="001F7667">
            <w:pPr>
              <w:pStyle w:val="P68B1DB1-Normal11"/>
              <w:jc w:val="center"/>
              <w:rPr>
                <w:noProof/>
              </w:rPr>
            </w:pPr>
            <w:r>
              <w:rPr>
                <w:noProof/>
              </w:rPr>
              <w:t>Тематични фондове на Европейската инвестиционна банка:</w:t>
            </w:r>
          </w:p>
          <w:p w14:paraId="24CDB417" w14:textId="698AE301" w:rsidR="006054AA" w:rsidRDefault="001F7667">
            <w:pPr>
              <w:pStyle w:val="P68B1DB1-Normal12"/>
              <w:jc w:val="center"/>
              <w:rPr>
                <w:rFonts w:ascii="Arial Narrow" w:hAnsi="Arial Narrow"/>
                <w:noProof/>
              </w:rPr>
            </w:pPr>
            <w:r>
              <w:rPr>
                <w:rFonts w:ascii="Arial Narrow" w:hAnsi="Arial Narrow"/>
                <w:noProof/>
              </w:rPr>
              <w:t>Изплащане на Фонда на обща стойност 350</w:t>
            </w:r>
            <w:r>
              <w:rPr>
                <w:noProof/>
              </w:rPr>
              <w:t xml:space="preserve"> </w:t>
            </w:r>
            <w:r>
              <w:rPr>
                <w:rFonts w:ascii="Arial Narrow" w:hAnsi="Arial Narrow"/>
                <w:noProof/>
              </w:rPr>
              <w:t>000 000</w:t>
            </w:r>
            <w:r>
              <w:rPr>
                <w:noProof/>
              </w:rPr>
              <w:t xml:space="preserve"> </w:t>
            </w:r>
            <w:r>
              <w:rPr>
                <w:rFonts w:ascii="Arial Narrow" w:hAnsi="Arial Narrow"/>
                <w:noProof/>
              </w:rPr>
              <w:t>EUR</w:t>
            </w:r>
          </w:p>
        </w:tc>
        <w:tc>
          <w:tcPr>
            <w:tcW w:w="520" w:type="pct"/>
            <w:shd w:val="clear" w:color="auto" w:fill="C6EFCE"/>
            <w:noWrap/>
            <w:vAlign w:val="center"/>
          </w:tcPr>
          <w:p w14:paraId="028298D3" w14:textId="77777777" w:rsidR="006054AA" w:rsidRDefault="001F7667">
            <w:pPr>
              <w:pStyle w:val="P68B1DB1-Normal11"/>
              <w:jc w:val="center"/>
              <w:rPr>
                <w:noProof/>
              </w:rPr>
            </w:pPr>
            <w:r>
              <w:rPr>
                <w:noProof/>
              </w:rPr>
              <w:t>НЯМА</w:t>
            </w:r>
          </w:p>
        </w:tc>
        <w:tc>
          <w:tcPr>
            <w:tcW w:w="331" w:type="pct"/>
            <w:shd w:val="clear" w:color="auto" w:fill="C6EFCE"/>
            <w:noWrap/>
            <w:vAlign w:val="center"/>
          </w:tcPr>
          <w:p w14:paraId="672D7F30" w14:textId="77777777" w:rsidR="006054AA" w:rsidRDefault="001F7667">
            <w:pPr>
              <w:pStyle w:val="P68B1DB1-Normal11"/>
              <w:jc w:val="center"/>
              <w:rPr>
                <w:noProof/>
              </w:rPr>
            </w:pPr>
            <w:r>
              <w:rPr>
                <w:noProof/>
              </w:rPr>
              <w:t>Брой</w:t>
            </w:r>
          </w:p>
        </w:tc>
        <w:tc>
          <w:tcPr>
            <w:tcW w:w="332" w:type="pct"/>
            <w:shd w:val="clear" w:color="auto" w:fill="C6EFCE"/>
            <w:noWrap/>
            <w:vAlign w:val="center"/>
          </w:tcPr>
          <w:p w14:paraId="5775388B" w14:textId="77777777" w:rsidR="006054AA" w:rsidRDefault="001F7667">
            <w:pPr>
              <w:pStyle w:val="P68B1DB1-Normal11"/>
              <w:jc w:val="center"/>
              <w:rPr>
                <w:noProof/>
              </w:rPr>
            </w:pPr>
            <w:r>
              <w:rPr>
                <w:noProof/>
              </w:rPr>
              <w:t>0</w:t>
            </w:r>
          </w:p>
        </w:tc>
        <w:tc>
          <w:tcPr>
            <w:tcW w:w="424" w:type="pct"/>
            <w:shd w:val="clear" w:color="auto" w:fill="C6EFCE"/>
            <w:noWrap/>
            <w:vAlign w:val="center"/>
          </w:tcPr>
          <w:p w14:paraId="470710C0" w14:textId="695AD042" w:rsidR="006054AA" w:rsidRDefault="001F7667">
            <w:pPr>
              <w:pStyle w:val="P68B1DB1-Normal11"/>
              <w:jc w:val="center"/>
              <w:rPr>
                <w:noProof/>
              </w:rPr>
            </w:pPr>
            <w:r>
              <w:rPr>
                <w:noProof/>
              </w:rPr>
              <w:t>350 000 000</w:t>
            </w:r>
          </w:p>
        </w:tc>
        <w:tc>
          <w:tcPr>
            <w:tcW w:w="332" w:type="pct"/>
            <w:shd w:val="clear" w:color="auto" w:fill="C6EFCE"/>
            <w:noWrap/>
            <w:vAlign w:val="center"/>
          </w:tcPr>
          <w:p w14:paraId="751A70EF" w14:textId="77777777" w:rsidR="006054AA" w:rsidRDefault="001F7667">
            <w:pPr>
              <w:pStyle w:val="P68B1DB1-Normal11"/>
              <w:jc w:val="center"/>
              <w:rPr>
                <w:noProof/>
              </w:rPr>
            </w:pPr>
            <w:r>
              <w:rPr>
                <w:noProof/>
              </w:rPr>
              <w:t>Т4 Г.</w:t>
            </w:r>
          </w:p>
        </w:tc>
        <w:tc>
          <w:tcPr>
            <w:tcW w:w="220" w:type="pct"/>
            <w:shd w:val="clear" w:color="auto" w:fill="C6EFCE"/>
            <w:noWrap/>
            <w:vAlign w:val="center"/>
          </w:tcPr>
          <w:p w14:paraId="126B8334" w14:textId="77777777" w:rsidR="006054AA" w:rsidRDefault="001F7667">
            <w:pPr>
              <w:pStyle w:val="P68B1DB1-Normal11"/>
              <w:jc w:val="center"/>
              <w:rPr>
                <w:noProof/>
              </w:rPr>
            </w:pPr>
            <w:r>
              <w:rPr>
                <w:noProof/>
              </w:rPr>
              <w:t>2022</w:t>
            </w:r>
          </w:p>
        </w:tc>
        <w:tc>
          <w:tcPr>
            <w:tcW w:w="1047" w:type="pct"/>
            <w:shd w:val="clear" w:color="auto" w:fill="C6EFCE"/>
            <w:noWrap/>
            <w:vAlign w:val="center"/>
          </w:tcPr>
          <w:p w14:paraId="41951777" w14:textId="77777777" w:rsidR="006054AA" w:rsidRDefault="001F7667">
            <w:pPr>
              <w:pStyle w:val="P68B1DB1-Normal11"/>
              <w:rPr>
                <w:noProof/>
              </w:rPr>
            </w:pPr>
            <w:r>
              <w:rPr>
                <w:noProof/>
              </w:rPr>
              <w:t>Изплащането е в съответствие с инвестиционната политика, определена в основния етап.</w:t>
            </w:r>
          </w:p>
        </w:tc>
      </w:tr>
      <w:tr w:rsidR="006054AA" w14:paraId="6AC98B67" w14:textId="77777777">
        <w:trPr>
          <w:trHeight w:val="313"/>
          <w:jc w:val="center"/>
        </w:trPr>
        <w:tc>
          <w:tcPr>
            <w:tcW w:w="377" w:type="pct"/>
            <w:shd w:val="clear" w:color="auto" w:fill="C6EFCE"/>
            <w:noWrap/>
            <w:vAlign w:val="center"/>
          </w:tcPr>
          <w:p w14:paraId="3B7E4E9E" w14:textId="77777777" w:rsidR="006054AA" w:rsidRDefault="001F7667">
            <w:pPr>
              <w:pStyle w:val="P68B1DB1-Normal11"/>
              <w:jc w:val="center"/>
              <w:rPr>
                <w:noProof/>
              </w:rPr>
            </w:pPr>
            <w:r>
              <w:rPr>
                <w:noProof/>
              </w:rPr>
              <w:t>M1C3—31</w:t>
            </w:r>
          </w:p>
        </w:tc>
        <w:tc>
          <w:tcPr>
            <w:tcW w:w="520" w:type="pct"/>
            <w:shd w:val="clear" w:color="auto" w:fill="C6EFCE"/>
            <w:noWrap/>
            <w:vAlign w:val="center"/>
          </w:tcPr>
          <w:p w14:paraId="0AFB20C7" w14:textId="5EEE6BEA" w:rsidR="006054AA" w:rsidRDefault="001F7667">
            <w:pPr>
              <w:pStyle w:val="P68B1DB1-Normal11"/>
              <w:jc w:val="center"/>
              <w:rPr>
                <w:noProof/>
              </w:rPr>
            </w:pPr>
            <w:r>
              <w:rPr>
                <w:noProof/>
              </w:rPr>
              <w:t>Инвестиция 4.2:  Фондове за конкурентоспособността на туристическите предприятия</w:t>
            </w:r>
          </w:p>
        </w:tc>
        <w:tc>
          <w:tcPr>
            <w:tcW w:w="378" w:type="pct"/>
            <w:shd w:val="clear" w:color="auto" w:fill="C6EFCE"/>
            <w:noWrap/>
            <w:vAlign w:val="center"/>
          </w:tcPr>
          <w:p w14:paraId="5F25167B" w14:textId="77777777" w:rsidR="006054AA" w:rsidRDefault="001F7667">
            <w:pPr>
              <w:pStyle w:val="P68B1DB1-Normal11"/>
              <w:jc w:val="center"/>
              <w:rPr>
                <w:noProof/>
              </w:rPr>
            </w:pPr>
            <w:r>
              <w:rPr>
                <w:noProof/>
              </w:rPr>
              <w:t>Целеви</w:t>
            </w:r>
          </w:p>
        </w:tc>
        <w:tc>
          <w:tcPr>
            <w:tcW w:w="520" w:type="pct"/>
            <w:shd w:val="clear" w:color="auto" w:fill="C6EFCE"/>
            <w:noWrap/>
            <w:vAlign w:val="center"/>
          </w:tcPr>
          <w:p w14:paraId="2CDC629F" w14:textId="77777777" w:rsidR="006054AA" w:rsidRDefault="006054AA">
            <w:pPr>
              <w:jc w:val="center"/>
              <w:rPr>
                <w:rFonts w:ascii="Arial Narrow" w:hAnsi="Arial Narrow"/>
                <w:noProof/>
                <w:color w:val="006100"/>
                <w:sz w:val="20"/>
              </w:rPr>
            </w:pPr>
          </w:p>
          <w:p w14:paraId="1DC043DB" w14:textId="77777777" w:rsidR="006054AA" w:rsidRDefault="001F7667">
            <w:pPr>
              <w:pStyle w:val="P68B1DB1-Normal11"/>
              <w:jc w:val="center"/>
              <w:rPr>
                <w:noProof/>
              </w:rPr>
            </w:pPr>
            <w:r>
              <w:rPr>
                <w:noProof/>
              </w:rPr>
              <w:t>Национален фонд за туризъм:</w:t>
            </w:r>
          </w:p>
          <w:p w14:paraId="73F7F715" w14:textId="10337D46" w:rsidR="006054AA" w:rsidRDefault="001F7667">
            <w:pPr>
              <w:pStyle w:val="P68B1DB1-Normal12"/>
              <w:jc w:val="center"/>
              <w:rPr>
                <w:rFonts w:ascii="Arial Narrow" w:hAnsi="Arial Narrow"/>
                <w:noProof/>
              </w:rPr>
            </w:pPr>
            <w:r>
              <w:rPr>
                <w:rFonts w:ascii="Arial Narrow" w:hAnsi="Arial Narrow"/>
                <w:noProof/>
              </w:rPr>
              <w:t>Изплащане на Фонда на обща стойност 150</w:t>
            </w:r>
            <w:r>
              <w:rPr>
                <w:noProof/>
              </w:rPr>
              <w:t xml:space="preserve"> </w:t>
            </w:r>
            <w:r>
              <w:rPr>
                <w:rFonts w:ascii="Arial Narrow" w:hAnsi="Arial Narrow"/>
                <w:noProof/>
              </w:rPr>
              <w:t>000 000</w:t>
            </w:r>
            <w:r>
              <w:rPr>
                <w:noProof/>
              </w:rPr>
              <w:t xml:space="preserve"> </w:t>
            </w:r>
            <w:r>
              <w:rPr>
                <w:rFonts w:ascii="Arial Narrow" w:hAnsi="Arial Narrow"/>
                <w:noProof/>
              </w:rPr>
              <w:t>EUR за капиталова подкрепа</w:t>
            </w:r>
          </w:p>
        </w:tc>
        <w:tc>
          <w:tcPr>
            <w:tcW w:w="520" w:type="pct"/>
            <w:shd w:val="clear" w:color="auto" w:fill="C6EFCE"/>
            <w:noWrap/>
            <w:vAlign w:val="center"/>
          </w:tcPr>
          <w:p w14:paraId="0ACEC842" w14:textId="77777777" w:rsidR="006054AA" w:rsidRDefault="001F7667">
            <w:pPr>
              <w:pStyle w:val="P68B1DB1-Normal11"/>
              <w:jc w:val="center"/>
              <w:rPr>
                <w:noProof/>
              </w:rPr>
            </w:pPr>
            <w:r>
              <w:rPr>
                <w:noProof/>
              </w:rPr>
              <w:t>НЯМА</w:t>
            </w:r>
          </w:p>
        </w:tc>
        <w:tc>
          <w:tcPr>
            <w:tcW w:w="331" w:type="pct"/>
            <w:shd w:val="clear" w:color="auto" w:fill="C6EFCE"/>
            <w:noWrap/>
            <w:vAlign w:val="center"/>
          </w:tcPr>
          <w:p w14:paraId="39E5478C" w14:textId="77777777" w:rsidR="006054AA" w:rsidRDefault="001F7667">
            <w:pPr>
              <w:pStyle w:val="P68B1DB1-Normal11"/>
              <w:jc w:val="center"/>
              <w:rPr>
                <w:noProof/>
              </w:rPr>
            </w:pPr>
            <w:r>
              <w:rPr>
                <w:noProof/>
              </w:rPr>
              <w:t>Брой</w:t>
            </w:r>
          </w:p>
        </w:tc>
        <w:tc>
          <w:tcPr>
            <w:tcW w:w="332" w:type="pct"/>
            <w:shd w:val="clear" w:color="auto" w:fill="C6EFCE"/>
            <w:noWrap/>
            <w:vAlign w:val="center"/>
          </w:tcPr>
          <w:p w14:paraId="2BF688D9" w14:textId="77777777" w:rsidR="006054AA" w:rsidRDefault="001F7667">
            <w:pPr>
              <w:pStyle w:val="P68B1DB1-Normal11"/>
              <w:jc w:val="center"/>
              <w:rPr>
                <w:noProof/>
              </w:rPr>
            </w:pPr>
            <w:r>
              <w:rPr>
                <w:noProof/>
              </w:rPr>
              <w:t>0</w:t>
            </w:r>
          </w:p>
        </w:tc>
        <w:tc>
          <w:tcPr>
            <w:tcW w:w="424" w:type="pct"/>
            <w:shd w:val="clear" w:color="auto" w:fill="C6EFCE"/>
            <w:noWrap/>
            <w:vAlign w:val="center"/>
          </w:tcPr>
          <w:p w14:paraId="2BECAF25" w14:textId="226F9A9A" w:rsidR="006054AA" w:rsidRDefault="001F7667">
            <w:pPr>
              <w:pStyle w:val="P68B1DB1-Normal11"/>
              <w:jc w:val="center"/>
              <w:rPr>
                <w:noProof/>
              </w:rPr>
            </w:pPr>
            <w:r>
              <w:rPr>
                <w:noProof/>
              </w:rPr>
              <w:t>150 000 000</w:t>
            </w:r>
          </w:p>
        </w:tc>
        <w:tc>
          <w:tcPr>
            <w:tcW w:w="332" w:type="pct"/>
            <w:shd w:val="clear" w:color="auto" w:fill="C6EFCE"/>
            <w:noWrap/>
            <w:vAlign w:val="center"/>
          </w:tcPr>
          <w:p w14:paraId="3207EEC4" w14:textId="77777777" w:rsidR="006054AA" w:rsidRDefault="001F7667">
            <w:pPr>
              <w:pStyle w:val="P68B1DB1-Normal11"/>
              <w:jc w:val="center"/>
              <w:rPr>
                <w:noProof/>
              </w:rPr>
            </w:pPr>
            <w:r>
              <w:rPr>
                <w:noProof/>
              </w:rPr>
              <w:t>Т4 Г.</w:t>
            </w:r>
          </w:p>
        </w:tc>
        <w:tc>
          <w:tcPr>
            <w:tcW w:w="220" w:type="pct"/>
            <w:shd w:val="clear" w:color="auto" w:fill="C6EFCE"/>
            <w:noWrap/>
            <w:vAlign w:val="center"/>
          </w:tcPr>
          <w:p w14:paraId="755FA440" w14:textId="77777777" w:rsidR="006054AA" w:rsidRDefault="001F7667">
            <w:pPr>
              <w:pStyle w:val="P68B1DB1-Normal11"/>
              <w:jc w:val="center"/>
              <w:rPr>
                <w:noProof/>
              </w:rPr>
            </w:pPr>
            <w:r>
              <w:rPr>
                <w:noProof/>
              </w:rPr>
              <w:t>2022</w:t>
            </w:r>
          </w:p>
        </w:tc>
        <w:tc>
          <w:tcPr>
            <w:tcW w:w="1047" w:type="pct"/>
            <w:shd w:val="clear" w:color="auto" w:fill="C6EFCE"/>
            <w:noWrap/>
            <w:vAlign w:val="center"/>
          </w:tcPr>
          <w:p w14:paraId="712D1D4A" w14:textId="77777777" w:rsidR="006054AA" w:rsidRDefault="001F7667">
            <w:pPr>
              <w:pStyle w:val="P68B1DB1-Normal11"/>
              <w:rPr>
                <w:noProof/>
              </w:rPr>
            </w:pPr>
            <w:r>
              <w:rPr>
                <w:noProof/>
              </w:rPr>
              <w:t>Изплащането е в съответствие с инвестиционната политика, определена в основния етап.</w:t>
            </w:r>
          </w:p>
        </w:tc>
      </w:tr>
      <w:tr w:rsidR="006054AA" w14:paraId="693F78F4" w14:textId="77777777">
        <w:trPr>
          <w:trHeight w:val="313"/>
          <w:jc w:val="center"/>
        </w:trPr>
        <w:tc>
          <w:tcPr>
            <w:tcW w:w="377" w:type="pct"/>
            <w:shd w:val="clear" w:color="auto" w:fill="C6EFCE"/>
            <w:noWrap/>
            <w:vAlign w:val="center"/>
            <w:hideMark/>
          </w:tcPr>
          <w:p w14:paraId="50F5E16F" w14:textId="77777777" w:rsidR="006054AA" w:rsidRDefault="001F7667">
            <w:pPr>
              <w:pStyle w:val="P68B1DB1-Normal11"/>
              <w:jc w:val="center"/>
              <w:rPr>
                <w:noProof/>
              </w:rPr>
            </w:pPr>
            <w:r>
              <w:rPr>
                <w:noProof/>
              </w:rPr>
              <w:t>M1C3—32</w:t>
            </w:r>
          </w:p>
        </w:tc>
        <w:tc>
          <w:tcPr>
            <w:tcW w:w="520" w:type="pct"/>
            <w:shd w:val="clear" w:color="auto" w:fill="C6EFCE"/>
            <w:noWrap/>
            <w:vAlign w:val="center"/>
            <w:hideMark/>
          </w:tcPr>
          <w:p w14:paraId="2C3656C4" w14:textId="59D064C7" w:rsidR="006054AA" w:rsidRDefault="001F7667">
            <w:pPr>
              <w:pStyle w:val="P68B1DB1-Normal11"/>
              <w:jc w:val="center"/>
              <w:rPr>
                <w:noProof/>
              </w:rPr>
            </w:pPr>
            <w:r>
              <w:rPr>
                <w:noProof/>
              </w:rPr>
              <w:t>Инвестиция 4.2:  Фондове за конкурентоспособността на туристическите предприятия</w:t>
            </w:r>
          </w:p>
        </w:tc>
        <w:tc>
          <w:tcPr>
            <w:tcW w:w="378" w:type="pct"/>
            <w:shd w:val="clear" w:color="auto" w:fill="C6EFCE"/>
            <w:noWrap/>
            <w:vAlign w:val="center"/>
            <w:hideMark/>
          </w:tcPr>
          <w:p w14:paraId="3C75AD7F" w14:textId="2B266E42"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098DAF24" w14:textId="77777777" w:rsidR="006054AA" w:rsidRDefault="006054AA">
            <w:pPr>
              <w:jc w:val="center"/>
              <w:rPr>
                <w:rFonts w:ascii="Arial Narrow" w:hAnsi="Arial Narrow"/>
                <w:noProof/>
                <w:color w:val="006100"/>
                <w:sz w:val="20"/>
              </w:rPr>
            </w:pPr>
          </w:p>
          <w:p w14:paraId="4C379270" w14:textId="3192D890" w:rsidR="006054AA" w:rsidRDefault="001F7667">
            <w:pPr>
              <w:pStyle w:val="P68B1DB1-Normal11"/>
              <w:jc w:val="center"/>
              <w:rPr>
                <w:noProof/>
              </w:rPr>
            </w:pPr>
            <w:r>
              <w:rPr>
                <w:noProof/>
              </w:rPr>
              <w:t>Брой на туристическите предприятия, които ще получат подкрепа чрез Гаранционния фонд за МСП</w:t>
            </w:r>
          </w:p>
        </w:tc>
        <w:tc>
          <w:tcPr>
            <w:tcW w:w="520" w:type="pct"/>
            <w:shd w:val="clear" w:color="auto" w:fill="C6EFCE"/>
            <w:noWrap/>
            <w:vAlign w:val="center"/>
            <w:hideMark/>
          </w:tcPr>
          <w:p w14:paraId="283F9E80"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2BB05B3C"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27A8D242"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1296F011" w14:textId="1E1D11B3" w:rsidR="006054AA" w:rsidRDefault="001F7667">
            <w:pPr>
              <w:pStyle w:val="P68B1DB1-Normal11"/>
              <w:jc w:val="center"/>
              <w:rPr>
                <w:noProof/>
              </w:rPr>
            </w:pPr>
            <w:r>
              <w:rPr>
                <w:noProof/>
              </w:rPr>
              <w:t>1 000</w:t>
            </w:r>
          </w:p>
        </w:tc>
        <w:tc>
          <w:tcPr>
            <w:tcW w:w="332" w:type="pct"/>
            <w:shd w:val="clear" w:color="auto" w:fill="C6EFCE"/>
            <w:noWrap/>
            <w:vAlign w:val="center"/>
            <w:hideMark/>
          </w:tcPr>
          <w:p w14:paraId="43847798" w14:textId="77777777" w:rsidR="006054AA" w:rsidRDefault="001F7667">
            <w:pPr>
              <w:pStyle w:val="P68B1DB1-Normal11"/>
              <w:jc w:val="center"/>
              <w:rPr>
                <w:noProof/>
              </w:rPr>
            </w:pPr>
            <w:r>
              <w:rPr>
                <w:noProof/>
              </w:rPr>
              <w:t>Т4 Г.</w:t>
            </w:r>
          </w:p>
        </w:tc>
        <w:tc>
          <w:tcPr>
            <w:tcW w:w="220" w:type="pct"/>
            <w:shd w:val="clear" w:color="auto" w:fill="C6EFCE"/>
            <w:noWrap/>
            <w:vAlign w:val="center"/>
            <w:hideMark/>
          </w:tcPr>
          <w:p w14:paraId="4BECDDA2" w14:textId="77777777" w:rsidR="006054AA" w:rsidRDefault="001F7667">
            <w:pPr>
              <w:pStyle w:val="P68B1DB1-Normal11"/>
              <w:jc w:val="center"/>
              <w:rPr>
                <w:noProof/>
              </w:rPr>
            </w:pPr>
            <w:r>
              <w:rPr>
                <w:noProof/>
              </w:rPr>
              <w:t>2025</w:t>
            </w:r>
          </w:p>
        </w:tc>
        <w:tc>
          <w:tcPr>
            <w:tcW w:w="1047" w:type="pct"/>
            <w:shd w:val="clear" w:color="auto" w:fill="C6EFCE"/>
            <w:noWrap/>
            <w:vAlign w:val="center"/>
            <w:hideMark/>
          </w:tcPr>
          <w:p w14:paraId="6AD42FED" w14:textId="5C3CB00E" w:rsidR="006054AA" w:rsidRDefault="001F7667">
            <w:pPr>
              <w:pStyle w:val="P68B1DB1-Normal11"/>
              <w:rPr>
                <w:noProof/>
              </w:rPr>
            </w:pPr>
            <w:r>
              <w:rPr>
                <w:noProof/>
              </w:rPr>
              <w:t>Най-малко 1 000 туристически предприятия, подпомагани от Гаранционния фонд за МСП.</w:t>
            </w:r>
          </w:p>
        </w:tc>
      </w:tr>
      <w:tr w:rsidR="006054AA" w14:paraId="5B4D0286" w14:textId="77777777">
        <w:trPr>
          <w:trHeight w:val="313"/>
          <w:jc w:val="center"/>
        </w:trPr>
        <w:tc>
          <w:tcPr>
            <w:tcW w:w="377" w:type="pct"/>
            <w:shd w:val="clear" w:color="auto" w:fill="C6EFCE"/>
            <w:noWrap/>
            <w:vAlign w:val="center"/>
            <w:hideMark/>
          </w:tcPr>
          <w:p w14:paraId="43100B2C" w14:textId="77777777" w:rsidR="006054AA" w:rsidRDefault="001F7667">
            <w:pPr>
              <w:pStyle w:val="P68B1DB1-Normal11"/>
              <w:jc w:val="center"/>
              <w:rPr>
                <w:noProof/>
              </w:rPr>
            </w:pPr>
            <w:r>
              <w:rPr>
                <w:noProof/>
              </w:rPr>
              <w:t>M1C3—33</w:t>
            </w:r>
          </w:p>
        </w:tc>
        <w:tc>
          <w:tcPr>
            <w:tcW w:w="520" w:type="pct"/>
            <w:shd w:val="clear" w:color="auto" w:fill="C6EFCE"/>
            <w:noWrap/>
            <w:vAlign w:val="center"/>
            <w:hideMark/>
          </w:tcPr>
          <w:p w14:paraId="07E849C5" w14:textId="41B37B25" w:rsidR="006054AA" w:rsidRDefault="001F7667">
            <w:pPr>
              <w:pStyle w:val="P68B1DB1-Normal11"/>
              <w:jc w:val="center"/>
              <w:rPr>
                <w:noProof/>
              </w:rPr>
            </w:pPr>
            <w:r>
              <w:rPr>
                <w:noProof/>
              </w:rPr>
              <w:t>Фонд „Инвестиция 4.2“ за конкурентоспособността на туристическите предприятия</w:t>
            </w:r>
          </w:p>
        </w:tc>
        <w:tc>
          <w:tcPr>
            <w:tcW w:w="378" w:type="pct"/>
            <w:shd w:val="clear" w:color="auto" w:fill="C6EFCE"/>
            <w:noWrap/>
            <w:vAlign w:val="center"/>
            <w:hideMark/>
          </w:tcPr>
          <w:p w14:paraId="7562B785"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2CE51B9E" w14:textId="47107059" w:rsidR="006054AA" w:rsidRDefault="001F7667">
            <w:pPr>
              <w:pStyle w:val="P68B1DB1-Normal11"/>
              <w:jc w:val="center"/>
              <w:rPr>
                <w:noProof/>
              </w:rPr>
            </w:pPr>
            <w:r>
              <w:rPr>
                <w:noProof/>
              </w:rPr>
              <w:t>Брой на предприятията, които ще бъдат подпомогнати чрез Fondo rotative (първа партида)</w:t>
            </w:r>
          </w:p>
        </w:tc>
        <w:tc>
          <w:tcPr>
            <w:tcW w:w="520" w:type="pct"/>
            <w:shd w:val="clear" w:color="auto" w:fill="C6EFCE"/>
            <w:noWrap/>
            <w:vAlign w:val="center"/>
            <w:hideMark/>
          </w:tcPr>
          <w:p w14:paraId="6C614C45"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08DA4864" w14:textId="7418C54D" w:rsidR="006054AA" w:rsidRDefault="001F7667">
            <w:pPr>
              <w:pStyle w:val="P68B1DB1-Normal11"/>
              <w:jc w:val="center"/>
              <w:rPr>
                <w:noProof/>
              </w:rPr>
            </w:pPr>
            <w:r>
              <w:rPr>
                <w:noProof/>
              </w:rPr>
              <w:t>Брой</w:t>
            </w:r>
          </w:p>
        </w:tc>
        <w:tc>
          <w:tcPr>
            <w:tcW w:w="332" w:type="pct"/>
            <w:shd w:val="clear" w:color="auto" w:fill="C6EFCE"/>
            <w:noWrap/>
            <w:vAlign w:val="center"/>
            <w:hideMark/>
          </w:tcPr>
          <w:p w14:paraId="6057A72F" w14:textId="10D0CF41" w:rsidR="006054AA" w:rsidRDefault="001F7667">
            <w:pPr>
              <w:pStyle w:val="P68B1DB1-Normal11"/>
              <w:jc w:val="center"/>
              <w:rPr>
                <w:noProof/>
              </w:rPr>
            </w:pPr>
            <w:r>
              <w:rPr>
                <w:noProof/>
              </w:rPr>
              <w:t>0</w:t>
            </w:r>
          </w:p>
        </w:tc>
        <w:tc>
          <w:tcPr>
            <w:tcW w:w="424" w:type="pct"/>
            <w:shd w:val="clear" w:color="auto" w:fill="C6EFCE"/>
            <w:noWrap/>
            <w:vAlign w:val="center"/>
            <w:hideMark/>
          </w:tcPr>
          <w:p w14:paraId="593C573B" w14:textId="7B490138" w:rsidR="006054AA" w:rsidRDefault="001F7667">
            <w:pPr>
              <w:pStyle w:val="P68B1DB1-Normal11"/>
              <w:jc w:val="center"/>
              <w:rPr>
                <w:noProof/>
              </w:rPr>
            </w:pPr>
            <w:r>
              <w:rPr>
                <w:noProof/>
              </w:rPr>
              <w:t>300</w:t>
            </w:r>
          </w:p>
        </w:tc>
        <w:tc>
          <w:tcPr>
            <w:tcW w:w="332" w:type="pct"/>
            <w:shd w:val="clear" w:color="auto" w:fill="C6EFCE"/>
            <w:noWrap/>
            <w:vAlign w:val="center"/>
            <w:hideMark/>
          </w:tcPr>
          <w:p w14:paraId="317218BD" w14:textId="45F85636" w:rsidR="006054AA" w:rsidRDefault="001F7667">
            <w:pPr>
              <w:pStyle w:val="P68B1DB1-Normal11"/>
              <w:jc w:val="center"/>
              <w:rPr>
                <w:noProof/>
              </w:rPr>
            </w:pPr>
            <w:r>
              <w:rPr>
                <w:noProof/>
              </w:rPr>
              <w:t>Т4 Г.</w:t>
            </w:r>
          </w:p>
        </w:tc>
        <w:tc>
          <w:tcPr>
            <w:tcW w:w="220" w:type="pct"/>
            <w:shd w:val="clear" w:color="auto" w:fill="C6EFCE"/>
            <w:noWrap/>
            <w:vAlign w:val="center"/>
            <w:hideMark/>
          </w:tcPr>
          <w:p w14:paraId="0A62E5C4" w14:textId="691F2515" w:rsidR="006054AA" w:rsidRDefault="001F7667">
            <w:pPr>
              <w:pStyle w:val="P68B1DB1-Normal11"/>
              <w:jc w:val="center"/>
              <w:rPr>
                <w:noProof/>
              </w:rPr>
            </w:pPr>
            <w:r>
              <w:rPr>
                <w:noProof/>
              </w:rPr>
              <w:t>2025</w:t>
            </w:r>
          </w:p>
        </w:tc>
        <w:tc>
          <w:tcPr>
            <w:tcW w:w="1047" w:type="pct"/>
            <w:shd w:val="clear" w:color="auto" w:fill="C6EFCE"/>
            <w:noWrap/>
            <w:vAlign w:val="center"/>
            <w:hideMark/>
          </w:tcPr>
          <w:p w14:paraId="0F153440" w14:textId="77777777" w:rsidR="006054AA" w:rsidRDefault="001F7667">
            <w:pPr>
              <w:pStyle w:val="P68B1DB1-Normal11"/>
              <w:rPr>
                <w:noProof/>
              </w:rPr>
            </w:pPr>
            <w:r>
              <w:rPr>
                <w:noProof/>
              </w:rPr>
              <w:t>Поне 300 предприятия, подпомагани от Fondo Rotativo;</w:t>
            </w:r>
          </w:p>
          <w:p w14:paraId="3B822207" w14:textId="77777777" w:rsidR="006054AA" w:rsidRDefault="006054AA">
            <w:pPr>
              <w:rPr>
                <w:rFonts w:ascii="Arial Narrow" w:hAnsi="Arial Narrow"/>
                <w:noProof/>
                <w:color w:val="006100"/>
                <w:sz w:val="20"/>
              </w:rPr>
            </w:pPr>
          </w:p>
          <w:p w14:paraId="0A602D2B" w14:textId="77777777" w:rsidR="006054AA" w:rsidRDefault="001F7667">
            <w:pPr>
              <w:pStyle w:val="P68B1DB1-Normal11"/>
              <w:rPr>
                <w:noProof/>
              </w:rPr>
            </w:pPr>
            <w:r>
              <w:rPr>
                <w:noProof/>
              </w:rPr>
              <w:t>Интервенциите, финансирани чрез Fondo Rotativo, включват:</w:t>
            </w:r>
          </w:p>
          <w:p w14:paraId="26B1727C" w14:textId="77777777" w:rsidR="006054AA" w:rsidRDefault="001F7667">
            <w:pPr>
              <w:pStyle w:val="P68B1DB1-ListParagraph13"/>
              <w:numPr>
                <w:ilvl w:val="0"/>
                <w:numId w:val="89"/>
              </w:numPr>
              <w:ind w:left="26" w:hanging="103"/>
              <w:jc w:val="left"/>
              <w:rPr>
                <w:noProof/>
              </w:rPr>
            </w:pPr>
            <w:r>
              <w:rPr>
                <w:noProof/>
              </w:rPr>
              <w:t>интервенции за преквалифициране на енергията</w:t>
            </w:r>
          </w:p>
          <w:p w14:paraId="0081CACE" w14:textId="77777777" w:rsidR="006054AA" w:rsidRDefault="001F7667">
            <w:pPr>
              <w:pStyle w:val="P68B1DB1-ListParagraph13"/>
              <w:numPr>
                <w:ilvl w:val="0"/>
                <w:numId w:val="89"/>
              </w:numPr>
              <w:ind w:left="26" w:hanging="103"/>
              <w:jc w:val="left"/>
              <w:rPr>
                <w:noProof/>
              </w:rPr>
            </w:pPr>
            <w:r>
              <w:rPr>
                <w:noProof/>
              </w:rPr>
              <w:t>изказвания относно външните ограждащи елементи на сградата и санирането съгласно член 3, параграф 1, буква б) от DPR 380/2001 (единен текст на законовите и подзаконовите разпоредби относно сградите)</w:t>
            </w:r>
          </w:p>
          <w:p w14:paraId="0E4DE674" w14:textId="77777777" w:rsidR="006054AA" w:rsidRDefault="001F7667">
            <w:pPr>
              <w:pStyle w:val="P68B1DB1-ListParagraph13"/>
              <w:numPr>
                <w:ilvl w:val="0"/>
                <w:numId w:val="89"/>
              </w:numPr>
              <w:ind w:left="26" w:hanging="103"/>
              <w:jc w:val="left"/>
              <w:rPr>
                <w:noProof/>
              </w:rPr>
            </w:pPr>
            <w:r>
              <w:rPr>
                <w:noProof/>
              </w:rPr>
              <w:t>интервенции за премахване на архитектурните бариери.</w:t>
            </w:r>
          </w:p>
          <w:p w14:paraId="5D8EAAA9" w14:textId="77777777" w:rsidR="006054AA" w:rsidRDefault="001F7667">
            <w:pPr>
              <w:pStyle w:val="P68B1DB1-ListParagraph13"/>
              <w:numPr>
                <w:ilvl w:val="0"/>
                <w:numId w:val="89"/>
              </w:numPr>
              <w:ind w:left="26" w:hanging="103"/>
              <w:jc w:val="left"/>
              <w:rPr>
                <w:noProof/>
              </w:rPr>
            </w:pPr>
            <w:r>
              <w:rPr>
                <w:noProof/>
              </w:rPr>
              <w:t>интервенции за пълна или частична подмяна на климатични инсталации.</w:t>
            </w:r>
          </w:p>
          <w:p w14:paraId="4535F56A" w14:textId="77777777" w:rsidR="006054AA" w:rsidRDefault="001F7667">
            <w:pPr>
              <w:pStyle w:val="P68B1DB1-ListParagraph13"/>
              <w:numPr>
                <w:ilvl w:val="0"/>
                <w:numId w:val="89"/>
              </w:numPr>
              <w:ind w:left="26" w:hanging="103"/>
              <w:jc w:val="left"/>
              <w:rPr>
                <w:noProof/>
              </w:rPr>
            </w:pPr>
            <w:r>
              <w:rPr>
                <w:noProof/>
              </w:rPr>
              <w:t>закупуване на мебели и части за обзавеждане, предназначени изключително за жилищните съоръжения, обхванати от настоящото постановление</w:t>
            </w:r>
          </w:p>
          <w:p w14:paraId="4214C7C3" w14:textId="77777777" w:rsidR="006054AA" w:rsidRDefault="001F7667">
            <w:pPr>
              <w:pStyle w:val="P68B1DB1-ListParagraph13"/>
              <w:numPr>
                <w:ilvl w:val="0"/>
                <w:numId w:val="89"/>
              </w:numPr>
              <w:ind w:left="26" w:hanging="103"/>
              <w:jc w:val="left"/>
              <w:rPr>
                <w:noProof/>
              </w:rPr>
            </w:pPr>
            <w:r>
              <w:rPr>
                <w:noProof/>
              </w:rPr>
              <w:t>изказвания за приемането на антисеизмични мерки</w:t>
            </w:r>
          </w:p>
          <w:p w14:paraId="32405F07" w14:textId="77777777" w:rsidR="006054AA" w:rsidRDefault="001F7667">
            <w:pPr>
              <w:pStyle w:val="P68B1DB1-ListParagraph13"/>
              <w:numPr>
                <w:ilvl w:val="0"/>
                <w:numId w:val="89"/>
              </w:numPr>
              <w:ind w:left="26" w:hanging="103"/>
              <w:jc w:val="left"/>
              <w:rPr>
                <w:noProof/>
              </w:rPr>
            </w:pPr>
            <w:r>
              <w:rPr>
                <w:noProof/>
              </w:rPr>
              <w:t>обновяване на компонентите за обзавеждане.</w:t>
            </w:r>
          </w:p>
          <w:p w14:paraId="6A8A6B8D" w14:textId="77777777" w:rsidR="006054AA" w:rsidRDefault="001F7667">
            <w:pPr>
              <w:pStyle w:val="P68B1DB1-ListParagraph13"/>
              <w:numPr>
                <w:ilvl w:val="0"/>
                <w:numId w:val="89"/>
              </w:numPr>
              <w:ind w:left="26" w:hanging="103"/>
              <w:jc w:val="left"/>
              <w:rPr>
                <w:noProof/>
              </w:rPr>
            </w:pPr>
            <w:r>
              <w:rPr>
                <w:noProof/>
              </w:rPr>
              <w:t>изграждане на термални депа и придобиване на оборудване и апаратура, необходими за провеждането на балнеоложки дейности, както и на панаири за обновяване на изложбените структури.</w:t>
            </w:r>
          </w:p>
        </w:tc>
      </w:tr>
      <w:tr w:rsidR="006054AA" w14:paraId="331691A9" w14:textId="77777777">
        <w:trPr>
          <w:trHeight w:val="313"/>
          <w:jc w:val="center"/>
        </w:trPr>
        <w:tc>
          <w:tcPr>
            <w:tcW w:w="377" w:type="pct"/>
            <w:shd w:val="clear" w:color="auto" w:fill="C6EFCE"/>
            <w:noWrap/>
            <w:vAlign w:val="center"/>
            <w:hideMark/>
          </w:tcPr>
          <w:p w14:paraId="3466A3A6" w14:textId="77777777" w:rsidR="006054AA" w:rsidRDefault="001F7667">
            <w:pPr>
              <w:pStyle w:val="P68B1DB1-Normal11"/>
              <w:jc w:val="center"/>
              <w:rPr>
                <w:noProof/>
              </w:rPr>
            </w:pPr>
            <w:r>
              <w:rPr>
                <w:noProof/>
              </w:rPr>
              <w:t>M1C3—34</w:t>
            </w:r>
          </w:p>
        </w:tc>
        <w:tc>
          <w:tcPr>
            <w:tcW w:w="520" w:type="pct"/>
            <w:shd w:val="clear" w:color="auto" w:fill="C6EFCE"/>
            <w:noWrap/>
            <w:vAlign w:val="center"/>
            <w:hideMark/>
          </w:tcPr>
          <w:p w14:paraId="19332B69" w14:textId="1E47C1AF" w:rsidR="006054AA" w:rsidRDefault="001F7667">
            <w:pPr>
              <w:pStyle w:val="P68B1DB1-Normal11"/>
              <w:jc w:val="center"/>
              <w:rPr>
                <w:noProof/>
              </w:rPr>
            </w:pPr>
            <w:r>
              <w:rPr>
                <w:noProof/>
              </w:rPr>
              <w:t>Фонд „Инвестиция 4.2“ за конкурентоспособността на туристическите предприятия</w:t>
            </w:r>
          </w:p>
        </w:tc>
        <w:tc>
          <w:tcPr>
            <w:tcW w:w="378" w:type="pct"/>
            <w:shd w:val="clear" w:color="auto" w:fill="C6EFCE"/>
            <w:noWrap/>
            <w:vAlign w:val="center"/>
            <w:hideMark/>
          </w:tcPr>
          <w:p w14:paraId="523AB74B" w14:textId="749C780E"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02719F4A" w14:textId="43785402" w:rsidR="006054AA" w:rsidRDefault="001F7667">
            <w:pPr>
              <w:pStyle w:val="P68B1DB1-Normal11"/>
              <w:jc w:val="center"/>
              <w:rPr>
                <w:noProof/>
              </w:rPr>
            </w:pPr>
            <w:r>
              <w:rPr>
                <w:noProof/>
              </w:rPr>
              <w:t>Брой недвижими имоти, преустроени за туризъм от Националния фонд за туризъм</w:t>
            </w:r>
          </w:p>
        </w:tc>
        <w:tc>
          <w:tcPr>
            <w:tcW w:w="520" w:type="pct"/>
            <w:shd w:val="clear" w:color="auto" w:fill="C6EFCE"/>
            <w:noWrap/>
            <w:vAlign w:val="center"/>
            <w:hideMark/>
          </w:tcPr>
          <w:p w14:paraId="5BF88A96" w14:textId="77777777" w:rsidR="006054AA" w:rsidRDefault="006054AA">
            <w:pPr>
              <w:jc w:val="center"/>
              <w:rPr>
                <w:rFonts w:ascii="Arial Narrow" w:hAnsi="Arial Narrow"/>
                <w:noProof/>
                <w:color w:val="006100"/>
                <w:sz w:val="20"/>
              </w:rPr>
            </w:pPr>
          </w:p>
        </w:tc>
        <w:tc>
          <w:tcPr>
            <w:tcW w:w="331" w:type="pct"/>
            <w:shd w:val="clear" w:color="auto" w:fill="C6EFCE"/>
            <w:noWrap/>
            <w:vAlign w:val="center"/>
            <w:hideMark/>
          </w:tcPr>
          <w:p w14:paraId="68E978E1"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5FCF3F28"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79D19696" w14:textId="26F485D0" w:rsidR="006054AA" w:rsidRDefault="001F7667">
            <w:pPr>
              <w:pStyle w:val="P68B1DB1-Normal11"/>
              <w:jc w:val="center"/>
              <w:rPr>
                <w:noProof/>
              </w:rPr>
            </w:pPr>
            <w:r>
              <w:rPr>
                <w:noProof/>
              </w:rPr>
              <w:t>12</w:t>
            </w:r>
          </w:p>
        </w:tc>
        <w:tc>
          <w:tcPr>
            <w:tcW w:w="332" w:type="pct"/>
            <w:shd w:val="clear" w:color="auto" w:fill="C6EFCE"/>
            <w:noWrap/>
            <w:vAlign w:val="center"/>
            <w:hideMark/>
          </w:tcPr>
          <w:p w14:paraId="788AE5E2" w14:textId="77777777" w:rsidR="006054AA" w:rsidRDefault="001F7667">
            <w:pPr>
              <w:pStyle w:val="P68B1DB1-Normal11"/>
              <w:jc w:val="center"/>
              <w:rPr>
                <w:noProof/>
              </w:rPr>
            </w:pPr>
            <w:r>
              <w:rPr>
                <w:noProof/>
              </w:rPr>
              <w:t>Т4 Г.</w:t>
            </w:r>
          </w:p>
        </w:tc>
        <w:tc>
          <w:tcPr>
            <w:tcW w:w="220" w:type="pct"/>
            <w:shd w:val="clear" w:color="auto" w:fill="C6EFCE"/>
            <w:noWrap/>
            <w:vAlign w:val="center"/>
            <w:hideMark/>
          </w:tcPr>
          <w:p w14:paraId="03A216CD" w14:textId="77777777" w:rsidR="006054AA" w:rsidRDefault="001F7667">
            <w:pPr>
              <w:pStyle w:val="P68B1DB1-Normal11"/>
              <w:jc w:val="center"/>
              <w:rPr>
                <w:noProof/>
              </w:rPr>
            </w:pPr>
            <w:r>
              <w:rPr>
                <w:noProof/>
              </w:rPr>
              <w:t>2025</w:t>
            </w:r>
          </w:p>
        </w:tc>
        <w:tc>
          <w:tcPr>
            <w:tcW w:w="1047" w:type="pct"/>
            <w:shd w:val="clear" w:color="auto" w:fill="C6EFCE"/>
            <w:noWrap/>
            <w:vAlign w:val="center"/>
            <w:hideMark/>
          </w:tcPr>
          <w:p w14:paraId="7C516826" w14:textId="77777777" w:rsidR="006054AA" w:rsidRDefault="001F7667">
            <w:pPr>
              <w:pStyle w:val="P68B1DB1-Normal11"/>
              <w:rPr>
                <w:noProof/>
              </w:rPr>
            </w:pPr>
            <w:r>
              <w:rPr>
                <w:noProof/>
              </w:rPr>
              <w:t>Най-малко 12 недвижими имота, реконструирани за туризъм от Националния фонд за туризъм, които биха могли да достигнат 17 недвижими имота, като се има предвид ефектът на лоста.</w:t>
            </w:r>
          </w:p>
          <w:p w14:paraId="5A15640D" w14:textId="77777777" w:rsidR="006054AA" w:rsidRDefault="001F7667">
            <w:pPr>
              <w:pStyle w:val="P68B1DB1-ListParagraph13"/>
              <w:ind w:left="26"/>
              <w:jc w:val="left"/>
              <w:rPr>
                <w:noProof/>
              </w:rPr>
            </w:pPr>
            <w:r>
              <w:rPr>
                <w:noProof/>
              </w:rPr>
              <w:t xml:space="preserve">Подкрепата от Националния фонд за туризъм е насочена към: </w:t>
            </w:r>
          </w:p>
          <w:p w14:paraId="01AC3672" w14:textId="77777777" w:rsidR="006054AA" w:rsidRDefault="001F7667">
            <w:pPr>
              <w:pStyle w:val="P68B1DB1-ListParagraph13"/>
              <w:numPr>
                <w:ilvl w:val="0"/>
                <w:numId w:val="89"/>
              </w:numPr>
              <w:ind w:left="26" w:hanging="103"/>
              <w:jc w:val="left"/>
              <w:rPr>
                <w:noProof/>
              </w:rPr>
            </w:pPr>
            <w:r>
              <w:rPr>
                <w:noProof/>
              </w:rPr>
              <w:t>Инвестиране в иновации в областта на продуктите, процесите и управлението с цел стимулиране на цифровата трансформация на предлагането на туристически услуги,</w:t>
            </w:r>
          </w:p>
          <w:p w14:paraId="46B16039" w14:textId="77777777" w:rsidR="006054AA" w:rsidRDefault="001F7667">
            <w:pPr>
              <w:pStyle w:val="P68B1DB1-ListParagraph13"/>
              <w:numPr>
                <w:ilvl w:val="0"/>
                <w:numId w:val="89"/>
              </w:numPr>
              <w:ind w:left="26" w:hanging="103"/>
              <w:jc w:val="left"/>
              <w:rPr>
                <w:noProof/>
              </w:rPr>
            </w:pPr>
            <w:r>
              <w:rPr>
                <w:noProof/>
              </w:rPr>
              <w:t xml:space="preserve">Инвестиране за гарантиране на качеството на стандартите за туристическо гостоприемство </w:t>
            </w:r>
          </w:p>
          <w:p w14:paraId="5695276E" w14:textId="74012F20" w:rsidR="006054AA" w:rsidRDefault="001F7667">
            <w:pPr>
              <w:pStyle w:val="P68B1DB1-ListParagraph13"/>
              <w:numPr>
                <w:ilvl w:val="0"/>
                <w:numId w:val="89"/>
              </w:numPr>
              <w:ind w:left="26" w:hanging="103"/>
              <w:jc w:val="left"/>
              <w:rPr>
                <w:noProof/>
              </w:rPr>
            </w:pPr>
            <w:r>
              <w:rPr>
                <w:noProof/>
              </w:rPr>
              <w:t>насърчаване на агрегирането и развитието на бизнес мрежи.</w:t>
            </w:r>
          </w:p>
        </w:tc>
      </w:tr>
      <w:tr w:rsidR="006054AA" w14:paraId="1A41421D" w14:textId="77777777">
        <w:trPr>
          <w:trHeight w:val="313"/>
          <w:jc w:val="center"/>
        </w:trPr>
        <w:tc>
          <w:tcPr>
            <w:tcW w:w="377" w:type="pct"/>
            <w:shd w:val="clear" w:color="auto" w:fill="C6EFCE"/>
            <w:noWrap/>
            <w:vAlign w:val="center"/>
            <w:hideMark/>
          </w:tcPr>
          <w:p w14:paraId="03DECD0D" w14:textId="77777777" w:rsidR="006054AA" w:rsidRDefault="001F7667">
            <w:pPr>
              <w:pStyle w:val="P68B1DB1-Normal11"/>
              <w:jc w:val="center"/>
              <w:rPr>
                <w:noProof/>
              </w:rPr>
            </w:pPr>
            <w:r>
              <w:rPr>
                <w:noProof/>
              </w:rPr>
              <w:t>M1C3—35</w:t>
            </w:r>
          </w:p>
        </w:tc>
        <w:tc>
          <w:tcPr>
            <w:tcW w:w="520" w:type="pct"/>
            <w:shd w:val="clear" w:color="auto" w:fill="C6EFCE"/>
            <w:noWrap/>
            <w:vAlign w:val="center"/>
            <w:hideMark/>
          </w:tcPr>
          <w:p w14:paraId="156D183C" w14:textId="77777777" w:rsidR="006054AA" w:rsidRDefault="001F7667">
            <w:pPr>
              <w:pStyle w:val="P68B1DB1-Normal11"/>
              <w:jc w:val="center"/>
              <w:rPr>
                <w:noProof/>
              </w:rPr>
            </w:pPr>
            <w:r>
              <w:rPr>
                <w:noProof/>
              </w:rPr>
              <w:t>— Инвестиции — 4.3 Caput Mundi-Next Generation EU за големи туристически прояви</w:t>
            </w:r>
          </w:p>
        </w:tc>
        <w:tc>
          <w:tcPr>
            <w:tcW w:w="378" w:type="pct"/>
            <w:shd w:val="clear" w:color="auto" w:fill="C6EFCE"/>
            <w:noWrap/>
            <w:vAlign w:val="center"/>
            <w:hideMark/>
          </w:tcPr>
          <w:p w14:paraId="1547653B" w14:textId="77777777" w:rsidR="006054AA" w:rsidRDefault="001F7667">
            <w:pPr>
              <w:pStyle w:val="P68B1DB1-Normal11"/>
              <w:jc w:val="center"/>
              <w:rPr>
                <w:noProof/>
              </w:rPr>
            </w:pPr>
            <w:r>
              <w:rPr>
                <w:noProof/>
              </w:rPr>
              <w:t>Ключов етап</w:t>
            </w:r>
          </w:p>
        </w:tc>
        <w:tc>
          <w:tcPr>
            <w:tcW w:w="520" w:type="pct"/>
            <w:shd w:val="clear" w:color="auto" w:fill="C6EFCE"/>
            <w:noWrap/>
            <w:vAlign w:val="center"/>
            <w:hideMark/>
          </w:tcPr>
          <w:p w14:paraId="6F033B15" w14:textId="77777777" w:rsidR="006054AA" w:rsidRDefault="001F7667">
            <w:pPr>
              <w:pStyle w:val="P68B1DB1-Normal11"/>
              <w:jc w:val="center"/>
              <w:rPr>
                <w:noProof/>
              </w:rPr>
            </w:pPr>
            <w:r>
              <w:rPr>
                <w:noProof/>
              </w:rPr>
              <w:t>Подписване на всяко споразумение за шест проекта между Министерство на туризма и бенефициери/изпълнителни органи</w:t>
            </w:r>
          </w:p>
        </w:tc>
        <w:tc>
          <w:tcPr>
            <w:tcW w:w="520" w:type="pct"/>
            <w:shd w:val="clear" w:color="auto" w:fill="C6EFCE"/>
            <w:noWrap/>
            <w:vAlign w:val="center"/>
            <w:hideMark/>
          </w:tcPr>
          <w:p w14:paraId="656A0F17" w14:textId="1CA18EE2" w:rsidR="006054AA" w:rsidRDefault="001F7667">
            <w:pPr>
              <w:pStyle w:val="P68B1DB1-Normal11"/>
              <w:jc w:val="center"/>
              <w:rPr>
                <w:noProof/>
              </w:rPr>
            </w:pPr>
            <w:r>
              <w:rPr>
                <w:noProof/>
              </w:rPr>
              <w:t>Публикуване на програмното споразумение между Министерството на туризма, община Рим столица и другите участници</w:t>
            </w:r>
          </w:p>
        </w:tc>
        <w:tc>
          <w:tcPr>
            <w:tcW w:w="331" w:type="pct"/>
            <w:shd w:val="clear" w:color="auto" w:fill="C6EFCE"/>
            <w:noWrap/>
            <w:vAlign w:val="center"/>
            <w:hideMark/>
          </w:tcPr>
          <w:p w14:paraId="30D1DCCB" w14:textId="77777777" w:rsidR="006054AA" w:rsidRDefault="001F7667">
            <w:pPr>
              <w:pStyle w:val="P68B1DB1-Normal11"/>
              <w:jc w:val="center"/>
              <w:rPr>
                <w:noProof/>
              </w:rPr>
            </w:pPr>
            <w:r>
              <w:rPr>
                <w:noProof/>
              </w:rPr>
              <w:t>НЯМА</w:t>
            </w:r>
          </w:p>
        </w:tc>
        <w:tc>
          <w:tcPr>
            <w:tcW w:w="332" w:type="pct"/>
            <w:shd w:val="clear" w:color="auto" w:fill="C6EFCE"/>
            <w:noWrap/>
            <w:vAlign w:val="center"/>
            <w:hideMark/>
          </w:tcPr>
          <w:p w14:paraId="7E101FC0" w14:textId="77777777" w:rsidR="006054AA" w:rsidRDefault="001F7667">
            <w:pPr>
              <w:pStyle w:val="P68B1DB1-Normal11"/>
              <w:jc w:val="center"/>
              <w:rPr>
                <w:noProof/>
              </w:rPr>
            </w:pPr>
            <w:r>
              <w:rPr>
                <w:noProof/>
              </w:rPr>
              <w:t>НЯМА</w:t>
            </w:r>
          </w:p>
        </w:tc>
        <w:tc>
          <w:tcPr>
            <w:tcW w:w="424" w:type="pct"/>
            <w:shd w:val="clear" w:color="auto" w:fill="C6EFCE"/>
            <w:noWrap/>
            <w:vAlign w:val="center"/>
            <w:hideMark/>
          </w:tcPr>
          <w:p w14:paraId="4B9EF7F1" w14:textId="77777777" w:rsidR="006054AA" w:rsidRDefault="001F7667">
            <w:pPr>
              <w:pStyle w:val="P68B1DB1-Normal11"/>
              <w:jc w:val="center"/>
              <w:rPr>
                <w:noProof/>
              </w:rPr>
            </w:pPr>
            <w:r>
              <w:rPr>
                <w:noProof/>
              </w:rPr>
              <w:t>НЯМА</w:t>
            </w:r>
          </w:p>
        </w:tc>
        <w:tc>
          <w:tcPr>
            <w:tcW w:w="332" w:type="pct"/>
            <w:shd w:val="clear" w:color="auto" w:fill="C6EFCE"/>
            <w:noWrap/>
            <w:vAlign w:val="center"/>
            <w:hideMark/>
          </w:tcPr>
          <w:p w14:paraId="2C9AC7AC" w14:textId="77777777" w:rsidR="006054AA" w:rsidRDefault="001F7667">
            <w:pPr>
              <w:pStyle w:val="P68B1DB1-Normal11"/>
              <w:jc w:val="center"/>
              <w:rPr>
                <w:noProof/>
              </w:rPr>
            </w:pPr>
            <w:r>
              <w:rPr>
                <w:noProof/>
              </w:rPr>
              <w:t>Т2 Г.</w:t>
            </w:r>
          </w:p>
        </w:tc>
        <w:tc>
          <w:tcPr>
            <w:tcW w:w="220" w:type="pct"/>
            <w:shd w:val="clear" w:color="auto" w:fill="C6EFCE"/>
            <w:noWrap/>
            <w:vAlign w:val="center"/>
            <w:hideMark/>
          </w:tcPr>
          <w:p w14:paraId="48EAD345" w14:textId="77777777" w:rsidR="006054AA" w:rsidRDefault="001F7667">
            <w:pPr>
              <w:pStyle w:val="P68B1DB1-Normal11"/>
              <w:jc w:val="center"/>
              <w:rPr>
                <w:noProof/>
              </w:rPr>
            </w:pPr>
            <w:r>
              <w:rPr>
                <w:noProof/>
              </w:rPr>
              <w:t>2022</w:t>
            </w:r>
          </w:p>
        </w:tc>
        <w:tc>
          <w:tcPr>
            <w:tcW w:w="1047" w:type="pct"/>
            <w:shd w:val="clear" w:color="auto" w:fill="C6EFCE"/>
            <w:noWrap/>
            <w:vAlign w:val="center"/>
            <w:hideMark/>
          </w:tcPr>
          <w:p w14:paraId="73B7EA56" w14:textId="77777777" w:rsidR="006054AA" w:rsidRDefault="006054AA">
            <w:pPr>
              <w:rPr>
                <w:rFonts w:ascii="Arial Narrow" w:hAnsi="Arial Narrow"/>
                <w:noProof/>
                <w:color w:val="006100"/>
                <w:sz w:val="20"/>
              </w:rPr>
            </w:pPr>
          </w:p>
          <w:p w14:paraId="71A5D123" w14:textId="77777777" w:rsidR="006054AA" w:rsidRDefault="001F7667">
            <w:pPr>
              <w:pStyle w:val="P68B1DB1-Normal10"/>
              <w:rPr>
                <w:noProof/>
                <w:color w:val="006100"/>
                <w:sz w:val="20"/>
              </w:rPr>
            </w:pPr>
            <w:r>
              <w:rPr>
                <w:noProof/>
                <w:color w:val="006100"/>
                <w:sz w:val="20"/>
              </w:rPr>
              <w:t>Споразуменията се подписват за 6-те проекта:</w:t>
            </w:r>
            <w:r>
              <w:rPr>
                <w:noProof/>
              </w:rPr>
              <w:t xml:space="preserve"> </w:t>
            </w:r>
            <w:r>
              <w:rPr>
                <w:noProof/>
              </w:rPr>
              <w:br/>
            </w:r>
            <w:r>
              <w:rPr>
                <w:noProof/>
                <w:color w:val="006100"/>
                <w:sz w:val="20"/>
              </w:rPr>
              <w:t xml:space="preserve"> 1) римското културно наследство за следващото поколение на ЕС; 2 г.) от Паган Рим до Кристиян Рим — юбилей; 3) #Lacittàcondivisa; 4) #Mitingodiverde; 5) роми 4.0; 6) #Amanotesa</w:t>
            </w:r>
          </w:p>
          <w:p w14:paraId="01551B23" w14:textId="77777777" w:rsidR="006054AA" w:rsidRDefault="006054AA">
            <w:pPr>
              <w:rPr>
                <w:rFonts w:ascii="Arial Narrow" w:hAnsi="Arial Narrow"/>
                <w:noProof/>
                <w:color w:val="006100"/>
                <w:sz w:val="20"/>
              </w:rPr>
            </w:pPr>
          </w:p>
          <w:p w14:paraId="38FEC516" w14:textId="77777777" w:rsidR="006054AA" w:rsidRDefault="001F7667">
            <w:pPr>
              <w:pStyle w:val="P68B1DB1-Normal11"/>
              <w:rPr>
                <w:noProof/>
              </w:rPr>
            </w:pPr>
            <w:r>
              <w:rPr>
                <w:noProof/>
              </w:rPr>
              <w:t>Списъкът на бенефициерите/изпълнителните органи включва: Град Рим столица; Археологическа инспекция за културното, екологичното и ландшафтното наследство на Рим (MIC); Археологически парк на Colosseum;  Археологически парк „Appia Antica“; Диоцезия от Рим; Министерство на туризма; Регион Лацио.</w:t>
            </w:r>
          </w:p>
          <w:p w14:paraId="20DBBFC0" w14:textId="77777777" w:rsidR="006054AA" w:rsidRDefault="006054AA">
            <w:pPr>
              <w:rPr>
                <w:rFonts w:ascii="Arial Narrow" w:hAnsi="Arial Narrow"/>
                <w:noProof/>
                <w:color w:val="006100"/>
                <w:sz w:val="20"/>
              </w:rPr>
            </w:pPr>
          </w:p>
          <w:p w14:paraId="2957F720" w14:textId="77777777" w:rsidR="006054AA" w:rsidRDefault="001F7667">
            <w:pPr>
              <w:pStyle w:val="P68B1DB1-Normal11"/>
              <w:rPr>
                <w:noProof/>
              </w:rPr>
            </w:pPr>
            <w:r>
              <w:rPr>
                <w:noProof/>
              </w:rPr>
              <w:t>Преди поканата за участие в търг критериите за подбор и възлагане и особеностите на проектите се определят със съответните ресурси.</w:t>
            </w:r>
          </w:p>
          <w:p w14:paraId="2EB06051" w14:textId="77777777" w:rsidR="006054AA" w:rsidRDefault="006054AA">
            <w:pPr>
              <w:rPr>
                <w:rFonts w:ascii="Arial Narrow" w:hAnsi="Arial Narrow"/>
                <w:noProof/>
                <w:color w:val="006100"/>
                <w:sz w:val="20"/>
              </w:rPr>
            </w:pPr>
          </w:p>
          <w:p w14:paraId="1A787585" w14:textId="078B4D60" w:rsidR="006054AA" w:rsidRDefault="001F7667">
            <w:pPr>
              <w:pStyle w:val="P68B1DB1-Normal11"/>
              <w:rPr>
                <w:noProof/>
              </w:rPr>
            </w:pPr>
            <w:r>
              <w:rPr>
                <w:noProof/>
              </w:rPr>
              <w:t>Възлагането на поръчките на проектите, избрани в рамките на конкурсните покани за представяне на предложения, трябва да бъде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7F2DBCD5" w14:textId="77777777">
        <w:trPr>
          <w:trHeight w:val="313"/>
          <w:jc w:val="center"/>
        </w:trPr>
        <w:tc>
          <w:tcPr>
            <w:tcW w:w="377" w:type="pct"/>
            <w:shd w:val="clear" w:color="auto" w:fill="C6EFCE"/>
            <w:noWrap/>
            <w:vAlign w:val="center"/>
            <w:hideMark/>
          </w:tcPr>
          <w:p w14:paraId="5492215C" w14:textId="77777777" w:rsidR="006054AA" w:rsidRDefault="001F7667">
            <w:pPr>
              <w:pStyle w:val="P68B1DB1-Normal11"/>
              <w:jc w:val="center"/>
              <w:rPr>
                <w:noProof/>
              </w:rPr>
            </w:pPr>
            <w:r>
              <w:rPr>
                <w:noProof/>
              </w:rPr>
              <w:t>M1C3—36</w:t>
            </w:r>
          </w:p>
        </w:tc>
        <w:tc>
          <w:tcPr>
            <w:tcW w:w="520" w:type="pct"/>
            <w:shd w:val="clear" w:color="auto" w:fill="C6EFCE"/>
            <w:noWrap/>
            <w:vAlign w:val="center"/>
            <w:hideMark/>
          </w:tcPr>
          <w:p w14:paraId="0516A390" w14:textId="77777777" w:rsidR="006054AA" w:rsidRDefault="001F7667">
            <w:pPr>
              <w:pStyle w:val="P68B1DB1-Normal11"/>
              <w:jc w:val="center"/>
              <w:rPr>
                <w:noProof/>
              </w:rPr>
            </w:pPr>
            <w:r>
              <w:rPr>
                <w:noProof/>
              </w:rPr>
              <w:t>— Инвестиции — 4.3 Caput Mundi-Next Generation EU за големи туристически прояви</w:t>
            </w:r>
          </w:p>
        </w:tc>
        <w:tc>
          <w:tcPr>
            <w:tcW w:w="378" w:type="pct"/>
            <w:shd w:val="clear" w:color="auto" w:fill="C6EFCE"/>
            <w:noWrap/>
            <w:vAlign w:val="center"/>
            <w:hideMark/>
          </w:tcPr>
          <w:p w14:paraId="508D7652" w14:textId="77777777" w:rsidR="006054AA" w:rsidRDefault="001F7667">
            <w:pPr>
              <w:pStyle w:val="P68B1DB1-Normal11"/>
              <w:jc w:val="center"/>
              <w:rPr>
                <w:noProof/>
              </w:rPr>
            </w:pPr>
            <w:r>
              <w:rPr>
                <w:noProof/>
              </w:rPr>
              <w:t>Целеви</w:t>
            </w:r>
          </w:p>
        </w:tc>
        <w:tc>
          <w:tcPr>
            <w:tcW w:w="520" w:type="pct"/>
            <w:shd w:val="clear" w:color="auto" w:fill="C6EFCE"/>
            <w:noWrap/>
            <w:vAlign w:val="center"/>
            <w:hideMark/>
          </w:tcPr>
          <w:p w14:paraId="77CD1EA1" w14:textId="4C04C1E6" w:rsidR="006054AA" w:rsidRDefault="001F7667">
            <w:pPr>
              <w:pStyle w:val="P68B1DB1-Normal11"/>
              <w:jc w:val="center"/>
              <w:rPr>
                <w:noProof/>
              </w:rPr>
            </w:pPr>
            <w:r>
              <w:rPr>
                <w:noProof/>
              </w:rPr>
              <w:t>Брой на културните и туристическите обекти, чието преквалифициране е приключило</w:t>
            </w:r>
          </w:p>
        </w:tc>
        <w:tc>
          <w:tcPr>
            <w:tcW w:w="520" w:type="pct"/>
            <w:shd w:val="clear" w:color="auto" w:fill="C6EFCE"/>
            <w:noWrap/>
            <w:vAlign w:val="center"/>
            <w:hideMark/>
          </w:tcPr>
          <w:p w14:paraId="131D06EB" w14:textId="77777777" w:rsidR="006054AA" w:rsidRDefault="001F7667">
            <w:pPr>
              <w:pStyle w:val="P68B1DB1-Normal11"/>
              <w:jc w:val="center"/>
              <w:rPr>
                <w:noProof/>
              </w:rPr>
            </w:pPr>
            <w:r>
              <w:rPr>
                <w:noProof/>
              </w:rPr>
              <w:t>НЯМА</w:t>
            </w:r>
          </w:p>
        </w:tc>
        <w:tc>
          <w:tcPr>
            <w:tcW w:w="331" w:type="pct"/>
            <w:shd w:val="clear" w:color="auto" w:fill="C6EFCE"/>
            <w:noWrap/>
            <w:vAlign w:val="center"/>
            <w:hideMark/>
          </w:tcPr>
          <w:p w14:paraId="5B9F25BC" w14:textId="77777777" w:rsidR="006054AA" w:rsidRDefault="001F7667">
            <w:pPr>
              <w:pStyle w:val="P68B1DB1-Normal11"/>
              <w:jc w:val="center"/>
              <w:rPr>
                <w:noProof/>
              </w:rPr>
            </w:pPr>
            <w:r>
              <w:rPr>
                <w:noProof/>
              </w:rPr>
              <w:t>Брой</w:t>
            </w:r>
          </w:p>
        </w:tc>
        <w:tc>
          <w:tcPr>
            <w:tcW w:w="332" w:type="pct"/>
            <w:shd w:val="clear" w:color="auto" w:fill="C6EFCE"/>
            <w:noWrap/>
            <w:vAlign w:val="center"/>
            <w:hideMark/>
          </w:tcPr>
          <w:p w14:paraId="03777844" w14:textId="77777777" w:rsidR="006054AA" w:rsidRDefault="001F7667">
            <w:pPr>
              <w:pStyle w:val="P68B1DB1-Normal11"/>
              <w:jc w:val="center"/>
              <w:rPr>
                <w:noProof/>
              </w:rPr>
            </w:pPr>
            <w:r>
              <w:rPr>
                <w:noProof/>
              </w:rPr>
              <w:t>0</w:t>
            </w:r>
          </w:p>
        </w:tc>
        <w:tc>
          <w:tcPr>
            <w:tcW w:w="424" w:type="pct"/>
            <w:shd w:val="clear" w:color="auto" w:fill="C6EFCE"/>
            <w:noWrap/>
            <w:vAlign w:val="center"/>
            <w:hideMark/>
          </w:tcPr>
          <w:p w14:paraId="194D6973" w14:textId="77777777" w:rsidR="006054AA" w:rsidRDefault="001F7667">
            <w:pPr>
              <w:pStyle w:val="P68B1DB1-Normal11"/>
              <w:jc w:val="center"/>
              <w:rPr>
                <w:noProof/>
              </w:rPr>
            </w:pPr>
            <w:r>
              <w:rPr>
                <w:noProof/>
              </w:rPr>
              <w:t>200</w:t>
            </w:r>
          </w:p>
        </w:tc>
        <w:tc>
          <w:tcPr>
            <w:tcW w:w="332" w:type="pct"/>
            <w:shd w:val="clear" w:color="auto" w:fill="C6EFCE"/>
            <w:noWrap/>
            <w:vAlign w:val="center"/>
            <w:hideMark/>
          </w:tcPr>
          <w:p w14:paraId="49D322B7" w14:textId="77777777" w:rsidR="006054AA" w:rsidRDefault="001F7667">
            <w:pPr>
              <w:pStyle w:val="P68B1DB1-Normal11"/>
              <w:jc w:val="center"/>
              <w:rPr>
                <w:noProof/>
              </w:rPr>
            </w:pPr>
            <w:r>
              <w:rPr>
                <w:noProof/>
              </w:rPr>
              <w:t>Т2 Г.</w:t>
            </w:r>
          </w:p>
        </w:tc>
        <w:tc>
          <w:tcPr>
            <w:tcW w:w="220" w:type="pct"/>
            <w:shd w:val="clear" w:color="auto" w:fill="C6EFCE"/>
            <w:noWrap/>
            <w:vAlign w:val="center"/>
            <w:hideMark/>
          </w:tcPr>
          <w:p w14:paraId="43E79A53" w14:textId="77777777" w:rsidR="006054AA" w:rsidRDefault="001F7667">
            <w:pPr>
              <w:pStyle w:val="P68B1DB1-Normal11"/>
              <w:jc w:val="center"/>
              <w:rPr>
                <w:noProof/>
              </w:rPr>
            </w:pPr>
            <w:r>
              <w:rPr>
                <w:noProof/>
              </w:rPr>
              <w:t>2026</w:t>
            </w:r>
          </w:p>
        </w:tc>
        <w:tc>
          <w:tcPr>
            <w:tcW w:w="1047" w:type="pct"/>
            <w:shd w:val="clear" w:color="auto" w:fill="C6EFCE"/>
            <w:noWrap/>
            <w:vAlign w:val="center"/>
            <w:hideMark/>
          </w:tcPr>
          <w:p w14:paraId="271845CF" w14:textId="77777777" w:rsidR="006054AA" w:rsidRDefault="001F7667">
            <w:pPr>
              <w:pStyle w:val="P68B1DB1-Normal11"/>
              <w:rPr>
                <w:noProof/>
              </w:rPr>
            </w:pPr>
            <w:r>
              <w:rPr>
                <w:noProof/>
              </w:rPr>
              <w:t>Инвестицията включва интервенции, обхващащи:</w:t>
            </w:r>
          </w:p>
          <w:p w14:paraId="693AE000" w14:textId="77777777" w:rsidR="006054AA" w:rsidRDefault="001F7667">
            <w:pPr>
              <w:pStyle w:val="P68B1DB1-ListParagraph13"/>
              <w:numPr>
                <w:ilvl w:val="0"/>
                <w:numId w:val="87"/>
              </w:numPr>
              <w:ind w:left="599"/>
              <w:jc w:val="left"/>
              <w:rPr>
                <w:noProof/>
              </w:rPr>
            </w:pPr>
            <w:r>
              <w:rPr>
                <w:noProof/>
              </w:rPr>
              <w:t xml:space="preserve">възстановяването и възстановяването на културното и градското наследство и комплекси с висока историческа архитектурна стойност на град Рим за инвестиционния бюджетен ред „Романското културно наследство за следващото поколение на ЕС“;  </w:t>
            </w:r>
          </w:p>
          <w:p w14:paraId="12B05CFC" w14:textId="7EFEA00B" w:rsidR="006054AA" w:rsidRDefault="001F7667">
            <w:pPr>
              <w:pStyle w:val="P68B1DB1-ListParagraph13"/>
              <w:numPr>
                <w:ilvl w:val="0"/>
                <w:numId w:val="87"/>
              </w:numPr>
              <w:tabs>
                <w:tab w:val="left" w:pos="1340"/>
                <w:tab w:val="left" w:pos="1341"/>
              </w:tabs>
              <w:spacing w:after="0"/>
              <w:ind w:left="599"/>
              <w:jc w:val="left"/>
              <w:rPr>
                <w:noProof/>
              </w:rPr>
            </w:pPr>
            <w:r>
              <w:rPr>
                <w:noProof/>
              </w:rPr>
              <w:t>подобряване, безопасност, антисеизмична консолидация, възстановяване на места и сгради от историческо значение и археологически пътища за инвестиционната линия „Жубилейски пътеки“;</w:t>
            </w:r>
          </w:p>
          <w:p w14:paraId="12EBE220" w14:textId="77777777" w:rsidR="006054AA" w:rsidRDefault="001F7667">
            <w:pPr>
              <w:pStyle w:val="P68B1DB1-ListParagraph13"/>
              <w:numPr>
                <w:ilvl w:val="0"/>
                <w:numId w:val="87"/>
              </w:numPr>
              <w:tabs>
                <w:tab w:val="left" w:pos="1340"/>
                <w:tab w:val="left" w:pos="1341"/>
              </w:tabs>
              <w:spacing w:after="0"/>
              <w:ind w:left="599"/>
              <w:jc w:val="left"/>
              <w:rPr>
                <w:noProof/>
              </w:rPr>
            </w:pPr>
            <w:r>
              <w:rPr>
                <w:noProof/>
              </w:rPr>
              <w:t>преустройство на обекти в периферните райони за инвестиционен бюджетен ред „#LaCittàCondivisa“;</w:t>
            </w:r>
          </w:p>
          <w:p w14:paraId="7E4EB066" w14:textId="77777777" w:rsidR="006054AA" w:rsidRDefault="001F7667">
            <w:pPr>
              <w:pStyle w:val="P68B1DB1-ListParagraph13"/>
              <w:numPr>
                <w:ilvl w:val="0"/>
                <w:numId w:val="87"/>
              </w:numPr>
              <w:tabs>
                <w:tab w:val="left" w:pos="1340"/>
                <w:tab w:val="left" w:pos="1341"/>
              </w:tabs>
              <w:spacing w:after="0"/>
              <w:ind w:left="599"/>
              <w:jc w:val="left"/>
              <w:rPr>
                <w:noProof/>
              </w:rPr>
            </w:pPr>
            <w:r>
              <w:rPr>
                <w:noProof/>
              </w:rPr>
              <w:t>интервенции в паркове, исторически градини, вили и фонтани за инвестиционна линия № #Mitingodiverde;</w:t>
            </w:r>
          </w:p>
          <w:p w14:paraId="2BD243E6" w14:textId="77777777" w:rsidR="006054AA" w:rsidRDefault="001F7667">
            <w:pPr>
              <w:pStyle w:val="P68B1DB1-ListParagraph13"/>
              <w:numPr>
                <w:ilvl w:val="0"/>
                <w:numId w:val="87"/>
              </w:numPr>
              <w:tabs>
                <w:tab w:val="left" w:pos="1340"/>
                <w:tab w:val="left" w:pos="1341"/>
              </w:tabs>
              <w:spacing w:after="0"/>
              <w:ind w:left="599"/>
              <w:jc w:val="left"/>
              <w:rPr>
                <w:noProof/>
              </w:rPr>
            </w:pPr>
            <w:r>
              <w:rPr>
                <w:noProof/>
              </w:rPr>
              <w:t>цифровизацията на културните услуги и разработването на приложения за туристи или инвестиционен бюджетен ред № #Roma 4.0;</w:t>
            </w:r>
          </w:p>
          <w:p w14:paraId="3C83985C" w14:textId="77777777" w:rsidR="006054AA" w:rsidRDefault="001F7667">
            <w:pPr>
              <w:pStyle w:val="P68B1DB1-ListParagraph13"/>
              <w:numPr>
                <w:ilvl w:val="0"/>
                <w:numId w:val="87"/>
              </w:numPr>
              <w:tabs>
                <w:tab w:val="left" w:pos="1340"/>
                <w:tab w:val="left" w:pos="1341"/>
              </w:tabs>
              <w:spacing w:after="0"/>
              <w:ind w:left="599"/>
              <w:jc w:val="left"/>
              <w:rPr>
                <w:noProof/>
              </w:rPr>
            </w:pPr>
            <w:r>
              <w:rPr>
                <w:noProof/>
              </w:rPr>
              <w:t>интервенции за увеличаване на предлагането на културни продукти в периферията за социална интеграция за инвестиционен бюджетен ред № #Amanotesa.</w:t>
            </w:r>
          </w:p>
          <w:p w14:paraId="1F78D80B" w14:textId="77777777" w:rsidR="006054AA" w:rsidRDefault="006054AA">
            <w:pPr>
              <w:pStyle w:val="ListParagraph"/>
              <w:tabs>
                <w:tab w:val="left" w:pos="1340"/>
                <w:tab w:val="left" w:pos="1341"/>
              </w:tabs>
              <w:spacing w:after="0"/>
              <w:jc w:val="left"/>
              <w:rPr>
                <w:rFonts w:ascii="Arial Narrow" w:hAnsi="Arial Narrow"/>
                <w:noProof/>
                <w:color w:val="006100"/>
                <w:sz w:val="20"/>
              </w:rPr>
            </w:pPr>
          </w:p>
          <w:p w14:paraId="7A04D092" w14:textId="77777777" w:rsidR="006054AA" w:rsidRDefault="001F7667">
            <w:pPr>
              <w:pStyle w:val="P68B1DB1-Normal11"/>
              <w:rPr>
                <w:noProof/>
              </w:rPr>
            </w:pPr>
            <w:r>
              <w:rPr>
                <w:noProof/>
              </w:rPr>
              <w:t xml:space="preserve">Инвестицията включва действия за преквалифициране, които се провеждат в най-малко 5 археологически/културни обекта за инвестиционния ред „Римско културно наследство за следващото поколение на ЕС „, най-малко 125 археологически/културни обекта за „Пътя на Джубилей“; най-малко 50 археологически/културни обекта за #Lacittàcondivisa; най-малко 15 археологически/културни обекта за #Mitingodiverde, най-малко 5 археологически/културни обекта за роми 4.0 </w:t>
            </w:r>
          </w:p>
          <w:p w14:paraId="25C2622F" w14:textId="77777777" w:rsidR="006054AA" w:rsidRDefault="006054AA">
            <w:pPr>
              <w:rPr>
                <w:rFonts w:ascii="Arial Narrow" w:hAnsi="Arial Narrow"/>
                <w:noProof/>
                <w:color w:val="006100"/>
                <w:sz w:val="20"/>
              </w:rPr>
            </w:pPr>
          </w:p>
          <w:p w14:paraId="2718D846" w14:textId="466E18C0" w:rsidR="006054AA" w:rsidRDefault="001F7667">
            <w:pPr>
              <w:pStyle w:val="P68B1DB1-Normal11"/>
              <w:rPr>
                <w:noProof/>
              </w:rPr>
            </w:pPr>
            <w:r>
              <w:rPr>
                <w:noProof/>
              </w:rPr>
              <w:t>Задоволителното постигане на целта зависи и от завършването на всички проекти по инвестиционен бюджетен ред „#Amanotesa „и от достъпността за обществеността на приложението „CaputMundi — Roma4U“.</w:t>
            </w:r>
          </w:p>
        </w:tc>
      </w:tr>
    </w:tbl>
    <w:p w14:paraId="18B23B8E" w14:textId="77777777" w:rsidR="006054AA" w:rsidRDefault="006054AA">
      <w:pPr>
        <w:rPr>
          <w:b/>
          <w:noProof/>
        </w:rPr>
      </w:pPr>
    </w:p>
    <w:p w14:paraId="08A379F3" w14:textId="77777777" w:rsidR="006054AA" w:rsidRDefault="006054AA">
      <w:pPr>
        <w:rPr>
          <w:b/>
          <w:noProof/>
        </w:rPr>
      </w:pPr>
    </w:p>
    <w:p w14:paraId="028A1E12" w14:textId="77777777" w:rsidR="006054AA" w:rsidRDefault="006054AA">
      <w:pPr>
        <w:spacing w:before="120" w:after="120"/>
        <w:jc w:val="both"/>
        <w:rPr>
          <w:noProof/>
        </w:rPr>
        <w:sectPr w:rsidR="006054AA" w:rsidSect="001354D1">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DD9C9DD" w14:textId="135696F1" w:rsidR="006054AA" w:rsidRDefault="001F7667">
      <w:pPr>
        <w:pStyle w:val="Heading2"/>
        <w:numPr>
          <w:ilvl w:val="0"/>
          <w:numId w:val="0"/>
        </w:numPr>
        <w:ind w:left="850" w:hanging="850"/>
        <w:rPr>
          <w:noProof/>
        </w:rPr>
      </w:pPr>
      <w:r>
        <w:rPr>
          <w:noProof/>
        </w:rPr>
        <w:t>Г. МИСИЯ 2, КОМПОНЕНТ 1: Кръгова икономика, хранително-вкусова промишленост и екологичен преход</w:t>
      </w:r>
    </w:p>
    <w:p w14:paraId="37220E22" w14:textId="77777777" w:rsidR="006054AA" w:rsidRDefault="001F7667">
      <w:pPr>
        <w:spacing w:before="120" w:after="120"/>
        <w:jc w:val="both"/>
        <w:rPr>
          <w:noProof/>
        </w:rPr>
      </w:pPr>
      <w:r>
        <w:rPr>
          <w:noProof/>
        </w:rPr>
        <w:t xml:space="preserve">Този компонент на италианския план за възстановяване и устойчивост обхваща инвестициите и реформите в управлението на отпадъците, кръговата икономика, подкрепата за веригите за създаване на стойност в хранително-вкусовата промишленост и екологичния преход. Тези реформи и инвестиции се допълват от реформи за увеличаване на конкуренцията в управлението на отпадъците и местните обществени услуги в компонента „бизнес среда“, както и за подобряване на потреблението на вода за селското стопанство. Този компонент е в отговор на специфичните за всяка държава препоръки за съсредоточаване на инвестициите в екологичния преход, включително в кръговата икономика.  </w:t>
      </w:r>
    </w:p>
    <w:p w14:paraId="308508F1" w14:textId="77777777" w:rsidR="006054AA" w:rsidRDefault="001F7667">
      <w:pPr>
        <w:spacing w:before="120" w:after="120"/>
        <w:jc w:val="both"/>
        <w:rPr>
          <w:noProof/>
        </w:rPr>
      </w:pPr>
      <w:r>
        <w:rPr>
          <w:noProof/>
        </w:rPr>
        <w:t>Инвестициите и реформите по този компонент допринасят за изпълнението на специфичните за всяка държава препоръки, отправени към Италия през 2020 г. и 2019 г., относно необходимостта от „съсредоточаване на инвестициите върху екологичния и цифровия преход, по-специално върху [...] управлението на отпадъците и водите „(СДП 3, 2020) и „съсредоточаване на свързаната с инвестициите икономическа политика върху [...] и качеството на инфраструктурата, като се вземат предвид и регионалните различия“ (специфични за всяка държава препоръки 3, 2019).</w:t>
      </w:r>
    </w:p>
    <w:p w14:paraId="7AB4D02D" w14:textId="77777777" w:rsidR="006054AA" w:rsidRDefault="001F7667">
      <w:pPr>
        <w:spacing w:before="120" w:after="120"/>
        <w:jc w:val="both"/>
        <w:rPr>
          <w:noProof/>
        </w:rPr>
      </w:pPr>
      <w:r>
        <w:rPr>
          <w:noProof/>
        </w:rPr>
        <w:t xml:space="preserve">Очаква се, че нито една мярка в този компонент не нанася значителни вреди на екологичните цели по смисъла на член 17 от Регламент (ЕС) 2020/852, като се вземе предвид описанието на мерките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w:t>
      </w:r>
    </w:p>
    <w:p w14:paraId="43D35804" w14:textId="77777777" w:rsidR="006054AA" w:rsidRDefault="001F7667">
      <w:pPr>
        <w:pStyle w:val="Heading3"/>
        <w:numPr>
          <w:ilvl w:val="0"/>
          <w:numId w:val="0"/>
        </w:numPr>
        <w:ind w:left="850" w:hanging="850"/>
        <w:rPr>
          <w:b/>
          <w:i w:val="0"/>
          <w:noProof/>
          <w:u w:val="single"/>
        </w:rPr>
      </w:pPr>
      <w:r>
        <w:rPr>
          <w:b/>
          <w:i w:val="0"/>
          <w:noProof/>
          <w:u w:val="single"/>
        </w:rPr>
        <w:t>Г.1.</w:t>
      </w:r>
      <w:r>
        <w:rPr>
          <w:b/>
          <w:noProof/>
          <w:u w:val="single"/>
        </w:rPr>
        <w:t xml:space="preserve"> </w:t>
      </w:r>
      <w:r>
        <w:rPr>
          <w:noProof/>
        </w:rPr>
        <w:tab/>
      </w:r>
      <w:r>
        <w:rPr>
          <w:b/>
          <w:i w:val="0"/>
          <w:noProof/>
          <w:u w:val="single"/>
        </w:rPr>
        <w:t xml:space="preserve">Описание на реформите и инвестициите за безвъзмездна финансова подкрепа </w:t>
      </w:r>
    </w:p>
    <w:p w14:paraId="05A34B42" w14:textId="1F84C702" w:rsidR="006054AA" w:rsidRDefault="001F7667">
      <w:pPr>
        <w:pStyle w:val="Axistitle"/>
        <w:ind w:left="0"/>
        <w:rPr>
          <w:noProof/>
        </w:rPr>
      </w:pPr>
      <w:r>
        <w:rPr>
          <w:noProof/>
        </w:rPr>
        <w:t xml:space="preserve">Кръгова икономика </w:t>
      </w:r>
    </w:p>
    <w:p w14:paraId="648ACEA8" w14:textId="77777777" w:rsidR="006054AA" w:rsidRDefault="001F7667">
      <w:pPr>
        <w:pStyle w:val="P68B1DB1-Normal2"/>
        <w:spacing w:before="120" w:after="120"/>
        <w:jc w:val="both"/>
        <w:rPr>
          <w:noProof/>
        </w:rPr>
      </w:pPr>
      <w:r>
        <w:rPr>
          <w:noProof/>
        </w:rPr>
        <w:t>Реформа 1.1 — Национална стратегия за кръговата икономика</w:t>
      </w:r>
    </w:p>
    <w:p w14:paraId="3C26FF43" w14:textId="0B814230" w:rsidR="006054AA" w:rsidRDefault="001F7667">
      <w:pPr>
        <w:spacing w:before="120" w:after="120"/>
        <w:jc w:val="both"/>
        <w:rPr>
          <w:noProof/>
        </w:rPr>
      </w:pPr>
      <w:r>
        <w:rPr>
          <w:noProof/>
        </w:rPr>
        <w:t>Тази реформа се състои в приемането на широка национална стратегия за кръговата икономика, обхващаща нова цифрова система за проследяване на отпадъците, данъчни стимули в подкрепа на дейностите по рециклиране и използването на вторични суровини, преразглеждане на екологичното данъчно облагане, правото на повторна употреба и поправка, реформа на разширената отговорност на производителя (разширена отговорност на производителя) и система на консорциуми, подкрепа за съществуващите регулаторни инструменти (като например законодателството за край на отпадъците и минимални екологични критерии в рамките на екологосъобразните обществени поръчки) и подкрепа за проекта за промишлена симбиоза. Реформата на системата за разширена отговорност на производителя и консорциумите следва също така да отговори на необходимостта от по-ефективно използване на приноса за околната среда, за да се гарантира прилагането на прозрачни и недискриминационни критерии. Създава се специален надзорен орган с цел наблюдение на функционирането и ефективността на системите на консорциумите под председателството на Министерството на екологичния преход (MITE). Мярката се отнася до всички консорциуми (а не само до системата за опаковане CONAI).</w:t>
      </w:r>
    </w:p>
    <w:p w14:paraId="3F1B8D53" w14:textId="77777777" w:rsidR="006054AA" w:rsidRDefault="001F7667">
      <w:pPr>
        <w:pStyle w:val="P68B1DB1-Normal2"/>
        <w:spacing w:before="120" w:after="120"/>
        <w:jc w:val="both"/>
        <w:rPr>
          <w:noProof/>
        </w:rPr>
      </w:pPr>
      <w:r>
        <w:rPr>
          <w:noProof/>
        </w:rPr>
        <w:t>Реформа 1.3 — Техническа подкрепа за местните власти</w:t>
      </w:r>
    </w:p>
    <w:p w14:paraId="1F0976C8" w14:textId="77777777" w:rsidR="006054AA" w:rsidRDefault="001F7667">
      <w:pPr>
        <w:spacing w:before="120" w:after="120"/>
        <w:jc w:val="both"/>
        <w:rPr>
          <w:noProof/>
        </w:rPr>
      </w:pPr>
      <w:r>
        <w:rPr>
          <w:noProof/>
        </w:rPr>
        <w:t>Тази реформа се състои в техническа подкрепа за местните власти от страна на правителството за прилагането на законодателството на ЕС и на национално равнище в областта на околната среда, разработването на планове и проекти за управление на отпадъците и за тръжни процедури. Подкрепата за тръжни процедури гарантира, че концесиите за управление на отпадъци се предоставят по прозрачен и недискриминационен начин, като по този начин се увеличават конкурентните процеси с цел постигане на по-добри стандарти за обществените услуги. Следователно тази реформа подкрепя изпълнението на реформите в областта на управлението на отпадъците, предложени в компонента за реформа на бизнес средата. Техническата подкрепа обхваща и екологосъобразните обществени поръчки.</w:t>
      </w:r>
    </w:p>
    <w:p w14:paraId="491E9106" w14:textId="77777777" w:rsidR="006054AA" w:rsidRDefault="001F7667">
      <w:pPr>
        <w:pStyle w:val="P68B1DB1-Normal2"/>
        <w:spacing w:before="120" w:after="120"/>
        <w:jc w:val="both"/>
        <w:rPr>
          <w:noProof/>
        </w:rPr>
      </w:pPr>
      <w:r>
        <w:rPr>
          <w:noProof/>
        </w:rPr>
        <w:t>Инвестиция 2.1 — План за логистика в секторите на хранително-вкусовата промишленост, рибарството и аквакултурите, горското стопанство, цветарството и растениевъдството</w:t>
      </w:r>
    </w:p>
    <w:p w14:paraId="34AE8020" w14:textId="77777777" w:rsidR="006054AA" w:rsidRDefault="001F7667">
      <w:pPr>
        <w:spacing w:before="120" w:after="120"/>
        <w:jc w:val="both"/>
        <w:rPr>
          <w:noProof/>
        </w:rPr>
      </w:pPr>
      <w:r>
        <w:rPr>
          <w:noProof/>
        </w:rPr>
        <w:t xml:space="preserve">Тази мярка се състои в предоставяне на подпомагане за инвестиции в материални и нематериални активи (като например съоръжения за съхранение на селскостопански суровини, преобразуване и съхранение на суровини, цифровизация на логистиката и инфраструктурни интервенции на пазарите на храни), инвестиции в транспорт на храни и логистика за намаляване на екологичните и икономическите разходи и иновациите в производствените процеси, прецизното земеделие и проследимостта (като блоковата верига). Критериите за подбор са съгласувани с оценката на нуждите, разработена в рамките на стратегическия план за общата селскостопанска политика от Министерството на политиките в областта на земеделието, храните и горското стопанство. Мярката има за цел да насърчи намаляването на емисиите на етапите на транспорта и логистиката в хранително-вкусовия сектор чрез електрически превозни средства и транспортни системи и стимулиране на цифровизацията на сектора и използването на енергия от възобновяеми източници. </w:t>
      </w:r>
    </w:p>
    <w:p w14:paraId="25762983" w14:textId="77777777" w:rsidR="006054AA" w:rsidRDefault="001F7667">
      <w:pPr>
        <w:pStyle w:val="P68B1DB1-Normal2"/>
        <w:spacing w:before="120" w:after="120"/>
        <w:jc w:val="both"/>
        <w:rPr>
          <w:noProof/>
        </w:rPr>
      </w:pPr>
      <w:r>
        <w:rPr>
          <w:noProof/>
        </w:rPr>
        <w:t>Инвестиция 2.2 — Аграрно-слънчев парк</w:t>
      </w:r>
    </w:p>
    <w:p w14:paraId="412350EB" w14:textId="77777777" w:rsidR="006054AA" w:rsidRDefault="001F7667">
      <w:pPr>
        <w:spacing w:before="120" w:after="120"/>
        <w:jc w:val="both"/>
        <w:rPr>
          <w:noProof/>
        </w:rPr>
      </w:pPr>
      <w:r>
        <w:rPr>
          <w:noProof/>
        </w:rPr>
        <w:t xml:space="preserve">Тази мярка се състои в предоставяне на помощ за инвестиции в производствени структури в селскостопанския, животновъдния и агро-промишления сектор, за отстраняване и унищожаване на съществуващия покрив и изграждане на нов изолиран покрив, за създаване на автоматизирани вентилационни и/или охладителни системи и за инсталиране на слънчеви панели, интелигентно управление на потоците и акумулаторите. </w:t>
      </w:r>
    </w:p>
    <w:p w14:paraId="02E42868" w14:textId="77777777" w:rsidR="006054AA" w:rsidRDefault="001F7667">
      <w:pPr>
        <w:pStyle w:val="P68B1DB1-Normal2"/>
        <w:spacing w:before="120" w:after="120"/>
        <w:jc w:val="both"/>
        <w:rPr>
          <w:noProof/>
        </w:rPr>
      </w:pPr>
      <w:r>
        <w:rPr>
          <w:noProof/>
        </w:rPr>
        <w:t>Инвестиция 2.3 — Иновации и механизация в селскостопанския и хранително-вкусовия сектор</w:t>
      </w:r>
    </w:p>
    <w:p w14:paraId="05EED9E1" w14:textId="77777777" w:rsidR="006054AA" w:rsidRDefault="001F7667">
      <w:pPr>
        <w:spacing w:before="120" w:after="120"/>
        <w:jc w:val="both"/>
        <w:rPr>
          <w:noProof/>
        </w:rPr>
      </w:pPr>
      <w:r>
        <w:rPr>
          <w:noProof/>
        </w:rPr>
        <w:t>Тази мярка се състои в предоставяне на подкрепа за инвестиции в материални и нематериални активи, насочени към:</w:t>
      </w:r>
    </w:p>
    <w:p w14:paraId="372933C7" w14:textId="77777777" w:rsidR="006054AA" w:rsidRDefault="001F7667">
      <w:pPr>
        <w:numPr>
          <w:ilvl w:val="0"/>
          <w:numId w:val="63"/>
        </w:numPr>
        <w:spacing w:before="120" w:after="120" w:line="259" w:lineRule="auto"/>
        <w:ind w:left="360"/>
        <w:contextualSpacing/>
        <w:jc w:val="both"/>
        <w:rPr>
          <w:noProof/>
        </w:rPr>
      </w:pPr>
      <w:r>
        <w:rPr>
          <w:noProof/>
        </w:rPr>
        <w:t>иновации и механизация в селското стопанство, по-специално извънпътна техника;</w:t>
      </w:r>
    </w:p>
    <w:p w14:paraId="42B43C1D" w14:textId="77777777" w:rsidR="006054AA" w:rsidRDefault="001F7667">
      <w:pPr>
        <w:numPr>
          <w:ilvl w:val="0"/>
          <w:numId w:val="63"/>
        </w:numPr>
        <w:spacing w:before="120" w:after="120" w:line="259" w:lineRule="auto"/>
        <w:ind w:left="360"/>
        <w:contextualSpacing/>
        <w:jc w:val="both"/>
        <w:rPr>
          <w:i/>
          <w:noProof/>
        </w:rPr>
      </w:pPr>
      <w:r>
        <w:rPr>
          <w:noProof/>
        </w:rPr>
        <w:t>иновации в процесите на преработка, съхранение и опаковане на необработено маслиново масло екстра качество.</w:t>
      </w:r>
    </w:p>
    <w:p w14:paraId="1773057F" w14:textId="77777777" w:rsidR="006054AA" w:rsidRDefault="001F7667">
      <w:pPr>
        <w:spacing w:before="120" w:after="120" w:line="259" w:lineRule="auto"/>
        <w:contextualSpacing/>
        <w:jc w:val="both"/>
        <w:rPr>
          <w:noProof/>
        </w:rPr>
      </w:pPr>
      <w:r>
        <w:rPr>
          <w:noProof/>
        </w:rPr>
        <w:t xml:space="preserve">Извънпътната техника е с нулеви емисии или работи единствено с биометан в съответствие с критериите, определени в Директива 2018/2001 (Директива RED II). 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 Операторът закупува сертификати за гаранция за произход, съизмерими с очакваното потребление на гориво.  </w:t>
      </w:r>
    </w:p>
    <w:p w14:paraId="32A68E43" w14:textId="77777777" w:rsidR="006054AA" w:rsidRDefault="001F7667">
      <w:pPr>
        <w:pStyle w:val="P68B1DB1-Normal2"/>
        <w:spacing w:before="120" w:after="120"/>
        <w:jc w:val="both"/>
        <w:rPr>
          <w:noProof/>
        </w:rPr>
      </w:pPr>
      <w:r>
        <w:rPr>
          <w:noProof/>
        </w:rPr>
        <w:t>Инвестиция 3.3 — Култура и осведоменост по екологични теми и предизвикателства</w:t>
      </w:r>
    </w:p>
    <w:p w14:paraId="3B0D4B32" w14:textId="77777777" w:rsidR="006054AA" w:rsidRDefault="001F7667">
      <w:pPr>
        <w:spacing w:before="120" w:after="120"/>
        <w:jc w:val="both"/>
        <w:rPr>
          <w:noProof/>
        </w:rPr>
        <w:sectPr w:rsidR="006054AA">
          <w:headerReference w:type="even" r:id="rId92"/>
          <w:headerReference w:type="default" r:id="rId93"/>
          <w:footerReference w:type="even" r:id="rId94"/>
          <w:footerReference w:type="default" r:id="rId95"/>
          <w:headerReference w:type="first" r:id="rId96"/>
          <w:footerReference w:type="first" r:id="rId97"/>
          <w:pgSz w:w="11907" w:h="16839"/>
          <w:pgMar w:top="1440" w:right="1440" w:bottom="1440" w:left="1440" w:header="567" w:footer="567" w:gutter="0"/>
          <w:cols w:space="720"/>
          <w:docGrid w:linePitch="360"/>
        </w:sectPr>
      </w:pPr>
      <w:r>
        <w:rPr>
          <w:noProof/>
        </w:rPr>
        <w:t>Тази инвестиция се състои в проектирането и производството на цифрово съдържание с цел повишаване на осведомеността относно предизвикателствата, свързани с околната среда и климата. Цифровото съдържание се състои от подкастове, уроци, уроци, видеоклипове и статии. Създава се онлайн платформа без абонамент с цел да се превърне в най-всеобхватното „хранилище“ на образователни и развлекателни материали по теми, свързани с околната среда. Очаква се в производството на цифрово съдържание да участват ключови инфлуенсъри. Примери за теми, обхванати чрез различни канали, могат да бъдат: правилата за преход, ролята на енергийния микс и възобновяемите енергийни източници, изменението на климата, устойчивостта на атмосферата и глобалните температури, скритата роля на океаните, водните резерви, индивидуалния и организационния екологичен отпечатък, кръговата икономика и новото селско стопанство.</w:t>
      </w:r>
    </w:p>
    <w:p w14:paraId="1668DC05" w14:textId="77777777" w:rsidR="006054AA" w:rsidRDefault="001F7667">
      <w:pPr>
        <w:pStyle w:val="Heading3"/>
        <w:numPr>
          <w:ilvl w:val="0"/>
          <w:numId w:val="0"/>
        </w:numPr>
        <w:ind w:left="850" w:hanging="850"/>
        <w:rPr>
          <w:b/>
          <w:i w:val="0"/>
          <w:noProof/>
          <w:u w:val="single"/>
        </w:rPr>
      </w:pPr>
      <w:r>
        <w:rPr>
          <w:b/>
          <w:i w:val="0"/>
          <w:noProof/>
          <w:u w:val="single"/>
        </w:rPr>
        <w:t xml:space="preserve">Г.2.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tbl>
      <w:tblPr>
        <w:tblpPr w:leftFromText="180" w:rightFromText="180" w:vertAnchor="text" w:horzAnchor="margin" w:tblpY="781"/>
        <w:tblOverlap w:val="never"/>
        <w:tblW w:w="15309" w:type="dxa"/>
        <w:tblLayout w:type="fixed"/>
        <w:tblLook w:val="04A0" w:firstRow="1" w:lastRow="0" w:firstColumn="1" w:lastColumn="0" w:noHBand="0" w:noVBand="1"/>
      </w:tblPr>
      <w:tblGrid>
        <w:gridCol w:w="1129"/>
        <w:gridCol w:w="1701"/>
        <w:gridCol w:w="1134"/>
        <w:gridCol w:w="1701"/>
        <w:gridCol w:w="1843"/>
        <w:gridCol w:w="1180"/>
        <w:gridCol w:w="1159"/>
        <w:gridCol w:w="1347"/>
        <w:gridCol w:w="992"/>
        <w:gridCol w:w="680"/>
        <w:gridCol w:w="2443"/>
      </w:tblGrid>
      <w:tr w:rsidR="006054AA" w14:paraId="51206506" w14:textId="77777777">
        <w:trPr>
          <w:trHeight w:val="927"/>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D0B0B4" w14:textId="77777777" w:rsidR="006054AA" w:rsidRDefault="001F7667">
            <w:pPr>
              <w:pStyle w:val="P68B1DB1-Normal9"/>
              <w:jc w:val="center"/>
              <w:rPr>
                <w:noProof/>
              </w:rPr>
            </w:pPr>
            <w:r>
              <w:rPr>
                <w:noProof/>
              </w:rPr>
              <w:t>Пореден номер</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17D9DC" w14:textId="77777777" w:rsidR="006054AA" w:rsidRDefault="001F7667">
            <w:pPr>
              <w:pStyle w:val="P68B1DB1-Normal9"/>
              <w:jc w:val="center"/>
              <w:rPr>
                <w:noProof/>
              </w:rPr>
            </w:pPr>
            <w:r>
              <w:rPr>
                <w:noProof/>
              </w:rPr>
              <w:t>Свързана мярка (реформа или инвестиции)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0D990D" w14:textId="77777777" w:rsidR="006054AA" w:rsidRDefault="001F7667">
            <w:pPr>
              <w:pStyle w:val="P68B1DB1-Normal9"/>
              <w:jc w:val="center"/>
              <w:rPr>
                <w:noProof/>
              </w:rPr>
            </w:pPr>
            <w:r>
              <w:rPr>
                <w:noProof/>
              </w:rPr>
              <w:t>Ключов етап/Цел</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09B5502F" w14:textId="77777777" w:rsidR="006054AA" w:rsidRDefault="001F7667">
            <w:pPr>
              <w:pStyle w:val="P68B1DB1-Normal9"/>
              <w:jc w:val="center"/>
              <w:rPr>
                <w:noProof/>
              </w:rPr>
            </w:pPr>
            <w:r>
              <w:rPr>
                <w:noProof/>
              </w:rPr>
              <w:t>Име</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D1C0FE"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08E5804E"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672" w:type="dxa"/>
            <w:gridSpan w:val="2"/>
            <w:tcBorders>
              <w:top w:val="single" w:sz="4" w:space="0" w:color="auto"/>
              <w:left w:val="nil"/>
              <w:bottom w:val="single" w:sz="4" w:space="0" w:color="auto"/>
              <w:right w:val="single" w:sz="4" w:space="0" w:color="auto"/>
            </w:tcBorders>
            <w:shd w:val="clear" w:color="auto" w:fill="BDD7EE"/>
            <w:vAlign w:val="center"/>
            <w:hideMark/>
          </w:tcPr>
          <w:p w14:paraId="6777F45E" w14:textId="77777777" w:rsidR="006054AA" w:rsidRDefault="001F7667">
            <w:pPr>
              <w:pStyle w:val="P68B1DB1-Normal9"/>
              <w:jc w:val="center"/>
              <w:rPr>
                <w:noProof/>
              </w:rPr>
            </w:pPr>
            <w:r>
              <w:rPr>
                <w:noProof/>
              </w:rPr>
              <w:t>Примерен график за приключване</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6B7A6" w14:textId="77777777" w:rsidR="006054AA" w:rsidRDefault="001F7667">
            <w:pPr>
              <w:pStyle w:val="P68B1DB1-Normal9"/>
              <w:rPr>
                <w:noProof/>
              </w:rPr>
            </w:pPr>
            <w:r>
              <w:rPr>
                <w:noProof/>
              </w:rPr>
              <w:t>Описание на всеки ключов етап и цел</w:t>
            </w:r>
          </w:p>
        </w:tc>
      </w:tr>
      <w:tr w:rsidR="006054AA" w14:paraId="482C0B3E" w14:textId="77777777">
        <w:trPr>
          <w:trHeight w:val="617"/>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2D06B9F" w14:textId="77777777" w:rsidR="006054AA" w:rsidRDefault="006054AA">
            <w:pPr>
              <w:jc w:val="center"/>
              <w:rPr>
                <w:rFonts w:ascii="Arial Narrow" w:hAnsi="Arial Narrow"/>
                <w:b/>
                <w:noProof/>
                <w:sz w:val="20"/>
              </w:rPr>
            </w:pPr>
          </w:p>
        </w:tc>
        <w:tc>
          <w:tcPr>
            <w:tcW w:w="1701" w:type="dxa"/>
            <w:vMerge/>
            <w:tcBorders>
              <w:left w:val="single" w:sz="4" w:space="0" w:color="auto"/>
              <w:bottom w:val="single" w:sz="4" w:space="0" w:color="auto"/>
              <w:right w:val="single" w:sz="4" w:space="0" w:color="auto"/>
            </w:tcBorders>
            <w:vAlign w:val="center"/>
            <w:hideMark/>
          </w:tcPr>
          <w:p w14:paraId="70BDA7CC" w14:textId="77777777" w:rsidR="006054AA" w:rsidRDefault="006054AA">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DB32AC" w14:textId="77777777" w:rsidR="006054AA" w:rsidRDefault="006054AA">
            <w:pPr>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33CA2D" w14:textId="77777777" w:rsidR="006054AA" w:rsidRDefault="006054AA">
            <w:pPr>
              <w:jc w:val="center"/>
              <w:rPr>
                <w:rFonts w:ascii="Arial Narrow" w:hAnsi="Arial Narrow"/>
                <w:b/>
                <w:noProof/>
                <w:sz w:val="20"/>
              </w:rPr>
            </w:pPr>
          </w:p>
        </w:tc>
        <w:tc>
          <w:tcPr>
            <w:tcW w:w="1843" w:type="dxa"/>
            <w:vMerge/>
            <w:tcBorders>
              <w:left w:val="single" w:sz="4" w:space="0" w:color="auto"/>
              <w:bottom w:val="single" w:sz="4" w:space="0" w:color="auto"/>
            </w:tcBorders>
            <w:vAlign w:val="center"/>
            <w:hideMark/>
          </w:tcPr>
          <w:p w14:paraId="67DFE415" w14:textId="77777777" w:rsidR="006054AA" w:rsidRDefault="006054AA">
            <w:pPr>
              <w:jc w:val="center"/>
              <w:rPr>
                <w:rFonts w:ascii="Arial Narrow" w:hAnsi="Arial Narrow"/>
                <w:b/>
                <w:noProof/>
                <w:sz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133DDB43" w14:textId="77777777" w:rsidR="006054AA" w:rsidRDefault="001F7667">
            <w:pPr>
              <w:pStyle w:val="P68B1DB1-Normal9"/>
              <w:jc w:val="center"/>
              <w:rPr>
                <w:noProof/>
              </w:rPr>
            </w:pPr>
            <w:r>
              <w:rPr>
                <w:noProof/>
              </w:rPr>
              <w:t>Единица мярка</w:t>
            </w:r>
          </w:p>
        </w:tc>
        <w:tc>
          <w:tcPr>
            <w:tcW w:w="1159" w:type="dxa"/>
            <w:tcBorders>
              <w:top w:val="nil"/>
              <w:left w:val="nil"/>
              <w:bottom w:val="single" w:sz="4" w:space="0" w:color="auto"/>
              <w:right w:val="single" w:sz="4" w:space="0" w:color="auto"/>
            </w:tcBorders>
            <w:shd w:val="clear" w:color="auto" w:fill="BDD7EE"/>
            <w:vAlign w:val="center"/>
            <w:hideMark/>
          </w:tcPr>
          <w:p w14:paraId="471166D1" w14:textId="77777777" w:rsidR="006054AA" w:rsidRDefault="001F7667">
            <w:pPr>
              <w:pStyle w:val="P68B1DB1-Normal9"/>
              <w:jc w:val="center"/>
              <w:rPr>
                <w:noProof/>
              </w:rPr>
            </w:pPr>
            <w:r>
              <w:rPr>
                <w:noProof/>
              </w:rPr>
              <w:t>Базова линия</w:t>
            </w:r>
          </w:p>
        </w:tc>
        <w:tc>
          <w:tcPr>
            <w:tcW w:w="1347" w:type="dxa"/>
            <w:tcBorders>
              <w:top w:val="nil"/>
              <w:left w:val="nil"/>
              <w:bottom w:val="single" w:sz="4" w:space="0" w:color="auto"/>
              <w:right w:val="single" w:sz="4" w:space="0" w:color="auto"/>
            </w:tcBorders>
            <w:shd w:val="clear" w:color="auto" w:fill="BDD7EE"/>
            <w:vAlign w:val="center"/>
            <w:hideMark/>
          </w:tcPr>
          <w:p w14:paraId="01A232BA" w14:textId="77777777" w:rsidR="006054AA" w:rsidRDefault="001F7667">
            <w:pPr>
              <w:pStyle w:val="P68B1DB1-Normal9"/>
              <w:jc w:val="center"/>
              <w:rPr>
                <w:noProof/>
              </w:rPr>
            </w:pPr>
            <w:r>
              <w:rPr>
                <w:noProof/>
              </w:rPr>
              <w:t>Цел</w:t>
            </w:r>
          </w:p>
        </w:tc>
        <w:tc>
          <w:tcPr>
            <w:tcW w:w="992" w:type="dxa"/>
            <w:tcBorders>
              <w:top w:val="nil"/>
              <w:left w:val="nil"/>
              <w:bottom w:val="single" w:sz="4" w:space="0" w:color="auto"/>
              <w:right w:val="single" w:sz="4" w:space="0" w:color="auto"/>
            </w:tcBorders>
            <w:shd w:val="clear" w:color="auto" w:fill="BDD7EE"/>
            <w:vAlign w:val="center"/>
            <w:hideMark/>
          </w:tcPr>
          <w:p w14:paraId="4680B208" w14:textId="77777777" w:rsidR="006054AA" w:rsidRDefault="001F7667">
            <w:pPr>
              <w:pStyle w:val="P68B1DB1-Normal9"/>
              <w:jc w:val="center"/>
              <w:rPr>
                <w:noProof/>
              </w:rPr>
            </w:pPr>
            <w:r>
              <w:rPr>
                <w:noProof/>
              </w:rPr>
              <w:t>Тримесечие</w:t>
            </w:r>
          </w:p>
        </w:tc>
        <w:tc>
          <w:tcPr>
            <w:tcW w:w="680" w:type="dxa"/>
            <w:tcBorders>
              <w:top w:val="nil"/>
              <w:left w:val="nil"/>
              <w:bottom w:val="single" w:sz="4" w:space="0" w:color="auto"/>
              <w:right w:val="single" w:sz="4" w:space="0" w:color="auto"/>
            </w:tcBorders>
            <w:shd w:val="clear" w:color="auto" w:fill="BDD7EE"/>
            <w:vAlign w:val="center"/>
            <w:hideMark/>
          </w:tcPr>
          <w:p w14:paraId="523ABA0B" w14:textId="77777777" w:rsidR="006054AA" w:rsidRDefault="001F7667">
            <w:pPr>
              <w:pStyle w:val="P68B1DB1-Normal9"/>
              <w:jc w:val="center"/>
              <w:rPr>
                <w:noProof/>
              </w:rPr>
            </w:pPr>
            <w:r>
              <w:rPr>
                <w:noProof/>
              </w:rPr>
              <w:t>Година</w:t>
            </w:r>
          </w:p>
        </w:tc>
        <w:tc>
          <w:tcPr>
            <w:tcW w:w="2443" w:type="dxa"/>
            <w:vMerge/>
            <w:tcBorders>
              <w:top w:val="single" w:sz="4" w:space="0" w:color="auto"/>
              <w:bottom w:val="single" w:sz="4" w:space="0" w:color="auto"/>
              <w:right w:val="single" w:sz="4" w:space="0" w:color="auto"/>
            </w:tcBorders>
            <w:vAlign w:val="center"/>
            <w:hideMark/>
          </w:tcPr>
          <w:p w14:paraId="320014D5" w14:textId="77777777" w:rsidR="006054AA" w:rsidRDefault="006054AA">
            <w:pPr>
              <w:rPr>
                <w:rFonts w:ascii="Arial Narrow" w:hAnsi="Arial Narrow"/>
                <w:b/>
                <w:noProof/>
                <w:sz w:val="20"/>
              </w:rPr>
            </w:pPr>
          </w:p>
        </w:tc>
      </w:tr>
      <w:tr w:rsidR="006054AA" w14:paraId="146B1C23"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CB81786" w14:textId="77777777" w:rsidR="006054AA" w:rsidRDefault="001F7667">
            <w:pPr>
              <w:pStyle w:val="P68B1DB1-Normal11"/>
              <w:spacing w:line="276" w:lineRule="auto"/>
              <w:jc w:val="center"/>
              <w:rPr>
                <w:noProof/>
              </w:rPr>
            </w:pPr>
            <w:r>
              <w:rPr>
                <w:noProof/>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6B4CE5" w14:textId="77777777" w:rsidR="006054AA" w:rsidRDefault="001F7667">
            <w:pPr>
              <w:pStyle w:val="P68B1DB1-Normal11"/>
              <w:spacing w:line="276" w:lineRule="auto"/>
              <w:jc w:val="center"/>
              <w:rPr>
                <w:noProof/>
              </w:rPr>
            </w:pPr>
            <w:r>
              <w:rPr>
                <w:noProof/>
              </w:rPr>
              <w:t>Реформа 1.1 — Национална стратегия за кръговата икономика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8719F2B" w14:textId="77777777" w:rsidR="006054AA" w:rsidRDefault="001F7667">
            <w:pPr>
              <w:pStyle w:val="P68B1DB1-Normal11"/>
              <w:spacing w:line="276" w:lineRule="auto"/>
              <w:jc w:val="center"/>
              <w:rPr>
                <w:noProof/>
              </w:rPr>
            </w:pPr>
            <w:r>
              <w:rPr>
                <w:noProof/>
              </w:rPr>
              <w:t>Ключов етап</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9F41460" w14:textId="77777777" w:rsidR="006054AA" w:rsidRDefault="001F7667">
            <w:pPr>
              <w:pStyle w:val="P68B1DB1-Normal11"/>
              <w:spacing w:line="276" w:lineRule="auto"/>
              <w:jc w:val="center"/>
              <w:rPr>
                <w:noProof/>
              </w:rPr>
            </w:pPr>
            <w:r>
              <w:rPr>
                <w:noProof/>
              </w:rPr>
              <w:t>Влизане в сила на Министерския указ за приемане на Националната стратегия за кръговата икономика</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BEAC53" w14:textId="77777777" w:rsidR="006054AA" w:rsidRDefault="001F7667">
            <w:pPr>
              <w:pStyle w:val="P68B1DB1-Normal11"/>
              <w:spacing w:line="276" w:lineRule="auto"/>
              <w:jc w:val="center"/>
              <w:rPr>
                <w:noProof/>
              </w:rPr>
            </w:pPr>
            <w:r>
              <w:rPr>
                <w:noProof/>
              </w:rPr>
              <w:t>Разпоредба в министерското постановление, указваща влизането в сила</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4E5B2F5" w14:textId="77777777" w:rsidR="006054AA" w:rsidRDefault="001F7667">
            <w:pPr>
              <w:pStyle w:val="P68B1DB1-Normal11"/>
              <w:spacing w:line="276" w:lineRule="auto"/>
              <w:jc w:val="center"/>
              <w:rPr>
                <w:noProof/>
              </w:rPr>
            </w:pPr>
            <w:r>
              <w:rPr>
                <w:noProof/>
              </w:rPr>
              <w:t>НЯМА</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B0F53CB" w14:textId="77777777" w:rsidR="006054AA" w:rsidRDefault="001F7667">
            <w:pPr>
              <w:pStyle w:val="P68B1DB1-Normal11"/>
              <w:spacing w:line="276" w:lineRule="auto"/>
              <w:jc w:val="center"/>
              <w:rPr>
                <w:noProof/>
              </w:rPr>
            </w:pPr>
            <w:r>
              <w:rPr>
                <w:noProof/>
              </w:rPr>
              <w:t>НЯМА</w:t>
            </w:r>
          </w:p>
        </w:tc>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60E7712" w14:textId="77777777" w:rsidR="006054AA" w:rsidRDefault="001F7667">
            <w:pPr>
              <w:pStyle w:val="P68B1DB1-Normal11"/>
              <w:spacing w:line="276" w:lineRule="auto"/>
              <w:jc w:val="center"/>
              <w:rPr>
                <w:noProof/>
              </w:rPr>
            </w:pPr>
            <w:r>
              <w:rPr>
                <w:noProof/>
              </w:rPr>
              <w:t>НЯМА</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FAF60F" w14:textId="77777777" w:rsidR="006054AA" w:rsidRDefault="001F7667">
            <w:pPr>
              <w:pStyle w:val="P68B1DB1-Normal11"/>
              <w:spacing w:line="276" w:lineRule="auto"/>
              <w:jc w:val="center"/>
              <w:rPr>
                <w:noProof/>
              </w:rPr>
            </w:pPr>
            <w:r>
              <w:rPr>
                <w:noProof/>
              </w:rPr>
              <w:t>Т2 Г.</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DBE757D" w14:textId="77777777" w:rsidR="006054AA" w:rsidRDefault="001F7667">
            <w:pPr>
              <w:pStyle w:val="P68B1DB1-Normal11"/>
              <w:spacing w:line="276" w:lineRule="auto"/>
              <w:jc w:val="center"/>
              <w:rPr>
                <w:noProof/>
              </w:rPr>
            </w:pPr>
            <w:r>
              <w:rPr>
                <w:noProof/>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EAE26A9" w14:textId="77777777" w:rsidR="006054AA" w:rsidRDefault="001F7667">
            <w:pPr>
              <w:pStyle w:val="P68B1DB1-Normal11"/>
              <w:spacing w:before="120" w:after="120" w:line="276" w:lineRule="auto"/>
              <w:rPr>
                <w:noProof/>
              </w:rPr>
            </w:pPr>
            <w:r>
              <w:rPr>
                <w:noProof/>
              </w:rPr>
              <w:t>Министерското постановление за приемане на националната стратегия за кръговата икономика съдържа най-малко следните мерки:</w:t>
            </w:r>
          </w:p>
          <w:p w14:paraId="3A0DEAC0" w14:textId="77777777" w:rsidR="006054AA" w:rsidRDefault="001F7667">
            <w:pPr>
              <w:pStyle w:val="P68B1DB1-Normal11"/>
              <w:numPr>
                <w:ilvl w:val="0"/>
                <w:numId w:val="58"/>
              </w:numPr>
              <w:spacing w:before="120" w:line="276" w:lineRule="auto"/>
              <w:ind w:left="244" w:hanging="357"/>
              <w:rPr>
                <w:noProof/>
              </w:rPr>
            </w:pPr>
            <w:r>
              <w:rPr>
                <w:noProof/>
              </w:rPr>
              <w:t>нова цифрова система за проследяване на отпадъците, която ще подкрепя, от една страна, развитието на вторичния пазар на суровини (като предоставя ясна рамка за доставките на вторични суровини), от друга страна, контролните органи за предотвратяване и справяне с незаконното управление на отпадъците.</w:t>
            </w:r>
          </w:p>
          <w:p w14:paraId="42F39AEC" w14:textId="77777777" w:rsidR="006054AA" w:rsidRDefault="001F7667">
            <w:pPr>
              <w:pStyle w:val="P68B1DB1-Normal11"/>
              <w:numPr>
                <w:ilvl w:val="0"/>
                <w:numId w:val="58"/>
              </w:numPr>
              <w:spacing w:before="120" w:line="276" w:lineRule="auto"/>
              <w:ind w:left="244" w:hanging="357"/>
              <w:rPr>
                <w:noProof/>
              </w:rPr>
            </w:pPr>
            <w:r>
              <w:rPr>
                <w:noProof/>
              </w:rPr>
              <w:t>данъчни стимули в подкрепа на дейностите по рециклиране и използването на вторични суровини;</w:t>
            </w:r>
          </w:p>
          <w:p w14:paraId="168B1B0A" w14:textId="77777777" w:rsidR="006054AA" w:rsidRDefault="001F7667">
            <w:pPr>
              <w:pStyle w:val="P68B1DB1-Normal11"/>
              <w:numPr>
                <w:ilvl w:val="0"/>
                <w:numId w:val="58"/>
              </w:numPr>
              <w:spacing w:before="120" w:line="276" w:lineRule="auto"/>
              <w:ind w:left="244" w:hanging="357"/>
              <w:rPr>
                <w:noProof/>
              </w:rPr>
            </w:pPr>
            <w:r>
              <w:rPr>
                <w:noProof/>
              </w:rPr>
              <w:t>преразглеждане на системата за екологично данъчно облагане на отпадъците, за да се направи рециклирането по-удобно от депонирането и изгарянето на територията на страната;</w:t>
            </w:r>
          </w:p>
          <w:p w14:paraId="71991729" w14:textId="77777777" w:rsidR="006054AA" w:rsidRDefault="001F7667">
            <w:pPr>
              <w:pStyle w:val="P68B1DB1-Normal11"/>
              <w:numPr>
                <w:ilvl w:val="0"/>
                <w:numId w:val="58"/>
              </w:numPr>
              <w:spacing w:before="120" w:line="276" w:lineRule="auto"/>
              <w:ind w:left="244" w:hanging="357"/>
              <w:rPr>
                <w:noProof/>
              </w:rPr>
            </w:pPr>
            <w:r>
              <w:rPr>
                <w:noProof/>
              </w:rPr>
              <w:t>право на повторна употреба и поправка;</w:t>
            </w:r>
          </w:p>
          <w:p w14:paraId="191A7981" w14:textId="77777777" w:rsidR="006054AA" w:rsidRDefault="001F7667">
            <w:pPr>
              <w:pStyle w:val="P68B1DB1-Normal11"/>
              <w:numPr>
                <w:ilvl w:val="0"/>
                <w:numId w:val="58"/>
              </w:numPr>
              <w:spacing w:before="120" w:line="276" w:lineRule="auto"/>
              <w:ind w:left="244" w:hanging="357"/>
              <w:rPr>
                <w:noProof/>
              </w:rPr>
            </w:pPr>
            <w:r>
              <w:rPr>
                <w:noProof/>
              </w:rPr>
              <w:t>реформа на системата за разширена отговорност на производителя и на консорциумите, за да се подпомогне постигането на целите на ЕС чрез създаването на специален надзорен орган под председателството на MITE с цел наблюдение на функционирането и ефективността на системите на консорциумите;</w:t>
            </w:r>
          </w:p>
          <w:p w14:paraId="27B41C36" w14:textId="77777777" w:rsidR="006054AA" w:rsidRDefault="001F7667">
            <w:pPr>
              <w:pStyle w:val="P68B1DB1-Normal11"/>
              <w:numPr>
                <w:ilvl w:val="0"/>
                <w:numId w:val="58"/>
              </w:numPr>
              <w:spacing w:before="120" w:line="276" w:lineRule="auto"/>
              <w:ind w:left="244" w:hanging="357"/>
              <w:rPr>
                <w:noProof/>
              </w:rPr>
            </w:pPr>
            <w:r>
              <w:rPr>
                <w:noProof/>
              </w:rPr>
              <w:t>подкрепа за съществуващите регулаторни инструменти: Законодателство за край на отпадъците (национално и регионално), минимални екологични критерии (CAM) в рамките на екологосъобразните обществени поръчки. Разработването/актуализирането на EOW и CAM обхваща по-специално строителството, текстила, пластмасите, отпадъците от електрическо и електронно оборудване (ОЕЕО).</w:t>
            </w:r>
          </w:p>
          <w:p w14:paraId="43AB0EFF" w14:textId="77777777" w:rsidR="006054AA" w:rsidRDefault="001F7667">
            <w:pPr>
              <w:pStyle w:val="P68B1DB1-Normal11"/>
              <w:numPr>
                <w:ilvl w:val="0"/>
                <w:numId w:val="58"/>
              </w:numPr>
              <w:spacing w:before="120" w:line="276" w:lineRule="auto"/>
              <w:ind w:left="244" w:hanging="357"/>
              <w:rPr>
                <w:noProof/>
              </w:rPr>
            </w:pPr>
            <w:r>
              <w:rPr>
                <w:noProof/>
              </w:rPr>
              <w:t>подкрепа за проекта за промишлена симбиоза чрез регулаторни и финансови инструменти.)</w:t>
            </w:r>
          </w:p>
        </w:tc>
      </w:tr>
      <w:tr w:rsidR="006054AA" w14:paraId="1349EF45"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C2339D6" w14:textId="77777777" w:rsidR="006054AA" w:rsidRDefault="001F7667">
            <w:pPr>
              <w:pStyle w:val="P68B1DB1-Normal11"/>
              <w:spacing w:line="276" w:lineRule="auto"/>
              <w:jc w:val="center"/>
              <w:rPr>
                <w:noProof/>
              </w:rPr>
            </w:pPr>
            <w:r>
              <w:rPr>
                <w:noProof/>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1E6EBFC1" w14:textId="77777777" w:rsidR="006054AA" w:rsidRDefault="001F7667">
            <w:pPr>
              <w:pStyle w:val="P68B1DB1-Normal11"/>
              <w:spacing w:line="276" w:lineRule="auto"/>
              <w:jc w:val="center"/>
              <w:rPr>
                <w:noProof/>
              </w:rPr>
            </w:pPr>
            <w:r>
              <w:rPr>
                <w:noProof/>
              </w:rPr>
              <w:t>Реформа 1.3 — Техническа подкрепа за местните власти</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9BF1014" w14:textId="77777777" w:rsidR="006054AA" w:rsidRDefault="001F7667">
            <w:pPr>
              <w:pStyle w:val="P68B1DB1-Normal11"/>
              <w:spacing w:line="276" w:lineRule="auto"/>
              <w:jc w:val="center"/>
              <w:rPr>
                <w:noProof/>
              </w:rPr>
            </w:pPr>
            <w:r>
              <w:rPr>
                <w:noProof/>
              </w:rPr>
              <w:t>Ключов етап</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1D8953F" w14:textId="77777777" w:rsidR="006054AA" w:rsidRDefault="001F7667">
            <w:pPr>
              <w:pStyle w:val="P68B1DB1-Normal11"/>
              <w:spacing w:line="276" w:lineRule="auto"/>
              <w:jc w:val="center"/>
              <w:rPr>
                <w:noProof/>
              </w:rPr>
            </w:pPr>
            <w:r>
              <w:rPr>
                <w:noProof/>
              </w:rPr>
              <w:t>Одобряване на споразумение за разработването на план за действие за изграждане на капацитет в подкрепа на местните публични органи</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7CE284C0" w14:textId="77A58ADA" w:rsidR="006054AA" w:rsidRDefault="001F7667">
            <w:pPr>
              <w:pStyle w:val="P68B1DB1-Normal11"/>
              <w:spacing w:line="276" w:lineRule="auto"/>
              <w:jc w:val="center"/>
              <w:rPr>
                <w:noProof/>
              </w:rPr>
            </w:pPr>
            <w:r>
              <w:rPr>
                <w:noProof/>
              </w:rPr>
              <w:t>Публикуване на одобреното споразумение на уебсайта на Министерството</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190BA50D" w14:textId="77777777" w:rsidR="006054AA" w:rsidRDefault="001F7667">
            <w:pPr>
              <w:pStyle w:val="P68B1DB1-Normal11"/>
              <w:spacing w:line="276" w:lineRule="auto"/>
              <w:jc w:val="center"/>
              <w:rPr>
                <w:noProof/>
              </w:rPr>
            </w:pPr>
            <w:r>
              <w:rPr>
                <w:noProof/>
              </w:rPr>
              <w:t>НЯМА</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6EC79B64" w14:textId="77777777" w:rsidR="006054AA" w:rsidRDefault="001F7667">
            <w:pPr>
              <w:pStyle w:val="P68B1DB1-Normal11"/>
              <w:spacing w:line="276" w:lineRule="auto"/>
              <w:jc w:val="center"/>
              <w:rPr>
                <w:noProof/>
              </w:rPr>
            </w:pPr>
            <w:r>
              <w:rPr>
                <w:noProof/>
              </w:rPr>
              <w:t>НЯМА</w:t>
            </w:r>
          </w:p>
        </w:tc>
        <w:tc>
          <w:tcPr>
            <w:tcW w:w="1347" w:type="dxa"/>
            <w:tcBorders>
              <w:top w:val="single" w:sz="4" w:space="0" w:color="auto"/>
              <w:left w:val="nil"/>
              <w:bottom w:val="single" w:sz="4" w:space="0" w:color="auto"/>
              <w:right w:val="single" w:sz="4" w:space="0" w:color="auto"/>
            </w:tcBorders>
            <w:shd w:val="clear" w:color="auto" w:fill="C6EFCE"/>
            <w:noWrap/>
            <w:vAlign w:val="center"/>
            <w:hideMark/>
          </w:tcPr>
          <w:p w14:paraId="7AA149F4" w14:textId="77777777" w:rsidR="006054AA" w:rsidRDefault="001F7667">
            <w:pPr>
              <w:pStyle w:val="P68B1DB1-Normal11"/>
              <w:spacing w:line="276" w:lineRule="auto"/>
              <w:jc w:val="center"/>
              <w:rPr>
                <w:noProof/>
              </w:rPr>
            </w:pPr>
            <w:r>
              <w:rPr>
                <w:noProof/>
              </w:rPr>
              <w:t>НЯМА</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189F14F2" w14:textId="77777777" w:rsidR="006054AA" w:rsidRDefault="001F7667">
            <w:pPr>
              <w:pStyle w:val="P68B1DB1-Normal11"/>
              <w:spacing w:line="276" w:lineRule="auto"/>
              <w:jc w:val="center"/>
              <w:rPr>
                <w:noProof/>
              </w:rPr>
            </w:pPr>
            <w:r>
              <w:rPr>
                <w:noProof/>
              </w:rPr>
              <w:t>Т2 Г.</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29F352C5" w14:textId="77777777" w:rsidR="006054AA" w:rsidRDefault="001F7667">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6BB14A6" w14:textId="77777777" w:rsidR="006054AA" w:rsidRDefault="001F7667">
            <w:pPr>
              <w:pStyle w:val="P68B1DB1-Normal11"/>
              <w:spacing w:before="120" w:after="120" w:line="276" w:lineRule="auto"/>
              <w:rPr>
                <w:noProof/>
              </w:rPr>
            </w:pPr>
            <w:r>
              <w:rPr>
                <w:noProof/>
              </w:rPr>
              <w:t>Одобрява се споразумението за разработване на план за действие за изграждане на капацитет в подкрепа на местните публични органи при прилагането в рамките на тръжните процедури на минималните екологични критерии (CAM), определени със закон (Законодателен декрет № 50/2016 относно обществените поръчки) в рамките на екологосъобразните обществени поръчки (ЕОП), и за започване на действието за подкрепа.</w:t>
            </w:r>
          </w:p>
          <w:p w14:paraId="02141048" w14:textId="77777777" w:rsidR="006054AA" w:rsidRDefault="001F7667">
            <w:pPr>
              <w:pStyle w:val="P68B1DB1-Normal11"/>
              <w:suppressAutoHyphens/>
              <w:spacing w:line="276" w:lineRule="auto"/>
              <w:rPr>
                <w:noProof/>
              </w:rPr>
            </w:pPr>
            <w:r>
              <w:rPr>
                <w:noProof/>
              </w:rPr>
              <w:t>Техническата подкрепа за местните власти (региони, провинции и общини) се осигурява от правителството (Министерство на екологичния преход, Министерство на икономическото развитие и други подходящи) чрез вътрешните дружества. Техническата подкрепа обхваща следното:</w:t>
            </w:r>
          </w:p>
          <w:p w14:paraId="56C143E4" w14:textId="77777777" w:rsidR="006054AA" w:rsidRDefault="001F7667">
            <w:pPr>
              <w:pStyle w:val="P68B1DB1-Normal11"/>
              <w:numPr>
                <w:ilvl w:val="0"/>
                <w:numId w:val="58"/>
              </w:numPr>
              <w:suppressAutoHyphens/>
              <w:spacing w:before="120" w:line="276" w:lineRule="auto"/>
              <w:contextualSpacing/>
              <w:rPr>
                <w:noProof/>
              </w:rPr>
            </w:pPr>
            <w:r>
              <w:rPr>
                <w:noProof/>
              </w:rPr>
              <w:t>техническа помощ за прилагането на европейското и националното законодателство в областта на околната среда;</w:t>
            </w:r>
          </w:p>
          <w:p w14:paraId="4F566256" w14:textId="77777777" w:rsidR="006054AA" w:rsidRDefault="001F7667">
            <w:pPr>
              <w:pStyle w:val="P68B1DB1-Normal11"/>
              <w:numPr>
                <w:ilvl w:val="0"/>
                <w:numId w:val="58"/>
              </w:numPr>
              <w:suppressAutoHyphens/>
              <w:spacing w:before="120" w:line="276" w:lineRule="auto"/>
              <w:contextualSpacing/>
              <w:rPr>
                <w:noProof/>
              </w:rPr>
            </w:pPr>
            <w:r>
              <w:rPr>
                <w:noProof/>
              </w:rPr>
              <w:t>подкрепа за разработването на планове и проекти за управление на отпадъците;</w:t>
            </w:r>
          </w:p>
          <w:p w14:paraId="40076C49" w14:textId="77777777" w:rsidR="006054AA" w:rsidRDefault="001F7667">
            <w:pPr>
              <w:pStyle w:val="P68B1DB1-Normal11"/>
              <w:numPr>
                <w:ilvl w:val="0"/>
                <w:numId w:val="58"/>
              </w:numPr>
              <w:suppressAutoHyphens/>
              <w:spacing w:before="120" w:line="276" w:lineRule="auto"/>
              <w:contextualSpacing/>
              <w:rPr>
                <w:noProof/>
              </w:rPr>
            </w:pPr>
            <w:r>
              <w:rPr>
                <w:noProof/>
              </w:rPr>
              <w:t>подкрепа за тръжни процедури, включително с цел да се гарантира, че концесиите за управление на отпадъците се предоставят по прозрачен и недискриминационен начин, като се увеличават конкурентните процеси с цел постигане на по-добри стандарти за обществените услуги.</w:t>
            </w:r>
          </w:p>
          <w:p w14:paraId="77D20DB3" w14:textId="77777777" w:rsidR="006054AA" w:rsidRDefault="006054AA">
            <w:pPr>
              <w:suppressAutoHyphens/>
              <w:spacing w:line="276" w:lineRule="auto"/>
              <w:rPr>
                <w:rFonts w:ascii="Arial Narrow" w:hAnsi="Arial Narrow"/>
                <w:noProof/>
                <w:color w:val="006100"/>
                <w:sz w:val="20"/>
              </w:rPr>
            </w:pPr>
          </w:p>
          <w:p w14:paraId="3A060065" w14:textId="4A47491C" w:rsidR="006054AA" w:rsidRDefault="001F7667">
            <w:pPr>
              <w:pStyle w:val="P68B1DB1-Normal11"/>
              <w:suppressAutoHyphens/>
              <w:spacing w:line="276" w:lineRule="auto"/>
              <w:rPr>
                <w:noProof/>
              </w:rPr>
            </w:pPr>
            <w:r>
              <w:rPr>
                <w:noProof/>
              </w:rPr>
              <w:t>Министерството на екологичния преход разработва специален план за действие за изграждане на капацитет, за да подпомогне местните публични органи и професионалните публични купувачи при прилагането към тръжните процедури на минималните екологични критерии (CAM), определени със закон (Законодателен декрет № 50/2016 относно обществените поръчки) в рамките на екологосъобразните обществени поръчки (ЕОП).</w:t>
            </w:r>
          </w:p>
        </w:tc>
      </w:tr>
      <w:tr w:rsidR="006054AA" w14:paraId="77B3D194"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CF5F9" w14:textId="77777777" w:rsidR="006054AA" w:rsidRDefault="001F7667">
            <w:pPr>
              <w:pStyle w:val="P68B1DB1-Normal11"/>
              <w:spacing w:line="276" w:lineRule="auto"/>
              <w:jc w:val="center"/>
              <w:rPr>
                <w:noProof/>
              </w:rPr>
            </w:pPr>
            <w:r>
              <w:rPr>
                <w:noProof/>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D250501" w14:textId="77777777" w:rsidR="006054AA" w:rsidRDefault="001F7667">
            <w:pPr>
              <w:pStyle w:val="P68B1DB1-Normal11"/>
              <w:spacing w:line="276" w:lineRule="auto"/>
              <w:jc w:val="center"/>
              <w:rPr>
                <w:noProof/>
              </w:rPr>
            </w:pPr>
            <w:r>
              <w:rPr>
                <w:noProof/>
              </w:rPr>
              <w:t>Инвестиция 2.1: Логистичен план за секторите на хранително-вкусовата промишленост, рибарството и аквакултурите, горското стопанство, цветарството и растениевъдството</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03DF65E" w14:textId="77777777" w:rsidR="006054AA" w:rsidRDefault="001F7667">
            <w:pPr>
              <w:pStyle w:val="P68B1DB1-Normal11"/>
              <w:spacing w:line="276" w:lineRule="auto"/>
              <w:jc w:val="center"/>
              <w:rPr>
                <w:noProof/>
              </w:rPr>
            </w:pPr>
            <w:r>
              <w:rPr>
                <w:noProof/>
              </w:rPr>
              <w:t>Ключов етап</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421497E" w14:textId="77777777" w:rsidR="006054AA" w:rsidRDefault="001F7667">
            <w:pPr>
              <w:pStyle w:val="P68B1DB1-Normal11"/>
              <w:spacing w:line="276" w:lineRule="auto"/>
              <w:jc w:val="center"/>
              <w:rPr>
                <w:noProof/>
              </w:rPr>
            </w:pPr>
            <w:r>
              <w:rPr>
                <w:noProof/>
              </w:rPr>
              <w:t>Публикуване на окончателното класиране по схемата за логистични стимули</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C0D3C58" w14:textId="77777777" w:rsidR="006054AA" w:rsidRDefault="001F7667">
            <w:pPr>
              <w:pStyle w:val="P68B1DB1-Normal11"/>
              <w:spacing w:line="276" w:lineRule="auto"/>
              <w:jc w:val="center"/>
              <w:rPr>
                <w:noProof/>
              </w:rPr>
            </w:pPr>
            <w:r>
              <w:rPr>
                <w:noProof/>
              </w:rPr>
              <w:t>Публикуване на уебсайта на министерството или на всеки друг канал за подкрепа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2D0C015" w14:textId="77777777" w:rsidR="006054AA" w:rsidRDefault="001F7667">
            <w:pPr>
              <w:pStyle w:val="P68B1DB1-Normal11"/>
              <w:spacing w:line="276" w:lineRule="auto"/>
              <w:jc w:val="center"/>
              <w:rPr>
                <w:noProof/>
              </w:rPr>
            </w:pPr>
            <w:r>
              <w:rPr>
                <w:noProof/>
              </w:rPr>
              <w:t>НЯМА</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D659D60" w14:textId="77777777" w:rsidR="006054AA" w:rsidRDefault="001F7667">
            <w:pPr>
              <w:pStyle w:val="P68B1DB1-Normal11"/>
              <w:spacing w:line="276" w:lineRule="auto"/>
              <w:jc w:val="center"/>
              <w:rPr>
                <w:noProof/>
              </w:rPr>
            </w:pPr>
            <w:r>
              <w:rPr>
                <w:noProof/>
              </w:rPr>
              <w:t>НЯМА</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E534B1B" w14:textId="77777777" w:rsidR="006054AA" w:rsidRDefault="001F7667">
            <w:pPr>
              <w:pStyle w:val="P68B1DB1-Normal11"/>
              <w:spacing w:line="276" w:lineRule="auto"/>
              <w:jc w:val="center"/>
              <w:rPr>
                <w:noProof/>
              </w:rPr>
            </w:pPr>
            <w:r>
              <w:rPr>
                <w:noProof/>
              </w:rPr>
              <w:t>НЯМА</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C7545EB" w14:textId="77777777" w:rsidR="006054AA" w:rsidRDefault="001F7667">
            <w:pPr>
              <w:pStyle w:val="P68B1DB1-Normal11"/>
              <w:spacing w:line="276" w:lineRule="auto"/>
              <w:jc w:val="center"/>
              <w:rPr>
                <w:noProof/>
              </w:rPr>
            </w:pPr>
            <w:r>
              <w:rPr>
                <w:noProof/>
              </w:rPr>
              <w:t>Т4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A080CA2" w14:textId="77777777" w:rsidR="006054AA" w:rsidRDefault="001F7667">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1D96888" w14:textId="7C00BA82" w:rsidR="006054AA" w:rsidRDefault="001F7667">
            <w:pPr>
              <w:pStyle w:val="P68B1DB1-Normal11"/>
              <w:spacing w:line="276" w:lineRule="auto"/>
              <w:rPr>
                <w:noProof/>
              </w:rPr>
            </w:pPr>
            <w:r>
              <w:rPr>
                <w:noProof/>
              </w:rPr>
              <w:t>В постановлението за одобрение се определя окончателното класиране.</w:t>
            </w:r>
          </w:p>
          <w:p w14:paraId="3C8C26C3" w14:textId="77777777" w:rsidR="006054AA" w:rsidRDefault="006054AA">
            <w:pPr>
              <w:spacing w:line="276" w:lineRule="auto"/>
              <w:rPr>
                <w:rFonts w:ascii="Arial Narrow" w:hAnsi="Arial Narrow"/>
                <w:noProof/>
                <w:color w:val="006100"/>
                <w:sz w:val="20"/>
              </w:rPr>
            </w:pPr>
          </w:p>
          <w:p w14:paraId="138C8C63" w14:textId="77777777" w:rsidR="006054AA" w:rsidRDefault="001F7667">
            <w:pPr>
              <w:pStyle w:val="P68B1DB1-paragraph25"/>
              <w:spacing w:before="0" w:beforeAutospacing="0" w:after="0" w:afterAutospacing="0" w:line="276" w:lineRule="auto"/>
              <w:textAlignment w:val="baseline"/>
              <w:rPr>
                <w:noProof/>
              </w:rPr>
            </w:pPr>
            <w:r>
              <w:rPr>
                <w:noProof/>
              </w:rPr>
              <w:t>Схемата за логистични стимули включва следното:</w:t>
            </w:r>
          </w:p>
          <w:p w14:paraId="11F26DD6" w14:textId="77777777" w:rsidR="006054AA" w:rsidRDefault="001F7667">
            <w:pPr>
              <w:pStyle w:val="P68B1DB1-paragraph25"/>
              <w:spacing w:before="0" w:beforeAutospacing="0" w:after="0" w:afterAutospacing="0" w:line="276" w:lineRule="auto"/>
              <w:textAlignment w:val="baseline"/>
              <w:rPr>
                <w:noProof/>
              </w:rPr>
            </w:pPr>
            <w:r>
              <w:rPr>
                <w:noProof/>
              </w:rPr>
              <w:t>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съответствие със съответното законодателство на ЕС и национално законодателство в областта на околната среда.</w:t>
            </w:r>
          </w:p>
          <w:p w14:paraId="1C6C633E" w14:textId="77777777" w:rsidR="006054AA" w:rsidRDefault="001F7667">
            <w:pPr>
              <w:pStyle w:val="P68B1DB1-paragraph25"/>
              <w:spacing w:before="0" w:beforeAutospacing="0" w:after="0" w:afterAutospacing="0" w:line="276" w:lineRule="auto"/>
              <w:textAlignment w:val="baseline"/>
              <w:rPr>
                <w:noProof/>
              </w:rPr>
            </w:pPr>
            <w:r>
              <w:rPr>
                <w:noProof/>
              </w:rPr>
              <w:t>ангажимент, че приносът на инвестицията в областта на климата съгласно методиката в приложение VI към Регламент (ЕС) 2021/241 трябва да представлява най-малко 32 % от общите разходи за инвестицията, подкрепена от МВУ.</w:t>
            </w:r>
          </w:p>
          <w:p w14:paraId="0527F35B" w14:textId="77777777" w:rsidR="006054AA" w:rsidRDefault="001F7667">
            <w:pPr>
              <w:pStyle w:val="P68B1DB1-Normal11"/>
              <w:spacing w:line="276" w:lineRule="auto"/>
              <w:rPr>
                <w:noProof/>
              </w:rPr>
            </w:pPr>
            <w:r>
              <w:rPr>
                <w:noProof/>
              </w:rPr>
              <w:t>ангажимент, че цифровият принос на инвестицията съгласно методиката в приложение VII към Регламент (ЕС) 2021/241 трябва да представлява най-малко 27 % от общите разходи за инвестицията, подкрепена от МВУ.</w:t>
            </w:r>
          </w:p>
          <w:p w14:paraId="4DCE2024" w14:textId="284899A3" w:rsidR="006054AA" w:rsidRDefault="001F7667">
            <w:pPr>
              <w:pStyle w:val="P68B1DB1-Normal11"/>
              <w:spacing w:line="276" w:lineRule="auto"/>
              <w:rPr>
                <w:noProof/>
              </w:rPr>
            </w:pPr>
            <w:r>
              <w:rPr>
                <w:noProof/>
              </w:rPr>
              <w:t>ангажимент за докладване относно изпълнението на мярката в средата на жизнения цикъл на схемата и края на схемата.</w:t>
            </w:r>
          </w:p>
        </w:tc>
      </w:tr>
      <w:tr w:rsidR="006054AA" w14:paraId="3A178DBF"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C0610" w14:textId="77777777" w:rsidR="006054AA" w:rsidRDefault="001F7667">
            <w:pPr>
              <w:pStyle w:val="P68B1DB1-Normal11"/>
              <w:spacing w:line="276" w:lineRule="auto"/>
              <w:jc w:val="center"/>
              <w:rPr>
                <w:noProof/>
              </w:rPr>
            </w:pPr>
            <w:r>
              <w:rPr>
                <w:noProof/>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0171D9" w14:textId="77777777" w:rsidR="006054AA" w:rsidRDefault="001F7667">
            <w:pPr>
              <w:pStyle w:val="P68B1DB1-Normal11"/>
              <w:spacing w:line="276" w:lineRule="auto"/>
              <w:jc w:val="center"/>
              <w:rPr>
                <w:noProof/>
              </w:rPr>
            </w:pPr>
            <w:r>
              <w:rPr>
                <w:noProof/>
              </w:rPr>
              <w:t>Инвестиция 2.2: Агрослънчев парк</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796A19"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7E819DE" w14:textId="77777777" w:rsidR="006054AA" w:rsidRDefault="001F7667">
            <w:pPr>
              <w:pStyle w:val="P68B1DB1-Normal11"/>
              <w:spacing w:line="276" w:lineRule="auto"/>
              <w:jc w:val="center"/>
              <w:rPr>
                <w:noProof/>
              </w:rPr>
            </w:pPr>
            <w:r>
              <w:rPr>
                <w:noProof/>
              </w:rPr>
              <w:t>Разпределение на ресурсите за бенефициерите като% от общия размер на финансовите ресурси, предназначени за инвестицията</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E356338"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12C21B5" w14:textId="77777777" w:rsidR="006054AA" w:rsidRDefault="001F7667">
            <w:pPr>
              <w:pStyle w:val="P68B1DB1-Normal11"/>
              <w:spacing w:line="276" w:lineRule="auto"/>
              <w:jc w:val="center"/>
              <w:rPr>
                <w:noProof/>
              </w:rPr>
            </w:pPr>
            <w:r>
              <w:rPr>
                <w:noProof/>
              </w:rPr>
              <w:t>Проценти</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515BF60" w14:textId="77777777" w:rsidR="006054AA" w:rsidRDefault="001F7667">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7E5B7634" w14:textId="77777777" w:rsidR="006054AA" w:rsidRDefault="001F7667">
            <w:pPr>
              <w:pStyle w:val="P68B1DB1-Normal11"/>
              <w:spacing w:line="276" w:lineRule="auto"/>
              <w:jc w:val="center"/>
              <w:rPr>
                <w:noProof/>
              </w:rPr>
            </w:pPr>
            <w:r>
              <w:rPr>
                <w:noProof/>
              </w:rPr>
              <w:t>30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15D2944E" w14:textId="77777777" w:rsidR="006054AA" w:rsidRDefault="001F7667">
            <w:pPr>
              <w:pStyle w:val="P68B1DB1-Normal11"/>
              <w:spacing w:line="276" w:lineRule="auto"/>
              <w:jc w:val="center"/>
              <w:rPr>
                <w:noProof/>
              </w:rPr>
            </w:pPr>
            <w:r>
              <w:rPr>
                <w:noProof/>
              </w:rPr>
              <w:t>Т4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902351" w14:textId="77777777" w:rsidR="006054AA" w:rsidRDefault="001F7667">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6A7AFFF" w14:textId="77777777" w:rsidR="006054AA" w:rsidRDefault="001F7667">
            <w:pPr>
              <w:pStyle w:val="P68B1DB1-Normal11"/>
              <w:spacing w:line="276" w:lineRule="auto"/>
              <w:rPr>
                <w:noProof/>
              </w:rPr>
            </w:pPr>
            <w:r>
              <w:rPr>
                <w:noProof/>
              </w:rPr>
              <w:t>Определяне на проектите бенефициери, чиято обща стойност възлиза на най-малко 30 % от общите финансови ресурси, предназначени за инвестицията. Инвестицията се осъществява чрез две различни процедури, които вече съществуват и се рефинансира. Тези процедури предвиждат отпускането на заеми на дружества, които отговарят на изискванията и подават заявлението.</w:t>
            </w:r>
          </w:p>
        </w:tc>
      </w:tr>
      <w:tr w:rsidR="006054AA" w14:paraId="422D9EF8"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A5B67F" w14:textId="77777777" w:rsidR="006054AA" w:rsidRDefault="001F7667">
            <w:pPr>
              <w:pStyle w:val="P68B1DB1-Normal11"/>
              <w:spacing w:line="276" w:lineRule="auto"/>
              <w:jc w:val="center"/>
              <w:rPr>
                <w:noProof/>
              </w:rPr>
            </w:pPr>
            <w:r>
              <w:rPr>
                <w:noProof/>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57055F" w14:textId="77777777" w:rsidR="006054AA" w:rsidRDefault="001F7667">
            <w:pPr>
              <w:pStyle w:val="P68B1DB1-Normal11"/>
              <w:spacing w:line="276" w:lineRule="auto"/>
              <w:jc w:val="center"/>
              <w:rPr>
                <w:noProof/>
              </w:rPr>
            </w:pPr>
            <w:r>
              <w:rPr>
                <w:noProof/>
              </w:rPr>
              <w:t>Инвестиция 2.2: Агрослънчев парк</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975E22F"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A72E24B" w14:textId="77777777" w:rsidR="006054AA" w:rsidRDefault="001F7667">
            <w:pPr>
              <w:pStyle w:val="P68B1DB1-Normal11"/>
              <w:spacing w:line="276" w:lineRule="auto"/>
              <w:jc w:val="center"/>
              <w:rPr>
                <w:noProof/>
              </w:rPr>
            </w:pPr>
            <w:r>
              <w:rPr>
                <w:noProof/>
              </w:rPr>
              <w:t>Разпределение на ресурсите за бенефициерите като% от общия размер на финансовите ресурси, предназначени за инвестицията</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4601A16"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5D5725E" w14:textId="77777777" w:rsidR="006054AA" w:rsidRDefault="001F7667">
            <w:pPr>
              <w:pStyle w:val="P68B1DB1-Normal11"/>
              <w:spacing w:line="276" w:lineRule="auto"/>
              <w:jc w:val="center"/>
              <w:rPr>
                <w:noProof/>
              </w:rPr>
            </w:pPr>
            <w:r>
              <w:rPr>
                <w:noProof/>
              </w:rPr>
              <w:t>Проценти</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89158B7" w14:textId="6159A9EE" w:rsidR="006054AA" w:rsidRDefault="001F7667">
            <w:pPr>
              <w:pStyle w:val="P68B1DB1-Normal11"/>
              <w:spacing w:line="276" w:lineRule="auto"/>
              <w:jc w:val="center"/>
              <w:rPr>
                <w:noProof/>
              </w:rPr>
            </w:pPr>
            <w:r>
              <w:rPr>
                <w:noProof/>
              </w:rPr>
              <w:t>19</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B0532C7" w14:textId="16823094" w:rsidR="006054AA" w:rsidRDefault="001F7667">
            <w:pPr>
              <w:pStyle w:val="P68B1DB1-Normal11"/>
              <w:spacing w:line="276" w:lineRule="auto"/>
              <w:jc w:val="center"/>
              <w:rPr>
                <w:noProof/>
              </w:rPr>
            </w:pPr>
            <w:r>
              <w:rPr>
                <w:noProof/>
              </w:rPr>
              <w:t>32</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179F561" w14:textId="77777777" w:rsidR="006054AA" w:rsidRDefault="001F7667">
            <w:pPr>
              <w:pStyle w:val="P68B1DB1-Normal11"/>
              <w:spacing w:line="276" w:lineRule="auto"/>
              <w:jc w:val="center"/>
              <w:rPr>
                <w:noProof/>
              </w:rPr>
            </w:pPr>
            <w:r>
              <w:rPr>
                <w:noProof/>
              </w:rPr>
              <w:t>Т4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7EC75217" w14:textId="77777777" w:rsidR="006054AA" w:rsidRDefault="001F7667">
            <w:pPr>
              <w:pStyle w:val="P68B1DB1-Normal11"/>
              <w:spacing w:line="276" w:lineRule="auto"/>
              <w:jc w:val="center"/>
              <w:rPr>
                <w:noProof/>
              </w:rPr>
            </w:pPr>
            <w:r>
              <w:rPr>
                <w:noProof/>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FA543FA" w14:textId="5CEBF0B5" w:rsidR="006054AA" w:rsidRDefault="001F7667">
            <w:pPr>
              <w:pStyle w:val="P68B1DB1-Normal11"/>
              <w:spacing w:line="276" w:lineRule="auto"/>
              <w:rPr>
                <w:noProof/>
              </w:rPr>
            </w:pPr>
            <w:r>
              <w:rPr>
                <w:noProof/>
              </w:rPr>
              <w:t>Посочват се проектите бенефициери, чиято обща стойност възлиза на най-малко 32 % от общите финансови ресурси, предназначени за инвестицията. Процедурата за отпускане на безвъзмездни средства или други стимули предвижда изплащане на безвъзмездни средства или други стимули за дружествата, които отговарят на изискванията и подават заявлението.</w:t>
            </w:r>
          </w:p>
        </w:tc>
      </w:tr>
      <w:tr w:rsidR="006054AA" w14:paraId="2CC7532A"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85F11" w14:textId="77777777" w:rsidR="006054AA" w:rsidRDefault="001F7667">
            <w:pPr>
              <w:pStyle w:val="P68B1DB1-Normal11"/>
              <w:spacing w:line="276" w:lineRule="auto"/>
              <w:jc w:val="center"/>
              <w:rPr>
                <w:noProof/>
              </w:rPr>
            </w:pPr>
            <w:r>
              <w:rPr>
                <w:noProof/>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CA3FA3F" w14:textId="77777777" w:rsidR="006054AA" w:rsidRDefault="001F7667">
            <w:pPr>
              <w:pStyle w:val="P68B1DB1-Normal11"/>
              <w:spacing w:line="276" w:lineRule="auto"/>
              <w:jc w:val="center"/>
              <w:rPr>
                <w:noProof/>
              </w:rPr>
            </w:pPr>
            <w:r>
              <w:rPr>
                <w:noProof/>
              </w:rPr>
              <w:t>Инвестиция 2.2: Агрослънчев парк</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9C43274"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6D077D0" w14:textId="77777777" w:rsidR="006054AA" w:rsidRDefault="001F7667">
            <w:pPr>
              <w:pStyle w:val="P68B1DB1-Normal11"/>
              <w:spacing w:line="276" w:lineRule="auto"/>
              <w:jc w:val="center"/>
              <w:rPr>
                <w:noProof/>
              </w:rPr>
            </w:pPr>
            <w:r>
              <w:rPr>
                <w:noProof/>
              </w:rPr>
              <w:t>Разпределение на ресурсите за бенефициерите като% от общия размер на финансовите ресурси, предназначени за инвестицията</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6914114"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D7A5FED" w14:textId="77777777" w:rsidR="006054AA" w:rsidRDefault="001F7667">
            <w:pPr>
              <w:pStyle w:val="P68B1DB1-Normal11"/>
              <w:spacing w:line="276" w:lineRule="auto"/>
              <w:jc w:val="center"/>
              <w:rPr>
                <w:noProof/>
              </w:rPr>
            </w:pPr>
            <w:r>
              <w:rPr>
                <w:noProof/>
              </w:rPr>
              <w:t>Проценти</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ABEE1C3" w14:textId="6582D99C" w:rsidR="006054AA" w:rsidRDefault="001F7667">
            <w:pPr>
              <w:pStyle w:val="P68B1DB1-Normal11"/>
              <w:spacing w:line="276" w:lineRule="auto"/>
              <w:jc w:val="center"/>
              <w:rPr>
                <w:noProof/>
              </w:rPr>
            </w:pPr>
            <w:r>
              <w:rPr>
                <w:noProof/>
              </w:rPr>
              <w:t>32</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7E7C771" w14:textId="4AB683C3" w:rsidR="006054AA" w:rsidRDefault="001F7667">
            <w:pPr>
              <w:pStyle w:val="P68B1DB1-Normal11"/>
              <w:spacing w:line="276" w:lineRule="auto"/>
              <w:jc w:val="center"/>
              <w:rPr>
                <w:noProof/>
              </w:rPr>
            </w:pPr>
            <w:r>
              <w:rPr>
                <w:noProof/>
              </w:rPr>
              <w:t>63.5</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1DAE61C" w14:textId="77777777" w:rsidR="006054AA" w:rsidRDefault="001F7667">
            <w:pPr>
              <w:pStyle w:val="P68B1DB1-Normal11"/>
              <w:spacing w:line="276" w:lineRule="auto"/>
              <w:jc w:val="center"/>
              <w:rPr>
                <w:noProof/>
              </w:rPr>
            </w:pPr>
            <w:r>
              <w:rPr>
                <w:noProof/>
              </w:rPr>
              <w:t>Т2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BA9285" w14:textId="77777777" w:rsidR="006054AA" w:rsidRDefault="001F7667">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93C3B2" w14:textId="0FA8BA2A" w:rsidR="006054AA" w:rsidRDefault="001F7667">
            <w:pPr>
              <w:pStyle w:val="P68B1DB1-Normal11"/>
              <w:spacing w:line="276" w:lineRule="auto"/>
              <w:rPr>
                <w:noProof/>
              </w:rPr>
            </w:pPr>
            <w:r>
              <w:rPr>
                <w:noProof/>
              </w:rPr>
              <w:t>Определяне на проектите бенефициери, чиято обща стойност възлиза на най-малко 63,5 % от общите финансови ресурси, предназначени за инвестицията.  Процедурата за отпускане на безвъзмездни средства или други стимули предвижда изплащането на безвъзмездни средства или други стимули за дружествата, които отговарят на изискванията и подават заявлението.</w:t>
            </w:r>
          </w:p>
        </w:tc>
      </w:tr>
      <w:tr w:rsidR="006054AA" w14:paraId="14A9BE13"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E4161" w14:textId="77777777" w:rsidR="006054AA" w:rsidRDefault="001F7667">
            <w:pPr>
              <w:pStyle w:val="P68B1DB1-Normal11"/>
              <w:spacing w:line="276" w:lineRule="auto"/>
              <w:jc w:val="center"/>
              <w:rPr>
                <w:noProof/>
              </w:rPr>
            </w:pPr>
            <w:r>
              <w:rPr>
                <w:noProof/>
              </w:rPr>
              <w:t>M2C1—6bis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AF1F40" w14:textId="77777777" w:rsidR="006054AA" w:rsidRDefault="001F7667">
            <w:pPr>
              <w:pStyle w:val="P68B1DB1-Normal11"/>
              <w:spacing w:line="276" w:lineRule="auto"/>
              <w:jc w:val="center"/>
              <w:rPr>
                <w:noProof/>
              </w:rPr>
            </w:pPr>
            <w:r>
              <w:rPr>
                <w:noProof/>
              </w:rPr>
              <w:t>Инвестиция 2.2: Агрослънчев парк</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D4E9B36"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BA552F6" w14:textId="77777777" w:rsidR="006054AA" w:rsidRDefault="001F7667">
            <w:pPr>
              <w:pStyle w:val="P68B1DB1-Normal11"/>
              <w:spacing w:line="276" w:lineRule="auto"/>
              <w:jc w:val="center"/>
              <w:rPr>
                <w:noProof/>
              </w:rPr>
            </w:pPr>
            <w:r>
              <w:rPr>
                <w:noProof/>
              </w:rPr>
              <w:t>Разпределение на ресурсите за бенефициерите като% от общия размер на финансовите ресурси, предназначени за инвестицията</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06C9A3B"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65B4BC" w14:textId="77777777" w:rsidR="006054AA" w:rsidRDefault="001F7667">
            <w:pPr>
              <w:pStyle w:val="P68B1DB1-Normal11"/>
              <w:spacing w:line="276" w:lineRule="auto"/>
              <w:jc w:val="center"/>
              <w:rPr>
                <w:noProof/>
              </w:rPr>
            </w:pPr>
            <w:r>
              <w:rPr>
                <w:noProof/>
              </w:rPr>
              <w:t>Проценти</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5D347F9" w14:textId="414E88C1" w:rsidR="006054AA" w:rsidRDefault="001F7667">
            <w:pPr>
              <w:pStyle w:val="P68B1DB1-Normal11"/>
              <w:spacing w:line="276" w:lineRule="auto"/>
              <w:jc w:val="center"/>
              <w:rPr>
                <w:noProof/>
              </w:rPr>
            </w:pPr>
            <w:r>
              <w:rPr>
                <w:noProof/>
              </w:rPr>
              <w:t>63.5</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57CCD5D" w14:textId="77777777" w:rsidR="006054AA" w:rsidRDefault="001F7667">
            <w:pPr>
              <w:pStyle w:val="P68B1DB1-Normal11"/>
              <w:spacing w:line="276" w:lineRule="auto"/>
              <w:jc w:val="center"/>
              <w:rPr>
                <w:noProof/>
              </w:rPr>
            </w:pPr>
            <w:r>
              <w:rPr>
                <w:noProof/>
              </w:rPr>
              <w:t>100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DF1B36" w14:textId="77777777" w:rsidR="006054AA" w:rsidRDefault="001F7667">
            <w:pPr>
              <w:pStyle w:val="P68B1DB1-Normal11"/>
              <w:spacing w:line="276" w:lineRule="auto"/>
              <w:jc w:val="center"/>
              <w:rPr>
                <w:noProof/>
              </w:rPr>
            </w:pPr>
            <w:r>
              <w:rPr>
                <w:noProof/>
              </w:rPr>
              <w:t>Т4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D23C9D2" w14:textId="77777777" w:rsidR="006054AA" w:rsidRDefault="001F7667">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1026A03" w14:textId="1EF27879" w:rsidR="006054AA" w:rsidRDefault="001F7667">
            <w:pPr>
              <w:pStyle w:val="P68B1DB1-Normal11"/>
              <w:spacing w:line="276" w:lineRule="auto"/>
              <w:rPr>
                <w:noProof/>
              </w:rPr>
            </w:pPr>
            <w:r>
              <w:rPr>
                <w:noProof/>
              </w:rPr>
              <w:t>Определяне на проектите бенефициери, чиято обща стойност възлиза на най-малко 100 % от допълнителните финансови ресурси, предназначени за инвестицията. Процедурата за отпускане на безвъзмездни средства или други стимули предвижда изплащане на безвъзмездни средства или други стимули за дружества, които отговарят на изискванията и подават заявлението.</w:t>
            </w:r>
          </w:p>
        </w:tc>
      </w:tr>
      <w:tr w:rsidR="006054AA" w14:paraId="0512D932"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D8F3B" w14:textId="77777777" w:rsidR="006054AA" w:rsidRDefault="001F7667">
            <w:pPr>
              <w:pStyle w:val="P68B1DB1-Normal11"/>
              <w:spacing w:line="276" w:lineRule="auto"/>
              <w:jc w:val="center"/>
              <w:rPr>
                <w:noProof/>
              </w:rPr>
            </w:pPr>
            <w:r>
              <w:rPr>
                <w:noProof/>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A9CAA58" w14:textId="77777777" w:rsidR="006054AA" w:rsidRDefault="001F7667">
            <w:pPr>
              <w:pStyle w:val="P68B1DB1-Normal11"/>
              <w:spacing w:line="276" w:lineRule="auto"/>
              <w:jc w:val="center"/>
              <w:rPr>
                <w:noProof/>
              </w:rPr>
            </w:pPr>
            <w:r>
              <w:rPr>
                <w:noProof/>
              </w:rPr>
              <w:t>Инвестиция 2.3: Иновации и механизация в селскостопанския и хранително-вкусовия сектор</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3FB8A1"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29AB6FB" w14:textId="77777777" w:rsidR="006054AA" w:rsidRDefault="001F7667">
            <w:pPr>
              <w:pStyle w:val="P68B1DB1-Normal11"/>
              <w:spacing w:line="276" w:lineRule="auto"/>
              <w:jc w:val="center"/>
              <w:rPr>
                <w:noProof/>
              </w:rPr>
            </w:pPr>
            <w:r>
              <w:rPr>
                <w:noProof/>
              </w:rPr>
              <w:t>Публикуване на крайните класации с посочване на крайните получатели.</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6A8165"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4F2BABD" w14:textId="77777777" w:rsidR="006054AA" w:rsidRDefault="001F7667">
            <w:pPr>
              <w:pStyle w:val="P68B1DB1-Normal11"/>
              <w:spacing w:line="276" w:lineRule="auto"/>
              <w:jc w:val="center"/>
              <w:rPr>
                <w:noProof/>
              </w:rPr>
            </w:pPr>
            <w:r>
              <w:rPr>
                <w:noProof/>
              </w:rPr>
              <w:t>Брой</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EF29D3C" w14:textId="77777777" w:rsidR="006054AA" w:rsidRDefault="001F7667">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C86BF99" w14:textId="339BB331" w:rsidR="006054AA" w:rsidRDefault="001F7667">
            <w:pPr>
              <w:pStyle w:val="P68B1DB1-Normal11"/>
              <w:spacing w:line="276" w:lineRule="auto"/>
              <w:jc w:val="center"/>
              <w:rPr>
                <w:noProof/>
              </w:rPr>
            </w:pPr>
            <w:r>
              <w:rPr>
                <w:noProof/>
              </w:rPr>
              <w:t>10 000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2870F7EC" w14:textId="77777777" w:rsidR="006054AA" w:rsidRDefault="001F7667">
            <w:pPr>
              <w:pStyle w:val="P68B1DB1-Normal11"/>
              <w:spacing w:line="276" w:lineRule="auto"/>
              <w:jc w:val="center"/>
              <w:rPr>
                <w:noProof/>
              </w:rPr>
            </w:pPr>
            <w:r>
              <w:rPr>
                <w:noProof/>
              </w:rPr>
              <w:t>Т4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0E3DA13" w14:textId="77777777" w:rsidR="006054AA" w:rsidRDefault="001F7667">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031CD5E" w14:textId="63903E7E" w:rsidR="006054AA" w:rsidRDefault="001F7667">
            <w:pPr>
              <w:pStyle w:val="P68B1DB1-Normal12"/>
              <w:spacing w:line="276" w:lineRule="auto"/>
              <w:rPr>
                <w:rFonts w:ascii="Arial Narrow" w:hAnsi="Arial Narrow"/>
                <w:noProof/>
              </w:rPr>
            </w:pPr>
            <w:r>
              <w:rPr>
                <w:rFonts w:ascii="Arial Narrow" w:hAnsi="Arial Narrow"/>
                <w:noProof/>
              </w:rPr>
              <w:t>Определяне на най-малко 10</w:t>
            </w:r>
            <w:r>
              <w:rPr>
                <w:noProof/>
              </w:rPr>
              <w:t xml:space="preserve"> </w:t>
            </w:r>
            <w:r>
              <w:rPr>
                <w:rFonts w:ascii="Arial Narrow" w:hAnsi="Arial Narrow"/>
                <w:noProof/>
              </w:rPr>
              <w:t>крайни получатели за инвестиции в иновации в кръговата икономика и биоикономиката.</w:t>
            </w:r>
          </w:p>
          <w:p w14:paraId="61A0470B" w14:textId="77777777" w:rsidR="006054AA" w:rsidRDefault="001F7667">
            <w:pPr>
              <w:pStyle w:val="P68B1DB1-Normal11"/>
              <w:spacing w:line="276" w:lineRule="auto"/>
              <w:rPr>
                <w:noProof/>
              </w:rPr>
            </w:pPr>
            <w:r>
              <w:rPr>
                <w:noProof/>
              </w:rPr>
              <w:t>Инвестициите се отнасят най-малко до едно от следните:</w:t>
            </w:r>
          </w:p>
          <w:p w14:paraId="5CD25E2A" w14:textId="77777777" w:rsidR="006054AA" w:rsidRDefault="001F7667">
            <w:pPr>
              <w:pStyle w:val="P68B1DB1-Normal11"/>
              <w:spacing w:line="276" w:lineRule="auto"/>
              <w:rPr>
                <w:noProof/>
              </w:rPr>
            </w:pPr>
            <w:r>
              <w:rPr>
                <w:noProof/>
              </w:rPr>
              <w:t>Замяна на повече</w:t>
            </w:r>
          </w:p>
          <w:p w14:paraId="0D73640D" w14:textId="77777777" w:rsidR="006054AA" w:rsidRDefault="001F7667">
            <w:pPr>
              <w:pStyle w:val="P68B1DB1-Normal11"/>
              <w:spacing w:line="276" w:lineRule="auto"/>
              <w:rPr>
                <w:noProof/>
              </w:rPr>
            </w:pPr>
            <w:r>
              <w:rPr>
                <w:noProof/>
              </w:rPr>
              <w:t>замърсяващи превозни средства с повишена проходимост</w:t>
            </w:r>
          </w:p>
          <w:p w14:paraId="1ED204B1" w14:textId="77777777" w:rsidR="006054AA" w:rsidRDefault="001F7667">
            <w:pPr>
              <w:pStyle w:val="P68B1DB1-Normal11"/>
              <w:spacing w:line="276" w:lineRule="auto"/>
              <w:rPr>
                <w:noProof/>
              </w:rPr>
            </w:pPr>
            <w:r>
              <w:rPr>
                <w:noProof/>
              </w:rPr>
              <w:t>Въвеждане на прецизно земеделие и машини за селското стопанство 4.0</w:t>
            </w:r>
          </w:p>
          <w:p w14:paraId="7A0AB617" w14:textId="77777777" w:rsidR="006054AA" w:rsidRDefault="001F7667">
            <w:pPr>
              <w:pStyle w:val="P68B1DB1-Normal11"/>
              <w:spacing w:line="276" w:lineRule="auto"/>
              <w:rPr>
                <w:noProof/>
              </w:rPr>
            </w:pPr>
            <w:r>
              <w:rPr>
                <w:noProof/>
              </w:rPr>
              <w:t>Замяна на повече остарели съоръжения за маслобойни</w:t>
            </w:r>
          </w:p>
          <w:p w14:paraId="07F88E9D" w14:textId="77777777" w:rsidR="006054AA" w:rsidRDefault="001F7667">
            <w:pPr>
              <w:pStyle w:val="P68B1DB1-Normal11"/>
              <w:spacing w:line="276" w:lineRule="auto"/>
              <w:rPr>
                <w:noProof/>
              </w:rPr>
            </w:pPr>
            <w:r>
              <w:rPr>
                <w:noProof/>
              </w:rPr>
              <w:t>За да се съобрази с Do-No —</w:t>
            </w:r>
          </w:p>
          <w:p w14:paraId="0D44BEDE" w14:textId="175A16E0" w:rsidR="006054AA" w:rsidRDefault="001F7667">
            <w:pPr>
              <w:pStyle w:val="P68B1DB1-Normal11"/>
              <w:spacing w:line="276" w:lineRule="auto"/>
              <w:rPr>
                <w:noProof/>
              </w:rPr>
            </w:pPr>
            <w:r>
              <w:rPr>
                <w:noProof/>
              </w:rPr>
              <w:t>Принципът за значителна вреда, превозните средства с повишена проходимост са с нулеви емисии или работят единствено с биометан, което отговаря на критериите, определени в Директива 2018/2001 (Директива RED II).</w:t>
            </w:r>
          </w:p>
          <w:p w14:paraId="215B0B04" w14:textId="77777777" w:rsidR="006054AA" w:rsidRDefault="001F7667">
            <w:pPr>
              <w:pStyle w:val="P68B1DB1-Normal11"/>
              <w:spacing w:line="276" w:lineRule="auto"/>
              <w:rPr>
                <w:noProof/>
              </w:rPr>
            </w:pPr>
            <w:r>
              <w:rPr>
                <w:noProof/>
              </w:rPr>
              <w:t>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w:t>
            </w:r>
          </w:p>
          <w:p w14:paraId="3CC24D0E" w14:textId="77777777" w:rsidR="006054AA" w:rsidRDefault="001F7667">
            <w:pPr>
              <w:pStyle w:val="P68B1DB1-Normal11"/>
              <w:spacing w:line="276" w:lineRule="auto"/>
              <w:rPr>
                <w:noProof/>
              </w:rPr>
            </w:pPr>
            <w:r>
              <w:rPr>
                <w:noProof/>
              </w:rPr>
              <w:t>Операторът закупува сертификати за гаранция за произход, съизмерими с очакваното потребление на гориво.</w:t>
            </w:r>
          </w:p>
        </w:tc>
      </w:tr>
      <w:tr w:rsidR="006054AA" w14:paraId="6455DBC7"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3151A" w14:textId="77777777" w:rsidR="006054AA" w:rsidRDefault="001F7667">
            <w:pPr>
              <w:pStyle w:val="P68B1DB1-Normal11"/>
              <w:spacing w:line="276" w:lineRule="auto"/>
              <w:jc w:val="center"/>
              <w:rPr>
                <w:noProof/>
              </w:rPr>
            </w:pPr>
            <w:r>
              <w:rPr>
                <w:noProof/>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ED5A4A" w14:textId="77777777" w:rsidR="006054AA" w:rsidRDefault="001F7667">
            <w:pPr>
              <w:pStyle w:val="P68B1DB1-Normal11"/>
              <w:spacing w:line="276" w:lineRule="auto"/>
              <w:jc w:val="center"/>
              <w:rPr>
                <w:noProof/>
              </w:rPr>
            </w:pPr>
            <w:r>
              <w:rPr>
                <w:noProof/>
              </w:rPr>
              <w:t>Инвестиция 2.3: Иновации и механизация в селскостопанския и хранително-вкусовия сектор</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ADAC8A"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4C0F3F1" w14:textId="77777777" w:rsidR="006054AA" w:rsidRDefault="001F7667">
            <w:pPr>
              <w:pStyle w:val="P68B1DB1-Normal11"/>
              <w:spacing w:line="276" w:lineRule="auto"/>
              <w:jc w:val="center"/>
              <w:rPr>
                <w:noProof/>
              </w:rPr>
            </w:pPr>
            <w:r>
              <w:rPr>
                <w:noProof/>
              </w:rPr>
              <w:t>Подкрепа за инвестиции в иновации в кръговата икономика и биоикономиката</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5B14CE"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639FBC7" w14:textId="77777777" w:rsidR="006054AA" w:rsidRDefault="001F7667">
            <w:pPr>
              <w:pStyle w:val="P68B1DB1-Normal11"/>
              <w:spacing w:line="276" w:lineRule="auto"/>
              <w:jc w:val="center"/>
              <w:rPr>
                <w:noProof/>
              </w:rPr>
            </w:pPr>
            <w:r>
              <w:rPr>
                <w:noProof/>
              </w:rPr>
              <w:t>Брой</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7CCC12" w14:textId="71D50F0A" w:rsidR="006054AA" w:rsidRDefault="001F7667">
            <w:pPr>
              <w:pStyle w:val="P68B1DB1-Normal11"/>
              <w:spacing w:line="276" w:lineRule="auto"/>
              <w:jc w:val="center"/>
              <w:rPr>
                <w:noProof/>
              </w:rPr>
            </w:pPr>
            <w:r>
              <w:rPr>
                <w:noProof/>
              </w:rPr>
              <w:t>10 000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3ADB306" w14:textId="6FE6B8AE" w:rsidR="006054AA" w:rsidRDefault="001F7667">
            <w:pPr>
              <w:pStyle w:val="P68B1DB1-Normal11"/>
              <w:spacing w:line="276" w:lineRule="auto"/>
              <w:jc w:val="center"/>
              <w:rPr>
                <w:noProof/>
              </w:rPr>
            </w:pPr>
            <w:r>
              <w:rPr>
                <w:noProof/>
              </w:rPr>
              <w:t>15 000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9B9908C" w14:textId="77777777" w:rsidR="006054AA" w:rsidRDefault="001F7667">
            <w:pPr>
              <w:pStyle w:val="P68B1DB1-Normal11"/>
              <w:spacing w:line="276" w:lineRule="auto"/>
              <w:jc w:val="center"/>
              <w:rPr>
                <w:noProof/>
              </w:rPr>
            </w:pPr>
            <w:r>
              <w:rPr>
                <w:noProof/>
              </w:rPr>
              <w:t>Т2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EEB1A83" w14:textId="77777777" w:rsidR="006054AA" w:rsidRDefault="001F7667">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C64CA4A" w14:textId="3F66EFF2" w:rsidR="006054AA" w:rsidRDefault="001F7667">
            <w:pPr>
              <w:pStyle w:val="P68B1DB1-Normal11"/>
              <w:spacing w:line="276" w:lineRule="auto"/>
              <w:rPr>
                <w:noProof/>
              </w:rPr>
            </w:pPr>
            <w:r>
              <w:rPr>
                <w:noProof/>
              </w:rPr>
              <w:t>Най-малко 15 000 крайни получатели са получили подкрепа за платени инвестиции в иновации в кръговата икономика и биоикономиката след приключването на проектите.</w:t>
            </w:r>
          </w:p>
          <w:p w14:paraId="01B1434A" w14:textId="77777777" w:rsidR="006054AA" w:rsidRDefault="001F7667">
            <w:pPr>
              <w:pStyle w:val="P68B1DB1-Normal11"/>
              <w:spacing w:line="276" w:lineRule="auto"/>
              <w:rPr>
                <w:noProof/>
              </w:rPr>
            </w:pPr>
            <w:r>
              <w:rPr>
                <w:noProof/>
              </w:rPr>
              <w:t>Подпомаганите инвестиции са:</w:t>
            </w:r>
          </w:p>
          <w:p w14:paraId="086F2F86" w14:textId="1ACB59D8" w:rsidR="006054AA" w:rsidRDefault="001F7667">
            <w:pPr>
              <w:pStyle w:val="P68B1DB1-Normal10"/>
              <w:spacing w:line="276" w:lineRule="auto"/>
              <w:rPr>
                <w:noProof/>
                <w:color w:val="006100"/>
                <w:sz w:val="20"/>
              </w:rPr>
            </w:pPr>
            <w:r>
              <w:rPr>
                <w:noProof/>
                <w:color w:val="006100"/>
                <w:sz w:val="20"/>
              </w:rPr>
              <w:t>Замяна</w:t>
            </w:r>
            <w:r>
              <w:rPr>
                <w:noProof/>
              </w:rPr>
              <w:t xml:space="preserve"> </w:t>
            </w:r>
            <w:r>
              <w:rPr>
                <w:noProof/>
                <w:color w:val="006100"/>
                <w:sz w:val="20"/>
              </w:rPr>
              <w:t>на по-замърсяващи превозни средства с повишена проходимост</w:t>
            </w:r>
          </w:p>
          <w:p w14:paraId="2C7EDFA8" w14:textId="3F1A8511" w:rsidR="006054AA" w:rsidRDefault="001F7667">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Въвеждане на прецизно земеделие</w:t>
            </w:r>
          </w:p>
          <w:p w14:paraId="1A56EE71" w14:textId="11B63E2F" w:rsidR="006054AA" w:rsidRDefault="001F7667">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Подмяна на повече остарели съоръжения за маслобойни</w:t>
            </w:r>
          </w:p>
          <w:p w14:paraId="1406150C" w14:textId="77777777" w:rsidR="006054AA" w:rsidRDefault="006054AA">
            <w:pPr>
              <w:spacing w:line="276" w:lineRule="auto"/>
              <w:rPr>
                <w:rFonts w:ascii="Arial Narrow" w:hAnsi="Arial Narrow"/>
                <w:noProof/>
                <w:color w:val="006100"/>
                <w:sz w:val="20"/>
              </w:rPr>
            </w:pPr>
          </w:p>
          <w:p w14:paraId="48621ABA" w14:textId="77777777" w:rsidR="006054AA" w:rsidRDefault="001F7667">
            <w:pPr>
              <w:pStyle w:val="P68B1DB1-Normal11"/>
              <w:spacing w:line="276" w:lineRule="auto"/>
              <w:rPr>
                <w:noProof/>
              </w:rPr>
            </w:pPr>
            <w:r>
              <w:rPr>
                <w:noProof/>
              </w:rPr>
              <w:t>За да отговарят на принципа за ненанасяне на значителни вреди, превозните средства с повишена проходимост трябва да бъдат с нулеви емисии или да се движат единствено с биометан, което трябва да отговаря на критериите, определени в Директива 2018/2001 (Директива RED II).</w:t>
            </w:r>
          </w:p>
          <w:p w14:paraId="3556F731" w14:textId="4173B7D0" w:rsidR="006054AA" w:rsidRDefault="001F7667">
            <w:pPr>
              <w:pStyle w:val="P68B1DB1-Normal11"/>
              <w:spacing w:line="276" w:lineRule="auto"/>
              <w:rPr>
                <w:noProof/>
              </w:rPr>
            </w:pPr>
            <w:r>
              <w:rPr>
                <w:noProof/>
              </w:rPr>
              <w:t>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 Операторът закупува сертификати за гаранция за произход, съизмерими с очакваното потребление на гориво.</w:t>
            </w:r>
          </w:p>
        </w:tc>
      </w:tr>
      <w:tr w:rsidR="006054AA" w14:paraId="5B929061"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D5E59" w14:textId="77777777" w:rsidR="006054AA" w:rsidRDefault="001F7667">
            <w:pPr>
              <w:pStyle w:val="P68B1DB1-Normal11"/>
              <w:spacing w:line="276" w:lineRule="auto"/>
              <w:jc w:val="center"/>
              <w:rPr>
                <w:noProof/>
              </w:rPr>
            </w:pPr>
            <w:r>
              <w:rPr>
                <w:noProof/>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3795C3D" w14:textId="77777777" w:rsidR="006054AA" w:rsidRDefault="001F7667">
            <w:pPr>
              <w:pStyle w:val="P68B1DB1-Normal11"/>
              <w:spacing w:line="276" w:lineRule="auto"/>
              <w:jc w:val="center"/>
              <w:rPr>
                <w:noProof/>
              </w:rPr>
            </w:pPr>
            <w:r>
              <w:rPr>
                <w:noProof/>
              </w:rPr>
              <w:t>Инвестиция 2.2: Агрослънчев парк</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1D47D2E"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FD33291" w14:textId="77777777" w:rsidR="006054AA" w:rsidRDefault="001F7667">
            <w:pPr>
              <w:pStyle w:val="P68B1DB1-Normal11"/>
              <w:spacing w:line="276" w:lineRule="auto"/>
              <w:jc w:val="center"/>
              <w:rPr>
                <w:noProof/>
              </w:rPr>
            </w:pPr>
            <w:r>
              <w:rPr>
                <w:noProof/>
              </w:rPr>
              <w:t>Агроволтаично производство на електроенергия</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3447AAE2"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C738182" w14:textId="77777777" w:rsidR="006054AA" w:rsidRDefault="001F7667">
            <w:pPr>
              <w:pStyle w:val="P68B1DB1-Normal11"/>
              <w:spacing w:line="276" w:lineRule="auto"/>
              <w:jc w:val="center"/>
              <w:rPr>
                <w:noProof/>
              </w:rPr>
            </w:pPr>
            <w:r>
              <w:rPr>
                <w:noProof/>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63C3729" w14:textId="77777777" w:rsidR="006054AA" w:rsidRDefault="001F7667">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F1CFF0E" w14:textId="43F64FD0" w:rsidR="006054AA" w:rsidRDefault="001F7667">
            <w:pPr>
              <w:pStyle w:val="P68B1DB1-Normal11"/>
              <w:spacing w:line="276" w:lineRule="auto"/>
              <w:jc w:val="center"/>
              <w:rPr>
                <w:noProof/>
              </w:rPr>
            </w:pPr>
            <w:r>
              <w:rPr>
                <w:noProof/>
              </w:rPr>
              <w:t>1 383 000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567189C9" w14:textId="77777777" w:rsidR="006054AA" w:rsidRDefault="001F7667">
            <w:pPr>
              <w:pStyle w:val="P68B1DB1-Normal11"/>
              <w:spacing w:line="276" w:lineRule="auto"/>
              <w:jc w:val="center"/>
              <w:rPr>
                <w:noProof/>
              </w:rPr>
            </w:pPr>
            <w:r>
              <w:rPr>
                <w:noProof/>
              </w:rPr>
              <w:t>Т2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CBFCBB8" w14:textId="77777777" w:rsidR="006054AA" w:rsidRDefault="001F7667">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4F73AAB" w14:textId="489AB71C" w:rsidR="006054AA" w:rsidRDefault="001F7667">
            <w:pPr>
              <w:pStyle w:val="P68B1DB1-Normal12"/>
              <w:spacing w:line="276" w:lineRule="auto"/>
              <w:rPr>
                <w:rFonts w:ascii="Arial Narrow" w:hAnsi="Arial Narrow"/>
                <w:noProof/>
              </w:rPr>
            </w:pPr>
            <w:r>
              <w:rPr>
                <w:rFonts w:ascii="Arial Narrow" w:hAnsi="Arial Narrow"/>
                <w:noProof/>
              </w:rPr>
              <w:t>Инсталирана мощност за производство на слънчева енергия отнай-малко 1 000 383 kW</w:t>
            </w:r>
          </w:p>
        </w:tc>
      </w:tr>
      <w:tr w:rsidR="006054AA" w14:paraId="7A9F6518"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9C669" w14:textId="77777777" w:rsidR="006054AA" w:rsidRDefault="001F7667">
            <w:pPr>
              <w:pStyle w:val="P68B1DB1-Normal11"/>
              <w:spacing w:line="276" w:lineRule="auto"/>
              <w:jc w:val="center"/>
              <w:rPr>
                <w:noProof/>
              </w:rPr>
            </w:pPr>
            <w:r>
              <w:rPr>
                <w:noProof/>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FD7693" w14:textId="77777777" w:rsidR="006054AA" w:rsidRDefault="001F7667">
            <w:pPr>
              <w:pStyle w:val="P68B1DB1-Normal11"/>
              <w:spacing w:line="276" w:lineRule="auto"/>
              <w:jc w:val="center"/>
              <w:rPr>
                <w:noProof/>
              </w:rPr>
            </w:pPr>
            <w:r>
              <w:rPr>
                <w:noProof/>
              </w:rPr>
              <w:t>Инвестиция 2.1: Логистичен план за секторите на хранително-вкусовата промишленост, рибарството и аквакултурите, горското стопанство, цветарството и растениевъдството</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BAA35E"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A1A2F4D" w14:textId="77777777" w:rsidR="006054AA" w:rsidRDefault="001F7667">
            <w:pPr>
              <w:pStyle w:val="P68B1DB1-Normal11"/>
              <w:spacing w:line="276" w:lineRule="auto"/>
              <w:jc w:val="center"/>
              <w:rPr>
                <w:noProof/>
              </w:rPr>
            </w:pPr>
            <w:r>
              <w:rPr>
                <w:noProof/>
              </w:rPr>
              <w:t>Интервенции за подобряване на логистиката в секторите на хранително-вкусовата промишленост, рибарството и аквакултурите, горското стопанство, цветарството и растениевъдството</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959B3B"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B70DC62" w14:textId="77777777" w:rsidR="006054AA" w:rsidRDefault="001F7667">
            <w:pPr>
              <w:pStyle w:val="P68B1DB1-Normal11"/>
              <w:spacing w:line="276" w:lineRule="auto"/>
              <w:jc w:val="center"/>
              <w:rPr>
                <w:noProof/>
              </w:rPr>
            </w:pPr>
            <w:r>
              <w:rPr>
                <w:noProof/>
              </w:rPr>
              <w:t>Брой</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3C36D0C" w14:textId="77777777" w:rsidR="006054AA" w:rsidRDefault="001F7667">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B3B5035" w14:textId="77777777" w:rsidR="006054AA" w:rsidRDefault="001F7667">
            <w:pPr>
              <w:pStyle w:val="P68B1DB1-Normal11"/>
              <w:spacing w:line="276" w:lineRule="auto"/>
              <w:jc w:val="center"/>
              <w:rPr>
                <w:noProof/>
              </w:rPr>
            </w:pPr>
            <w:r>
              <w:rPr>
                <w:noProof/>
              </w:rPr>
              <w:t>48</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D80DBD7" w14:textId="77777777" w:rsidR="006054AA" w:rsidRDefault="001F7667">
            <w:pPr>
              <w:pStyle w:val="P68B1DB1-Normal11"/>
              <w:spacing w:line="276" w:lineRule="auto"/>
              <w:jc w:val="center"/>
              <w:rPr>
                <w:noProof/>
              </w:rPr>
            </w:pPr>
            <w:r>
              <w:rPr>
                <w:noProof/>
              </w:rPr>
              <w:t>Т2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37EB81A" w14:textId="77777777" w:rsidR="006054AA" w:rsidRDefault="001F7667">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F696DA0" w14:textId="77777777" w:rsidR="006054AA" w:rsidRDefault="001F7667">
            <w:pPr>
              <w:pStyle w:val="P68B1DB1-Normal11"/>
              <w:spacing w:line="276" w:lineRule="auto"/>
              <w:rPr>
                <w:noProof/>
              </w:rPr>
            </w:pPr>
            <w:r>
              <w:rPr>
                <w:noProof/>
              </w:rPr>
              <w:t>Най-малко 48 интервенции за подобряване на логистиката в секторите на хранително-вкусовата промишленост, рибарството и аквакултурите, горското стопанство, цветарството и растениевъдството.</w:t>
            </w:r>
          </w:p>
        </w:tc>
      </w:tr>
      <w:tr w:rsidR="006054AA" w14:paraId="0FDFBF26"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63EFB" w14:textId="77777777" w:rsidR="006054AA" w:rsidRDefault="001F7667">
            <w:pPr>
              <w:pStyle w:val="P68B1DB1-Normal11"/>
              <w:spacing w:line="276" w:lineRule="auto"/>
              <w:jc w:val="center"/>
              <w:rPr>
                <w:noProof/>
              </w:rPr>
            </w:pPr>
            <w:r>
              <w:rPr>
                <w:noProof/>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4DB075D" w14:textId="77777777" w:rsidR="006054AA" w:rsidRDefault="001F7667">
            <w:pPr>
              <w:pStyle w:val="P68B1DB1-Normal11"/>
              <w:spacing w:line="276" w:lineRule="auto"/>
              <w:jc w:val="center"/>
              <w:rPr>
                <w:noProof/>
              </w:rPr>
            </w:pPr>
            <w:r>
              <w:rPr>
                <w:noProof/>
              </w:rPr>
              <w:t>Инвестиция 3.3: Култура и осведоменост по екологични теми и предизвикателства</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64F01" w14:textId="77777777" w:rsidR="006054AA" w:rsidRDefault="001F7667">
            <w:pPr>
              <w:pStyle w:val="P68B1DB1-Normal11"/>
              <w:spacing w:line="276" w:lineRule="auto"/>
              <w:jc w:val="center"/>
              <w:rPr>
                <w:noProof/>
              </w:rPr>
            </w:pPr>
            <w:r>
              <w:rPr>
                <w:noProof/>
              </w:rPr>
              <w:t>Ключов етап</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A01B97F" w14:textId="77777777" w:rsidR="006054AA" w:rsidRDefault="001F7667">
            <w:pPr>
              <w:pStyle w:val="P68B1DB1-Normal11"/>
              <w:spacing w:line="276" w:lineRule="auto"/>
              <w:jc w:val="center"/>
              <w:rPr>
                <w:noProof/>
              </w:rPr>
            </w:pPr>
            <w:r>
              <w:rPr>
                <w:noProof/>
              </w:rPr>
              <w:t>Стартиране на уеб платформа и договори с автори</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F3618B4" w14:textId="77777777" w:rsidR="006054AA" w:rsidRDefault="001F7667">
            <w:pPr>
              <w:pStyle w:val="P68B1DB1-Normal11"/>
              <w:spacing w:line="276" w:lineRule="auto"/>
              <w:jc w:val="center"/>
              <w:rPr>
                <w:noProof/>
              </w:rPr>
            </w:pPr>
            <w:r>
              <w:rPr>
                <w:noProof/>
              </w:rPr>
              <w:t>Уведомление за подписване на договор с производителите на съдържание</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95E6385" w14:textId="77777777" w:rsidR="006054AA" w:rsidRDefault="001F7667">
            <w:pPr>
              <w:pStyle w:val="P68B1DB1-Normal11"/>
              <w:spacing w:line="276" w:lineRule="auto"/>
              <w:jc w:val="center"/>
              <w:rPr>
                <w:noProof/>
              </w:rPr>
            </w:pPr>
            <w:r>
              <w:rPr>
                <w:noProof/>
              </w:rPr>
              <w:t>НЯМА</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51CACA6" w14:textId="77777777" w:rsidR="006054AA" w:rsidRDefault="001F7667">
            <w:pPr>
              <w:pStyle w:val="P68B1DB1-Normal11"/>
              <w:spacing w:line="276" w:lineRule="auto"/>
              <w:jc w:val="center"/>
              <w:rPr>
                <w:noProof/>
              </w:rPr>
            </w:pPr>
            <w:r>
              <w:rPr>
                <w:noProof/>
              </w:rPr>
              <w:t>НЯМА</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58183325" w14:textId="77777777" w:rsidR="006054AA" w:rsidRDefault="001F7667">
            <w:pPr>
              <w:pStyle w:val="P68B1DB1-Normal11"/>
              <w:spacing w:line="276" w:lineRule="auto"/>
              <w:jc w:val="center"/>
              <w:rPr>
                <w:noProof/>
              </w:rPr>
            </w:pPr>
            <w:r>
              <w:rPr>
                <w:noProof/>
              </w:rPr>
              <w:t>НЯМА</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36F004A" w14:textId="77777777" w:rsidR="006054AA" w:rsidRDefault="001F7667">
            <w:pPr>
              <w:pStyle w:val="P68B1DB1-Normal11"/>
              <w:spacing w:line="276" w:lineRule="auto"/>
              <w:jc w:val="center"/>
              <w:rPr>
                <w:noProof/>
              </w:rPr>
            </w:pPr>
            <w:r>
              <w:rPr>
                <w:noProof/>
              </w:rPr>
              <w:t>Т2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46AD54C" w14:textId="77777777" w:rsidR="006054AA" w:rsidRDefault="001F7667">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85AA36" w14:textId="6B8B25F8" w:rsidR="006054AA" w:rsidRDefault="001F7667">
            <w:pPr>
              <w:pStyle w:val="P68B1DB1-Normal11"/>
              <w:spacing w:line="276" w:lineRule="auto"/>
              <w:rPr>
                <w:noProof/>
              </w:rPr>
            </w:pPr>
            <w:r>
              <w:rPr>
                <w:noProof/>
              </w:rPr>
              <w:t>Публично стартиране на уеб платформата и подписване на окончателни споразумения с „създателите на съдържание“. Проектите имат за цел разработването на най-малко 180 подкаста, специфични за училището видеоуроци и видео съдържание, изготвени и достъпни на уебплатформата за екологичния преход.</w:t>
            </w:r>
          </w:p>
        </w:tc>
      </w:tr>
      <w:tr w:rsidR="006054AA" w14:paraId="0D8E409E"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B4CD01" w14:textId="77777777" w:rsidR="006054AA" w:rsidRDefault="001F7667">
            <w:pPr>
              <w:pStyle w:val="P68B1DB1-Normal11"/>
              <w:spacing w:line="276" w:lineRule="auto"/>
              <w:jc w:val="center"/>
              <w:rPr>
                <w:noProof/>
              </w:rPr>
            </w:pPr>
            <w:r>
              <w:rPr>
                <w:noProof/>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295BAE" w14:textId="77777777" w:rsidR="006054AA" w:rsidRDefault="001F7667">
            <w:pPr>
              <w:pStyle w:val="P68B1DB1-Normal11"/>
              <w:spacing w:line="276" w:lineRule="auto"/>
              <w:jc w:val="center"/>
              <w:rPr>
                <w:noProof/>
              </w:rPr>
            </w:pPr>
            <w:r>
              <w:rPr>
                <w:noProof/>
              </w:rPr>
              <w:t>Инвестиция 3.3: Култура и осведоменост по екологични теми и предизвикателства</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AF0484" w14:textId="77777777" w:rsidR="006054AA" w:rsidRDefault="001F7667">
            <w:pPr>
              <w:pStyle w:val="P68B1DB1-Normal11"/>
              <w:spacing w:line="276" w:lineRule="auto"/>
              <w:jc w:val="center"/>
              <w:rPr>
                <w:noProof/>
              </w:rPr>
            </w:pPr>
            <w:r>
              <w:rPr>
                <w:noProof/>
              </w:rPr>
              <w:t>Целеви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24D21C8" w14:textId="77777777" w:rsidR="006054AA" w:rsidRDefault="001F7667">
            <w:pPr>
              <w:pStyle w:val="P68B1DB1-Normal11"/>
              <w:spacing w:line="276" w:lineRule="auto"/>
              <w:jc w:val="center"/>
              <w:rPr>
                <w:noProof/>
              </w:rPr>
            </w:pPr>
            <w:r>
              <w:rPr>
                <w:noProof/>
              </w:rPr>
              <w:t>Аудио-визуални материали за екологичния преход</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15C9BA" w14:textId="77777777" w:rsidR="006054AA" w:rsidRDefault="001F7667">
            <w:pPr>
              <w:pStyle w:val="P68B1DB1-Normal11"/>
              <w:spacing w:line="276" w:lineRule="auto"/>
              <w:jc w:val="center"/>
              <w:rPr>
                <w:noProof/>
              </w:rPr>
            </w:pPr>
            <w:r>
              <w:rPr>
                <w:noProof/>
              </w:rPr>
              <w:t>НЯМА</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E8B6C4" w14:textId="77777777" w:rsidR="006054AA" w:rsidRDefault="001F7667">
            <w:pPr>
              <w:pStyle w:val="P68B1DB1-Normal11"/>
              <w:spacing w:line="276" w:lineRule="auto"/>
              <w:jc w:val="center"/>
              <w:rPr>
                <w:noProof/>
              </w:rPr>
            </w:pPr>
            <w:r>
              <w:rPr>
                <w:noProof/>
              </w:rPr>
              <w:t>Брой</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4B86101" w14:textId="77777777" w:rsidR="006054AA" w:rsidRDefault="001F7667">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06E6179" w14:textId="77777777" w:rsidR="006054AA" w:rsidRDefault="001F7667">
            <w:pPr>
              <w:pStyle w:val="P68B1DB1-Normal11"/>
              <w:spacing w:line="276" w:lineRule="auto"/>
              <w:jc w:val="center"/>
              <w:rPr>
                <w:noProof/>
              </w:rPr>
            </w:pPr>
            <w:r>
              <w:rPr>
                <w:noProof/>
              </w:rPr>
              <w:t>180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59E06F7" w14:textId="77777777" w:rsidR="006054AA" w:rsidRDefault="001F7667">
            <w:pPr>
              <w:pStyle w:val="P68B1DB1-Normal11"/>
              <w:spacing w:line="276" w:lineRule="auto"/>
              <w:jc w:val="center"/>
              <w:rPr>
                <w:noProof/>
              </w:rPr>
            </w:pPr>
            <w:r>
              <w:rPr>
                <w:noProof/>
              </w:rPr>
              <w:t>Т2 Г.</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7E31C8" w14:textId="77777777" w:rsidR="006054AA" w:rsidRDefault="001F7667">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648AFD4" w14:textId="77777777" w:rsidR="006054AA" w:rsidRDefault="001F7667">
            <w:pPr>
              <w:pStyle w:val="P68B1DB1-Normal11"/>
              <w:spacing w:line="276" w:lineRule="auto"/>
              <w:rPr>
                <w:noProof/>
              </w:rPr>
            </w:pPr>
            <w:r>
              <w:rPr>
                <w:noProof/>
              </w:rPr>
              <w:t>Най-малко 180 подкаста, специфични за училището видеоуроци и видео съдържание, създадени и на живо на уеб платформата</w:t>
            </w:r>
          </w:p>
        </w:tc>
      </w:tr>
    </w:tbl>
    <w:p w14:paraId="2551B6C1" w14:textId="77777777" w:rsidR="006054AA" w:rsidRDefault="001F7667">
      <w:pPr>
        <w:spacing w:before="120" w:after="120"/>
        <w:ind w:left="709"/>
        <w:jc w:val="both"/>
        <w:rPr>
          <w:noProof/>
        </w:rPr>
      </w:pPr>
      <w:r>
        <w:rPr>
          <w:noProof/>
        </w:rPr>
        <w:br/>
      </w:r>
    </w:p>
    <w:p w14:paraId="4ADCDD49" w14:textId="77777777" w:rsidR="006054AA" w:rsidRDefault="006054AA">
      <w:pPr>
        <w:spacing w:before="120" w:after="120"/>
        <w:ind w:left="709"/>
        <w:jc w:val="both"/>
        <w:rPr>
          <w:noProof/>
        </w:rPr>
        <w:sectPr w:rsidR="006054AA" w:rsidSect="001354D1">
          <w:headerReference w:type="even" r:id="rId98"/>
          <w:headerReference w:type="default" r:id="rId99"/>
          <w:footerReference w:type="even" r:id="rId100"/>
          <w:footerReference w:type="default" r:id="rId101"/>
          <w:headerReference w:type="first" r:id="rId102"/>
          <w:footerReference w:type="first" r:id="rId103"/>
          <w:pgSz w:w="16838" w:h="11907" w:orient="landscape"/>
          <w:pgMar w:top="1134" w:right="1134" w:bottom="1134" w:left="1134" w:header="567" w:footer="567" w:gutter="0"/>
          <w:cols w:space="720"/>
          <w:docGrid w:linePitch="360"/>
        </w:sectPr>
      </w:pPr>
    </w:p>
    <w:p w14:paraId="162204D3"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Г.3. </w:t>
      </w:r>
      <w:r>
        <w:rPr>
          <w:noProof/>
        </w:rPr>
        <w:tab/>
      </w:r>
      <w:r>
        <w:rPr>
          <w:b/>
          <w:i w:val="0"/>
          <w:noProof/>
          <w:u w:val="single"/>
        </w:rPr>
        <w:t xml:space="preserve">Описание на реформите и инвестициите за заема </w:t>
      </w:r>
    </w:p>
    <w:p w14:paraId="321FDB2F" w14:textId="77777777" w:rsidR="006054AA" w:rsidRDefault="001F7667">
      <w:pPr>
        <w:pStyle w:val="P68B1DB1-Normal2"/>
        <w:spacing w:before="120" w:after="120"/>
        <w:jc w:val="both"/>
        <w:rPr>
          <w:noProof/>
        </w:rPr>
      </w:pPr>
      <w:r>
        <w:rPr>
          <w:noProof/>
        </w:rPr>
        <w:t>Реформа 1.2 — Национална програма за управление на отпадъците</w:t>
      </w:r>
    </w:p>
    <w:p w14:paraId="0B286D53" w14:textId="77777777" w:rsidR="006054AA" w:rsidRDefault="001F7667">
      <w:pPr>
        <w:spacing w:before="120" w:after="120"/>
        <w:jc w:val="both"/>
        <w:rPr>
          <w:noProof/>
        </w:rPr>
      </w:pPr>
      <w:r>
        <w:rPr>
          <w:noProof/>
        </w:rPr>
        <w:t xml:space="preserve">Тази реформа се състои в приемането на широка национална програма за управление на отпадъците, насочена към най-високите равнища на подготовка за повторна употреба, рециклиране и оползотворяване на отпадъците, адаптиране на мрежата от инсталации, необходими за интегрирано управление на отпадъците, свеждане до минимум на окончателното обезвреждане като краен и остатъчен вариант, създаване на системи за мониторинг, предотвратяване на откриването на нови производства за установяване на нарушение срещу Италия, справяне с ниската степен на събиране на отпадъци, възпиране на депонирането и осигуряване на взаимно допълване с регионалните програми в областта на отпадъците, създаване на условия за постигане на целите на европейското и националното законодателство в областта на отпадъците и справяне с незаконното изхвърляне на отпадъци и изгарянето на открито. </w:t>
      </w:r>
    </w:p>
    <w:p w14:paraId="28F6B510" w14:textId="77777777" w:rsidR="006054AA" w:rsidRDefault="001F7667">
      <w:pPr>
        <w:pStyle w:val="P68B1DB1-Normal2"/>
        <w:spacing w:before="120" w:after="120"/>
        <w:jc w:val="both"/>
        <w:rPr>
          <w:noProof/>
        </w:rPr>
      </w:pPr>
      <w:r>
        <w:rPr>
          <w:noProof/>
        </w:rPr>
        <w:t>Инвестиция 1.1 — Осъществяване на нови инсталации за управление на отпадъците и модернизация на съществуващи инсталации</w:t>
      </w:r>
    </w:p>
    <w:p w14:paraId="1B8CEB39" w14:textId="3E7A710E" w:rsidR="006054AA" w:rsidRDefault="001F7667">
      <w:pPr>
        <w:spacing w:before="120" w:after="120"/>
        <w:jc w:val="both"/>
        <w:rPr>
          <w:noProof/>
        </w:rPr>
      </w:pPr>
      <w:r>
        <w:rPr>
          <w:noProof/>
        </w:rPr>
        <w:t>Тази инвестиция се състои в подобряване и механизиране на мрежата на общините за разделно събиране на отпадъци, изграждане на нови инсталации за третиране/рециклиране на органични отпадъци, опаковки от различни материали, стъкло и хартия и иновативни инсталации за третиране/рециклиране, насочени към обезвреждането на лични адсорбенти (PAD), утайки от отпадъчни води, кожени отпадъци и текстилни отпадъци.</w:t>
      </w:r>
    </w:p>
    <w:p w14:paraId="0828BD55" w14:textId="77777777" w:rsidR="006054AA" w:rsidRDefault="001F7667">
      <w:pPr>
        <w:pStyle w:val="P68B1DB1-Normal2"/>
        <w:spacing w:before="120" w:after="120"/>
        <w:jc w:val="both"/>
        <w:rPr>
          <w:noProof/>
        </w:rPr>
      </w:pPr>
      <w:r>
        <w:rPr>
          <w:noProof/>
        </w:rPr>
        <w:t>Инвестиция 1.2 — Кръгова икономика: „водещи“ проекти</w:t>
      </w:r>
    </w:p>
    <w:p w14:paraId="1DF40E45" w14:textId="77777777" w:rsidR="006054AA" w:rsidRDefault="001F7667">
      <w:pPr>
        <w:spacing w:before="120" w:after="120"/>
        <w:jc w:val="both"/>
        <w:rPr>
          <w:noProof/>
        </w:rPr>
      </w:pPr>
      <w:r>
        <w:rPr>
          <w:noProof/>
        </w:rPr>
        <w:t>Тази инвестиция се състои в подкрепа на подобряването на мрежата за разделно събиране, включително чрез цифровизация на процесите и/или логистиката, и инсталации за пречистване/рециклиране за следните сектори:</w:t>
      </w:r>
    </w:p>
    <w:p w14:paraId="36D41CDF" w14:textId="77777777" w:rsidR="006054AA" w:rsidRDefault="001F7667">
      <w:pPr>
        <w:numPr>
          <w:ilvl w:val="0"/>
          <w:numId w:val="62"/>
        </w:numPr>
        <w:spacing w:before="120" w:after="120" w:line="259" w:lineRule="auto"/>
        <w:ind w:left="360"/>
        <w:contextualSpacing/>
        <w:jc w:val="both"/>
        <w:rPr>
          <w:noProof/>
        </w:rPr>
      </w:pPr>
      <w:r>
        <w:rPr>
          <w:noProof/>
        </w:rPr>
        <w:t>Отпадъци от електрическо и електронно оборудване (ОЕЕО), включително лопатки за вятърни турбини и фотоволтаични панели;</w:t>
      </w:r>
    </w:p>
    <w:p w14:paraId="02646C82" w14:textId="77777777" w:rsidR="006054AA" w:rsidRDefault="001F7667">
      <w:pPr>
        <w:numPr>
          <w:ilvl w:val="0"/>
          <w:numId w:val="62"/>
        </w:numPr>
        <w:spacing w:before="120" w:after="120" w:line="259" w:lineRule="auto"/>
        <w:ind w:left="360"/>
        <w:contextualSpacing/>
        <w:jc w:val="both"/>
        <w:rPr>
          <w:noProof/>
        </w:rPr>
      </w:pPr>
      <w:r>
        <w:rPr>
          <w:noProof/>
        </w:rPr>
        <w:t>Производство на хартия/картон;</w:t>
      </w:r>
    </w:p>
    <w:p w14:paraId="61A3745E" w14:textId="77777777" w:rsidR="006054AA" w:rsidRDefault="001F7667">
      <w:pPr>
        <w:numPr>
          <w:ilvl w:val="0"/>
          <w:numId w:val="62"/>
        </w:numPr>
        <w:spacing w:before="120" w:after="120" w:line="259" w:lineRule="auto"/>
        <w:ind w:left="360"/>
        <w:contextualSpacing/>
        <w:jc w:val="both"/>
        <w:rPr>
          <w:noProof/>
        </w:rPr>
      </w:pPr>
      <w:r>
        <w:rPr>
          <w:noProof/>
        </w:rPr>
        <w:t>Рециклиране на пластмасови отпадъци (механично, химическо рециклиране, „пластмасови центрове“), включително морски пластмасови отпадъци (MPL). В тази област се насърчават проекти за промишлена симбиоза под формата на „кръгови райони“, за да се гарантира пълното повторно използване на вторичните продукти за рециклиране на пластмаси и производството на стоки с висока добавена стойност;</w:t>
      </w:r>
    </w:p>
    <w:p w14:paraId="56B41C61" w14:textId="77777777" w:rsidR="006054AA" w:rsidRDefault="001F7667">
      <w:pPr>
        <w:numPr>
          <w:ilvl w:val="0"/>
          <w:numId w:val="62"/>
        </w:numPr>
        <w:spacing w:before="120" w:after="120" w:line="259" w:lineRule="auto"/>
        <w:ind w:left="360"/>
        <w:contextualSpacing/>
        <w:jc w:val="both"/>
        <w:rPr>
          <w:noProof/>
        </w:rPr>
      </w:pPr>
      <w:r>
        <w:rPr>
          <w:noProof/>
        </w:rPr>
        <w:t>Текстил („Текстилни възли“).</w:t>
      </w:r>
    </w:p>
    <w:p w14:paraId="56B1AB19" w14:textId="77777777" w:rsidR="006054AA" w:rsidRDefault="001F7667">
      <w:pPr>
        <w:spacing w:before="120" w:after="120"/>
        <w:jc w:val="both"/>
        <w:rPr>
          <w:noProof/>
        </w:rPr>
      </w:pPr>
      <w:r>
        <w:rPr>
          <w:noProof/>
        </w:rPr>
        <w:t xml:space="preserve">Освен това се разработва глобална система за мониторинг за справяне с незаконното изхвърляне, като се използват спътници, безпилотни летателни апарати и технологии за изкуствен интелект (за допълнително описание на цялостната намеса вж. </w:t>
      </w:r>
      <w:r>
        <w:rPr>
          <w:i/>
          <w:noProof/>
        </w:rPr>
        <w:t>Инвестиция 1.1 — Изпълнение на усъвършенствана и интегрирана система за мониторинг и прогнозиране</w:t>
      </w:r>
      <w:r>
        <w:rPr>
          <w:noProof/>
        </w:rPr>
        <w:t xml:space="preserve"> в компонент 4 на мисия 2). Глобалната система за мониторинг, заедно с предложените мерки за проследяване на отпадъците, подкрепя местните контролни органи и сили на реда при предотвратяването, контрола и борбата с незаконното изхвърляне и дейностите на организираната престъпност в управлението на отпадъците.</w:t>
      </w:r>
    </w:p>
    <w:p w14:paraId="78FDD391" w14:textId="77777777" w:rsidR="006054AA" w:rsidRDefault="001F7667">
      <w:pPr>
        <w:pStyle w:val="P68B1DB1-Normal2"/>
        <w:spacing w:before="120" w:after="120"/>
        <w:ind w:firstLine="567"/>
        <w:jc w:val="both"/>
        <w:rPr>
          <w:noProof/>
        </w:rPr>
      </w:pPr>
      <w:r>
        <w:rPr>
          <w:noProof/>
        </w:rPr>
        <w:t>Инвестиция 3.1 — Зелени острови</w:t>
      </w:r>
    </w:p>
    <w:p w14:paraId="3CAA5AAF" w14:textId="3B1F26DF" w:rsidR="006054AA" w:rsidRDefault="001F7667">
      <w:pPr>
        <w:spacing w:before="120" w:after="120"/>
        <w:jc w:val="both"/>
        <w:rPr>
          <w:noProof/>
          <w:color w:val="006100"/>
        </w:rPr>
      </w:pPr>
      <w:r>
        <w:rPr>
          <w:noProof/>
        </w:rPr>
        <w:t>Тази инвестиция се състои от финансиране и изпълнение на проекти в областта на енергетиката (като възобновяеми енергийни източници, мрежи и енергийна ефективност), водата (като обезсоляване), транспорта (като например велосипедни алеи, автобуси и плавателни съдове с нулеви емисии) и отпадъците (като разделяне на отпадъците) на 19-те невзаимосвързани малки острова. Биометанът отговаря на критериите, определени в Директива 2018/2001 (Директива RED II). 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 Операторът закупува сертификати за гаранция за произход, съизмерими с очакваното потребление на гориво.   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35"/>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36"/>
      </w:r>
      <w:r>
        <w:rPr>
          <w:noProof/>
        </w:rPr>
        <w:t>; III) дейности, свързани с депа за отпадъци, инсинератори</w:t>
      </w:r>
      <w:r>
        <w:rPr>
          <w:rStyle w:val="FootnoteReference"/>
          <w:noProof/>
        </w:rPr>
        <w:footnoteReference w:id="37"/>
      </w:r>
      <w:r>
        <w:rPr>
          <w:noProof/>
        </w:rPr>
        <w:t xml:space="preserve"> и инсталации за механично-биологично третиране</w:t>
      </w:r>
      <w:r>
        <w:rPr>
          <w:rStyle w:val="FootnoteReference"/>
          <w:noProof/>
        </w:rPr>
        <w:footnoteReference w:id="38"/>
      </w:r>
      <w:r>
        <w:rPr>
          <w:noProof/>
        </w:rPr>
        <w:t>; и iv) дейности, при които дългосрочното обезвреждане на отпадъци може да причини вреда на околната среда. В заданието се изисква освен това да се избират само дейности, които са в съответствие със съответното законодателство на ЕС и национално законодателство в областта на околната среда.</w:t>
      </w:r>
    </w:p>
    <w:p w14:paraId="6E65D2E6" w14:textId="77777777" w:rsidR="006054AA" w:rsidRDefault="001F7667">
      <w:pPr>
        <w:pStyle w:val="P68B1DB1-Normal2"/>
        <w:spacing w:before="120" w:after="120"/>
        <w:jc w:val="both"/>
        <w:rPr>
          <w:noProof/>
        </w:rPr>
      </w:pPr>
      <w:r>
        <w:rPr>
          <w:noProof/>
        </w:rPr>
        <w:t>Инвестиция 3.2 — Зелени общности</w:t>
      </w:r>
    </w:p>
    <w:p w14:paraId="5358ADE6" w14:textId="77777777" w:rsidR="006054AA" w:rsidRDefault="001F7667">
      <w:pPr>
        <w:spacing w:before="120" w:after="120"/>
        <w:jc w:val="both"/>
        <w:rPr>
          <w:noProof/>
        </w:rPr>
      </w:pPr>
      <w:r>
        <w:rPr>
          <w:noProof/>
        </w:rPr>
        <w:t>Тази инвестиция се състои от подпомагане на селските и планинските територии, които възнамеряват да използват по балансиран начин основните си ресурси (т.нар. „зелени общности“) чрез инвестиции, по-специално в следните области:</w:t>
      </w:r>
    </w:p>
    <w:p w14:paraId="0C144393" w14:textId="77777777" w:rsidR="006054AA" w:rsidRDefault="001F7667">
      <w:pPr>
        <w:numPr>
          <w:ilvl w:val="0"/>
          <w:numId w:val="64"/>
        </w:numPr>
        <w:spacing w:before="120" w:after="120" w:line="259" w:lineRule="auto"/>
        <w:ind w:left="360"/>
        <w:contextualSpacing/>
        <w:jc w:val="both"/>
        <w:rPr>
          <w:noProof/>
        </w:rPr>
      </w:pPr>
      <w:r>
        <w:rPr>
          <w:noProof/>
        </w:rPr>
        <w:t>интегрираното и сертифицирано управление на агро-лесовъдното наследство („също и чрез обмен на кредити, произтичащи от улавянето на въглероден диоксид, управлението на биологичното разнообразие и сертифицирането на веригата за доставки на дървесина“);</w:t>
      </w:r>
    </w:p>
    <w:p w14:paraId="00710AEA" w14:textId="77777777" w:rsidR="006054AA" w:rsidRDefault="001F7667">
      <w:pPr>
        <w:numPr>
          <w:ilvl w:val="0"/>
          <w:numId w:val="64"/>
        </w:numPr>
        <w:spacing w:before="120" w:after="120" w:line="259" w:lineRule="auto"/>
        <w:ind w:left="360"/>
        <w:contextualSpacing/>
        <w:jc w:val="both"/>
        <w:rPr>
          <w:noProof/>
        </w:rPr>
      </w:pPr>
      <w:r>
        <w:rPr>
          <w:noProof/>
        </w:rPr>
        <w:t>интегрираното и сертифицирано управление на водните ресурси;</w:t>
      </w:r>
    </w:p>
    <w:p w14:paraId="0BBC6271" w14:textId="77777777" w:rsidR="006054AA" w:rsidRDefault="001F7667">
      <w:pPr>
        <w:numPr>
          <w:ilvl w:val="0"/>
          <w:numId w:val="64"/>
        </w:numPr>
        <w:spacing w:before="120" w:after="120" w:line="259" w:lineRule="auto"/>
        <w:ind w:left="360"/>
        <w:contextualSpacing/>
        <w:jc w:val="both"/>
        <w:rPr>
          <w:noProof/>
        </w:rPr>
      </w:pPr>
      <w:r>
        <w:rPr>
          <w:noProof/>
        </w:rPr>
        <w:t>производството на енергия от местни възобновяеми източници, като например микро водноелектрически централи, биомаса, биогаз, вятърна енергия, комбинирано производство на енергия и биометан;</w:t>
      </w:r>
    </w:p>
    <w:p w14:paraId="55193BB4" w14:textId="77777777" w:rsidR="006054AA" w:rsidRDefault="001F7667">
      <w:pPr>
        <w:numPr>
          <w:ilvl w:val="0"/>
          <w:numId w:val="64"/>
        </w:numPr>
        <w:spacing w:before="120" w:after="120" w:line="259" w:lineRule="auto"/>
        <w:ind w:left="360"/>
        <w:contextualSpacing/>
        <w:jc w:val="both"/>
        <w:rPr>
          <w:noProof/>
        </w:rPr>
      </w:pPr>
      <w:r>
        <w:rPr>
          <w:noProof/>
        </w:rPr>
        <w:t>развитието на устойчив туризъм („способност за подобряване на местните продукти“);</w:t>
      </w:r>
    </w:p>
    <w:p w14:paraId="441445A4" w14:textId="77777777" w:rsidR="006054AA" w:rsidRDefault="001F7667">
      <w:pPr>
        <w:numPr>
          <w:ilvl w:val="0"/>
          <w:numId w:val="64"/>
        </w:numPr>
        <w:spacing w:before="120" w:after="120" w:line="259" w:lineRule="auto"/>
        <w:ind w:left="360"/>
        <w:contextualSpacing/>
        <w:jc w:val="both"/>
        <w:rPr>
          <w:noProof/>
        </w:rPr>
      </w:pPr>
      <w:r>
        <w:rPr>
          <w:noProof/>
        </w:rPr>
        <w:t>изграждането и устойчивото управление на сградния фонд и инфраструктурата на една модерна планина;</w:t>
      </w:r>
    </w:p>
    <w:p w14:paraId="58C06D42" w14:textId="77777777" w:rsidR="006054AA" w:rsidRDefault="001F7667">
      <w:pPr>
        <w:numPr>
          <w:ilvl w:val="0"/>
          <w:numId w:val="64"/>
        </w:numPr>
        <w:spacing w:before="120" w:after="120" w:line="259" w:lineRule="auto"/>
        <w:ind w:left="360"/>
        <w:contextualSpacing/>
        <w:jc w:val="both"/>
        <w:rPr>
          <w:noProof/>
        </w:rPr>
      </w:pPr>
      <w:r>
        <w:rPr>
          <w:noProof/>
        </w:rPr>
        <w:t>енергийна ефективност и интелигентно интегриране на инсталации и мрежи;</w:t>
      </w:r>
    </w:p>
    <w:p w14:paraId="692C5E28" w14:textId="77777777" w:rsidR="006054AA" w:rsidRDefault="001F7667">
      <w:pPr>
        <w:numPr>
          <w:ilvl w:val="0"/>
          <w:numId w:val="64"/>
        </w:numPr>
        <w:spacing w:before="120" w:after="120" w:line="259" w:lineRule="auto"/>
        <w:ind w:left="360"/>
        <w:contextualSpacing/>
        <w:jc w:val="both"/>
        <w:rPr>
          <w:noProof/>
        </w:rPr>
      </w:pPr>
      <w:r>
        <w:rPr>
          <w:noProof/>
        </w:rPr>
        <w:t>устойчивото развитие на производствените дейности (производство с нулеви отпадъци);</w:t>
      </w:r>
    </w:p>
    <w:p w14:paraId="662514EC" w14:textId="77777777" w:rsidR="006054AA" w:rsidRDefault="001F7667">
      <w:pPr>
        <w:numPr>
          <w:ilvl w:val="0"/>
          <w:numId w:val="64"/>
        </w:numPr>
        <w:spacing w:before="120" w:after="120" w:line="259" w:lineRule="auto"/>
        <w:ind w:left="360"/>
        <w:contextualSpacing/>
        <w:jc w:val="both"/>
        <w:rPr>
          <w:noProof/>
        </w:rPr>
      </w:pPr>
      <w:r>
        <w:rPr>
          <w:noProof/>
        </w:rPr>
        <w:t>интегриране на услугите за мобилност;</w:t>
      </w:r>
    </w:p>
    <w:p w14:paraId="37A08D42" w14:textId="77777777" w:rsidR="006054AA" w:rsidRDefault="001F7667">
      <w:pPr>
        <w:numPr>
          <w:ilvl w:val="0"/>
          <w:numId w:val="64"/>
        </w:numPr>
        <w:spacing w:before="120" w:after="120" w:line="259" w:lineRule="auto"/>
        <w:ind w:left="360"/>
        <w:contextualSpacing/>
        <w:jc w:val="both"/>
        <w:rPr>
          <w:noProof/>
        </w:rPr>
      </w:pPr>
      <w:r>
        <w:rPr>
          <w:noProof/>
        </w:rPr>
        <w:t>разработване на устойчив модел на земеделско стопанство („който също така е независим от производството и използването на енергия от възобновяеми източници в секторите на електротехниката, топлинната енергия и транспорта“).</w:t>
      </w:r>
    </w:p>
    <w:p w14:paraId="2557E98E" w14:textId="1FB63CEE" w:rsidR="006054AA" w:rsidRDefault="001F7667">
      <w:pPr>
        <w:pStyle w:val="ListParagraph"/>
        <w:numPr>
          <w:ilvl w:val="0"/>
          <w:numId w:val="64"/>
        </w:numPr>
        <w:spacing w:line="259" w:lineRule="auto"/>
        <w:ind w:left="360"/>
        <w:rPr>
          <w:rFonts w:asciiTheme="minorHAnsi" w:eastAsiaTheme="minorEastAsia" w:hAnsiTheme="minorHAnsi" w:cstheme="minorBidi"/>
          <w:noProof/>
          <w:color w:val="006100"/>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39"/>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40"/>
      </w:r>
      <w:r>
        <w:rPr>
          <w:noProof/>
        </w:rPr>
        <w:t>; III) дейности, свързани с депа за отпадъци, инсинератори</w:t>
      </w:r>
      <w:r>
        <w:rPr>
          <w:rStyle w:val="FootnoteReference"/>
          <w:noProof/>
        </w:rPr>
        <w:footnoteReference w:id="41"/>
      </w:r>
      <w:r>
        <w:rPr>
          <w:noProof/>
        </w:rPr>
        <w:t xml:space="preserve"> и инсталации за механично-биологично третиране</w:t>
      </w:r>
      <w:r>
        <w:rPr>
          <w:rStyle w:val="FootnoteReference"/>
          <w:noProof/>
        </w:rPr>
        <w:footnoteReference w:id="42"/>
      </w:r>
      <w:r>
        <w:rPr>
          <w:noProof/>
        </w:rPr>
        <w:t>; и iv) дейности, при които дългосрочното обезвреждане на отпадъци може да причини вреда на околната среда. В заданието се изисква освен това да се избират само дейности, които са в съответствие със съответното законодателство на ЕС и национално законодателство в областта на околната среда.</w:t>
      </w:r>
    </w:p>
    <w:p w14:paraId="38A7B87D" w14:textId="77777777" w:rsidR="006054AA" w:rsidRDefault="001F7667">
      <w:pPr>
        <w:pStyle w:val="P68B1DB1-Normal2"/>
        <w:spacing w:before="120" w:after="120"/>
        <w:jc w:val="both"/>
        <w:rPr>
          <w:noProof/>
        </w:rPr>
      </w:pPr>
      <w:r>
        <w:rPr>
          <w:noProof/>
        </w:rPr>
        <w:t>Инвестиция 3.4 — Fondo Rotativo Contratti di Filiera (FCF) в подкрепа на договори за вериги на доставки за секторите на хранително-вкусовата промишленост, рибарството и аквакултурите, горското стопанство, цветарството и растениевъдството</w:t>
      </w:r>
    </w:p>
    <w:p w14:paraId="155D6D54" w14:textId="0A55B96B" w:rsidR="006054AA" w:rsidRDefault="001F7667">
      <w:pPr>
        <w:spacing w:after="120"/>
        <w:jc w:val="both"/>
        <w:rPr>
          <w:noProof/>
        </w:rPr>
      </w:pPr>
      <w:r>
        <w:rPr>
          <w:noProof/>
        </w:rPr>
        <w:t xml:space="preserve">Тази мярка се състои от публична инвестиция в механизъм — Fondo Rotativo Contratti di Filiera (FCF), за да се стимулират частните инвестиции и да се подобри достъпът до финансиране в секторите на хранително-вкусовата промишленост, рибарството и аквакултурите, горското стопанство, цветарството и растениевъдството в Италия. Механизмът функционира чрез предоставяне на безвъзмездни средства и субсидирани заеми пряко чрез ISMEA (Istituto di Servizi per il Mercato Agricolo Alimentare). Сумата на механизма е 2 милиарда евро, включително таксите, които трябва да бъдат платени на ISMEA. </w:t>
      </w:r>
    </w:p>
    <w:p w14:paraId="3C37E1CB" w14:textId="2DE16382" w:rsidR="006054AA" w:rsidRDefault="001F7667">
      <w:pPr>
        <w:spacing w:after="120"/>
        <w:jc w:val="both"/>
        <w:rPr>
          <w:noProof/>
        </w:rPr>
      </w:pPr>
      <w:r>
        <w:rPr>
          <w:noProof/>
        </w:rPr>
        <w:t>Механизмът се управлява от ISMEA като партньор по изпълнението. Фондът включва следните продуктови линии:</w:t>
      </w:r>
    </w:p>
    <w:p w14:paraId="176B1E33" w14:textId="186CCCC3" w:rsidR="006054AA" w:rsidRDefault="001F7667">
      <w:pPr>
        <w:pStyle w:val="ListParagraph"/>
        <w:numPr>
          <w:ilvl w:val="0"/>
          <w:numId w:val="104"/>
        </w:numPr>
        <w:spacing w:before="0"/>
        <w:contextualSpacing w:val="0"/>
        <w:rPr>
          <w:noProof/>
        </w:rPr>
      </w:pPr>
      <w:r>
        <w:rPr>
          <w:noProof/>
        </w:rPr>
        <w:t>Подпомагане на предприятия, групи предприятия или асоциации на селскостопански производители, както и организации за научни изследвания и разпространение на знания в секторите на хранително-вкусовата промишленост, рибарството и аквакултурите, горското стопанство, цветарството и растениевъдството чрез подобряване на производствените процеси чрез включване на комбинация от дейности сред следните:</w:t>
      </w:r>
    </w:p>
    <w:p w14:paraId="3AA98B61" w14:textId="56CED051" w:rsidR="006054AA" w:rsidRDefault="001F7667">
      <w:pPr>
        <w:pStyle w:val="ListParagraph"/>
        <w:numPr>
          <w:ilvl w:val="1"/>
          <w:numId w:val="104"/>
        </w:numPr>
        <w:spacing w:before="0"/>
        <w:contextualSpacing w:val="0"/>
        <w:rPr>
          <w:noProof/>
        </w:rPr>
      </w:pPr>
      <w:r>
        <w:rPr>
          <w:noProof/>
        </w:rPr>
        <w:t>Подобряване на екологичната устойчивост на производствените процеси с инвестиции в материални и нематериални активи, за да се повиши значително ефективността на целевите производствени процеси при потреблението на енергия, вода и ресурси;</w:t>
      </w:r>
    </w:p>
    <w:p w14:paraId="1BEC3F9A" w14:textId="3044803B" w:rsidR="006054AA" w:rsidRDefault="001F7667">
      <w:pPr>
        <w:pStyle w:val="ListParagraph"/>
        <w:numPr>
          <w:ilvl w:val="1"/>
          <w:numId w:val="104"/>
        </w:numPr>
        <w:spacing w:before="0"/>
        <w:contextualSpacing w:val="0"/>
        <w:rPr>
          <w:noProof/>
        </w:rPr>
      </w:pPr>
      <w:r>
        <w:rPr>
          <w:noProof/>
        </w:rPr>
        <w:t xml:space="preserve">Инвестиции в знания, обучение, научни изследвания и иновации, трансфер на технологии и проекти за развитие, които могат също така да подпомогнат реорганизацията на отношенията между различните участници във веригата на доставки с цел повишаване на устойчивостта на производствените процеси; </w:t>
      </w:r>
    </w:p>
    <w:p w14:paraId="60F395CF" w14:textId="77777777" w:rsidR="006054AA" w:rsidRDefault="001F7667">
      <w:pPr>
        <w:pStyle w:val="ListParagraph"/>
        <w:numPr>
          <w:ilvl w:val="1"/>
          <w:numId w:val="104"/>
        </w:numPr>
        <w:spacing w:before="0"/>
        <w:contextualSpacing w:val="0"/>
        <w:rPr>
          <w:noProof/>
        </w:rPr>
      </w:pPr>
      <w:r>
        <w:rPr>
          <w:noProof/>
        </w:rPr>
        <w:t>Инвестиции в цифровизацията на предприятията, включително електронната търговия и нововъзникващите технологии;</w:t>
      </w:r>
    </w:p>
    <w:p w14:paraId="46DDFE04" w14:textId="673F151B" w:rsidR="006054AA" w:rsidRDefault="001F7667">
      <w:pPr>
        <w:pStyle w:val="ListParagraph"/>
        <w:numPr>
          <w:ilvl w:val="1"/>
          <w:numId w:val="104"/>
        </w:numPr>
        <w:spacing w:before="0"/>
        <w:contextualSpacing w:val="0"/>
        <w:rPr>
          <w:noProof/>
        </w:rPr>
      </w:pPr>
      <w:r>
        <w:rPr>
          <w:noProof/>
        </w:rPr>
        <w:t>Инсталиране на фотоволтаични и слънчеви панели</w:t>
      </w:r>
    </w:p>
    <w:p w14:paraId="112CEB86" w14:textId="7A19AA03" w:rsidR="006054AA" w:rsidRDefault="001F7667">
      <w:pPr>
        <w:spacing w:before="120" w:after="120"/>
        <w:jc w:val="both"/>
        <w:rPr>
          <w:noProof/>
        </w:rPr>
      </w:pPr>
      <w:r>
        <w:rPr>
          <w:noProof/>
        </w:rPr>
        <w:t xml:space="preserve">Целта на мярката е да се намалят емисиите на парникови газове, хранителните отпадъци и употребата на пестициди и антимикробни средства, да се подобри енергийната ефективност и да се увеличи производството и използването на енергия от възобновяеми източници.  </w:t>
      </w:r>
    </w:p>
    <w:p w14:paraId="51F59298" w14:textId="3A4D9039" w:rsidR="006054AA" w:rsidRDefault="001F7667">
      <w:pPr>
        <w:spacing w:after="120"/>
        <w:jc w:val="both"/>
        <w:rPr>
          <w:noProof/>
        </w:rPr>
      </w:pPr>
      <w:r>
        <w:rPr>
          <w:noProof/>
        </w:rPr>
        <w:t>За осъществяване на инвестицията в механизма Министерството и ISMEA подписват споразумение за изпълнение, което включва следното съдържание:</w:t>
      </w:r>
    </w:p>
    <w:p w14:paraId="5505B4F3" w14:textId="38FADE8D" w:rsidR="006054AA" w:rsidRDefault="001F7667">
      <w:pPr>
        <w:pStyle w:val="ListParagraph"/>
        <w:numPr>
          <w:ilvl w:val="0"/>
          <w:numId w:val="103"/>
        </w:numPr>
        <w:spacing w:before="0"/>
        <w:contextualSpacing w:val="0"/>
        <w:rPr>
          <w:noProof/>
        </w:rPr>
      </w:pPr>
      <w:r>
        <w:rPr>
          <w:noProof/>
        </w:rPr>
        <w:t>Описание на процеса на вземане на решения на механизма: Окончателното инвестиционно решение на Фонда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p>
    <w:p w14:paraId="56FBB60D" w14:textId="77777777" w:rsidR="006054AA" w:rsidRDefault="001F7667">
      <w:pPr>
        <w:pStyle w:val="ListParagraph"/>
        <w:numPr>
          <w:ilvl w:val="0"/>
          <w:numId w:val="103"/>
        </w:numPr>
        <w:spacing w:before="0"/>
        <w:contextualSpacing w:val="0"/>
        <w:rPr>
          <w:noProof/>
        </w:rPr>
      </w:pPr>
      <w:r>
        <w:rPr>
          <w:noProof/>
        </w:rPr>
        <w:t>Основни изисквания на свързаната инвестиционна политика, които включват:</w:t>
      </w:r>
    </w:p>
    <w:p w14:paraId="11840085" w14:textId="77777777" w:rsidR="006054AA" w:rsidRDefault="001F7667" w:rsidP="001F04B1">
      <w:pPr>
        <w:pStyle w:val="ListParagraph"/>
        <w:numPr>
          <w:ilvl w:val="1"/>
          <w:numId w:val="103"/>
        </w:numPr>
        <w:spacing w:before="0"/>
        <w:ind w:left="1350"/>
        <w:contextualSpacing w:val="0"/>
        <w:rPr>
          <w:noProof/>
        </w:rPr>
      </w:pPr>
      <w:r>
        <w:rPr>
          <w:noProof/>
        </w:rPr>
        <w:t>Описанието на финансовия (те) продукт (и) и допустимите крайни бенефициери.</w:t>
      </w:r>
    </w:p>
    <w:p w14:paraId="1014A218" w14:textId="77777777" w:rsidR="006054AA" w:rsidRDefault="001F7667" w:rsidP="001F04B1">
      <w:pPr>
        <w:pStyle w:val="ListParagraph"/>
        <w:numPr>
          <w:ilvl w:val="1"/>
          <w:numId w:val="103"/>
        </w:numPr>
        <w:spacing w:before="0"/>
        <w:ind w:left="1350"/>
        <w:contextualSpacing w:val="0"/>
        <w:rPr>
          <w:noProof/>
        </w:rPr>
      </w:pPr>
      <w:r>
        <w:rPr>
          <w:noProof/>
        </w:rPr>
        <w:t>Изискването всички подпомагани инвестиции да са икономически жизнеспособни.</w:t>
      </w:r>
    </w:p>
    <w:p w14:paraId="029B39E8" w14:textId="147D4605" w:rsidR="006054AA" w:rsidRDefault="001F7667" w:rsidP="001F04B1">
      <w:pPr>
        <w:pStyle w:val="ListParagraph"/>
        <w:numPr>
          <w:ilvl w:val="1"/>
          <w:numId w:val="103"/>
        </w:numPr>
        <w:spacing w:before="0"/>
        <w:ind w:left="1350"/>
        <w:contextualSpacing w:val="0"/>
        <w:rPr>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инвестиционната политика изключва от допустимост следния списък от дейности и активи: I) дейности и активи, свързани с изкопаеми горива, включително използване надолу по веригата</w:t>
      </w:r>
      <w:r>
        <w:rPr>
          <w:rStyle w:val="FootnoteReference"/>
          <w:noProof/>
        </w:rPr>
        <w:footnoteReference w:id="43"/>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44"/>
      </w:r>
      <w:r>
        <w:rPr>
          <w:noProof/>
        </w:rPr>
        <w:t>, iii) дейности и активи, свързани с депа за отпадъци, инсинератори</w:t>
      </w:r>
      <w:r>
        <w:rPr>
          <w:rStyle w:val="FootnoteReference"/>
          <w:noProof/>
        </w:rPr>
        <w:footnoteReference w:id="45"/>
      </w:r>
      <w:r>
        <w:rPr>
          <w:noProof/>
        </w:rPr>
        <w:t xml:space="preserve"> и инсталации за механично-биологично третиране</w:t>
      </w:r>
      <w:r>
        <w:rPr>
          <w:rStyle w:val="FootnoteReference"/>
          <w:noProof/>
        </w:rPr>
        <w:footnoteReference w:id="46"/>
      </w:r>
      <w:r>
        <w:rPr>
          <w:noProof/>
        </w:rPr>
        <w:t xml:space="preserve">. </w:t>
      </w:r>
    </w:p>
    <w:p w14:paraId="18091BD3" w14:textId="77777777" w:rsidR="006054AA" w:rsidRDefault="001F7667" w:rsidP="001F04B1">
      <w:pPr>
        <w:pStyle w:val="ListParagraph"/>
        <w:numPr>
          <w:ilvl w:val="1"/>
          <w:numId w:val="103"/>
        </w:numPr>
        <w:spacing w:before="0"/>
        <w:ind w:left="1350"/>
        <w:contextualSpacing w:val="0"/>
        <w:rPr>
          <w:noProof/>
        </w:rPr>
      </w:pPr>
      <w:r>
        <w:rPr>
          <w:noProof/>
        </w:rPr>
        <w:t>Изискването крайните бенефициери на Фонда да не получават подкрепа от други инструменти на Съюза за покриване на същите разходи.</w:t>
      </w:r>
    </w:p>
    <w:p w14:paraId="307D3D61" w14:textId="1E4100D3" w:rsidR="006054AA" w:rsidRDefault="001F7667">
      <w:pPr>
        <w:pStyle w:val="ListParagraph"/>
        <w:numPr>
          <w:ilvl w:val="0"/>
          <w:numId w:val="103"/>
        </w:numPr>
        <w:spacing w:before="0"/>
        <w:contextualSpacing w:val="0"/>
        <w:rPr>
          <w:noProof/>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w:t>
      </w:r>
    </w:p>
    <w:p w14:paraId="4FA886E8" w14:textId="77777777" w:rsidR="006054AA" w:rsidRDefault="001F7667">
      <w:pPr>
        <w:pStyle w:val="ListParagraph"/>
        <w:numPr>
          <w:ilvl w:val="0"/>
          <w:numId w:val="103"/>
        </w:numPr>
        <w:spacing w:before="0"/>
        <w:contextualSpacing w:val="0"/>
        <w:rPr>
          <w:noProof/>
        </w:rPr>
      </w:pPr>
      <w:r>
        <w:rPr>
          <w:noProof/>
        </w:rPr>
        <w:t>Изисквания за мониторинг, одит и контрол, включително:</w:t>
      </w:r>
    </w:p>
    <w:p w14:paraId="0F4C55DD" w14:textId="77777777" w:rsidR="006054AA" w:rsidRDefault="001F7667" w:rsidP="001F04B1">
      <w:pPr>
        <w:pStyle w:val="ListParagraph"/>
        <w:numPr>
          <w:ilvl w:val="1"/>
          <w:numId w:val="103"/>
        </w:numPr>
        <w:spacing w:before="0"/>
        <w:ind w:left="1350"/>
        <w:contextualSpacing w:val="0"/>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7E86C21E" w14:textId="03E644F4" w:rsidR="006054AA" w:rsidRDefault="001F7667" w:rsidP="001F04B1">
      <w:pPr>
        <w:pStyle w:val="ListParagraph"/>
        <w:numPr>
          <w:ilvl w:val="1"/>
          <w:numId w:val="103"/>
        </w:numPr>
        <w:spacing w:before="0"/>
        <w:ind w:left="1350"/>
        <w:contextualSpacing w:val="0"/>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12D1FA01" w14:textId="77777777" w:rsidR="006054AA" w:rsidRDefault="001F7667" w:rsidP="001F04B1">
      <w:pPr>
        <w:pStyle w:val="ListParagraph"/>
        <w:numPr>
          <w:ilvl w:val="1"/>
          <w:numId w:val="103"/>
        </w:numPr>
        <w:spacing w:before="0"/>
        <w:ind w:left="1350"/>
        <w:contextualSpacing w:val="0"/>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операция.</w:t>
      </w:r>
    </w:p>
    <w:p w14:paraId="1C70AAA5" w14:textId="7CBB8E1E" w:rsidR="006054AA" w:rsidRDefault="001F7667" w:rsidP="001F04B1">
      <w:pPr>
        <w:pStyle w:val="ListParagraph"/>
        <w:numPr>
          <w:ilvl w:val="1"/>
          <w:numId w:val="103"/>
        </w:numPr>
        <w:spacing w:before="0"/>
        <w:ind w:left="1350"/>
        <w:contextualSpacing w:val="0"/>
        <w:rPr>
          <w:noProof/>
        </w:rPr>
      </w:pPr>
      <w:r>
        <w:rPr>
          <w:noProof/>
        </w:rPr>
        <w:t xml:space="preserve">Задължението за извършване на последващи одити, основани на риска, в съответствие с плана за одит на ISMEA. Тези одити проверяват i) дали системите за контрол са ефективни, включително разкриването на измами, корупция и конфликт на интереси; II) съответствие с принципа за ненанасяне на значителни вреди, правилата за държавна помощ, изискванията в областта на климата и цифровото маркиране в съответствие с приложение VI към Регламента за МВУ и с приложение VII към Регламента за МВУ; и iii) изискването крайните бенефициери на Фонда да не са получили подкрепа от други инструменти на Съюза за покриване на същите разходи, е спазено. Одитите проверяват също така законосъобразността на трансакциите и спазването на условията на приложимите споразумение за изпълнение и споразумения за финансиране. </w:t>
      </w:r>
    </w:p>
    <w:p w14:paraId="266D99D6" w14:textId="4AD440F2" w:rsidR="006054AA" w:rsidRDefault="001F7667">
      <w:pPr>
        <w:pStyle w:val="ListParagraph"/>
        <w:numPr>
          <w:ilvl w:val="0"/>
          <w:numId w:val="103"/>
        </w:numPr>
        <w:spacing w:before="0"/>
        <w:contextualSpacing w:val="0"/>
        <w:rPr>
          <w:noProof/>
        </w:rPr>
      </w:pPr>
      <w:r>
        <w:rPr>
          <w:noProof/>
        </w:rPr>
        <w:t>Изисквания за инвестиции в областта на климата, извършвани от партньора по изпълнението: най-малко 924 000.00</w:t>
      </w:r>
      <w:r>
        <w:rPr>
          <w:noProof/>
          <w:color w:val="006100"/>
          <w:sz w:val="20"/>
        </w:rPr>
        <w:t xml:space="preserve"> </w:t>
      </w:r>
      <w:r>
        <w:rPr>
          <w:noProof/>
        </w:rPr>
        <w:t>000 EUR от</w:t>
      </w:r>
      <w:r>
        <w:rPr>
          <w:noProof/>
          <w:color w:val="006100"/>
          <w:sz w:val="20"/>
        </w:rPr>
        <w:t xml:space="preserve"> </w:t>
      </w:r>
      <w:r>
        <w:rPr>
          <w:noProof/>
        </w:rPr>
        <w:t>инвестициите по МВУ във фонда ще допринесат за постигането на целите във връзка с изменението на климата в съответствие с приложение VI към Регламента за МВУ.</w:t>
      </w:r>
      <w:r>
        <w:rPr>
          <w:rStyle w:val="FootnoteReference"/>
          <w:noProof/>
        </w:rPr>
        <w:footnoteReference w:id="47"/>
      </w:r>
    </w:p>
    <w:p w14:paraId="628AF46B" w14:textId="5EA986BD" w:rsidR="006054AA" w:rsidRDefault="001F7667">
      <w:pPr>
        <w:spacing w:after="120"/>
        <w:jc w:val="both"/>
        <w:rPr>
          <w:rFonts w:eastAsiaTheme="minorEastAsia"/>
          <w:noProof/>
        </w:rPr>
      </w:pPr>
      <w:r>
        <w:rPr>
          <w:noProof/>
        </w:rPr>
        <w:t xml:space="preserve">Изпълнението на мярката приключва с прехвърляне на общия размер на средствата към ISMEA за Фонда до 31 август 2026 г. </w:t>
      </w:r>
    </w:p>
    <w:p w14:paraId="07CF8DD5" w14:textId="77777777" w:rsidR="006054AA" w:rsidRDefault="001F7667">
      <w:pPr>
        <w:pStyle w:val="Heading3"/>
        <w:numPr>
          <w:ilvl w:val="0"/>
          <w:numId w:val="0"/>
        </w:numPr>
        <w:ind w:left="850" w:hanging="850"/>
        <w:rPr>
          <w:b/>
          <w:i w:val="0"/>
          <w:noProof/>
          <w:u w:val="single"/>
        </w:rPr>
      </w:pPr>
      <w:r>
        <w:rPr>
          <w:b/>
          <w:i w:val="0"/>
          <w:noProof/>
          <w:u w:val="single"/>
        </w:rPr>
        <w:t xml:space="preserve">Г.4. </w:t>
      </w:r>
      <w:r>
        <w:rPr>
          <w:noProof/>
        </w:rPr>
        <w:tab/>
      </w:r>
      <w:r>
        <w:rPr>
          <w:b/>
          <w:i w:val="0"/>
          <w:noProof/>
          <w:u w:val="single"/>
        </w:rPr>
        <w:t xml:space="preserve">Ключови етапи, цели, показатели и график за мониторинг и изпълнение на заема </w:t>
      </w:r>
    </w:p>
    <w:p w14:paraId="4080D981" w14:textId="77777777" w:rsidR="006054AA" w:rsidRDefault="006054AA">
      <w:pPr>
        <w:spacing w:before="120" w:after="120"/>
        <w:ind w:left="709"/>
        <w:contextualSpacing/>
        <w:jc w:val="both"/>
        <w:rPr>
          <w:noProof/>
        </w:rPr>
      </w:pPr>
    </w:p>
    <w:p w14:paraId="2A24FB63" w14:textId="77777777" w:rsidR="006054AA" w:rsidRDefault="006054AA">
      <w:pPr>
        <w:spacing w:before="120" w:after="120"/>
        <w:ind w:left="709"/>
        <w:contextualSpacing/>
        <w:jc w:val="both"/>
        <w:rPr>
          <w:noProof/>
        </w:rPr>
        <w:sectPr w:rsidR="006054AA" w:rsidSect="001354D1">
          <w:headerReference w:type="even" r:id="rId104"/>
          <w:headerReference w:type="default" r:id="rId105"/>
          <w:footerReference w:type="even" r:id="rId106"/>
          <w:footerReference w:type="default" r:id="rId107"/>
          <w:headerReference w:type="first" r:id="rId108"/>
          <w:footerReference w:type="first" r:id="rId109"/>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603"/>
        <w:gridCol w:w="1275"/>
        <w:gridCol w:w="993"/>
        <w:gridCol w:w="1162"/>
        <w:gridCol w:w="963"/>
        <w:gridCol w:w="710"/>
        <w:gridCol w:w="3174"/>
      </w:tblGrid>
      <w:tr w:rsidR="006054AA" w14:paraId="33D25ACC" w14:textId="77777777">
        <w:trPr>
          <w:trHeight w:val="939"/>
          <w:tblHeader/>
          <w:jc w:val="center"/>
        </w:trPr>
        <w:tc>
          <w:tcPr>
            <w:tcW w:w="1220" w:type="dxa"/>
            <w:vMerge w:val="restart"/>
            <w:shd w:val="clear" w:color="auto" w:fill="BDD7EE"/>
            <w:vAlign w:val="center"/>
            <w:hideMark/>
          </w:tcPr>
          <w:p w14:paraId="67CCD06A" w14:textId="086A065C" w:rsidR="006054AA" w:rsidRDefault="001F7667">
            <w:pPr>
              <w:pStyle w:val="P68B1DB1-Normal9"/>
              <w:jc w:val="center"/>
              <w:rPr>
                <w:noProof/>
              </w:rPr>
            </w:pPr>
            <w:r>
              <w:rPr>
                <w:noProof/>
              </w:rPr>
              <w:t>Пореден номер</w:t>
            </w:r>
          </w:p>
        </w:tc>
        <w:tc>
          <w:tcPr>
            <w:tcW w:w="1598" w:type="dxa"/>
            <w:vMerge w:val="restart"/>
            <w:shd w:val="clear" w:color="auto" w:fill="BDD7EE"/>
            <w:vAlign w:val="center"/>
            <w:hideMark/>
          </w:tcPr>
          <w:p w14:paraId="37646F57" w14:textId="77777777" w:rsidR="006054AA" w:rsidRDefault="001F7667">
            <w:pPr>
              <w:pStyle w:val="P68B1DB1-Normal9"/>
              <w:jc w:val="center"/>
              <w:rPr>
                <w:noProof/>
              </w:rPr>
            </w:pPr>
            <w:r>
              <w:rPr>
                <w:noProof/>
              </w:rPr>
              <w:t>Свързана мярка (реформа или инвестиции)</w:t>
            </w:r>
          </w:p>
        </w:tc>
        <w:tc>
          <w:tcPr>
            <w:tcW w:w="1185" w:type="dxa"/>
            <w:vMerge w:val="restart"/>
            <w:shd w:val="clear" w:color="auto" w:fill="BDD7EE"/>
            <w:vAlign w:val="center"/>
            <w:hideMark/>
          </w:tcPr>
          <w:p w14:paraId="2310279C" w14:textId="77777777" w:rsidR="006054AA" w:rsidRDefault="001F7667">
            <w:pPr>
              <w:pStyle w:val="P68B1DB1-Normal9"/>
              <w:jc w:val="center"/>
              <w:rPr>
                <w:noProof/>
              </w:rPr>
            </w:pPr>
            <w:r>
              <w:rPr>
                <w:noProof/>
              </w:rPr>
              <w:t>Ключов етап/Цел</w:t>
            </w:r>
          </w:p>
        </w:tc>
        <w:tc>
          <w:tcPr>
            <w:tcW w:w="1732" w:type="dxa"/>
            <w:vMerge w:val="restart"/>
            <w:shd w:val="clear" w:color="auto" w:fill="BDD7EE"/>
            <w:vAlign w:val="center"/>
            <w:hideMark/>
          </w:tcPr>
          <w:p w14:paraId="3DCC5EB1" w14:textId="77777777" w:rsidR="006054AA" w:rsidRDefault="001F7667">
            <w:pPr>
              <w:pStyle w:val="P68B1DB1-Normal9"/>
              <w:jc w:val="center"/>
              <w:rPr>
                <w:noProof/>
              </w:rPr>
            </w:pPr>
            <w:r>
              <w:rPr>
                <w:noProof/>
              </w:rPr>
              <w:t>Име</w:t>
            </w:r>
          </w:p>
        </w:tc>
        <w:tc>
          <w:tcPr>
            <w:tcW w:w="1603" w:type="dxa"/>
            <w:vMerge w:val="restart"/>
            <w:shd w:val="clear" w:color="auto" w:fill="BDD7EE"/>
            <w:vAlign w:val="center"/>
            <w:hideMark/>
          </w:tcPr>
          <w:p w14:paraId="64599007"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430" w:type="dxa"/>
            <w:gridSpan w:val="3"/>
            <w:shd w:val="clear" w:color="auto" w:fill="BDD7EE"/>
            <w:vAlign w:val="center"/>
            <w:hideMark/>
          </w:tcPr>
          <w:p w14:paraId="5AF753AD"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673" w:type="dxa"/>
            <w:gridSpan w:val="2"/>
            <w:shd w:val="clear" w:color="auto" w:fill="BDD7EE"/>
            <w:vAlign w:val="center"/>
            <w:hideMark/>
          </w:tcPr>
          <w:p w14:paraId="5D520CB5" w14:textId="77777777" w:rsidR="006054AA" w:rsidRDefault="001F7667">
            <w:pPr>
              <w:pStyle w:val="P68B1DB1-Normal9"/>
              <w:jc w:val="center"/>
              <w:rPr>
                <w:noProof/>
              </w:rPr>
            </w:pPr>
            <w:r>
              <w:rPr>
                <w:noProof/>
              </w:rPr>
              <w:t>Примерен график за приключване</w:t>
            </w:r>
          </w:p>
        </w:tc>
        <w:tc>
          <w:tcPr>
            <w:tcW w:w="3174" w:type="dxa"/>
            <w:vMerge w:val="restart"/>
            <w:shd w:val="clear" w:color="auto" w:fill="BDD7EE"/>
            <w:vAlign w:val="center"/>
            <w:hideMark/>
          </w:tcPr>
          <w:p w14:paraId="2FBE5512" w14:textId="77777777" w:rsidR="006054AA" w:rsidRDefault="001F7667">
            <w:pPr>
              <w:pStyle w:val="P68B1DB1-Normal9"/>
              <w:jc w:val="center"/>
              <w:rPr>
                <w:noProof/>
              </w:rPr>
            </w:pPr>
            <w:r>
              <w:rPr>
                <w:noProof/>
              </w:rPr>
              <w:t>Описание на всеки ключов етап и цел</w:t>
            </w:r>
          </w:p>
        </w:tc>
      </w:tr>
      <w:tr w:rsidR="006054AA" w14:paraId="01AC8147" w14:textId="77777777">
        <w:trPr>
          <w:trHeight w:val="739"/>
          <w:tblHeader/>
          <w:jc w:val="center"/>
        </w:trPr>
        <w:tc>
          <w:tcPr>
            <w:tcW w:w="1220" w:type="dxa"/>
            <w:vMerge/>
            <w:vAlign w:val="center"/>
            <w:hideMark/>
          </w:tcPr>
          <w:p w14:paraId="27F213FC" w14:textId="77777777" w:rsidR="006054AA" w:rsidRDefault="006054AA">
            <w:pPr>
              <w:jc w:val="center"/>
              <w:rPr>
                <w:rFonts w:ascii="Arial Narrow" w:hAnsi="Arial Narrow"/>
                <w:b/>
                <w:noProof/>
                <w:sz w:val="20"/>
              </w:rPr>
            </w:pPr>
          </w:p>
        </w:tc>
        <w:tc>
          <w:tcPr>
            <w:tcW w:w="1598" w:type="dxa"/>
            <w:vMerge/>
            <w:vAlign w:val="center"/>
            <w:hideMark/>
          </w:tcPr>
          <w:p w14:paraId="0CF57627" w14:textId="77777777" w:rsidR="006054AA" w:rsidRDefault="006054AA">
            <w:pPr>
              <w:jc w:val="center"/>
              <w:rPr>
                <w:rFonts w:ascii="Arial Narrow" w:hAnsi="Arial Narrow"/>
                <w:b/>
                <w:noProof/>
                <w:sz w:val="20"/>
              </w:rPr>
            </w:pPr>
          </w:p>
        </w:tc>
        <w:tc>
          <w:tcPr>
            <w:tcW w:w="1185" w:type="dxa"/>
            <w:vMerge/>
            <w:vAlign w:val="center"/>
            <w:hideMark/>
          </w:tcPr>
          <w:p w14:paraId="3FC27435" w14:textId="77777777" w:rsidR="006054AA" w:rsidRDefault="006054AA">
            <w:pPr>
              <w:jc w:val="center"/>
              <w:rPr>
                <w:rFonts w:ascii="Arial Narrow" w:hAnsi="Arial Narrow"/>
                <w:b/>
                <w:noProof/>
                <w:sz w:val="20"/>
              </w:rPr>
            </w:pPr>
          </w:p>
        </w:tc>
        <w:tc>
          <w:tcPr>
            <w:tcW w:w="1732" w:type="dxa"/>
            <w:vMerge/>
            <w:vAlign w:val="center"/>
            <w:hideMark/>
          </w:tcPr>
          <w:p w14:paraId="21F0FE61" w14:textId="77777777" w:rsidR="006054AA" w:rsidRDefault="006054AA">
            <w:pPr>
              <w:jc w:val="center"/>
              <w:rPr>
                <w:rFonts w:ascii="Arial Narrow" w:hAnsi="Arial Narrow"/>
                <w:b/>
                <w:noProof/>
                <w:sz w:val="20"/>
              </w:rPr>
            </w:pPr>
          </w:p>
        </w:tc>
        <w:tc>
          <w:tcPr>
            <w:tcW w:w="1603" w:type="dxa"/>
            <w:vMerge/>
            <w:vAlign w:val="center"/>
            <w:hideMark/>
          </w:tcPr>
          <w:p w14:paraId="355BA302" w14:textId="77777777" w:rsidR="006054AA" w:rsidRDefault="006054AA">
            <w:pPr>
              <w:jc w:val="center"/>
              <w:rPr>
                <w:rFonts w:ascii="Arial Narrow" w:hAnsi="Arial Narrow"/>
                <w:b/>
                <w:noProof/>
                <w:sz w:val="20"/>
              </w:rPr>
            </w:pPr>
          </w:p>
        </w:tc>
        <w:tc>
          <w:tcPr>
            <w:tcW w:w="1275" w:type="dxa"/>
            <w:shd w:val="clear" w:color="auto" w:fill="BDD7EE"/>
            <w:vAlign w:val="center"/>
            <w:hideMark/>
          </w:tcPr>
          <w:p w14:paraId="1789606A" w14:textId="77777777" w:rsidR="006054AA" w:rsidRDefault="001F7667">
            <w:pPr>
              <w:pStyle w:val="P68B1DB1-Normal9"/>
              <w:jc w:val="center"/>
              <w:rPr>
                <w:noProof/>
              </w:rPr>
            </w:pPr>
            <w:r>
              <w:rPr>
                <w:noProof/>
              </w:rPr>
              <w:t>Единица мярка</w:t>
            </w:r>
          </w:p>
        </w:tc>
        <w:tc>
          <w:tcPr>
            <w:tcW w:w="993" w:type="dxa"/>
            <w:shd w:val="clear" w:color="auto" w:fill="BDD7EE"/>
            <w:vAlign w:val="center"/>
            <w:hideMark/>
          </w:tcPr>
          <w:p w14:paraId="0C449070" w14:textId="77777777" w:rsidR="006054AA" w:rsidRDefault="001F7667">
            <w:pPr>
              <w:pStyle w:val="P68B1DB1-Normal9"/>
              <w:jc w:val="center"/>
              <w:rPr>
                <w:noProof/>
              </w:rPr>
            </w:pPr>
            <w:r>
              <w:rPr>
                <w:noProof/>
              </w:rPr>
              <w:t>Базова линия</w:t>
            </w:r>
          </w:p>
        </w:tc>
        <w:tc>
          <w:tcPr>
            <w:tcW w:w="1162" w:type="dxa"/>
            <w:shd w:val="clear" w:color="auto" w:fill="BDD7EE"/>
            <w:vAlign w:val="center"/>
            <w:hideMark/>
          </w:tcPr>
          <w:p w14:paraId="3D65C891" w14:textId="77777777" w:rsidR="006054AA" w:rsidRDefault="001F7667">
            <w:pPr>
              <w:pStyle w:val="P68B1DB1-Normal9"/>
              <w:jc w:val="center"/>
              <w:rPr>
                <w:noProof/>
              </w:rPr>
            </w:pPr>
            <w:r>
              <w:rPr>
                <w:noProof/>
              </w:rPr>
              <w:t>Цел</w:t>
            </w:r>
          </w:p>
        </w:tc>
        <w:tc>
          <w:tcPr>
            <w:tcW w:w="963" w:type="dxa"/>
            <w:shd w:val="clear" w:color="auto" w:fill="BDD7EE"/>
            <w:vAlign w:val="center"/>
            <w:hideMark/>
          </w:tcPr>
          <w:p w14:paraId="04CC3F24" w14:textId="77777777" w:rsidR="006054AA" w:rsidRDefault="001F7667">
            <w:pPr>
              <w:pStyle w:val="P68B1DB1-Normal9"/>
              <w:jc w:val="center"/>
              <w:rPr>
                <w:noProof/>
              </w:rPr>
            </w:pPr>
            <w:r>
              <w:rPr>
                <w:noProof/>
              </w:rPr>
              <w:t>Тримесечие</w:t>
            </w:r>
          </w:p>
        </w:tc>
        <w:tc>
          <w:tcPr>
            <w:tcW w:w="710" w:type="dxa"/>
            <w:shd w:val="clear" w:color="auto" w:fill="BDD7EE"/>
            <w:vAlign w:val="center"/>
            <w:hideMark/>
          </w:tcPr>
          <w:p w14:paraId="2A9F011A" w14:textId="77777777" w:rsidR="006054AA" w:rsidRDefault="001F7667">
            <w:pPr>
              <w:pStyle w:val="P68B1DB1-Normal9"/>
              <w:jc w:val="center"/>
              <w:rPr>
                <w:noProof/>
              </w:rPr>
            </w:pPr>
            <w:r>
              <w:rPr>
                <w:noProof/>
              </w:rPr>
              <w:t>Година</w:t>
            </w:r>
          </w:p>
        </w:tc>
        <w:tc>
          <w:tcPr>
            <w:tcW w:w="3174" w:type="dxa"/>
            <w:vMerge/>
            <w:vAlign w:val="center"/>
            <w:hideMark/>
          </w:tcPr>
          <w:p w14:paraId="30F9FEB0" w14:textId="77777777" w:rsidR="006054AA" w:rsidRDefault="006054AA">
            <w:pPr>
              <w:rPr>
                <w:rFonts w:ascii="Arial Narrow" w:hAnsi="Arial Narrow"/>
                <w:b/>
                <w:noProof/>
                <w:sz w:val="20"/>
              </w:rPr>
            </w:pPr>
          </w:p>
        </w:tc>
      </w:tr>
      <w:tr w:rsidR="006054AA" w14:paraId="109DC8C8" w14:textId="77777777">
        <w:trPr>
          <w:trHeight w:val="313"/>
          <w:jc w:val="center"/>
        </w:trPr>
        <w:tc>
          <w:tcPr>
            <w:tcW w:w="1220" w:type="dxa"/>
            <w:shd w:val="clear" w:color="auto" w:fill="C6EFCE"/>
            <w:noWrap/>
            <w:vAlign w:val="center"/>
          </w:tcPr>
          <w:p w14:paraId="51E84461" w14:textId="77777777" w:rsidR="006054AA" w:rsidRDefault="001F7667">
            <w:pPr>
              <w:pStyle w:val="P68B1DB1-Normal11"/>
              <w:spacing w:line="276" w:lineRule="auto"/>
              <w:jc w:val="center"/>
              <w:rPr>
                <w:noProof/>
              </w:rPr>
            </w:pPr>
            <w:r>
              <w:rPr>
                <w:noProof/>
              </w:rPr>
              <w:t>M2C1—13</w:t>
            </w:r>
          </w:p>
        </w:tc>
        <w:tc>
          <w:tcPr>
            <w:tcW w:w="1598" w:type="dxa"/>
            <w:shd w:val="clear" w:color="auto" w:fill="C6EFCE"/>
            <w:noWrap/>
            <w:vAlign w:val="center"/>
          </w:tcPr>
          <w:p w14:paraId="569410EF" w14:textId="77777777" w:rsidR="006054AA" w:rsidRDefault="001F7667">
            <w:pPr>
              <w:pStyle w:val="P68B1DB1-Normal11"/>
              <w:spacing w:line="276" w:lineRule="auto"/>
              <w:jc w:val="center"/>
              <w:rPr>
                <w:noProof/>
              </w:rPr>
            </w:pPr>
            <w:r>
              <w:rPr>
                <w:noProof/>
              </w:rPr>
              <w:t>Реформа 1.2 — Национална програма за управление на отпадъците</w:t>
            </w:r>
          </w:p>
        </w:tc>
        <w:tc>
          <w:tcPr>
            <w:tcW w:w="1185" w:type="dxa"/>
            <w:shd w:val="clear" w:color="auto" w:fill="C6EFCE"/>
            <w:noWrap/>
            <w:vAlign w:val="center"/>
          </w:tcPr>
          <w:p w14:paraId="095A8D8D" w14:textId="77777777" w:rsidR="006054AA" w:rsidRDefault="001F7667">
            <w:pPr>
              <w:pStyle w:val="P68B1DB1-Normal11"/>
              <w:spacing w:line="276" w:lineRule="auto"/>
              <w:jc w:val="center"/>
              <w:rPr>
                <w:noProof/>
              </w:rPr>
            </w:pPr>
            <w:r>
              <w:rPr>
                <w:noProof/>
              </w:rPr>
              <w:t>Ключов етап</w:t>
            </w:r>
          </w:p>
        </w:tc>
        <w:tc>
          <w:tcPr>
            <w:tcW w:w="1732" w:type="dxa"/>
            <w:shd w:val="clear" w:color="auto" w:fill="C6EFCE"/>
            <w:noWrap/>
            <w:vAlign w:val="center"/>
          </w:tcPr>
          <w:p w14:paraId="71F4FCD6" w14:textId="77777777" w:rsidR="006054AA" w:rsidRDefault="001F7667">
            <w:pPr>
              <w:pStyle w:val="P68B1DB1-Normal11"/>
              <w:spacing w:line="276" w:lineRule="auto"/>
              <w:jc w:val="center"/>
              <w:rPr>
                <w:noProof/>
              </w:rPr>
            </w:pPr>
            <w:r>
              <w:rPr>
                <w:noProof/>
              </w:rPr>
              <w:t>Влизане в сила на Министерския указ за Националната програма за управление на отпадъците</w:t>
            </w:r>
          </w:p>
        </w:tc>
        <w:tc>
          <w:tcPr>
            <w:tcW w:w="1603" w:type="dxa"/>
            <w:shd w:val="clear" w:color="auto" w:fill="C6EFCE"/>
            <w:noWrap/>
            <w:vAlign w:val="center"/>
          </w:tcPr>
          <w:p w14:paraId="5E949ACC" w14:textId="77777777" w:rsidR="006054AA" w:rsidRDefault="001F7667">
            <w:pPr>
              <w:pStyle w:val="P68B1DB1-Normal11"/>
              <w:spacing w:line="276" w:lineRule="auto"/>
              <w:jc w:val="center"/>
              <w:rPr>
                <w:noProof/>
              </w:rPr>
            </w:pPr>
            <w:r>
              <w:rPr>
                <w:noProof/>
              </w:rPr>
              <w:t>Законова разпоредба, указваща влизането в сила</w:t>
            </w:r>
          </w:p>
        </w:tc>
        <w:tc>
          <w:tcPr>
            <w:tcW w:w="1275" w:type="dxa"/>
            <w:shd w:val="clear" w:color="auto" w:fill="C6EFCE"/>
            <w:noWrap/>
            <w:vAlign w:val="center"/>
          </w:tcPr>
          <w:p w14:paraId="06036419"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4B23BA58"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34B0A2B4" w14:textId="77777777" w:rsidR="006054AA" w:rsidRDefault="001F7667">
            <w:pPr>
              <w:pStyle w:val="P68B1DB1-Normal11"/>
              <w:spacing w:line="276" w:lineRule="auto"/>
              <w:jc w:val="center"/>
              <w:rPr>
                <w:noProof/>
              </w:rPr>
            </w:pPr>
            <w:r>
              <w:rPr>
                <w:noProof/>
              </w:rPr>
              <w:t>НЯМА</w:t>
            </w:r>
          </w:p>
        </w:tc>
        <w:tc>
          <w:tcPr>
            <w:tcW w:w="963" w:type="dxa"/>
            <w:shd w:val="clear" w:color="auto" w:fill="C6EFCE"/>
            <w:noWrap/>
            <w:vAlign w:val="center"/>
          </w:tcPr>
          <w:p w14:paraId="775E99F8" w14:textId="77777777" w:rsidR="006054AA" w:rsidRDefault="001F7667">
            <w:pPr>
              <w:pStyle w:val="P68B1DB1-Normal11"/>
              <w:spacing w:line="276" w:lineRule="auto"/>
              <w:jc w:val="center"/>
              <w:rPr>
                <w:noProof/>
              </w:rPr>
            </w:pPr>
            <w:r>
              <w:rPr>
                <w:noProof/>
              </w:rPr>
              <w:t>Т2 Г.</w:t>
            </w:r>
          </w:p>
        </w:tc>
        <w:tc>
          <w:tcPr>
            <w:tcW w:w="710" w:type="dxa"/>
            <w:shd w:val="clear" w:color="auto" w:fill="C6EFCE"/>
            <w:noWrap/>
            <w:vAlign w:val="center"/>
          </w:tcPr>
          <w:p w14:paraId="0345C359" w14:textId="77777777" w:rsidR="006054AA" w:rsidRDefault="001F7667">
            <w:pPr>
              <w:pStyle w:val="P68B1DB1-Normal11"/>
              <w:spacing w:line="276" w:lineRule="auto"/>
              <w:rPr>
                <w:noProof/>
              </w:rPr>
            </w:pPr>
            <w:r>
              <w:rPr>
                <w:noProof/>
              </w:rPr>
              <w:t>2022</w:t>
            </w:r>
          </w:p>
        </w:tc>
        <w:tc>
          <w:tcPr>
            <w:tcW w:w="3174" w:type="dxa"/>
            <w:shd w:val="clear" w:color="auto" w:fill="C6EFCE"/>
            <w:noWrap/>
            <w:vAlign w:val="center"/>
          </w:tcPr>
          <w:p w14:paraId="2663D160" w14:textId="77777777" w:rsidR="006054AA" w:rsidRDefault="001F7667">
            <w:pPr>
              <w:pStyle w:val="P68B1DB1-Normal11"/>
              <w:spacing w:before="120" w:after="120" w:line="276" w:lineRule="auto"/>
              <w:rPr>
                <w:noProof/>
              </w:rPr>
            </w:pPr>
            <w:r>
              <w:rPr>
                <w:noProof/>
              </w:rPr>
              <w:t>Министерското постановление за националната програма за управление на отпадъците включва най-малко следните цели:</w:t>
            </w:r>
          </w:p>
          <w:p w14:paraId="5E641183" w14:textId="77777777" w:rsidR="006054AA" w:rsidRDefault="001F7667">
            <w:pPr>
              <w:pStyle w:val="P68B1DB1-Normal11"/>
              <w:spacing w:line="276" w:lineRule="auto"/>
              <w:rPr>
                <w:noProof/>
              </w:rPr>
            </w:pPr>
            <w:r>
              <w:rPr>
                <w:noProof/>
              </w:rPr>
              <w:t>постигане на най-високите равнища на подготовка за повторна употреба, рециклиране и оползотворяване на отпадъците, постигане най-малко на целите, определени в член 181 от Законодателен декрет 152/06, и като се вземат предвид схемите за разширена отговорност на производителя;</w:t>
            </w:r>
          </w:p>
          <w:p w14:paraId="4000C3EE" w14:textId="77777777" w:rsidR="006054AA" w:rsidRDefault="001F7667">
            <w:pPr>
              <w:pStyle w:val="P68B1DB1-Normal11"/>
              <w:numPr>
                <w:ilvl w:val="0"/>
                <w:numId w:val="59"/>
              </w:numPr>
              <w:spacing w:before="120" w:line="276" w:lineRule="auto"/>
              <w:ind w:left="244" w:hanging="357"/>
              <w:contextualSpacing/>
              <w:rPr>
                <w:noProof/>
              </w:rPr>
            </w:pPr>
            <w:r>
              <w:rPr>
                <w:noProof/>
              </w:rPr>
              <w:t>да се адаптира мрежата от инсталации, необходими за интегрираното управление на отпадъците — с оглед на развитието на кръговата икономика — като се гарантира необходимият капацитет за постигане на целите, посочени в буква а), и следователно да се сведе до минимум окончателното обезвреждане като краен и остатъчен вариант, в съответствие с принципа на близост и като се вземат предвид целите за предотвратяване, определени в контекста на националното планиране за предотвратяване на отпадъците, предвидено в член 180 от Законодателен декрет 152/06;</w:t>
            </w:r>
          </w:p>
          <w:p w14:paraId="7869462B" w14:textId="77777777" w:rsidR="006054AA" w:rsidRDefault="001F7667">
            <w:pPr>
              <w:pStyle w:val="P68B1DB1-Normal11"/>
              <w:numPr>
                <w:ilvl w:val="0"/>
                <w:numId w:val="59"/>
              </w:numPr>
              <w:spacing w:before="120" w:line="276" w:lineRule="auto"/>
              <w:ind w:left="244" w:hanging="357"/>
              <w:contextualSpacing/>
              <w:rPr>
                <w:noProof/>
              </w:rPr>
            </w:pPr>
            <w:r>
              <w:rPr>
                <w:noProof/>
              </w:rPr>
              <w:t>да установи адекватен мониторинг на изпълнението на програмата, за да се даде възможност за постоянна проверка на съответствието с нейните цели и евентуалната необходимост от приемане на коригиращи инструменти за постигане на планираните действия;</w:t>
            </w:r>
          </w:p>
          <w:p w14:paraId="79B5CF1C" w14:textId="77777777" w:rsidR="006054AA" w:rsidRDefault="001F7667">
            <w:pPr>
              <w:pStyle w:val="P68B1DB1-Normal11"/>
              <w:numPr>
                <w:ilvl w:val="0"/>
                <w:numId w:val="59"/>
              </w:numPr>
              <w:spacing w:before="120" w:line="276" w:lineRule="auto"/>
              <w:ind w:left="244" w:hanging="357"/>
              <w:contextualSpacing/>
              <w:rPr>
                <w:noProof/>
              </w:rPr>
            </w:pPr>
            <w:r>
              <w:rPr>
                <w:noProof/>
              </w:rPr>
              <w:t>да се предотврати откриването на нови производства за установяване на неизпълнение на задължения срещу Република Италия за неизпълнение на европейските разпоредби относно планирането на цикъла на отпадъците;</w:t>
            </w:r>
          </w:p>
          <w:p w14:paraId="4ED7702A" w14:textId="77777777" w:rsidR="006054AA" w:rsidRDefault="001F7667">
            <w:pPr>
              <w:pStyle w:val="P68B1DB1-Normal11"/>
              <w:numPr>
                <w:ilvl w:val="0"/>
                <w:numId w:val="59"/>
              </w:numPr>
              <w:spacing w:before="120" w:line="276" w:lineRule="auto"/>
              <w:ind w:left="244" w:hanging="357"/>
              <w:contextualSpacing/>
              <w:rPr>
                <w:noProof/>
              </w:rPr>
            </w:pPr>
            <w:r>
              <w:rPr>
                <w:noProof/>
              </w:rPr>
              <w:t>справяне с ниската степен на събиране на отпадъци и възпиране на депонирането (вж. също Националната стратегия за кръговата икономика);</w:t>
            </w:r>
          </w:p>
          <w:p w14:paraId="39F6D300" w14:textId="77777777" w:rsidR="006054AA" w:rsidRDefault="001F7667">
            <w:pPr>
              <w:pStyle w:val="P68B1DB1-Normal11"/>
              <w:numPr>
                <w:ilvl w:val="0"/>
                <w:numId w:val="59"/>
              </w:numPr>
              <w:spacing w:before="120" w:line="276" w:lineRule="auto"/>
              <w:ind w:left="244" w:hanging="357"/>
              <w:contextualSpacing/>
              <w:rPr>
                <w:noProof/>
              </w:rPr>
            </w:pPr>
            <w:r>
              <w:rPr>
                <w:noProof/>
              </w:rPr>
              <w:t>регионалната инсталация за управление на отпадъците допълва националната програма за управление на отпадъците;</w:t>
            </w:r>
          </w:p>
          <w:p w14:paraId="4D097560" w14:textId="77777777" w:rsidR="006054AA" w:rsidRDefault="001F7667">
            <w:pPr>
              <w:pStyle w:val="P68B1DB1-Normal11"/>
              <w:numPr>
                <w:ilvl w:val="0"/>
                <w:numId w:val="59"/>
              </w:numPr>
              <w:spacing w:before="120" w:line="276" w:lineRule="auto"/>
              <w:ind w:left="244" w:hanging="357"/>
              <w:contextualSpacing/>
              <w:rPr>
                <w:noProof/>
              </w:rPr>
            </w:pPr>
            <w:r>
              <w:rPr>
                <w:noProof/>
              </w:rPr>
              <w:t>да се преодолеят пропуските в управлението на отпадъците и регионалното разделение по отношение на капацитета на инсталациите и стандартите за качество, които съществуват между различните региони и области на националната територия, с цел възстановяване на закъсненията;</w:t>
            </w:r>
          </w:p>
          <w:p w14:paraId="7EE8BD90" w14:textId="77777777" w:rsidR="006054AA" w:rsidRDefault="001F7667">
            <w:pPr>
              <w:pStyle w:val="P68B1DB1-Normal11"/>
              <w:spacing w:before="120" w:after="120" w:line="276" w:lineRule="auto"/>
              <w:rPr>
                <w:noProof/>
              </w:rPr>
            </w:pPr>
            <w:r>
              <w:rPr>
                <w:noProof/>
              </w:rPr>
              <w:t>з) постигане на настоящите и новите цели, предвидени в европейското и националното законодателство;</w:t>
            </w:r>
          </w:p>
          <w:p w14:paraId="41BD2769" w14:textId="77777777" w:rsidR="006054AA" w:rsidRDefault="001F7667">
            <w:pPr>
              <w:pStyle w:val="P68B1DB1-Normal11"/>
              <w:spacing w:before="120" w:after="120" w:line="276" w:lineRule="auto"/>
              <w:rPr>
                <w:noProof/>
              </w:rPr>
            </w:pPr>
            <w:r>
              <w:rPr>
                <w:noProof/>
              </w:rPr>
              <w:t>и) за справяне с незаконното изхвърляне на отпадъци и изгарянето на открито (например в района на Terra dei Fuochi) чрез мерки, включително въвеждането на нова система за проследяване на отпадъците, ще бъде разработена подкрепената Глобална система за мониторинг за справяне с незаконното изхвърляне, като се използват спътници, безпилотни летателни апарати и технологии за изкуствен интелект (ИИ).</w:t>
            </w:r>
          </w:p>
        </w:tc>
      </w:tr>
      <w:tr w:rsidR="006054AA" w14:paraId="790A85C5" w14:textId="77777777">
        <w:trPr>
          <w:trHeight w:val="313"/>
          <w:jc w:val="center"/>
        </w:trPr>
        <w:tc>
          <w:tcPr>
            <w:tcW w:w="1220" w:type="dxa"/>
            <w:shd w:val="clear" w:color="auto" w:fill="C6EFCE"/>
            <w:noWrap/>
            <w:vAlign w:val="center"/>
          </w:tcPr>
          <w:p w14:paraId="102C47C6" w14:textId="77777777" w:rsidR="006054AA" w:rsidRDefault="001F7667">
            <w:pPr>
              <w:pStyle w:val="P68B1DB1-Normal11"/>
              <w:spacing w:line="276" w:lineRule="auto"/>
              <w:jc w:val="center"/>
              <w:rPr>
                <w:noProof/>
              </w:rPr>
            </w:pPr>
            <w:r>
              <w:rPr>
                <w:noProof/>
              </w:rPr>
              <w:t>M2C1—14</w:t>
            </w:r>
          </w:p>
        </w:tc>
        <w:tc>
          <w:tcPr>
            <w:tcW w:w="1598" w:type="dxa"/>
            <w:shd w:val="clear" w:color="auto" w:fill="C6EFCE"/>
            <w:noWrap/>
            <w:vAlign w:val="center"/>
          </w:tcPr>
          <w:p w14:paraId="0DCA235E" w14:textId="77777777" w:rsidR="006054AA" w:rsidRDefault="001F7667">
            <w:pPr>
              <w:pStyle w:val="P68B1DB1-Normal11"/>
              <w:spacing w:line="276" w:lineRule="auto"/>
              <w:jc w:val="center"/>
              <w:rPr>
                <w:noProof/>
              </w:rPr>
            </w:pPr>
            <w:r>
              <w:rPr>
                <w:noProof/>
              </w:rPr>
              <w:t>Инвестиция 1.1 — Въвеждане на нови инсталации за управление на отпадъците и модернизация на съществуващи инсталации;</w:t>
            </w:r>
          </w:p>
          <w:p w14:paraId="1EBB759D"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189BBECF" w14:textId="77777777" w:rsidR="006054AA" w:rsidRDefault="001F7667">
            <w:pPr>
              <w:pStyle w:val="P68B1DB1-Normal11"/>
              <w:spacing w:line="276" w:lineRule="auto"/>
              <w:jc w:val="center"/>
              <w:rPr>
                <w:noProof/>
              </w:rPr>
            </w:pPr>
            <w:r>
              <w:rPr>
                <w:noProof/>
              </w:rPr>
              <w:t>Ключов етап</w:t>
            </w:r>
          </w:p>
        </w:tc>
        <w:tc>
          <w:tcPr>
            <w:tcW w:w="1732" w:type="dxa"/>
            <w:shd w:val="clear" w:color="auto" w:fill="C6EFCE"/>
            <w:noWrap/>
            <w:vAlign w:val="center"/>
          </w:tcPr>
          <w:p w14:paraId="29F3DC93" w14:textId="77777777" w:rsidR="006054AA" w:rsidRDefault="001F7667">
            <w:pPr>
              <w:pStyle w:val="P68B1DB1-Normal11"/>
              <w:spacing w:line="276" w:lineRule="auto"/>
              <w:jc w:val="center"/>
              <w:rPr>
                <w:noProof/>
              </w:rPr>
            </w:pPr>
            <w:r>
              <w:rPr>
                <w:noProof/>
              </w:rPr>
              <w:t>Влизане в сила на министерското постановление.</w:t>
            </w:r>
          </w:p>
        </w:tc>
        <w:tc>
          <w:tcPr>
            <w:tcW w:w="1603" w:type="dxa"/>
            <w:shd w:val="clear" w:color="auto" w:fill="C6EFCE"/>
            <w:noWrap/>
            <w:vAlign w:val="center"/>
          </w:tcPr>
          <w:p w14:paraId="0B61B0EC" w14:textId="77777777" w:rsidR="006054AA" w:rsidRDefault="001F7667">
            <w:pPr>
              <w:pStyle w:val="P68B1DB1-Normal11"/>
              <w:spacing w:line="276" w:lineRule="auto"/>
              <w:jc w:val="center"/>
              <w:rPr>
                <w:noProof/>
              </w:rPr>
            </w:pPr>
            <w:r>
              <w:rPr>
                <w:noProof/>
              </w:rPr>
              <w:t>Приемане на министерско постановление за одобряване на критериите за подбор на проектите, предложени от общините.</w:t>
            </w:r>
          </w:p>
        </w:tc>
        <w:tc>
          <w:tcPr>
            <w:tcW w:w="1275" w:type="dxa"/>
            <w:shd w:val="clear" w:color="auto" w:fill="C6EFCE"/>
            <w:noWrap/>
            <w:vAlign w:val="center"/>
          </w:tcPr>
          <w:p w14:paraId="3DCD0615" w14:textId="77777777" w:rsidR="006054AA" w:rsidRDefault="001F7667">
            <w:pPr>
              <w:pStyle w:val="P68B1DB1-Normal11"/>
              <w:spacing w:line="276" w:lineRule="auto"/>
              <w:jc w:val="center"/>
              <w:rPr>
                <w:noProof/>
              </w:rPr>
            </w:pPr>
            <w:r>
              <w:rPr>
                <w:noProof/>
              </w:rPr>
              <w:t>Публикация в Gazzetta Ufficiale</w:t>
            </w:r>
          </w:p>
        </w:tc>
        <w:tc>
          <w:tcPr>
            <w:tcW w:w="993" w:type="dxa"/>
            <w:shd w:val="clear" w:color="auto" w:fill="C6EFCE"/>
            <w:noWrap/>
            <w:vAlign w:val="center"/>
          </w:tcPr>
          <w:p w14:paraId="7D6F1DE1"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2ADA412B" w14:textId="77777777" w:rsidR="006054AA" w:rsidRDefault="001F7667">
            <w:pPr>
              <w:pStyle w:val="P68B1DB1-Normal11"/>
              <w:spacing w:line="276" w:lineRule="auto"/>
              <w:jc w:val="center"/>
              <w:rPr>
                <w:noProof/>
              </w:rPr>
            </w:pPr>
            <w:r>
              <w:rPr>
                <w:noProof/>
              </w:rPr>
              <w:t>НЯМА</w:t>
            </w:r>
          </w:p>
        </w:tc>
        <w:tc>
          <w:tcPr>
            <w:tcW w:w="963" w:type="dxa"/>
            <w:shd w:val="clear" w:color="auto" w:fill="C6EFCE"/>
            <w:noWrap/>
            <w:vAlign w:val="center"/>
          </w:tcPr>
          <w:p w14:paraId="1202CEFD" w14:textId="77777777" w:rsidR="006054AA" w:rsidRDefault="001F7667">
            <w:pPr>
              <w:pStyle w:val="P68B1DB1-Normal11"/>
              <w:spacing w:line="276" w:lineRule="auto"/>
              <w:jc w:val="center"/>
              <w:rPr>
                <w:noProof/>
              </w:rPr>
            </w:pPr>
            <w:r>
              <w:rPr>
                <w:noProof/>
              </w:rPr>
              <w:t>Т3 Г.</w:t>
            </w:r>
          </w:p>
        </w:tc>
        <w:tc>
          <w:tcPr>
            <w:tcW w:w="710" w:type="dxa"/>
            <w:shd w:val="clear" w:color="auto" w:fill="C6EFCE"/>
            <w:noWrap/>
            <w:vAlign w:val="center"/>
          </w:tcPr>
          <w:p w14:paraId="10CB7483" w14:textId="77777777" w:rsidR="006054AA" w:rsidRDefault="001F7667">
            <w:pPr>
              <w:pStyle w:val="P68B1DB1-Normal11"/>
              <w:spacing w:line="276" w:lineRule="auto"/>
              <w:rPr>
                <w:noProof/>
              </w:rPr>
            </w:pPr>
            <w:r>
              <w:rPr>
                <w:noProof/>
              </w:rPr>
              <w:t>2021</w:t>
            </w:r>
          </w:p>
        </w:tc>
        <w:tc>
          <w:tcPr>
            <w:tcW w:w="3174" w:type="dxa"/>
            <w:shd w:val="clear" w:color="auto" w:fill="C6EFCE"/>
            <w:noWrap/>
            <w:vAlign w:val="center"/>
          </w:tcPr>
          <w:p w14:paraId="68418CB2" w14:textId="77777777" w:rsidR="006054AA" w:rsidRDefault="001F7667">
            <w:pPr>
              <w:pStyle w:val="P68B1DB1-Normal11"/>
              <w:spacing w:before="60" w:after="120" w:line="276" w:lineRule="auto"/>
              <w:rPr>
                <w:noProof/>
              </w:rPr>
            </w:pPr>
            <w:r>
              <w:rPr>
                <w:noProof/>
              </w:rPr>
              <w:t>Министерското постановление за одобряване на критериите за подбор на проекти, предложени от общините, влиза в сила.</w:t>
            </w:r>
          </w:p>
          <w:p w14:paraId="35BF70F7" w14:textId="77777777" w:rsidR="006054AA" w:rsidRDefault="001F7667">
            <w:pPr>
              <w:pStyle w:val="P68B1DB1-Normal11"/>
              <w:spacing w:before="60" w:after="120" w:line="276" w:lineRule="auto"/>
              <w:rPr>
                <w:noProof/>
              </w:rPr>
            </w:pPr>
            <w:r>
              <w:rPr>
                <w:noProof/>
              </w:rPr>
              <w:t>Министерското постановление постановява, че проектите се избират измежду следните критерии:</w:t>
            </w:r>
          </w:p>
          <w:p w14:paraId="0C5D8794" w14:textId="77777777" w:rsidR="006054AA" w:rsidRDefault="001F7667">
            <w:pPr>
              <w:pStyle w:val="P68B1DB1-Normal11"/>
              <w:numPr>
                <w:ilvl w:val="0"/>
                <w:numId w:val="58"/>
              </w:numPr>
              <w:spacing w:before="60" w:line="276" w:lineRule="auto"/>
              <w:ind w:left="244" w:hanging="357"/>
              <w:contextualSpacing/>
              <w:rPr>
                <w:noProof/>
              </w:rPr>
            </w:pPr>
            <w:r>
              <w:rPr>
                <w:noProof/>
              </w:rPr>
              <w:t>Съгласуваност със законодателството на ЕС и националното законодателство и Европейския план за действие относно кръговата икономика,</w:t>
            </w:r>
          </w:p>
          <w:p w14:paraId="7B26F60E" w14:textId="77777777" w:rsidR="006054AA" w:rsidRDefault="001F7667">
            <w:pPr>
              <w:pStyle w:val="P68B1DB1-Normal11"/>
              <w:numPr>
                <w:ilvl w:val="0"/>
                <w:numId w:val="58"/>
              </w:numPr>
              <w:spacing w:before="60" w:line="276" w:lineRule="auto"/>
              <w:ind w:left="244" w:hanging="357"/>
              <w:contextualSpacing/>
              <w:rPr>
                <w:noProof/>
              </w:rPr>
            </w:pPr>
            <w:r>
              <w:rPr>
                <w:noProof/>
              </w:rPr>
              <w:t>Очаквано подобрение на целите за рециклиране</w:t>
            </w:r>
          </w:p>
          <w:p w14:paraId="20BA6741" w14:textId="77777777" w:rsidR="006054AA" w:rsidRDefault="001F7667">
            <w:pPr>
              <w:pStyle w:val="P68B1DB1-Normal11"/>
              <w:numPr>
                <w:ilvl w:val="0"/>
                <w:numId w:val="58"/>
              </w:numPr>
              <w:spacing w:before="60" w:line="276" w:lineRule="auto"/>
              <w:ind w:left="244" w:hanging="357"/>
              <w:contextualSpacing/>
              <w:rPr>
                <w:noProof/>
              </w:rPr>
            </w:pPr>
            <w:r>
              <w:rPr>
                <w:noProof/>
              </w:rPr>
              <w:t>Съгласуваност с регионалните и националните инструменти за планиране,</w:t>
            </w:r>
          </w:p>
          <w:p w14:paraId="2A17FF4F" w14:textId="77777777" w:rsidR="006054AA" w:rsidRDefault="001F7667">
            <w:pPr>
              <w:pStyle w:val="P68B1DB1-Normal11"/>
              <w:numPr>
                <w:ilvl w:val="0"/>
                <w:numId w:val="58"/>
              </w:numPr>
              <w:spacing w:before="60" w:line="276" w:lineRule="auto"/>
              <w:ind w:left="244" w:hanging="357"/>
              <w:contextualSpacing/>
              <w:rPr>
                <w:noProof/>
              </w:rPr>
            </w:pPr>
            <w:r>
              <w:rPr>
                <w:noProof/>
              </w:rPr>
              <w:t>Принос за разрешаване на нарушенията в ЕС, полезни взаимодействия с други секторни планове (напр. PNIEC) и/или други компоненти на плана, иновативни технологии, основаващи се на цялостен опит,</w:t>
            </w:r>
          </w:p>
          <w:p w14:paraId="75AA333E" w14:textId="77777777" w:rsidR="006054AA" w:rsidRDefault="001F7667">
            <w:pPr>
              <w:pStyle w:val="P68B1DB1-Normal11"/>
              <w:numPr>
                <w:ilvl w:val="0"/>
                <w:numId w:val="58"/>
              </w:numPr>
              <w:spacing w:before="60" w:line="276" w:lineRule="auto"/>
              <w:ind w:left="244" w:hanging="357"/>
              <w:contextualSpacing/>
              <w:rPr>
                <w:noProof/>
              </w:rPr>
            </w:pPr>
            <w:r>
              <w:rPr>
                <w:noProof/>
              </w:rPr>
              <w:t>Техническо качество на предложението.</w:t>
            </w:r>
          </w:p>
          <w:p w14:paraId="1D7CBE8C" w14:textId="77777777" w:rsidR="006054AA" w:rsidRDefault="001F7667">
            <w:pPr>
              <w:pStyle w:val="P68B1DB1-Normal11"/>
              <w:numPr>
                <w:ilvl w:val="0"/>
                <w:numId w:val="58"/>
              </w:numPr>
              <w:spacing w:before="60" w:line="276" w:lineRule="auto"/>
              <w:ind w:left="244" w:hanging="357"/>
              <w:contextualSpacing/>
              <w:rPr>
                <w:noProof/>
              </w:rPr>
            </w:pPr>
            <w:r>
              <w:rPr>
                <w:noProof/>
              </w:rPr>
              <w:t>Съгласуваност и взаимно допълване с програмите на политиката на сближаване и подобни проекти, финансирани чрез други инструменти на ЕС и национални инструменти</w:t>
            </w:r>
          </w:p>
          <w:p w14:paraId="55A6BF6C" w14:textId="77777777" w:rsidR="006054AA" w:rsidRDefault="001F7667">
            <w:pPr>
              <w:pStyle w:val="P68B1DB1-Normal11"/>
              <w:spacing w:before="120" w:after="120" w:line="276" w:lineRule="auto"/>
              <w:rPr>
                <w:noProof/>
              </w:rPr>
            </w:pPr>
            <w:r>
              <w:rPr>
                <w:noProof/>
              </w:rPr>
              <w:t>Интервенциите не включват инвестиции в депа, съоръжения за погребване, инсталации за механично биологично третиране/механично третиране или инсталации за изгаряне, в съответствие с принципа за ненанасяне на значителни вреди.</w:t>
            </w:r>
          </w:p>
        </w:tc>
      </w:tr>
      <w:tr w:rsidR="006054AA" w14:paraId="144C7BAD" w14:textId="77777777">
        <w:trPr>
          <w:trHeight w:val="313"/>
          <w:jc w:val="center"/>
        </w:trPr>
        <w:tc>
          <w:tcPr>
            <w:tcW w:w="1220" w:type="dxa"/>
            <w:shd w:val="clear" w:color="auto" w:fill="C6EFCE"/>
            <w:noWrap/>
            <w:vAlign w:val="center"/>
          </w:tcPr>
          <w:p w14:paraId="23BADA38" w14:textId="77777777" w:rsidR="006054AA" w:rsidRDefault="001F7667">
            <w:pPr>
              <w:pStyle w:val="P68B1DB1-Normal11"/>
              <w:spacing w:line="276" w:lineRule="auto"/>
              <w:jc w:val="center"/>
              <w:rPr>
                <w:noProof/>
              </w:rPr>
            </w:pPr>
            <w:r>
              <w:rPr>
                <w:noProof/>
              </w:rPr>
              <w:t>M2C1—15</w:t>
            </w:r>
          </w:p>
        </w:tc>
        <w:tc>
          <w:tcPr>
            <w:tcW w:w="1598" w:type="dxa"/>
            <w:shd w:val="clear" w:color="auto" w:fill="C6EFCE"/>
            <w:noWrap/>
            <w:vAlign w:val="center"/>
          </w:tcPr>
          <w:p w14:paraId="52524F5D" w14:textId="77777777" w:rsidR="006054AA" w:rsidRDefault="001F7667">
            <w:pPr>
              <w:pStyle w:val="P68B1DB1-Normal11"/>
              <w:spacing w:line="276" w:lineRule="auto"/>
              <w:jc w:val="center"/>
              <w:rPr>
                <w:noProof/>
              </w:rPr>
            </w:pPr>
            <w:r>
              <w:rPr>
                <w:noProof/>
              </w:rPr>
              <w:t>Реформа 1.2</w:t>
            </w:r>
          </w:p>
          <w:p w14:paraId="3ABB8564" w14:textId="77777777" w:rsidR="006054AA" w:rsidRDefault="001F7667">
            <w:pPr>
              <w:pStyle w:val="P68B1DB1-Normal11"/>
              <w:spacing w:line="276" w:lineRule="auto"/>
              <w:jc w:val="center"/>
              <w:rPr>
                <w:noProof/>
              </w:rPr>
            </w:pPr>
            <w:r>
              <w:rPr>
                <w:noProof/>
              </w:rPr>
              <w:t>Национална програма за управление на отпадъците;</w:t>
            </w:r>
          </w:p>
          <w:p w14:paraId="46F928AA" w14:textId="77777777" w:rsidR="006054AA" w:rsidRDefault="001F7667">
            <w:pPr>
              <w:pStyle w:val="P68B1DB1-Normal11"/>
              <w:spacing w:line="276" w:lineRule="auto"/>
              <w:jc w:val="center"/>
              <w:rPr>
                <w:noProof/>
              </w:rPr>
            </w:pPr>
            <w:r>
              <w:rPr>
                <w:noProof/>
              </w:rPr>
              <w:t xml:space="preserve"> </w:t>
            </w:r>
          </w:p>
          <w:p w14:paraId="5F99EBB4" w14:textId="77777777" w:rsidR="006054AA" w:rsidRDefault="001F7667">
            <w:pPr>
              <w:pStyle w:val="P68B1DB1-Normal11"/>
              <w:spacing w:line="276" w:lineRule="auto"/>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185" w:type="dxa"/>
            <w:shd w:val="clear" w:color="auto" w:fill="C6EFCE"/>
            <w:noWrap/>
            <w:vAlign w:val="center"/>
          </w:tcPr>
          <w:p w14:paraId="2EF45273"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57F0692F" w14:textId="2087930D" w:rsidR="006054AA" w:rsidRDefault="001F7667">
            <w:pPr>
              <w:pStyle w:val="P68B1DB1-Normal11"/>
              <w:spacing w:line="276" w:lineRule="auto"/>
              <w:jc w:val="center"/>
              <w:rPr>
                <w:noProof/>
              </w:rPr>
            </w:pPr>
            <w:r>
              <w:rPr>
                <w:noProof/>
              </w:rPr>
              <w:t xml:space="preserve">Намаляване на незаконните депа за отпадъци (T1) </w:t>
            </w:r>
          </w:p>
        </w:tc>
        <w:tc>
          <w:tcPr>
            <w:tcW w:w="1603" w:type="dxa"/>
            <w:shd w:val="clear" w:color="auto" w:fill="C6EFCE"/>
            <w:noWrap/>
            <w:vAlign w:val="center"/>
          </w:tcPr>
          <w:p w14:paraId="3D000604"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44F3AE68" w14:textId="77777777" w:rsidR="006054AA" w:rsidRDefault="001F7667">
            <w:pPr>
              <w:pStyle w:val="P68B1DB1-Normal11"/>
              <w:spacing w:line="276" w:lineRule="auto"/>
              <w:jc w:val="center"/>
              <w:rPr>
                <w:noProof/>
              </w:rPr>
            </w:pPr>
            <w:r>
              <w:rPr>
                <w:noProof/>
              </w:rPr>
              <w:t>Брой нередовни депа за отпадъци</w:t>
            </w:r>
          </w:p>
        </w:tc>
        <w:tc>
          <w:tcPr>
            <w:tcW w:w="993" w:type="dxa"/>
            <w:shd w:val="clear" w:color="auto" w:fill="C6EFCE"/>
            <w:noWrap/>
            <w:vAlign w:val="center"/>
          </w:tcPr>
          <w:p w14:paraId="53769549" w14:textId="77777777" w:rsidR="006054AA" w:rsidRDefault="001F7667">
            <w:pPr>
              <w:pStyle w:val="P68B1DB1-Normal11"/>
              <w:spacing w:line="276" w:lineRule="auto"/>
              <w:jc w:val="center"/>
              <w:rPr>
                <w:noProof/>
              </w:rPr>
            </w:pPr>
            <w:r>
              <w:rPr>
                <w:noProof/>
              </w:rPr>
              <w:t>33</w:t>
            </w:r>
          </w:p>
        </w:tc>
        <w:tc>
          <w:tcPr>
            <w:tcW w:w="1162" w:type="dxa"/>
            <w:shd w:val="clear" w:color="auto" w:fill="C6EFCE"/>
            <w:noWrap/>
            <w:vAlign w:val="center"/>
          </w:tcPr>
          <w:p w14:paraId="0749F2A1" w14:textId="77777777" w:rsidR="006054AA" w:rsidRDefault="001F7667">
            <w:pPr>
              <w:pStyle w:val="P68B1DB1-Normal11"/>
              <w:spacing w:line="276" w:lineRule="auto"/>
              <w:jc w:val="center"/>
              <w:rPr>
                <w:noProof/>
              </w:rPr>
            </w:pPr>
            <w:r>
              <w:rPr>
                <w:noProof/>
              </w:rPr>
              <w:t>11</w:t>
            </w:r>
          </w:p>
        </w:tc>
        <w:tc>
          <w:tcPr>
            <w:tcW w:w="963" w:type="dxa"/>
            <w:shd w:val="clear" w:color="auto" w:fill="C6EFCE"/>
            <w:noWrap/>
            <w:vAlign w:val="center"/>
          </w:tcPr>
          <w:p w14:paraId="3AEDCD8D" w14:textId="77777777" w:rsidR="006054AA" w:rsidRDefault="001F7667">
            <w:pPr>
              <w:pStyle w:val="P68B1DB1-Normal11"/>
              <w:spacing w:line="276" w:lineRule="auto"/>
              <w:jc w:val="center"/>
              <w:rPr>
                <w:noProof/>
              </w:rPr>
            </w:pPr>
            <w:r>
              <w:rPr>
                <w:noProof/>
              </w:rPr>
              <w:t>Т2 Г.</w:t>
            </w:r>
          </w:p>
        </w:tc>
        <w:tc>
          <w:tcPr>
            <w:tcW w:w="710" w:type="dxa"/>
            <w:shd w:val="clear" w:color="auto" w:fill="C6EFCE"/>
            <w:noWrap/>
            <w:vAlign w:val="center"/>
          </w:tcPr>
          <w:p w14:paraId="4FF36380" w14:textId="5E2FDEB9" w:rsidR="006054AA" w:rsidRDefault="001F7667">
            <w:pPr>
              <w:pStyle w:val="P68B1DB1-Normal11"/>
              <w:spacing w:line="276" w:lineRule="auto"/>
              <w:rPr>
                <w:noProof/>
              </w:rPr>
            </w:pPr>
            <w:r>
              <w:rPr>
                <w:noProof/>
              </w:rPr>
              <w:t>2024</w:t>
            </w:r>
          </w:p>
        </w:tc>
        <w:tc>
          <w:tcPr>
            <w:tcW w:w="3174" w:type="dxa"/>
            <w:shd w:val="clear" w:color="auto" w:fill="C6EFCE"/>
            <w:noWrap/>
            <w:vAlign w:val="center"/>
          </w:tcPr>
          <w:p w14:paraId="473D1811" w14:textId="77777777" w:rsidR="006054AA" w:rsidRDefault="001F7667">
            <w:pPr>
              <w:pStyle w:val="P68B1DB1-Normal11"/>
              <w:spacing w:before="60" w:after="120"/>
              <w:jc w:val="both"/>
              <w:rPr>
                <w:noProof/>
              </w:rPr>
            </w:pPr>
            <w:r>
              <w:rPr>
                <w:noProof/>
              </w:rPr>
              <w:t>Предложените мерки подкрепят изграждането на нови пречиствателни станции и инсталации за рециклиране, както и техническото подобряване на съществуващата. Освен това мерките са насочени към прилагането и цифровизацията на мрежата за разделно събиране, за да се подкрепят и включат гражданите в приемането на добри практики в управлението на отпадъците.</w:t>
            </w:r>
          </w:p>
          <w:p w14:paraId="0DD1139A" w14:textId="1E4743ED" w:rsidR="006054AA" w:rsidRDefault="001F7667">
            <w:pPr>
              <w:pStyle w:val="P68B1DB1-Normal11"/>
              <w:spacing w:after="120"/>
              <w:jc w:val="both"/>
              <w:rPr>
                <w:noProof/>
              </w:rPr>
            </w:pPr>
            <w:r>
              <w:rPr>
                <w:noProof/>
              </w:rPr>
              <w:t>Предложената намеса ще доведе до намаляване на незаконните депа, включени в процедурата за нарушение NIF 2003/2077, от 33 г. до 11 г. (т.е. с най-малко 66 %).</w:t>
            </w:r>
          </w:p>
          <w:p w14:paraId="28E9C31A" w14:textId="77777777" w:rsidR="006054AA" w:rsidRDefault="001F7667">
            <w:pPr>
              <w:pStyle w:val="P68B1DB1-Normal11"/>
              <w:spacing w:after="120"/>
              <w:jc w:val="both"/>
              <w:rPr>
                <w:noProof/>
              </w:rPr>
            </w:pPr>
            <w:r>
              <w:rPr>
                <w:noProof/>
              </w:rPr>
              <w:t>До 31 декември 2023 г. до Европейската комисия се изпращат най-малко 27 (от общо 33) искания за отмяна. Искането за изключване включва пълен анализ на замърсяването (почва и вода), ясно обяснение на отстраняването на замърсяването и гаранции, че се изключва всякакъв риск от бъдещо замърсяване.</w:t>
            </w:r>
          </w:p>
          <w:p w14:paraId="1D92657F" w14:textId="1089FCF7" w:rsidR="006054AA" w:rsidRDefault="001F7667">
            <w:pPr>
              <w:pStyle w:val="P68B1DB1-Normal11"/>
              <w:spacing w:after="120"/>
              <w:jc w:val="both"/>
              <w:rPr>
                <w:noProof/>
              </w:rPr>
            </w:pPr>
            <w:r>
              <w:rPr>
                <w:noProof/>
              </w:rPr>
              <w:t>До 30 юни 2024 г. до Европейската комисия се изпращат най-малко 29 (от общо 33) искания за отмяна. Искането за изключване включва пълен анализ на замърсяването (почва и вода), ясно обяснение на отстраняването на замърсяването и гаранции, че се изключва всякакъв риск от бъдещо замърсяване.</w:t>
            </w:r>
          </w:p>
        </w:tc>
      </w:tr>
      <w:tr w:rsidR="006054AA" w14:paraId="6FCC5EAD" w14:textId="77777777">
        <w:trPr>
          <w:trHeight w:val="313"/>
          <w:jc w:val="center"/>
        </w:trPr>
        <w:tc>
          <w:tcPr>
            <w:tcW w:w="1220" w:type="dxa"/>
            <w:shd w:val="clear" w:color="auto" w:fill="C6EFCE"/>
            <w:noWrap/>
            <w:vAlign w:val="center"/>
          </w:tcPr>
          <w:p w14:paraId="55315AB6" w14:textId="77777777" w:rsidR="006054AA" w:rsidRDefault="001F7667">
            <w:pPr>
              <w:pStyle w:val="P68B1DB1-Normal11"/>
              <w:spacing w:line="276" w:lineRule="auto"/>
              <w:jc w:val="center"/>
              <w:rPr>
                <w:noProof/>
              </w:rPr>
            </w:pPr>
            <w:r>
              <w:rPr>
                <w:noProof/>
              </w:rPr>
              <w:t>M2C1—15bis</w:t>
            </w:r>
          </w:p>
        </w:tc>
        <w:tc>
          <w:tcPr>
            <w:tcW w:w="1598" w:type="dxa"/>
            <w:shd w:val="clear" w:color="auto" w:fill="C6EFCE"/>
            <w:noWrap/>
            <w:vAlign w:val="center"/>
          </w:tcPr>
          <w:p w14:paraId="6171E12A" w14:textId="77777777" w:rsidR="006054AA" w:rsidRDefault="001F7667">
            <w:pPr>
              <w:pStyle w:val="P68B1DB1-Normal11"/>
              <w:spacing w:line="276" w:lineRule="auto"/>
              <w:jc w:val="center"/>
              <w:rPr>
                <w:noProof/>
              </w:rPr>
            </w:pPr>
            <w:r>
              <w:rPr>
                <w:noProof/>
              </w:rPr>
              <w:t>Реформа 1.2</w:t>
            </w:r>
          </w:p>
          <w:p w14:paraId="68D7FB6C" w14:textId="77777777" w:rsidR="006054AA" w:rsidRDefault="001F7667">
            <w:pPr>
              <w:pStyle w:val="P68B1DB1-Normal11"/>
              <w:spacing w:line="276" w:lineRule="auto"/>
              <w:jc w:val="center"/>
              <w:rPr>
                <w:noProof/>
              </w:rPr>
            </w:pPr>
            <w:r>
              <w:rPr>
                <w:noProof/>
              </w:rPr>
              <w:t>Национална програма за управление на отпадъците:</w:t>
            </w:r>
          </w:p>
          <w:p w14:paraId="40D53F0B" w14:textId="77777777" w:rsidR="006054AA" w:rsidRDefault="006054AA">
            <w:pPr>
              <w:spacing w:line="276" w:lineRule="auto"/>
              <w:jc w:val="center"/>
              <w:rPr>
                <w:rFonts w:ascii="Arial Narrow" w:hAnsi="Arial Narrow"/>
                <w:noProof/>
                <w:color w:val="006100"/>
                <w:sz w:val="20"/>
              </w:rPr>
            </w:pPr>
          </w:p>
          <w:p w14:paraId="4FE0568C" w14:textId="77777777" w:rsidR="006054AA" w:rsidRDefault="001F7667">
            <w:pPr>
              <w:pStyle w:val="P68B1DB1-Normal11"/>
              <w:spacing w:line="276" w:lineRule="auto"/>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185" w:type="dxa"/>
            <w:shd w:val="clear" w:color="auto" w:fill="C6EFCE"/>
            <w:noWrap/>
            <w:vAlign w:val="center"/>
          </w:tcPr>
          <w:p w14:paraId="6C65129F"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7C884ED3" w14:textId="77777777" w:rsidR="006054AA" w:rsidRDefault="001F7667">
            <w:pPr>
              <w:pStyle w:val="P68B1DB1-Normal11"/>
              <w:spacing w:line="276" w:lineRule="auto"/>
              <w:jc w:val="center"/>
              <w:rPr>
                <w:noProof/>
              </w:rPr>
            </w:pPr>
            <w:r>
              <w:rPr>
                <w:noProof/>
              </w:rPr>
              <w:t>Намаляване на незаконните депа за отпадъци (T2)</w:t>
            </w:r>
          </w:p>
        </w:tc>
        <w:tc>
          <w:tcPr>
            <w:tcW w:w="1603" w:type="dxa"/>
            <w:shd w:val="clear" w:color="auto" w:fill="C6EFCE"/>
            <w:noWrap/>
            <w:vAlign w:val="center"/>
          </w:tcPr>
          <w:p w14:paraId="1444F89B"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350200D7" w14:textId="77777777" w:rsidR="006054AA" w:rsidRDefault="001F7667">
            <w:pPr>
              <w:pStyle w:val="P68B1DB1-Normal11"/>
              <w:spacing w:line="276" w:lineRule="auto"/>
              <w:jc w:val="center"/>
              <w:rPr>
                <w:noProof/>
              </w:rPr>
            </w:pPr>
            <w:r>
              <w:rPr>
                <w:noProof/>
              </w:rPr>
              <w:t>Брой нередовни депа за отпадъци</w:t>
            </w:r>
          </w:p>
        </w:tc>
        <w:tc>
          <w:tcPr>
            <w:tcW w:w="993" w:type="dxa"/>
            <w:shd w:val="clear" w:color="auto" w:fill="C6EFCE"/>
            <w:noWrap/>
            <w:vAlign w:val="center"/>
          </w:tcPr>
          <w:p w14:paraId="28E70A3B" w14:textId="77777777" w:rsidR="006054AA" w:rsidRDefault="001F7667">
            <w:pPr>
              <w:pStyle w:val="P68B1DB1-Normal11"/>
              <w:spacing w:line="276" w:lineRule="auto"/>
              <w:jc w:val="center"/>
              <w:rPr>
                <w:noProof/>
              </w:rPr>
            </w:pPr>
            <w:r>
              <w:rPr>
                <w:noProof/>
              </w:rPr>
              <w:t>34</w:t>
            </w:r>
          </w:p>
        </w:tc>
        <w:tc>
          <w:tcPr>
            <w:tcW w:w="1162" w:type="dxa"/>
            <w:shd w:val="clear" w:color="auto" w:fill="C6EFCE"/>
            <w:noWrap/>
            <w:vAlign w:val="center"/>
          </w:tcPr>
          <w:p w14:paraId="42802FE8" w14:textId="77777777" w:rsidR="006054AA" w:rsidRDefault="001F7667">
            <w:pPr>
              <w:pStyle w:val="P68B1DB1-Normal11"/>
              <w:spacing w:line="276" w:lineRule="auto"/>
              <w:jc w:val="center"/>
              <w:rPr>
                <w:noProof/>
              </w:rPr>
            </w:pPr>
            <w:r>
              <w:rPr>
                <w:noProof/>
              </w:rPr>
              <w:t>14</w:t>
            </w:r>
          </w:p>
        </w:tc>
        <w:tc>
          <w:tcPr>
            <w:tcW w:w="963" w:type="dxa"/>
            <w:shd w:val="clear" w:color="auto" w:fill="C6EFCE"/>
            <w:noWrap/>
            <w:vAlign w:val="center"/>
          </w:tcPr>
          <w:p w14:paraId="4ABAB325"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77776070" w14:textId="77777777" w:rsidR="006054AA" w:rsidRDefault="001F7667">
            <w:pPr>
              <w:pStyle w:val="P68B1DB1-Normal11"/>
              <w:spacing w:line="276" w:lineRule="auto"/>
              <w:rPr>
                <w:noProof/>
              </w:rPr>
            </w:pPr>
            <w:r>
              <w:rPr>
                <w:noProof/>
              </w:rPr>
              <w:t>2023</w:t>
            </w:r>
          </w:p>
        </w:tc>
        <w:tc>
          <w:tcPr>
            <w:tcW w:w="3174" w:type="dxa"/>
            <w:shd w:val="clear" w:color="auto" w:fill="C6EFCE"/>
            <w:noWrap/>
            <w:vAlign w:val="center"/>
          </w:tcPr>
          <w:p w14:paraId="39BBAC43" w14:textId="77777777" w:rsidR="006054AA" w:rsidRDefault="001F7667">
            <w:pPr>
              <w:pStyle w:val="P68B1DB1-Normal11"/>
              <w:rPr>
                <w:noProof/>
              </w:rPr>
            </w:pPr>
            <w:r>
              <w:rPr>
                <w:noProof/>
              </w:rPr>
              <w:t>Предложените мерки подкрепят изграждането на нови пречиствателни станции и инсталации за рециклиране, както и техническото подобряване на съществуващата. Освен това мерките са насочени към прилагането и цифровизацията на мрежата за разделно събиране, за да се подкрепят и включат гражданите в приемането на добри практики в управлението на отпадъците. Предложената намеса ще доведе до намаляване на незаконните депа, включени в процедура за нарушение 2011/2215, от 34 г. до 14 г. (т.е. с най-малко 60 %).</w:t>
            </w:r>
          </w:p>
        </w:tc>
      </w:tr>
      <w:tr w:rsidR="006054AA" w14:paraId="66558607" w14:textId="77777777">
        <w:trPr>
          <w:trHeight w:val="313"/>
          <w:jc w:val="center"/>
        </w:trPr>
        <w:tc>
          <w:tcPr>
            <w:tcW w:w="1220" w:type="dxa"/>
            <w:shd w:val="clear" w:color="auto" w:fill="C6EFCE"/>
            <w:noWrap/>
            <w:vAlign w:val="center"/>
          </w:tcPr>
          <w:p w14:paraId="0E5918F9" w14:textId="77777777" w:rsidR="006054AA" w:rsidRDefault="001F7667">
            <w:pPr>
              <w:pStyle w:val="P68B1DB1-Normal11"/>
              <w:spacing w:line="276" w:lineRule="auto"/>
              <w:jc w:val="center"/>
              <w:rPr>
                <w:noProof/>
              </w:rPr>
            </w:pPr>
            <w:r>
              <w:rPr>
                <w:noProof/>
              </w:rPr>
              <w:t>M2C1—15ter</w:t>
            </w:r>
          </w:p>
        </w:tc>
        <w:tc>
          <w:tcPr>
            <w:tcW w:w="1598" w:type="dxa"/>
            <w:shd w:val="clear" w:color="auto" w:fill="C6EFCE"/>
            <w:noWrap/>
            <w:vAlign w:val="center"/>
          </w:tcPr>
          <w:p w14:paraId="0B1FC155" w14:textId="77777777" w:rsidR="006054AA" w:rsidRDefault="001F7667">
            <w:pPr>
              <w:pStyle w:val="P68B1DB1-Normal11"/>
              <w:spacing w:line="276" w:lineRule="auto"/>
              <w:jc w:val="center"/>
              <w:rPr>
                <w:noProof/>
              </w:rPr>
            </w:pPr>
            <w:r>
              <w:rPr>
                <w:noProof/>
              </w:rPr>
              <w:t>Реформа 1.2</w:t>
            </w:r>
          </w:p>
          <w:p w14:paraId="5C48882F" w14:textId="77777777" w:rsidR="006054AA" w:rsidRDefault="001F7667">
            <w:pPr>
              <w:pStyle w:val="P68B1DB1-Normal11"/>
              <w:spacing w:line="276" w:lineRule="auto"/>
              <w:jc w:val="center"/>
              <w:rPr>
                <w:noProof/>
              </w:rPr>
            </w:pPr>
            <w:r>
              <w:rPr>
                <w:noProof/>
              </w:rPr>
              <w:t>Национална програма за управление на отпадъците:</w:t>
            </w:r>
          </w:p>
          <w:p w14:paraId="659D56A7" w14:textId="77777777" w:rsidR="006054AA" w:rsidRDefault="006054AA">
            <w:pPr>
              <w:spacing w:line="276" w:lineRule="auto"/>
              <w:jc w:val="center"/>
              <w:rPr>
                <w:rFonts w:ascii="Arial Narrow" w:hAnsi="Arial Narrow"/>
                <w:noProof/>
                <w:color w:val="006100"/>
                <w:sz w:val="20"/>
              </w:rPr>
            </w:pPr>
          </w:p>
          <w:p w14:paraId="60122DDE" w14:textId="77777777" w:rsidR="006054AA" w:rsidRDefault="001F7667">
            <w:pPr>
              <w:pStyle w:val="P68B1DB1-Normal11"/>
              <w:spacing w:line="276" w:lineRule="auto"/>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185" w:type="dxa"/>
            <w:shd w:val="clear" w:color="auto" w:fill="C6EFCE"/>
            <w:noWrap/>
            <w:vAlign w:val="center"/>
          </w:tcPr>
          <w:p w14:paraId="34767863"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3FF54688" w14:textId="77777777" w:rsidR="006054AA" w:rsidRDefault="001F7667">
            <w:pPr>
              <w:pStyle w:val="P68B1DB1-Normal11"/>
              <w:spacing w:line="276" w:lineRule="auto"/>
              <w:jc w:val="center"/>
              <w:rPr>
                <w:noProof/>
              </w:rPr>
            </w:pPr>
            <w:r>
              <w:rPr>
                <w:noProof/>
              </w:rPr>
              <w:t>Регионални различия в разделното събиране</w:t>
            </w:r>
          </w:p>
        </w:tc>
        <w:tc>
          <w:tcPr>
            <w:tcW w:w="1603" w:type="dxa"/>
            <w:shd w:val="clear" w:color="auto" w:fill="C6EFCE"/>
            <w:noWrap/>
            <w:vAlign w:val="center"/>
          </w:tcPr>
          <w:p w14:paraId="3F9F9DB5"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6971FB79" w14:textId="77777777" w:rsidR="006054AA" w:rsidRDefault="001F7667">
            <w:pPr>
              <w:pStyle w:val="P68B1DB1-Normal11"/>
              <w:spacing w:line="276" w:lineRule="auto"/>
              <w:jc w:val="center"/>
              <w:rPr>
                <w:noProof/>
              </w:rPr>
            </w:pPr>
            <w:r>
              <w:rPr>
                <w:noProof/>
              </w:rPr>
              <w:t>Процентни пунктове</w:t>
            </w:r>
          </w:p>
        </w:tc>
        <w:tc>
          <w:tcPr>
            <w:tcW w:w="993" w:type="dxa"/>
            <w:shd w:val="clear" w:color="auto" w:fill="C6EFCE"/>
            <w:noWrap/>
            <w:vAlign w:val="center"/>
          </w:tcPr>
          <w:p w14:paraId="54C93F2D" w14:textId="77777777" w:rsidR="006054AA" w:rsidRDefault="001F7667">
            <w:pPr>
              <w:pStyle w:val="P68B1DB1-Normal11"/>
              <w:spacing w:line="276" w:lineRule="auto"/>
              <w:jc w:val="center"/>
              <w:rPr>
                <w:noProof/>
              </w:rPr>
            </w:pPr>
            <w:r>
              <w:rPr>
                <w:noProof/>
              </w:rPr>
              <w:t>22.8</w:t>
            </w:r>
          </w:p>
        </w:tc>
        <w:tc>
          <w:tcPr>
            <w:tcW w:w="1162" w:type="dxa"/>
            <w:shd w:val="clear" w:color="auto" w:fill="C6EFCE"/>
            <w:noWrap/>
            <w:vAlign w:val="center"/>
          </w:tcPr>
          <w:p w14:paraId="4789829B" w14:textId="77777777" w:rsidR="006054AA" w:rsidRDefault="001F7667">
            <w:pPr>
              <w:pStyle w:val="P68B1DB1-Normal11"/>
              <w:spacing w:line="276" w:lineRule="auto"/>
              <w:jc w:val="center"/>
              <w:rPr>
                <w:noProof/>
              </w:rPr>
            </w:pPr>
            <w:r>
              <w:rPr>
                <w:noProof/>
              </w:rPr>
              <w:t>20</w:t>
            </w:r>
          </w:p>
        </w:tc>
        <w:tc>
          <w:tcPr>
            <w:tcW w:w="963" w:type="dxa"/>
            <w:shd w:val="clear" w:color="auto" w:fill="C6EFCE"/>
            <w:noWrap/>
            <w:vAlign w:val="center"/>
          </w:tcPr>
          <w:p w14:paraId="0164454F"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7EC3A8BC" w14:textId="77777777" w:rsidR="006054AA" w:rsidRDefault="001F7667">
            <w:pPr>
              <w:pStyle w:val="P68B1DB1-Normal11"/>
              <w:spacing w:line="276" w:lineRule="auto"/>
              <w:rPr>
                <w:noProof/>
              </w:rPr>
            </w:pPr>
            <w:r>
              <w:rPr>
                <w:noProof/>
              </w:rPr>
              <w:t>2023</w:t>
            </w:r>
          </w:p>
        </w:tc>
        <w:tc>
          <w:tcPr>
            <w:tcW w:w="3174" w:type="dxa"/>
            <w:shd w:val="clear" w:color="auto" w:fill="C6EFCE"/>
            <w:noWrap/>
            <w:vAlign w:val="center"/>
          </w:tcPr>
          <w:p w14:paraId="332D279D" w14:textId="77777777" w:rsidR="006054AA" w:rsidRDefault="001F7667">
            <w:pPr>
              <w:pStyle w:val="P68B1DB1-Normal11"/>
              <w:spacing w:line="276" w:lineRule="auto"/>
              <w:rPr>
                <w:noProof/>
              </w:rPr>
            </w:pPr>
            <w:r>
              <w:rPr>
                <w:noProof/>
              </w:rPr>
              <w:t>Предложените мерки подкрепят изграждането на нови пречиствателни станции и инсталации за рециклиране, както и техническото подобряване на съществуващата. Освен това мерките са насочени към прилагането и цифровизацията на мрежата за разделно събиране, за да се подкрепят и включат гражданите в приемането на добри практики в управлението на отпадъците. Разликата между средната национална стойност и региона с най-лоши резултати по отношение на нивата на разделно събиране е намалена до 20 процентни пункта.</w:t>
            </w:r>
          </w:p>
        </w:tc>
      </w:tr>
      <w:tr w:rsidR="006054AA" w14:paraId="659A7C70" w14:textId="77777777">
        <w:trPr>
          <w:trHeight w:val="313"/>
          <w:jc w:val="center"/>
        </w:trPr>
        <w:tc>
          <w:tcPr>
            <w:tcW w:w="1220" w:type="dxa"/>
            <w:shd w:val="clear" w:color="auto" w:fill="C6EFCE"/>
            <w:noWrap/>
            <w:vAlign w:val="center"/>
          </w:tcPr>
          <w:p w14:paraId="7A03AC22" w14:textId="77777777" w:rsidR="006054AA" w:rsidRDefault="001F7667">
            <w:pPr>
              <w:pStyle w:val="P68B1DB1-Normal11"/>
              <w:spacing w:line="276" w:lineRule="auto"/>
              <w:jc w:val="center"/>
              <w:rPr>
                <w:noProof/>
              </w:rPr>
            </w:pPr>
            <w:r>
              <w:rPr>
                <w:noProof/>
              </w:rPr>
              <w:t>M2C1—15 quater</w:t>
            </w:r>
          </w:p>
        </w:tc>
        <w:tc>
          <w:tcPr>
            <w:tcW w:w="1598" w:type="dxa"/>
            <w:shd w:val="clear" w:color="auto" w:fill="C6EFCE"/>
            <w:noWrap/>
            <w:vAlign w:val="center"/>
          </w:tcPr>
          <w:p w14:paraId="79EF7C46" w14:textId="77777777" w:rsidR="006054AA" w:rsidRDefault="001F7667">
            <w:pPr>
              <w:pStyle w:val="P68B1DB1-Normal11"/>
              <w:spacing w:line="276" w:lineRule="auto"/>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185" w:type="dxa"/>
            <w:shd w:val="clear" w:color="auto" w:fill="C6EFCE"/>
            <w:noWrap/>
            <w:vAlign w:val="center"/>
          </w:tcPr>
          <w:p w14:paraId="737F873B" w14:textId="77777777" w:rsidR="006054AA" w:rsidRDefault="001F7667">
            <w:pPr>
              <w:pStyle w:val="P68B1DB1-Normal11"/>
              <w:spacing w:line="276" w:lineRule="auto"/>
              <w:jc w:val="center"/>
              <w:rPr>
                <w:noProof/>
              </w:rPr>
            </w:pPr>
            <w:r>
              <w:rPr>
                <w:noProof/>
              </w:rPr>
              <w:t>Ключов етап</w:t>
            </w:r>
          </w:p>
        </w:tc>
        <w:tc>
          <w:tcPr>
            <w:tcW w:w="1732" w:type="dxa"/>
            <w:shd w:val="clear" w:color="auto" w:fill="C6EFCE"/>
            <w:noWrap/>
            <w:vAlign w:val="center"/>
          </w:tcPr>
          <w:p w14:paraId="7E73E1BC" w14:textId="77777777" w:rsidR="006054AA" w:rsidRDefault="001F7667">
            <w:pPr>
              <w:pStyle w:val="P68B1DB1-Normal11"/>
              <w:spacing w:line="276" w:lineRule="auto"/>
              <w:jc w:val="center"/>
              <w:rPr>
                <w:noProof/>
              </w:rPr>
            </w:pPr>
            <w:r>
              <w:rPr>
                <w:noProof/>
              </w:rPr>
              <w:t>Влизане в сила на задължението за разделно събиране на биологични отпадъци</w:t>
            </w:r>
          </w:p>
        </w:tc>
        <w:tc>
          <w:tcPr>
            <w:tcW w:w="1603" w:type="dxa"/>
            <w:shd w:val="clear" w:color="auto" w:fill="C6EFCE"/>
            <w:noWrap/>
            <w:vAlign w:val="center"/>
          </w:tcPr>
          <w:p w14:paraId="3EA7DA84" w14:textId="77777777" w:rsidR="006054AA" w:rsidRDefault="001F7667">
            <w:pPr>
              <w:pStyle w:val="P68B1DB1-Normal11"/>
              <w:spacing w:line="276" w:lineRule="auto"/>
              <w:jc w:val="center"/>
              <w:rPr>
                <w:noProof/>
              </w:rPr>
            </w:pPr>
            <w:r>
              <w:rPr>
                <w:noProof/>
              </w:rPr>
              <w:t>Законова разпоредба, указваща влизането в сила</w:t>
            </w:r>
          </w:p>
        </w:tc>
        <w:tc>
          <w:tcPr>
            <w:tcW w:w="1275" w:type="dxa"/>
            <w:shd w:val="clear" w:color="auto" w:fill="C6EFCE"/>
            <w:noWrap/>
            <w:vAlign w:val="center"/>
          </w:tcPr>
          <w:p w14:paraId="4876BF1D"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0E8E881D"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0D088C71" w14:textId="77777777" w:rsidR="006054AA" w:rsidRDefault="001F7667">
            <w:pPr>
              <w:pStyle w:val="P68B1DB1-Normal11"/>
              <w:spacing w:line="276" w:lineRule="auto"/>
              <w:jc w:val="center"/>
              <w:rPr>
                <w:noProof/>
              </w:rPr>
            </w:pPr>
            <w:r>
              <w:rPr>
                <w:noProof/>
              </w:rPr>
              <w:t>НЯМА</w:t>
            </w:r>
          </w:p>
        </w:tc>
        <w:tc>
          <w:tcPr>
            <w:tcW w:w="963" w:type="dxa"/>
            <w:shd w:val="clear" w:color="auto" w:fill="C6EFCE"/>
            <w:noWrap/>
            <w:vAlign w:val="center"/>
          </w:tcPr>
          <w:p w14:paraId="1C007E9B"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5A05B296" w14:textId="77777777" w:rsidR="006054AA" w:rsidRDefault="001F7667">
            <w:pPr>
              <w:pStyle w:val="P68B1DB1-Normal11"/>
              <w:spacing w:line="276" w:lineRule="auto"/>
              <w:rPr>
                <w:noProof/>
              </w:rPr>
            </w:pPr>
            <w:r>
              <w:rPr>
                <w:noProof/>
              </w:rPr>
              <w:t>2023</w:t>
            </w:r>
          </w:p>
        </w:tc>
        <w:tc>
          <w:tcPr>
            <w:tcW w:w="3174" w:type="dxa"/>
            <w:shd w:val="clear" w:color="auto" w:fill="C6EFCE"/>
            <w:noWrap/>
            <w:vAlign w:val="center"/>
          </w:tcPr>
          <w:p w14:paraId="27A0F9C3" w14:textId="77777777" w:rsidR="006054AA" w:rsidRDefault="001F7667">
            <w:pPr>
              <w:pStyle w:val="P68B1DB1-Normal11"/>
              <w:spacing w:line="276" w:lineRule="auto"/>
              <w:rPr>
                <w:noProof/>
              </w:rPr>
            </w:pPr>
            <w:r>
              <w:rPr>
                <w:noProof/>
              </w:rPr>
              <w:t>Задължението за разделно събиране на биологични отпадъци започва да се прилага до 31 декември 2023 г. в съответствие с плана за действие на ЕС за кръговата икономика.</w:t>
            </w:r>
          </w:p>
        </w:tc>
      </w:tr>
      <w:tr w:rsidR="006054AA" w14:paraId="19B9145B" w14:textId="77777777">
        <w:trPr>
          <w:trHeight w:val="313"/>
          <w:jc w:val="center"/>
        </w:trPr>
        <w:tc>
          <w:tcPr>
            <w:tcW w:w="1220" w:type="dxa"/>
            <w:shd w:val="clear" w:color="auto" w:fill="C6EFCE"/>
            <w:noWrap/>
            <w:vAlign w:val="center"/>
          </w:tcPr>
          <w:p w14:paraId="72A4C347" w14:textId="77777777" w:rsidR="006054AA" w:rsidRDefault="001F7667">
            <w:pPr>
              <w:pStyle w:val="P68B1DB1-Normal11"/>
              <w:spacing w:line="276" w:lineRule="auto"/>
              <w:jc w:val="center"/>
              <w:rPr>
                <w:noProof/>
              </w:rPr>
            </w:pPr>
            <w:r>
              <w:rPr>
                <w:noProof/>
              </w:rPr>
              <w:t>M2C1—16</w:t>
            </w:r>
          </w:p>
        </w:tc>
        <w:tc>
          <w:tcPr>
            <w:tcW w:w="1598" w:type="dxa"/>
            <w:shd w:val="clear" w:color="auto" w:fill="C6EFCE"/>
            <w:noWrap/>
            <w:vAlign w:val="center"/>
          </w:tcPr>
          <w:p w14:paraId="19E4D3A9" w14:textId="77777777" w:rsidR="006054AA" w:rsidRDefault="001F7667">
            <w:pPr>
              <w:pStyle w:val="P68B1DB1-Normal11"/>
              <w:spacing w:line="276" w:lineRule="auto"/>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185" w:type="dxa"/>
            <w:shd w:val="clear" w:color="auto" w:fill="C6EFCE"/>
            <w:noWrap/>
            <w:vAlign w:val="center"/>
          </w:tcPr>
          <w:p w14:paraId="7A98C445"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30B16159" w14:textId="77777777" w:rsidR="006054AA" w:rsidRDefault="001F7667">
            <w:pPr>
              <w:pStyle w:val="P68B1DB1-Normal11"/>
              <w:spacing w:line="276" w:lineRule="auto"/>
              <w:jc w:val="center"/>
              <w:rPr>
                <w:noProof/>
              </w:rPr>
            </w:pPr>
            <w:r>
              <w:rPr>
                <w:noProof/>
              </w:rPr>
              <w:t>Незаконни депа за отпадъци</w:t>
            </w:r>
          </w:p>
        </w:tc>
        <w:tc>
          <w:tcPr>
            <w:tcW w:w="1603" w:type="dxa"/>
            <w:shd w:val="clear" w:color="auto" w:fill="C6EFCE"/>
            <w:noWrap/>
            <w:vAlign w:val="center"/>
          </w:tcPr>
          <w:p w14:paraId="1FF06575"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6470EFFA" w14:textId="77777777" w:rsidR="006054AA" w:rsidRDefault="001F7667">
            <w:pPr>
              <w:pStyle w:val="P68B1DB1-Normal11"/>
              <w:spacing w:line="276" w:lineRule="auto"/>
              <w:jc w:val="center"/>
              <w:rPr>
                <w:noProof/>
              </w:rPr>
            </w:pPr>
            <w:r>
              <w:rPr>
                <w:noProof/>
              </w:rPr>
              <w:t>Брой нередовни депа за отпадъци</w:t>
            </w:r>
          </w:p>
        </w:tc>
        <w:tc>
          <w:tcPr>
            <w:tcW w:w="993" w:type="dxa"/>
            <w:shd w:val="clear" w:color="auto" w:fill="C6EFCE"/>
            <w:noWrap/>
            <w:vAlign w:val="center"/>
          </w:tcPr>
          <w:p w14:paraId="5BB325AE" w14:textId="77777777" w:rsidR="006054AA" w:rsidRDefault="001F7667">
            <w:pPr>
              <w:pStyle w:val="P68B1DB1-Normal11"/>
              <w:spacing w:line="276" w:lineRule="auto"/>
              <w:jc w:val="center"/>
              <w:rPr>
                <w:noProof/>
              </w:rPr>
            </w:pPr>
            <w:r>
              <w:rPr>
                <w:noProof/>
              </w:rPr>
              <w:t>11</w:t>
            </w:r>
          </w:p>
        </w:tc>
        <w:tc>
          <w:tcPr>
            <w:tcW w:w="1162" w:type="dxa"/>
            <w:shd w:val="clear" w:color="auto" w:fill="C6EFCE"/>
            <w:noWrap/>
            <w:vAlign w:val="center"/>
          </w:tcPr>
          <w:p w14:paraId="02B97894" w14:textId="77777777" w:rsidR="006054AA" w:rsidRDefault="001F7667">
            <w:pPr>
              <w:pStyle w:val="P68B1DB1-Normal11"/>
              <w:spacing w:line="276" w:lineRule="auto"/>
              <w:jc w:val="center"/>
              <w:rPr>
                <w:noProof/>
              </w:rPr>
            </w:pPr>
            <w:r>
              <w:rPr>
                <w:noProof/>
              </w:rPr>
              <w:t>0</w:t>
            </w:r>
          </w:p>
        </w:tc>
        <w:tc>
          <w:tcPr>
            <w:tcW w:w="963" w:type="dxa"/>
            <w:shd w:val="clear" w:color="auto" w:fill="C6EFCE"/>
            <w:noWrap/>
            <w:vAlign w:val="center"/>
          </w:tcPr>
          <w:p w14:paraId="20537C9E" w14:textId="77777777" w:rsidR="006054AA" w:rsidRDefault="001F7667">
            <w:pPr>
              <w:pStyle w:val="P68B1DB1-Normal11"/>
              <w:spacing w:line="276" w:lineRule="auto"/>
              <w:jc w:val="center"/>
              <w:rPr>
                <w:noProof/>
              </w:rPr>
            </w:pPr>
            <w:r>
              <w:rPr>
                <w:noProof/>
              </w:rPr>
              <w:t>Т2 Г.</w:t>
            </w:r>
          </w:p>
        </w:tc>
        <w:tc>
          <w:tcPr>
            <w:tcW w:w="710" w:type="dxa"/>
            <w:shd w:val="clear" w:color="auto" w:fill="C6EFCE"/>
            <w:noWrap/>
            <w:vAlign w:val="center"/>
          </w:tcPr>
          <w:p w14:paraId="3DE06B61" w14:textId="77777777" w:rsidR="006054AA" w:rsidRDefault="001F7667">
            <w:pPr>
              <w:pStyle w:val="P68B1DB1-Normal11"/>
              <w:spacing w:line="276" w:lineRule="auto"/>
              <w:rPr>
                <w:noProof/>
              </w:rPr>
            </w:pPr>
            <w:r>
              <w:rPr>
                <w:noProof/>
              </w:rPr>
              <w:t>2026</w:t>
            </w:r>
          </w:p>
        </w:tc>
        <w:tc>
          <w:tcPr>
            <w:tcW w:w="3174" w:type="dxa"/>
            <w:shd w:val="clear" w:color="auto" w:fill="C6EFCE"/>
            <w:noWrap/>
            <w:vAlign w:val="center"/>
          </w:tcPr>
          <w:p w14:paraId="1C7D9B3C" w14:textId="1EC418F0" w:rsidR="006054AA" w:rsidRDefault="001F7667">
            <w:pPr>
              <w:pStyle w:val="P68B1DB1-Normal11"/>
              <w:spacing w:line="276" w:lineRule="auto"/>
              <w:rPr>
                <w:noProof/>
              </w:rPr>
            </w:pPr>
            <w:r>
              <w:rPr>
                <w:noProof/>
              </w:rPr>
              <w:t>Предложените мерки подкрепят изграждането на нови пречиствателни станции и инсталации за рециклиране, както и техническото подобряване на съществуващата. Освен това мерките са насочени към прилагането и цифровизацията на мрежата за разделно събиране, за да се подкрепят и включат гражданите в приемането на добри практики в управлението на отпадъците. Предложената намеса ще доведе до намаляване на незаконните депа, включени в процедура за нарушение 2003/2077, от 11 г. до 0 г. (т.е. най-малко 100 %)</w:t>
            </w:r>
          </w:p>
        </w:tc>
      </w:tr>
      <w:tr w:rsidR="006054AA" w14:paraId="3D9C9CE5" w14:textId="77777777">
        <w:trPr>
          <w:trHeight w:val="313"/>
          <w:jc w:val="center"/>
        </w:trPr>
        <w:tc>
          <w:tcPr>
            <w:tcW w:w="1220" w:type="dxa"/>
            <w:shd w:val="clear" w:color="auto" w:fill="C6EFCE"/>
            <w:noWrap/>
            <w:vAlign w:val="center"/>
          </w:tcPr>
          <w:p w14:paraId="6C4EAC71" w14:textId="77777777" w:rsidR="006054AA" w:rsidRDefault="001F7667">
            <w:pPr>
              <w:pStyle w:val="P68B1DB1-Normal11"/>
              <w:spacing w:line="276" w:lineRule="auto"/>
              <w:jc w:val="center"/>
              <w:rPr>
                <w:noProof/>
              </w:rPr>
            </w:pPr>
            <w:r>
              <w:rPr>
                <w:noProof/>
              </w:rPr>
              <w:t>M2C1—16bis</w:t>
            </w:r>
          </w:p>
        </w:tc>
        <w:tc>
          <w:tcPr>
            <w:tcW w:w="1598" w:type="dxa"/>
            <w:shd w:val="clear" w:color="auto" w:fill="C6EFCE"/>
            <w:noWrap/>
            <w:vAlign w:val="center"/>
          </w:tcPr>
          <w:p w14:paraId="213A4C89" w14:textId="77777777" w:rsidR="006054AA" w:rsidRDefault="006054AA">
            <w:pPr>
              <w:spacing w:line="276" w:lineRule="auto"/>
              <w:jc w:val="center"/>
              <w:rPr>
                <w:rFonts w:ascii="Arial Narrow" w:hAnsi="Arial Narrow"/>
                <w:noProof/>
                <w:color w:val="006100"/>
                <w:sz w:val="20"/>
              </w:rPr>
            </w:pPr>
          </w:p>
          <w:p w14:paraId="5496E362" w14:textId="77777777" w:rsidR="006054AA" w:rsidRDefault="001F7667">
            <w:pPr>
              <w:pStyle w:val="P68B1DB1-Normal11"/>
              <w:spacing w:line="276" w:lineRule="auto"/>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185" w:type="dxa"/>
            <w:shd w:val="clear" w:color="auto" w:fill="C6EFCE"/>
            <w:noWrap/>
            <w:vAlign w:val="center"/>
          </w:tcPr>
          <w:p w14:paraId="3B9E089C"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38BD12A0" w14:textId="77777777" w:rsidR="006054AA" w:rsidRDefault="001F7667">
            <w:pPr>
              <w:pStyle w:val="P68B1DB1-Normal11"/>
              <w:spacing w:line="276" w:lineRule="auto"/>
              <w:jc w:val="center"/>
              <w:rPr>
                <w:noProof/>
              </w:rPr>
            </w:pPr>
            <w:r>
              <w:rPr>
                <w:noProof/>
              </w:rPr>
              <w:t>Незаконни депа за отпадъци</w:t>
            </w:r>
          </w:p>
        </w:tc>
        <w:tc>
          <w:tcPr>
            <w:tcW w:w="1603" w:type="dxa"/>
            <w:shd w:val="clear" w:color="auto" w:fill="C6EFCE"/>
            <w:noWrap/>
            <w:vAlign w:val="center"/>
          </w:tcPr>
          <w:p w14:paraId="488068AE"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013CABEA" w14:textId="77777777" w:rsidR="006054AA" w:rsidRDefault="001F7667">
            <w:pPr>
              <w:pStyle w:val="P68B1DB1-Normal11"/>
              <w:spacing w:line="276" w:lineRule="auto"/>
              <w:jc w:val="center"/>
              <w:rPr>
                <w:noProof/>
              </w:rPr>
            </w:pPr>
            <w:r>
              <w:rPr>
                <w:noProof/>
              </w:rPr>
              <w:t>Брой нередовни депа за отпадъци</w:t>
            </w:r>
          </w:p>
        </w:tc>
        <w:tc>
          <w:tcPr>
            <w:tcW w:w="993" w:type="dxa"/>
            <w:shd w:val="clear" w:color="auto" w:fill="C6EFCE"/>
            <w:noWrap/>
            <w:vAlign w:val="center"/>
          </w:tcPr>
          <w:p w14:paraId="0F9BD52D" w14:textId="77777777" w:rsidR="006054AA" w:rsidRDefault="001F7667">
            <w:pPr>
              <w:pStyle w:val="P68B1DB1-Normal11"/>
              <w:spacing w:line="276" w:lineRule="auto"/>
              <w:jc w:val="center"/>
              <w:rPr>
                <w:noProof/>
              </w:rPr>
            </w:pPr>
            <w:r>
              <w:rPr>
                <w:noProof/>
              </w:rPr>
              <w:t>14</w:t>
            </w:r>
          </w:p>
        </w:tc>
        <w:tc>
          <w:tcPr>
            <w:tcW w:w="1162" w:type="dxa"/>
            <w:shd w:val="clear" w:color="auto" w:fill="C6EFCE"/>
            <w:noWrap/>
            <w:vAlign w:val="center"/>
          </w:tcPr>
          <w:p w14:paraId="684DD66B" w14:textId="77777777" w:rsidR="006054AA" w:rsidRDefault="001F7667">
            <w:pPr>
              <w:pStyle w:val="P68B1DB1-Normal11"/>
              <w:spacing w:line="276" w:lineRule="auto"/>
              <w:jc w:val="center"/>
              <w:rPr>
                <w:noProof/>
              </w:rPr>
            </w:pPr>
            <w:r>
              <w:rPr>
                <w:noProof/>
              </w:rPr>
              <w:t>9</w:t>
            </w:r>
          </w:p>
        </w:tc>
        <w:tc>
          <w:tcPr>
            <w:tcW w:w="963" w:type="dxa"/>
            <w:shd w:val="clear" w:color="auto" w:fill="C6EFCE"/>
            <w:noWrap/>
            <w:vAlign w:val="center"/>
          </w:tcPr>
          <w:p w14:paraId="0D27BF9F"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48EEF268" w14:textId="77777777" w:rsidR="006054AA" w:rsidRDefault="001F7667">
            <w:pPr>
              <w:pStyle w:val="P68B1DB1-Normal11"/>
              <w:spacing w:line="276" w:lineRule="auto"/>
              <w:rPr>
                <w:noProof/>
              </w:rPr>
            </w:pPr>
            <w:r>
              <w:rPr>
                <w:noProof/>
              </w:rPr>
              <w:t>2024</w:t>
            </w:r>
          </w:p>
        </w:tc>
        <w:tc>
          <w:tcPr>
            <w:tcW w:w="3174" w:type="dxa"/>
            <w:shd w:val="clear" w:color="auto" w:fill="C6EFCE"/>
            <w:noWrap/>
            <w:vAlign w:val="center"/>
          </w:tcPr>
          <w:p w14:paraId="64D795D9" w14:textId="63FD75FE" w:rsidR="006054AA" w:rsidRDefault="001F7667">
            <w:pPr>
              <w:pStyle w:val="P68B1DB1-Normal11"/>
              <w:spacing w:line="276" w:lineRule="auto"/>
              <w:rPr>
                <w:noProof/>
              </w:rPr>
            </w:pPr>
            <w:r>
              <w:rPr>
                <w:noProof/>
              </w:rPr>
              <w:t>Предложените мерки подкрепят изграждането на нови пречиствателни станции и инсталации за рециклиране, както и техническото подобряване на съществуващата. Освен това мерките са насочени към прилагането и цифровизацията на мрежата за разделно събиране, за да се подкрепят и включат гражданите в приемането на добри практики в управлението на отпадъците. Предложената намеса ще доведе до намаляване на незаконните депа, включени в процедура за нарушение 2011/2215, от 14 г. до 9 г. (т.е. най-малко 75 %)</w:t>
            </w:r>
          </w:p>
        </w:tc>
      </w:tr>
      <w:tr w:rsidR="006054AA" w14:paraId="3441287E" w14:textId="77777777">
        <w:trPr>
          <w:trHeight w:val="313"/>
          <w:jc w:val="center"/>
        </w:trPr>
        <w:tc>
          <w:tcPr>
            <w:tcW w:w="1220" w:type="dxa"/>
            <w:shd w:val="clear" w:color="auto" w:fill="C6EFCE"/>
            <w:noWrap/>
            <w:vAlign w:val="center"/>
          </w:tcPr>
          <w:p w14:paraId="3C3BC8B8" w14:textId="77777777" w:rsidR="006054AA" w:rsidRDefault="001F7667">
            <w:pPr>
              <w:pStyle w:val="P68B1DB1-Normal11"/>
              <w:spacing w:line="276" w:lineRule="auto"/>
              <w:jc w:val="center"/>
              <w:rPr>
                <w:noProof/>
              </w:rPr>
            </w:pPr>
            <w:r>
              <w:rPr>
                <w:noProof/>
              </w:rPr>
              <w:t>M2C1—16ter</w:t>
            </w:r>
          </w:p>
        </w:tc>
        <w:tc>
          <w:tcPr>
            <w:tcW w:w="1598" w:type="dxa"/>
            <w:shd w:val="clear" w:color="auto" w:fill="C6EFCE"/>
            <w:noWrap/>
            <w:vAlign w:val="center"/>
          </w:tcPr>
          <w:p w14:paraId="5C901847" w14:textId="77777777" w:rsidR="006054AA" w:rsidRDefault="001F7667">
            <w:pPr>
              <w:pStyle w:val="P68B1DB1-Normal11"/>
              <w:spacing w:line="276" w:lineRule="auto"/>
              <w:jc w:val="center"/>
              <w:rPr>
                <w:noProof/>
              </w:rPr>
            </w:pPr>
            <w:r>
              <w:rPr>
                <w:noProof/>
              </w:rPr>
              <w:t>Реформа 1.2</w:t>
            </w:r>
          </w:p>
          <w:p w14:paraId="1F00490A" w14:textId="77777777" w:rsidR="006054AA" w:rsidRDefault="001F7667">
            <w:pPr>
              <w:pStyle w:val="P68B1DB1-Normal11"/>
              <w:spacing w:line="276" w:lineRule="auto"/>
              <w:jc w:val="center"/>
              <w:rPr>
                <w:noProof/>
              </w:rPr>
            </w:pPr>
            <w:r>
              <w:rPr>
                <w:noProof/>
              </w:rPr>
              <w:t>Национална програма за управление на отпадъците</w:t>
            </w:r>
          </w:p>
          <w:p w14:paraId="68FED807" w14:textId="77777777" w:rsidR="006054AA" w:rsidRDefault="006054AA">
            <w:pPr>
              <w:spacing w:line="276" w:lineRule="auto"/>
              <w:jc w:val="center"/>
              <w:rPr>
                <w:rFonts w:ascii="Arial Narrow" w:hAnsi="Arial Narrow"/>
                <w:noProof/>
                <w:color w:val="006100"/>
                <w:sz w:val="20"/>
              </w:rPr>
            </w:pPr>
          </w:p>
          <w:p w14:paraId="13B264C1" w14:textId="77777777" w:rsidR="006054AA" w:rsidRDefault="001F7667">
            <w:pPr>
              <w:pStyle w:val="P68B1DB1-Normal11"/>
              <w:spacing w:line="276" w:lineRule="auto"/>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185" w:type="dxa"/>
            <w:shd w:val="clear" w:color="auto" w:fill="C6EFCE"/>
            <w:noWrap/>
            <w:vAlign w:val="center"/>
          </w:tcPr>
          <w:p w14:paraId="3DCFFC48"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6F0E2A86" w14:textId="77777777" w:rsidR="006054AA" w:rsidRDefault="001F7667">
            <w:pPr>
              <w:pStyle w:val="P68B1DB1-Normal11"/>
              <w:spacing w:line="276" w:lineRule="auto"/>
              <w:jc w:val="center"/>
              <w:rPr>
                <w:noProof/>
              </w:rPr>
            </w:pPr>
            <w:r>
              <w:rPr>
                <w:noProof/>
              </w:rPr>
              <w:t>Регионални различия в нивата на разделно събиране</w:t>
            </w:r>
          </w:p>
        </w:tc>
        <w:tc>
          <w:tcPr>
            <w:tcW w:w="1603" w:type="dxa"/>
            <w:shd w:val="clear" w:color="auto" w:fill="C6EFCE"/>
            <w:noWrap/>
            <w:vAlign w:val="center"/>
          </w:tcPr>
          <w:p w14:paraId="0D8244C1"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59944D25" w14:textId="77777777" w:rsidR="006054AA" w:rsidRDefault="001F7667">
            <w:pPr>
              <w:pStyle w:val="P68B1DB1-Normal11"/>
              <w:spacing w:line="276" w:lineRule="auto"/>
              <w:jc w:val="center"/>
              <w:rPr>
                <w:noProof/>
              </w:rPr>
            </w:pPr>
            <w:r>
              <w:rPr>
                <w:noProof/>
              </w:rPr>
              <w:t>Процентни пунктове</w:t>
            </w:r>
          </w:p>
        </w:tc>
        <w:tc>
          <w:tcPr>
            <w:tcW w:w="993" w:type="dxa"/>
            <w:shd w:val="clear" w:color="auto" w:fill="C6EFCE"/>
            <w:noWrap/>
            <w:vAlign w:val="center"/>
          </w:tcPr>
          <w:p w14:paraId="296064A7" w14:textId="77777777" w:rsidR="006054AA" w:rsidRDefault="001F7667">
            <w:pPr>
              <w:pStyle w:val="P68B1DB1-Normal11"/>
              <w:spacing w:line="276" w:lineRule="auto"/>
              <w:jc w:val="center"/>
              <w:rPr>
                <w:noProof/>
              </w:rPr>
            </w:pPr>
            <w:r>
              <w:rPr>
                <w:noProof/>
              </w:rPr>
              <w:t>27,6</w:t>
            </w:r>
          </w:p>
        </w:tc>
        <w:tc>
          <w:tcPr>
            <w:tcW w:w="1162" w:type="dxa"/>
            <w:shd w:val="clear" w:color="auto" w:fill="C6EFCE"/>
            <w:noWrap/>
            <w:vAlign w:val="center"/>
          </w:tcPr>
          <w:p w14:paraId="720216D5" w14:textId="77777777" w:rsidR="006054AA" w:rsidRDefault="001F7667">
            <w:pPr>
              <w:pStyle w:val="P68B1DB1-Normal11"/>
              <w:spacing w:line="276" w:lineRule="auto"/>
              <w:jc w:val="center"/>
              <w:rPr>
                <w:noProof/>
              </w:rPr>
            </w:pPr>
            <w:r>
              <w:rPr>
                <w:noProof/>
              </w:rPr>
              <w:t>20</w:t>
            </w:r>
          </w:p>
        </w:tc>
        <w:tc>
          <w:tcPr>
            <w:tcW w:w="963" w:type="dxa"/>
            <w:shd w:val="clear" w:color="auto" w:fill="C6EFCE"/>
            <w:noWrap/>
            <w:vAlign w:val="center"/>
          </w:tcPr>
          <w:p w14:paraId="5532E41C"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1C65F465" w14:textId="77777777" w:rsidR="006054AA" w:rsidRDefault="001F7667">
            <w:pPr>
              <w:pStyle w:val="P68B1DB1-Normal11"/>
              <w:spacing w:line="276" w:lineRule="auto"/>
              <w:rPr>
                <w:noProof/>
              </w:rPr>
            </w:pPr>
            <w:r>
              <w:rPr>
                <w:noProof/>
              </w:rPr>
              <w:t>2024</w:t>
            </w:r>
          </w:p>
        </w:tc>
        <w:tc>
          <w:tcPr>
            <w:tcW w:w="3174" w:type="dxa"/>
            <w:shd w:val="clear" w:color="auto" w:fill="C6EFCE"/>
            <w:noWrap/>
            <w:vAlign w:val="center"/>
          </w:tcPr>
          <w:p w14:paraId="0E5D8197" w14:textId="77777777" w:rsidR="006054AA" w:rsidRDefault="001F7667">
            <w:pPr>
              <w:pStyle w:val="P68B1DB1-Normal11"/>
              <w:spacing w:before="60" w:after="120" w:line="276" w:lineRule="auto"/>
              <w:rPr>
                <w:noProof/>
              </w:rPr>
            </w:pPr>
            <w:r>
              <w:rPr>
                <w:noProof/>
              </w:rPr>
              <w:t>Предложените мерки подкрепят изграждането на нови пречиствателни станции и инсталации за рециклиране, както и техническото подобряване на съществуващата. Освен това мерките са насочени към прилагането и цифровизацията на мрежата за разделно събиране, за да се подкрепят и включат гражданите в приемането на добри практики в управлението на отпадъците. Предложената намеса намалява с 20 процентни пункта разликата между средните три региона с най-добри резултати и трите региона с най-лоши резултати по отношение на нивата на разделно събиране.</w:t>
            </w:r>
          </w:p>
        </w:tc>
      </w:tr>
      <w:tr w:rsidR="006054AA" w14:paraId="4C7F7771" w14:textId="77777777">
        <w:trPr>
          <w:trHeight w:val="313"/>
          <w:jc w:val="center"/>
        </w:trPr>
        <w:tc>
          <w:tcPr>
            <w:tcW w:w="1220" w:type="dxa"/>
            <w:shd w:val="clear" w:color="auto" w:fill="C6EFCE"/>
            <w:noWrap/>
            <w:vAlign w:val="center"/>
          </w:tcPr>
          <w:p w14:paraId="42BB2AD0" w14:textId="77777777" w:rsidR="006054AA" w:rsidRDefault="001F7667">
            <w:pPr>
              <w:pStyle w:val="P68B1DB1-Normal11"/>
              <w:spacing w:line="276" w:lineRule="auto"/>
              <w:jc w:val="center"/>
              <w:rPr>
                <w:noProof/>
              </w:rPr>
            </w:pPr>
            <w:r>
              <w:rPr>
                <w:noProof/>
              </w:rPr>
              <w:t>M2C1—17</w:t>
            </w:r>
          </w:p>
        </w:tc>
        <w:tc>
          <w:tcPr>
            <w:tcW w:w="1598" w:type="dxa"/>
            <w:shd w:val="clear" w:color="auto" w:fill="C6EFCE"/>
            <w:noWrap/>
            <w:vAlign w:val="center"/>
          </w:tcPr>
          <w:p w14:paraId="69DFA255"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4363828D"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6FC8BF73" w14:textId="7069B427" w:rsidR="006054AA" w:rsidRDefault="001F7667">
            <w:pPr>
              <w:pStyle w:val="P68B1DB1-Normal11"/>
              <w:spacing w:line="276" w:lineRule="auto"/>
              <w:jc w:val="center"/>
              <w:rPr>
                <w:noProof/>
              </w:rPr>
            </w:pPr>
            <w:r>
              <w:rPr>
                <w:noProof/>
              </w:rPr>
              <w:t>Процент на рециклиране на битовите отпадъци в плана за действие за кръговата икономика</w:t>
            </w:r>
          </w:p>
        </w:tc>
        <w:tc>
          <w:tcPr>
            <w:tcW w:w="1603" w:type="dxa"/>
            <w:shd w:val="clear" w:color="auto" w:fill="C6EFCE"/>
            <w:noWrap/>
            <w:vAlign w:val="center"/>
          </w:tcPr>
          <w:p w14:paraId="036596BE"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6B54A327" w14:textId="77777777" w:rsidR="006054AA" w:rsidRDefault="001F7667">
            <w:pPr>
              <w:pStyle w:val="P68B1DB1-Normal11"/>
              <w:spacing w:line="276" w:lineRule="auto"/>
              <w:jc w:val="center"/>
              <w:rPr>
                <w:noProof/>
              </w:rPr>
            </w:pPr>
            <w:r>
              <w:rPr>
                <w:noProof/>
              </w:rPr>
              <w:t>Нива на рециклиране</w:t>
            </w:r>
          </w:p>
        </w:tc>
        <w:tc>
          <w:tcPr>
            <w:tcW w:w="993" w:type="dxa"/>
            <w:shd w:val="clear" w:color="auto" w:fill="C6EFCE"/>
            <w:noWrap/>
            <w:vAlign w:val="center"/>
          </w:tcPr>
          <w:p w14:paraId="29040ED9" w14:textId="5A89CC1E"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1BBA6217" w14:textId="77777777" w:rsidR="006054AA" w:rsidRDefault="001F7667">
            <w:pPr>
              <w:pStyle w:val="P68B1DB1-Normal11"/>
              <w:spacing w:line="276" w:lineRule="auto"/>
              <w:jc w:val="center"/>
              <w:rPr>
                <w:noProof/>
              </w:rPr>
            </w:pPr>
            <w:r>
              <w:rPr>
                <w:noProof/>
              </w:rPr>
              <w:t>55</w:t>
            </w:r>
          </w:p>
        </w:tc>
        <w:tc>
          <w:tcPr>
            <w:tcW w:w="963" w:type="dxa"/>
            <w:shd w:val="clear" w:color="auto" w:fill="C6EFCE"/>
            <w:noWrap/>
            <w:vAlign w:val="center"/>
          </w:tcPr>
          <w:p w14:paraId="5851DC3A"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577A8F09"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682E1F9B" w14:textId="45FD352D" w:rsidR="006054AA" w:rsidRDefault="001F7667">
            <w:pPr>
              <w:pStyle w:val="P68B1DB1-Normal11"/>
              <w:spacing w:before="60" w:after="120" w:line="276" w:lineRule="auto"/>
              <w:rPr>
                <w:noProof/>
              </w:rPr>
            </w:pPr>
            <w:r>
              <w:rPr>
                <w:noProof/>
              </w:rPr>
              <w:t>Процентът на рециклиране на битовите отпадъци трябва да достигне най-малко 55 % (както е определено в член 11, параграф 2, буква в) от Директива 2008/98/ЕО относно отпадъците, изменена с Директива 2018/851).</w:t>
            </w:r>
          </w:p>
        </w:tc>
      </w:tr>
      <w:tr w:rsidR="006054AA" w14:paraId="5EA343E1" w14:textId="77777777">
        <w:trPr>
          <w:trHeight w:val="313"/>
          <w:jc w:val="center"/>
        </w:trPr>
        <w:tc>
          <w:tcPr>
            <w:tcW w:w="1220" w:type="dxa"/>
            <w:shd w:val="clear" w:color="auto" w:fill="C6EFCE"/>
            <w:noWrap/>
            <w:vAlign w:val="center"/>
          </w:tcPr>
          <w:p w14:paraId="511606BD" w14:textId="77777777" w:rsidR="006054AA" w:rsidRDefault="001F7667">
            <w:pPr>
              <w:pStyle w:val="P68B1DB1-Normal11"/>
              <w:spacing w:line="276" w:lineRule="auto"/>
              <w:jc w:val="center"/>
              <w:rPr>
                <w:noProof/>
              </w:rPr>
            </w:pPr>
            <w:r>
              <w:rPr>
                <w:noProof/>
              </w:rPr>
              <w:t>M2C1—17bis</w:t>
            </w:r>
          </w:p>
        </w:tc>
        <w:tc>
          <w:tcPr>
            <w:tcW w:w="1598" w:type="dxa"/>
            <w:shd w:val="clear" w:color="auto" w:fill="C6EFCE"/>
            <w:noWrap/>
            <w:vAlign w:val="center"/>
          </w:tcPr>
          <w:p w14:paraId="550D4E96"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7A8CA6BB"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00E556C3" w14:textId="77777777" w:rsidR="006054AA" w:rsidRDefault="001F7667">
            <w:pPr>
              <w:pStyle w:val="P68B1DB1-Normal11"/>
              <w:spacing w:line="276" w:lineRule="auto"/>
              <w:jc w:val="center"/>
              <w:rPr>
                <w:noProof/>
              </w:rPr>
            </w:pPr>
            <w:r>
              <w:rPr>
                <w:noProof/>
              </w:rPr>
              <w:t>Процент на рециклиране на отпадъците от опаковки в плана за действие за кръговата икономика</w:t>
            </w:r>
          </w:p>
        </w:tc>
        <w:tc>
          <w:tcPr>
            <w:tcW w:w="1603" w:type="dxa"/>
            <w:shd w:val="clear" w:color="auto" w:fill="C6EFCE"/>
            <w:noWrap/>
            <w:vAlign w:val="center"/>
          </w:tcPr>
          <w:p w14:paraId="793E3002"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61C4AD45" w14:textId="77777777" w:rsidR="006054AA" w:rsidRDefault="001F7667">
            <w:pPr>
              <w:pStyle w:val="P68B1DB1-Normal11"/>
              <w:spacing w:line="276" w:lineRule="auto"/>
              <w:jc w:val="center"/>
              <w:rPr>
                <w:noProof/>
              </w:rPr>
            </w:pPr>
            <w:r>
              <w:rPr>
                <w:noProof/>
              </w:rPr>
              <w:t>Нива на рециклиране</w:t>
            </w:r>
          </w:p>
        </w:tc>
        <w:tc>
          <w:tcPr>
            <w:tcW w:w="993" w:type="dxa"/>
            <w:shd w:val="clear" w:color="auto" w:fill="C6EFCE"/>
            <w:noWrap/>
            <w:vAlign w:val="center"/>
          </w:tcPr>
          <w:p w14:paraId="51380EB3"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6E98D2AC" w14:textId="77777777" w:rsidR="006054AA" w:rsidRDefault="001F7667">
            <w:pPr>
              <w:pStyle w:val="P68B1DB1-Normal11"/>
              <w:spacing w:line="276" w:lineRule="auto"/>
              <w:jc w:val="center"/>
              <w:rPr>
                <w:noProof/>
              </w:rPr>
            </w:pPr>
            <w:r>
              <w:rPr>
                <w:noProof/>
              </w:rPr>
              <w:t>65</w:t>
            </w:r>
          </w:p>
        </w:tc>
        <w:tc>
          <w:tcPr>
            <w:tcW w:w="963" w:type="dxa"/>
            <w:shd w:val="clear" w:color="auto" w:fill="C6EFCE"/>
            <w:noWrap/>
            <w:vAlign w:val="center"/>
          </w:tcPr>
          <w:p w14:paraId="77D71508"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114EBA30"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610D848F" w14:textId="7BF838C3" w:rsidR="006054AA" w:rsidRDefault="001F7667">
            <w:pPr>
              <w:pStyle w:val="P68B1DB1-Normal11"/>
              <w:spacing w:before="60" w:after="120" w:line="276" w:lineRule="auto"/>
              <w:rPr>
                <w:noProof/>
              </w:rPr>
            </w:pPr>
            <w:r>
              <w:rPr>
                <w:noProof/>
              </w:rPr>
              <w:t>Процентът на рециклиране на отпадъците от опаковки като тегло трябва да достигне поне 65 % (както е определено в член 6, параграф 1, буква ж), I-VI от Директива 94/62/ЕО относно отпадъците от опаковки (изменена с Директива 2018/852).</w:t>
            </w:r>
          </w:p>
        </w:tc>
      </w:tr>
      <w:tr w:rsidR="006054AA" w14:paraId="3D71AD6B" w14:textId="77777777">
        <w:trPr>
          <w:trHeight w:val="313"/>
          <w:jc w:val="center"/>
        </w:trPr>
        <w:tc>
          <w:tcPr>
            <w:tcW w:w="1220" w:type="dxa"/>
            <w:shd w:val="clear" w:color="auto" w:fill="C6EFCE"/>
            <w:noWrap/>
            <w:vAlign w:val="center"/>
          </w:tcPr>
          <w:p w14:paraId="386FF817" w14:textId="77777777" w:rsidR="006054AA" w:rsidRDefault="001F7667">
            <w:pPr>
              <w:pStyle w:val="P68B1DB1-Normal11"/>
              <w:spacing w:line="276" w:lineRule="auto"/>
              <w:jc w:val="center"/>
              <w:rPr>
                <w:noProof/>
              </w:rPr>
            </w:pPr>
            <w:r>
              <w:rPr>
                <w:noProof/>
              </w:rPr>
              <w:t>M2C1—17ter</w:t>
            </w:r>
          </w:p>
        </w:tc>
        <w:tc>
          <w:tcPr>
            <w:tcW w:w="1598" w:type="dxa"/>
            <w:shd w:val="clear" w:color="auto" w:fill="C6EFCE"/>
            <w:noWrap/>
            <w:vAlign w:val="center"/>
          </w:tcPr>
          <w:p w14:paraId="3A8D4CAB"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59C30C71"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2AC14077" w14:textId="77777777" w:rsidR="006054AA" w:rsidRDefault="001F7667">
            <w:pPr>
              <w:pStyle w:val="P68B1DB1-Normal11"/>
              <w:spacing w:line="276" w:lineRule="auto"/>
              <w:jc w:val="center"/>
              <w:rPr>
                <w:noProof/>
              </w:rPr>
            </w:pPr>
            <w:r>
              <w:rPr>
                <w:noProof/>
              </w:rPr>
              <w:t>Процент на рециклиране на опаковки от дървесина в плана за действие за кръговата икономика</w:t>
            </w:r>
          </w:p>
        </w:tc>
        <w:tc>
          <w:tcPr>
            <w:tcW w:w="1603" w:type="dxa"/>
            <w:shd w:val="clear" w:color="auto" w:fill="C6EFCE"/>
            <w:noWrap/>
            <w:vAlign w:val="center"/>
          </w:tcPr>
          <w:p w14:paraId="52D2E0E8"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7F0B0FA6" w14:textId="77777777" w:rsidR="006054AA" w:rsidRDefault="001F7667">
            <w:pPr>
              <w:pStyle w:val="P68B1DB1-Normal11"/>
              <w:spacing w:line="276" w:lineRule="auto"/>
              <w:jc w:val="center"/>
              <w:rPr>
                <w:noProof/>
              </w:rPr>
            </w:pPr>
            <w:r>
              <w:rPr>
                <w:noProof/>
              </w:rPr>
              <w:t>Нива на рециклиране</w:t>
            </w:r>
          </w:p>
        </w:tc>
        <w:tc>
          <w:tcPr>
            <w:tcW w:w="993" w:type="dxa"/>
            <w:shd w:val="clear" w:color="auto" w:fill="C6EFCE"/>
            <w:noWrap/>
            <w:vAlign w:val="center"/>
          </w:tcPr>
          <w:p w14:paraId="66645EAB"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3390C0A1" w14:textId="77777777" w:rsidR="006054AA" w:rsidRDefault="001F7667">
            <w:pPr>
              <w:pStyle w:val="P68B1DB1-Normal11"/>
              <w:spacing w:line="276" w:lineRule="auto"/>
              <w:jc w:val="center"/>
              <w:rPr>
                <w:noProof/>
              </w:rPr>
            </w:pPr>
            <w:r>
              <w:rPr>
                <w:noProof/>
              </w:rPr>
              <w:t>25</w:t>
            </w:r>
          </w:p>
        </w:tc>
        <w:tc>
          <w:tcPr>
            <w:tcW w:w="963" w:type="dxa"/>
            <w:shd w:val="clear" w:color="auto" w:fill="C6EFCE"/>
            <w:noWrap/>
            <w:vAlign w:val="center"/>
          </w:tcPr>
          <w:p w14:paraId="533AB9A7"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0EF11B5B"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52B323CF" w14:textId="77777777" w:rsidR="006054AA" w:rsidRDefault="001F7667">
            <w:pPr>
              <w:pStyle w:val="P68B1DB1-Normal11"/>
              <w:spacing w:before="60" w:after="120" w:line="276" w:lineRule="auto"/>
              <w:rPr>
                <w:noProof/>
              </w:rPr>
            </w:pPr>
            <w:r>
              <w:rPr>
                <w:noProof/>
              </w:rPr>
              <w:t>Тегловният процент на рециклиране на дървени опаковки трябва да достигне най-малко 25 % (както е определено в член 6, параграф 1, буква ж) I-VI от Директива 94/62/ЕО относно отпадъците от опаковки (изменена с Директива 2018/852) 25 %</w:t>
            </w:r>
          </w:p>
        </w:tc>
      </w:tr>
      <w:tr w:rsidR="006054AA" w14:paraId="5DF7B1F4" w14:textId="77777777">
        <w:trPr>
          <w:trHeight w:val="313"/>
          <w:jc w:val="center"/>
        </w:trPr>
        <w:tc>
          <w:tcPr>
            <w:tcW w:w="1220" w:type="dxa"/>
            <w:shd w:val="clear" w:color="auto" w:fill="C6EFCE"/>
            <w:noWrap/>
            <w:vAlign w:val="center"/>
          </w:tcPr>
          <w:p w14:paraId="4D16A6F4" w14:textId="77777777" w:rsidR="006054AA" w:rsidRDefault="001F7667">
            <w:pPr>
              <w:pStyle w:val="P68B1DB1-Normal11"/>
              <w:spacing w:line="276" w:lineRule="auto"/>
              <w:jc w:val="center"/>
              <w:rPr>
                <w:noProof/>
              </w:rPr>
            </w:pPr>
            <w:r>
              <w:rPr>
                <w:noProof/>
              </w:rPr>
              <w:t>M2C1—17quater</w:t>
            </w:r>
          </w:p>
        </w:tc>
        <w:tc>
          <w:tcPr>
            <w:tcW w:w="1598" w:type="dxa"/>
            <w:shd w:val="clear" w:color="auto" w:fill="C6EFCE"/>
            <w:noWrap/>
            <w:vAlign w:val="center"/>
          </w:tcPr>
          <w:p w14:paraId="790FCA9C"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6DDCB90E"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47B44DFD" w14:textId="77777777" w:rsidR="006054AA" w:rsidRDefault="001F7667">
            <w:pPr>
              <w:pStyle w:val="P68B1DB1-Normal11"/>
              <w:spacing w:line="276" w:lineRule="auto"/>
              <w:jc w:val="center"/>
              <w:rPr>
                <w:noProof/>
              </w:rPr>
            </w:pPr>
            <w:r>
              <w:rPr>
                <w:noProof/>
              </w:rPr>
              <w:t>Процент на рециклиране на опаковки от черни метали в плана за действие за кръговата икономика</w:t>
            </w:r>
          </w:p>
        </w:tc>
        <w:tc>
          <w:tcPr>
            <w:tcW w:w="1603" w:type="dxa"/>
            <w:shd w:val="clear" w:color="auto" w:fill="C6EFCE"/>
            <w:noWrap/>
            <w:vAlign w:val="center"/>
          </w:tcPr>
          <w:p w14:paraId="6B20BF25"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6251DF48" w14:textId="77777777" w:rsidR="006054AA" w:rsidRDefault="001F7667">
            <w:pPr>
              <w:pStyle w:val="P68B1DB1-Normal11"/>
              <w:spacing w:line="276" w:lineRule="auto"/>
              <w:jc w:val="center"/>
              <w:rPr>
                <w:noProof/>
              </w:rPr>
            </w:pPr>
            <w:r>
              <w:rPr>
                <w:noProof/>
              </w:rPr>
              <w:t>Нива на рециклиране</w:t>
            </w:r>
          </w:p>
        </w:tc>
        <w:tc>
          <w:tcPr>
            <w:tcW w:w="993" w:type="dxa"/>
            <w:shd w:val="clear" w:color="auto" w:fill="C6EFCE"/>
            <w:noWrap/>
            <w:vAlign w:val="center"/>
          </w:tcPr>
          <w:p w14:paraId="79EFBC46"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7D16B194" w14:textId="77777777" w:rsidR="006054AA" w:rsidRDefault="001F7667">
            <w:pPr>
              <w:pStyle w:val="P68B1DB1-Normal11"/>
              <w:spacing w:line="276" w:lineRule="auto"/>
              <w:jc w:val="center"/>
              <w:rPr>
                <w:noProof/>
              </w:rPr>
            </w:pPr>
            <w:r>
              <w:rPr>
                <w:noProof/>
              </w:rPr>
              <w:t>70</w:t>
            </w:r>
          </w:p>
        </w:tc>
        <w:tc>
          <w:tcPr>
            <w:tcW w:w="963" w:type="dxa"/>
            <w:shd w:val="clear" w:color="auto" w:fill="C6EFCE"/>
            <w:noWrap/>
            <w:vAlign w:val="center"/>
          </w:tcPr>
          <w:p w14:paraId="6AA7672F"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332E6FFC"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458016CE" w14:textId="57851994" w:rsidR="006054AA" w:rsidRDefault="001F7667">
            <w:pPr>
              <w:pStyle w:val="P68B1DB1-Normal11"/>
              <w:spacing w:before="60" w:after="120" w:line="276" w:lineRule="auto"/>
              <w:rPr>
                <w:noProof/>
              </w:rPr>
            </w:pPr>
            <w:r>
              <w:rPr>
                <w:noProof/>
              </w:rPr>
              <w:t>Тегловният процент на рециклиране на опаковките от черни метали трябва да достигне най-малко 70 % (както е определено в член 6, параграф 1, буква ж) I-VI от Директива 94/62/ЕО относно отпадъците от опаковки (изменена с Директива 2018/852).</w:t>
            </w:r>
          </w:p>
        </w:tc>
      </w:tr>
      <w:tr w:rsidR="006054AA" w14:paraId="6B57FDF1" w14:textId="77777777">
        <w:trPr>
          <w:trHeight w:val="313"/>
          <w:jc w:val="center"/>
        </w:trPr>
        <w:tc>
          <w:tcPr>
            <w:tcW w:w="1220" w:type="dxa"/>
            <w:shd w:val="clear" w:color="auto" w:fill="C6EFCE"/>
            <w:noWrap/>
            <w:vAlign w:val="center"/>
          </w:tcPr>
          <w:p w14:paraId="0272C4AC" w14:textId="77777777" w:rsidR="006054AA" w:rsidRDefault="001F7667">
            <w:pPr>
              <w:pStyle w:val="P68B1DB1-Normal11"/>
              <w:spacing w:line="276" w:lineRule="auto"/>
              <w:jc w:val="center"/>
              <w:rPr>
                <w:noProof/>
              </w:rPr>
            </w:pPr>
            <w:r>
              <w:rPr>
                <w:noProof/>
              </w:rPr>
              <w:t>M2C1—17 quinquies</w:t>
            </w:r>
          </w:p>
        </w:tc>
        <w:tc>
          <w:tcPr>
            <w:tcW w:w="1598" w:type="dxa"/>
            <w:shd w:val="clear" w:color="auto" w:fill="C6EFCE"/>
            <w:noWrap/>
            <w:vAlign w:val="center"/>
          </w:tcPr>
          <w:p w14:paraId="07EFA499"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0F8A3836"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449B23AF" w14:textId="77777777" w:rsidR="006054AA" w:rsidRDefault="001F7667">
            <w:pPr>
              <w:pStyle w:val="P68B1DB1-Normal11"/>
              <w:spacing w:line="276" w:lineRule="auto"/>
              <w:jc w:val="center"/>
              <w:rPr>
                <w:noProof/>
              </w:rPr>
            </w:pPr>
            <w:r>
              <w:rPr>
                <w:noProof/>
              </w:rPr>
              <w:t>Процент на рециклиране на алуминиевите опаковки — План за действие за кръговата икономика</w:t>
            </w:r>
          </w:p>
        </w:tc>
        <w:tc>
          <w:tcPr>
            <w:tcW w:w="1603" w:type="dxa"/>
            <w:shd w:val="clear" w:color="auto" w:fill="C6EFCE"/>
            <w:noWrap/>
            <w:vAlign w:val="center"/>
          </w:tcPr>
          <w:p w14:paraId="0EB4C463"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47DEB0A1" w14:textId="77777777" w:rsidR="006054AA" w:rsidRDefault="001F7667">
            <w:pPr>
              <w:pStyle w:val="P68B1DB1-Normal11"/>
              <w:spacing w:line="276" w:lineRule="auto"/>
              <w:jc w:val="center"/>
              <w:rPr>
                <w:noProof/>
              </w:rPr>
            </w:pPr>
            <w:r>
              <w:rPr>
                <w:noProof/>
              </w:rPr>
              <w:t>Нива на рециклиране</w:t>
            </w:r>
          </w:p>
        </w:tc>
        <w:tc>
          <w:tcPr>
            <w:tcW w:w="993" w:type="dxa"/>
            <w:shd w:val="clear" w:color="auto" w:fill="C6EFCE"/>
            <w:noWrap/>
            <w:vAlign w:val="center"/>
          </w:tcPr>
          <w:p w14:paraId="452ADFD6"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18D9FC4C" w14:textId="77777777" w:rsidR="006054AA" w:rsidRDefault="001F7667">
            <w:pPr>
              <w:pStyle w:val="P68B1DB1-Normal11"/>
              <w:spacing w:line="276" w:lineRule="auto"/>
              <w:jc w:val="center"/>
              <w:rPr>
                <w:noProof/>
              </w:rPr>
            </w:pPr>
            <w:r>
              <w:rPr>
                <w:noProof/>
              </w:rPr>
              <w:t>50</w:t>
            </w:r>
          </w:p>
        </w:tc>
        <w:tc>
          <w:tcPr>
            <w:tcW w:w="963" w:type="dxa"/>
            <w:shd w:val="clear" w:color="auto" w:fill="C6EFCE"/>
            <w:noWrap/>
            <w:vAlign w:val="center"/>
          </w:tcPr>
          <w:p w14:paraId="7DB0A421"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7C9592DA"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112FA19F" w14:textId="1A31861D" w:rsidR="006054AA" w:rsidRDefault="001F7667">
            <w:pPr>
              <w:pStyle w:val="P68B1DB1-Normal11"/>
              <w:spacing w:before="60" w:after="120" w:line="276" w:lineRule="auto"/>
              <w:rPr>
                <w:noProof/>
              </w:rPr>
            </w:pPr>
            <w:r>
              <w:rPr>
                <w:noProof/>
              </w:rPr>
              <w:t>Тегловният процент на рециклиране на алуминиевите опаковки трябва да достигне най-малко 50 % (както е определено в член 6, параграф 1, буква ж) I-VI от Директива 94/62/ЕО относно отпадъците от опаковки (изменена с Директива 2018/852).</w:t>
            </w:r>
          </w:p>
        </w:tc>
      </w:tr>
      <w:tr w:rsidR="006054AA" w14:paraId="4378EB55" w14:textId="77777777">
        <w:trPr>
          <w:trHeight w:val="313"/>
          <w:jc w:val="center"/>
        </w:trPr>
        <w:tc>
          <w:tcPr>
            <w:tcW w:w="1220" w:type="dxa"/>
            <w:shd w:val="clear" w:color="auto" w:fill="C6EFCE"/>
            <w:noWrap/>
            <w:vAlign w:val="center"/>
          </w:tcPr>
          <w:p w14:paraId="29B5F4B2" w14:textId="77777777" w:rsidR="006054AA" w:rsidRDefault="001F7667">
            <w:pPr>
              <w:pStyle w:val="P68B1DB1-Normal11"/>
              <w:spacing w:line="276" w:lineRule="auto"/>
              <w:jc w:val="center"/>
              <w:rPr>
                <w:noProof/>
              </w:rPr>
            </w:pPr>
            <w:r>
              <w:rPr>
                <w:noProof/>
              </w:rPr>
              <w:t>M2C1—17 sexies</w:t>
            </w:r>
          </w:p>
        </w:tc>
        <w:tc>
          <w:tcPr>
            <w:tcW w:w="1598" w:type="dxa"/>
            <w:shd w:val="clear" w:color="auto" w:fill="C6EFCE"/>
            <w:noWrap/>
            <w:vAlign w:val="center"/>
          </w:tcPr>
          <w:p w14:paraId="44792B1A"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7777677F"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3ACA7849" w14:textId="77777777" w:rsidR="006054AA" w:rsidRDefault="001F7667">
            <w:pPr>
              <w:pStyle w:val="P68B1DB1-Normal11"/>
              <w:spacing w:line="276" w:lineRule="auto"/>
              <w:jc w:val="center"/>
              <w:rPr>
                <w:noProof/>
              </w:rPr>
            </w:pPr>
            <w:r>
              <w:rPr>
                <w:noProof/>
              </w:rPr>
              <w:t>Процент на рециклиране на стъклените опаковки в плана за действие за кръговата икономика</w:t>
            </w:r>
          </w:p>
        </w:tc>
        <w:tc>
          <w:tcPr>
            <w:tcW w:w="1603" w:type="dxa"/>
            <w:shd w:val="clear" w:color="auto" w:fill="C6EFCE"/>
            <w:noWrap/>
            <w:vAlign w:val="center"/>
          </w:tcPr>
          <w:p w14:paraId="047559D2"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250383D7" w14:textId="77777777" w:rsidR="006054AA" w:rsidRDefault="001F7667">
            <w:pPr>
              <w:pStyle w:val="P68B1DB1-Normal11"/>
              <w:spacing w:line="276" w:lineRule="auto"/>
              <w:jc w:val="center"/>
              <w:rPr>
                <w:noProof/>
              </w:rPr>
            </w:pPr>
            <w:r>
              <w:rPr>
                <w:noProof/>
              </w:rPr>
              <w:t>Нива на рециклиране</w:t>
            </w:r>
          </w:p>
        </w:tc>
        <w:tc>
          <w:tcPr>
            <w:tcW w:w="993" w:type="dxa"/>
            <w:shd w:val="clear" w:color="auto" w:fill="C6EFCE"/>
            <w:noWrap/>
            <w:vAlign w:val="center"/>
          </w:tcPr>
          <w:p w14:paraId="12E58B93"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0B285049" w14:textId="77777777" w:rsidR="006054AA" w:rsidRDefault="001F7667">
            <w:pPr>
              <w:pStyle w:val="P68B1DB1-Normal11"/>
              <w:spacing w:line="276" w:lineRule="auto"/>
              <w:jc w:val="center"/>
              <w:rPr>
                <w:noProof/>
              </w:rPr>
            </w:pPr>
            <w:r>
              <w:rPr>
                <w:noProof/>
              </w:rPr>
              <w:t>70</w:t>
            </w:r>
          </w:p>
        </w:tc>
        <w:tc>
          <w:tcPr>
            <w:tcW w:w="963" w:type="dxa"/>
            <w:shd w:val="clear" w:color="auto" w:fill="C6EFCE"/>
            <w:noWrap/>
            <w:vAlign w:val="center"/>
          </w:tcPr>
          <w:p w14:paraId="249CB7BE"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2B41C8D8"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6DF0A1B7" w14:textId="096C09E7" w:rsidR="006054AA" w:rsidRDefault="001F7667">
            <w:pPr>
              <w:pStyle w:val="P68B1DB1-Normal11"/>
              <w:spacing w:before="60" w:after="120" w:line="276" w:lineRule="auto"/>
              <w:rPr>
                <w:noProof/>
              </w:rPr>
            </w:pPr>
            <w:r>
              <w:rPr>
                <w:noProof/>
              </w:rPr>
              <w:t>Тегловният процент на рециклиране на стъклените опаковки трябва да достигне поне 70 % (както е определено в член 6, параграф 1, буква ж) I-VI от Директива 94/62/ЕО относно отпадъците от опаковки (изменена с Директива 2018/852).</w:t>
            </w:r>
          </w:p>
        </w:tc>
      </w:tr>
      <w:tr w:rsidR="006054AA" w14:paraId="755BAE73" w14:textId="77777777">
        <w:trPr>
          <w:trHeight w:val="313"/>
          <w:jc w:val="center"/>
        </w:trPr>
        <w:tc>
          <w:tcPr>
            <w:tcW w:w="1220" w:type="dxa"/>
            <w:shd w:val="clear" w:color="auto" w:fill="C6EFCE"/>
            <w:noWrap/>
            <w:vAlign w:val="center"/>
          </w:tcPr>
          <w:p w14:paraId="10E8ED7B" w14:textId="77777777" w:rsidR="006054AA" w:rsidRDefault="001F7667">
            <w:pPr>
              <w:pStyle w:val="P68B1DB1-Normal11"/>
              <w:spacing w:line="276" w:lineRule="auto"/>
              <w:jc w:val="center"/>
              <w:rPr>
                <w:noProof/>
              </w:rPr>
            </w:pPr>
            <w:r>
              <w:rPr>
                <w:noProof/>
              </w:rPr>
              <w:t>M2C1—17 septies</w:t>
            </w:r>
          </w:p>
        </w:tc>
        <w:tc>
          <w:tcPr>
            <w:tcW w:w="1598" w:type="dxa"/>
            <w:shd w:val="clear" w:color="auto" w:fill="C6EFCE"/>
            <w:noWrap/>
            <w:vAlign w:val="center"/>
          </w:tcPr>
          <w:p w14:paraId="52EB33BE"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242CD25F"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668F51E3" w14:textId="77777777" w:rsidR="006054AA" w:rsidRDefault="001F7667">
            <w:pPr>
              <w:pStyle w:val="P68B1DB1-Normal11"/>
              <w:spacing w:line="276" w:lineRule="auto"/>
              <w:jc w:val="center"/>
              <w:rPr>
                <w:noProof/>
              </w:rPr>
            </w:pPr>
            <w:r>
              <w:rPr>
                <w:noProof/>
              </w:rPr>
              <w:t>Процент на рециклиране на хартия и картон в плана за действие за кръговата икономика</w:t>
            </w:r>
          </w:p>
        </w:tc>
        <w:tc>
          <w:tcPr>
            <w:tcW w:w="1603" w:type="dxa"/>
            <w:shd w:val="clear" w:color="auto" w:fill="C6EFCE"/>
            <w:noWrap/>
            <w:vAlign w:val="center"/>
          </w:tcPr>
          <w:p w14:paraId="23456754"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3899D0A4" w14:textId="77777777" w:rsidR="006054AA" w:rsidRDefault="001F7667">
            <w:pPr>
              <w:pStyle w:val="P68B1DB1-Normal11"/>
              <w:spacing w:line="276" w:lineRule="auto"/>
              <w:jc w:val="center"/>
              <w:rPr>
                <w:noProof/>
              </w:rPr>
            </w:pPr>
            <w:r>
              <w:rPr>
                <w:noProof/>
              </w:rPr>
              <w:t>Нива на рециклиране</w:t>
            </w:r>
          </w:p>
        </w:tc>
        <w:tc>
          <w:tcPr>
            <w:tcW w:w="993" w:type="dxa"/>
            <w:shd w:val="clear" w:color="auto" w:fill="C6EFCE"/>
            <w:noWrap/>
            <w:vAlign w:val="center"/>
          </w:tcPr>
          <w:p w14:paraId="7FE5F638"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3423CFF6" w14:textId="77777777" w:rsidR="006054AA" w:rsidRDefault="001F7667">
            <w:pPr>
              <w:pStyle w:val="P68B1DB1-Normal11"/>
              <w:spacing w:line="276" w:lineRule="auto"/>
              <w:jc w:val="center"/>
              <w:rPr>
                <w:noProof/>
              </w:rPr>
            </w:pPr>
            <w:r>
              <w:rPr>
                <w:noProof/>
              </w:rPr>
              <w:t>75</w:t>
            </w:r>
          </w:p>
        </w:tc>
        <w:tc>
          <w:tcPr>
            <w:tcW w:w="963" w:type="dxa"/>
            <w:shd w:val="clear" w:color="auto" w:fill="C6EFCE"/>
            <w:noWrap/>
            <w:vAlign w:val="center"/>
          </w:tcPr>
          <w:p w14:paraId="5CEDCF88"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2A3F72F8"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5F2A5069" w14:textId="28332F1D" w:rsidR="006054AA" w:rsidRDefault="001F7667">
            <w:pPr>
              <w:pStyle w:val="P68B1DB1-Normal11"/>
              <w:spacing w:before="60" w:after="120" w:line="276" w:lineRule="auto"/>
              <w:rPr>
                <w:noProof/>
              </w:rPr>
            </w:pPr>
            <w:r>
              <w:rPr>
                <w:noProof/>
              </w:rPr>
              <w:t>Тегловният процент на рециклиране на хартия и картон трябва да достигне поне 75 % (както е определено в член 6, параграф 1, буква ж) I-VI от Директива 94/62/ЕО относно отпадъците от опаковки (изменена с Директива 2018/852).</w:t>
            </w:r>
          </w:p>
        </w:tc>
      </w:tr>
      <w:tr w:rsidR="006054AA" w14:paraId="27D3F78C" w14:textId="77777777">
        <w:trPr>
          <w:trHeight w:val="313"/>
          <w:jc w:val="center"/>
        </w:trPr>
        <w:tc>
          <w:tcPr>
            <w:tcW w:w="1220" w:type="dxa"/>
            <w:shd w:val="clear" w:color="auto" w:fill="C6EFCE"/>
            <w:noWrap/>
            <w:vAlign w:val="center"/>
          </w:tcPr>
          <w:p w14:paraId="5940579B" w14:textId="77777777" w:rsidR="006054AA" w:rsidRDefault="001F7667">
            <w:pPr>
              <w:pStyle w:val="P68B1DB1-Normal11"/>
              <w:spacing w:line="276" w:lineRule="auto"/>
              <w:jc w:val="center"/>
              <w:rPr>
                <w:noProof/>
              </w:rPr>
            </w:pPr>
            <w:r>
              <w:rPr>
                <w:noProof/>
              </w:rPr>
              <w:t>M2C1—17 octies</w:t>
            </w:r>
          </w:p>
        </w:tc>
        <w:tc>
          <w:tcPr>
            <w:tcW w:w="1598" w:type="dxa"/>
            <w:shd w:val="clear" w:color="auto" w:fill="C6EFCE"/>
            <w:noWrap/>
            <w:vAlign w:val="center"/>
          </w:tcPr>
          <w:p w14:paraId="146DA975"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4E0AA04E"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08B4B006" w14:textId="77777777" w:rsidR="006054AA" w:rsidRDefault="001F7667">
            <w:pPr>
              <w:pStyle w:val="P68B1DB1-Normal11"/>
              <w:spacing w:line="276" w:lineRule="auto"/>
              <w:jc w:val="center"/>
              <w:rPr>
                <w:noProof/>
              </w:rPr>
            </w:pPr>
            <w:r>
              <w:rPr>
                <w:noProof/>
              </w:rPr>
              <w:t>Процент на рециклиране на пластмасовите опаковки в плана за действие за кръговата икономика</w:t>
            </w:r>
          </w:p>
        </w:tc>
        <w:tc>
          <w:tcPr>
            <w:tcW w:w="1603" w:type="dxa"/>
            <w:shd w:val="clear" w:color="auto" w:fill="C6EFCE"/>
            <w:noWrap/>
            <w:vAlign w:val="center"/>
          </w:tcPr>
          <w:p w14:paraId="16D187EF"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7F58A6AD" w14:textId="77777777" w:rsidR="006054AA" w:rsidRDefault="001F7667">
            <w:pPr>
              <w:pStyle w:val="P68B1DB1-Normal11"/>
              <w:spacing w:line="276" w:lineRule="auto"/>
              <w:jc w:val="center"/>
              <w:rPr>
                <w:noProof/>
              </w:rPr>
            </w:pPr>
            <w:r>
              <w:rPr>
                <w:noProof/>
              </w:rPr>
              <w:t>Нива на рециклиране</w:t>
            </w:r>
          </w:p>
        </w:tc>
        <w:tc>
          <w:tcPr>
            <w:tcW w:w="993" w:type="dxa"/>
            <w:shd w:val="clear" w:color="auto" w:fill="C6EFCE"/>
            <w:noWrap/>
            <w:vAlign w:val="center"/>
          </w:tcPr>
          <w:p w14:paraId="06FF264C"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056CF75F" w14:textId="77777777" w:rsidR="006054AA" w:rsidRDefault="001F7667">
            <w:pPr>
              <w:pStyle w:val="P68B1DB1-Normal11"/>
              <w:spacing w:line="276" w:lineRule="auto"/>
              <w:jc w:val="center"/>
              <w:rPr>
                <w:noProof/>
              </w:rPr>
            </w:pPr>
            <w:r>
              <w:rPr>
                <w:noProof/>
              </w:rPr>
              <w:t>50</w:t>
            </w:r>
          </w:p>
        </w:tc>
        <w:tc>
          <w:tcPr>
            <w:tcW w:w="963" w:type="dxa"/>
            <w:shd w:val="clear" w:color="auto" w:fill="C6EFCE"/>
            <w:noWrap/>
            <w:vAlign w:val="center"/>
          </w:tcPr>
          <w:p w14:paraId="405AAF1C"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71FC9677"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6D7475B1" w14:textId="50A0D262" w:rsidR="006054AA" w:rsidRDefault="001F7667">
            <w:pPr>
              <w:pStyle w:val="P68B1DB1-Normal11"/>
              <w:spacing w:before="60" w:after="120" w:line="276" w:lineRule="auto"/>
              <w:rPr>
                <w:noProof/>
              </w:rPr>
            </w:pPr>
            <w:r>
              <w:rPr>
                <w:noProof/>
              </w:rPr>
              <w:t>Тегловният процент на рециклиране на пластмасовите опаковки трябва да достигне най-малко 50 % (както е определено в член 6, параграф 1, буква ж) I-VI от Директива 94/62/ЕО относно отпадъците от опаковки (изменена с Директива 2018/852).</w:t>
            </w:r>
          </w:p>
        </w:tc>
      </w:tr>
      <w:tr w:rsidR="006054AA" w14:paraId="00752DFA" w14:textId="77777777">
        <w:trPr>
          <w:trHeight w:val="313"/>
          <w:jc w:val="center"/>
        </w:trPr>
        <w:tc>
          <w:tcPr>
            <w:tcW w:w="1220" w:type="dxa"/>
            <w:shd w:val="clear" w:color="auto" w:fill="C6EFCE"/>
            <w:noWrap/>
            <w:vAlign w:val="center"/>
          </w:tcPr>
          <w:p w14:paraId="09CC842A" w14:textId="77777777" w:rsidR="006054AA" w:rsidRDefault="001F7667">
            <w:pPr>
              <w:pStyle w:val="P68B1DB1-Normal11"/>
              <w:spacing w:line="276" w:lineRule="auto"/>
              <w:jc w:val="center"/>
              <w:rPr>
                <w:noProof/>
              </w:rPr>
            </w:pPr>
            <w:r>
              <w:rPr>
                <w:noProof/>
              </w:rPr>
              <w:t>M2C1—17 Негови</w:t>
            </w:r>
          </w:p>
        </w:tc>
        <w:tc>
          <w:tcPr>
            <w:tcW w:w="1598" w:type="dxa"/>
            <w:shd w:val="clear" w:color="auto" w:fill="C6EFCE"/>
            <w:noWrap/>
            <w:vAlign w:val="center"/>
          </w:tcPr>
          <w:p w14:paraId="05F6EB9F" w14:textId="77777777" w:rsidR="006054AA" w:rsidRDefault="001F7667">
            <w:pPr>
              <w:pStyle w:val="P68B1DB1-Normal11"/>
              <w:spacing w:line="276" w:lineRule="auto"/>
              <w:jc w:val="center"/>
              <w:rPr>
                <w:noProof/>
              </w:rPr>
            </w:pPr>
            <w:r>
              <w:rPr>
                <w:noProof/>
              </w:rPr>
              <w:t>Реформа 1.1</w:t>
            </w:r>
          </w:p>
          <w:p w14:paraId="6CB9D441" w14:textId="77777777" w:rsidR="006054AA" w:rsidRDefault="001F7667">
            <w:pPr>
              <w:pStyle w:val="P68B1DB1-Normal11"/>
              <w:spacing w:line="276" w:lineRule="auto"/>
              <w:jc w:val="center"/>
              <w:rPr>
                <w:noProof/>
              </w:rPr>
            </w:pPr>
            <w:r>
              <w:rPr>
                <w:noProof/>
              </w:rPr>
              <w:t>Национална програма за кръгова икономика;</w:t>
            </w:r>
          </w:p>
          <w:p w14:paraId="3010A2DF" w14:textId="77777777" w:rsidR="006054AA" w:rsidRDefault="001F7667">
            <w:pPr>
              <w:pStyle w:val="P68B1DB1-Normal11"/>
              <w:spacing w:line="276" w:lineRule="auto"/>
              <w:jc w:val="center"/>
              <w:rPr>
                <w:noProof/>
              </w:rPr>
            </w:pPr>
            <w:r>
              <w:rPr>
                <w:noProof/>
              </w:rPr>
              <w:t>Инвестиция 1.2 — водещи проекти в областта на кръговата икономика</w:t>
            </w:r>
          </w:p>
        </w:tc>
        <w:tc>
          <w:tcPr>
            <w:tcW w:w="1185" w:type="dxa"/>
            <w:shd w:val="clear" w:color="auto" w:fill="C6EFCE"/>
            <w:noWrap/>
            <w:vAlign w:val="center"/>
          </w:tcPr>
          <w:p w14:paraId="0945162A" w14:textId="77777777" w:rsidR="006054AA" w:rsidRDefault="001F7667">
            <w:pPr>
              <w:pStyle w:val="P68B1DB1-Normal11"/>
              <w:spacing w:line="276" w:lineRule="auto"/>
              <w:jc w:val="center"/>
              <w:rPr>
                <w:noProof/>
              </w:rPr>
            </w:pPr>
            <w:r>
              <w:rPr>
                <w:noProof/>
              </w:rPr>
              <w:t>Ключов етап</w:t>
            </w:r>
          </w:p>
        </w:tc>
        <w:tc>
          <w:tcPr>
            <w:tcW w:w="1732" w:type="dxa"/>
            <w:shd w:val="clear" w:color="auto" w:fill="C6EFCE"/>
            <w:noWrap/>
            <w:vAlign w:val="center"/>
          </w:tcPr>
          <w:p w14:paraId="3A6FF1DF" w14:textId="77777777" w:rsidR="006054AA" w:rsidRDefault="001F7667">
            <w:pPr>
              <w:pStyle w:val="P68B1DB1-Normal11"/>
              <w:spacing w:line="276" w:lineRule="auto"/>
              <w:jc w:val="center"/>
              <w:rPr>
                <w:noProof/>
              </w:rPr>
            </w:pPr>
            <w:r>
              <w:rPr>
                <w:noProof/>
              </w:rPr>
              <w:t>Влизане в сила на разделно събиране на опасни отпадъчни фракции, произведени от домакинства и текстил</w:t>
            </w:r>
          </w:p>
        </w:tc>
        <w:tc>
          <w:tcPr>
            <w:tcW w:w="1603" w:type="dxa"/>
            <w:shd w:val="clear" w:color="auto" w:fill="C6EFCE"/>
            <w:noWrap/>
            <w:vAlign w:val="center"/>
          </w:tcPr>
          <w:p w14:paraId="739EBCB8" w14:textId="77777777" w:rsidR="006054AA" w:rsidRDefault="001F7667">
            <w:pPr>
              <w:pStyle w:val="P68B1DB1-Normal11"/>
              <w:spacing w:line="276" w:lineRule="auto"/>
              <w:jc w:val="center"/>
              <w:rPr>
                <w:noProof/>
              </w:rPr>
            </w:pPr>
            <w:r>
              <w:rPr>
                <w:noProof/>
              </w:rPr>
              <w:t>Законова разпоредба, указваща влизането в сила</w:t>
            </w:r>
          </w:p>
        </w:tc>
        <w:tc>
          <w:tcPr>
            <w:tcW w:w="1275" w:type="dxa"/>
            <w:shd w:val="clear" w:color="auto" w:fill="C6EFCE"/>
            <w:noWrap/>
            <w:vAlign w:val="center"/>
          </w:tcPr>
          <w:p w14:paraId="2BBACE57"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388A9DDF"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38D74BAE" w14:textId="77777777" w:rsidR="006054AA" w:rsidRDefault="001F7667">
            <w:pPr>
              <w:pStyle w:val="P68B1DB1-Normal11"/>
              <w:spacing w:line="276" w:lineRule="auto"/>
              <w:jc w:val="center"/>
              <w:rPr>
                <w:noProof/>
              </w:rPr>
            </w:pPr>
            <w:r>
              <w:rPr>
                <w:noProof/>
              </w:rPr>
              <w:t>НЯМА</w:t>
            </w:r>
          </w:p>
        </w:tc>
        <w:tc>
          <w:tcPr>
            <w:tcW w:w="963" w:type="dxa"/>
            <w:shd w:val="clear" w:color="auto" w:fill="C6EFCE"/>
            <w:noWrap/>
            <w:vAlign w:val="center"/>
          </w:tcPr>
          <w:p w14:paraId="367F199E"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4506A035"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2A3CFAFB" w14:textId="77777777" w:rsidR="006054AA" w:rsidRDefault="001F7667">
            <w:pPr>
              <w:pStyle w:val="P68B1DB1-Normal11"/>
              <w:spacing w:before="60" w:after="120" w:line="276" w:lineRule="auto"/>
              <w:rPr>
                <w:noProof/>
              </w:rPr>
            </w:pPr>
            <w:r>
              <w:rPr>
                <w:noProof/>
              </w:rPr>
              <w:t>Влизане в сила на разделното събиране на опасни отпадъчни фракции, произведени от домакинствата и текстилните изделия, в съответствие с Плана за действие за кръговата икономика.</w:t>
            </w:r>
          </w:p>
        </w:tc>
      </w:tr>
      <w:tr w:rsidR="006054AA" w14:paraId="5BBC14CE" w14:textId="77777777">
        <w:trPr>
          <w:trHeight w:val="313"/>
          <w:jc w:val="center"/>
        </w:trPr>
        <w:tc>
          <w:tcPr>
            <w:tcW w:w="1220" w:type="dxa"/>
            <w:shd w:val="clear" w:color="auto" w:fill="C6EFCE"/>
            <w:noWrap/>
            <w:vAlign w:val="center"/>
          </w:tcPr>
          <w:p w14:paraId="2A718B8A" w14:textId="77777777" w:rsidR="006054AA" w:rsidRDefault="001F7667">
            <w:pPr>
              <w:pStyle w:val="P68B1DB1-Normal11"/>
              <w:spacing w:line="276" w:lineRule="auto"/>
              <w:jc w:val="center"/>
              <w:rPr>
                <w:noProof/>
              </w:rPr>
            </w:pPr>
            <w:r>
              <w:rPr>
                <w:noProof/>
              </w:rPr>
              <w:t>M2C1—18</w:t>
            </w:r>
          </w:p>
        </w:tc>
        <w:tc>
          <w:tcPr>
            <w:tcW w:w="1598" w:type="dxa"/>
            <w:shd w:val="clear" w:color="auto" w:fill="C6EFCE"/>
            <w:noWrap/>
            <w:vAlign w:val="center"/>
          </w:tcPr>
          <w:p w14:paraId="6102FE0E" w14:textId="77777777" w:rsidR="006054AA" w:rsidRDefault="001F7667">
            <w:pPr>
              <w:pStyle w:val="P68B1DB1-Normal11"/>
              <w:spacing w:line="276" w:lineRule="auto"/>
              <w:jc w:val="center"/>
              <w:rPr>
                <w:noProof/>
              </w:rPr>
            </w:pPr>
            <w:r>
              <w:rPr>
                <w:noProof/>
              </w:rPr>
              <w:t>Инвестиция 3.1: Зелени острови</w:t>
            </w:r>
          </w:p>
        </w:tc>
        <w:tc>
          <w:tcPr>
            <w:tcW w:w="1185" w:type="dxa"/>
            <w:shd w:val="clear" w:color="auto" w:fill="C6EFCE"/>
            <w:noWrap/>
            <w:vAlign w:val="center"/>
          </w:tcPr>
          <w:p w14:paraId="4AD94B05" w14:textId="77777777" w:rsidR="006054AA" w:rsidRDefault="001F7667">
            <w:pPr>
              <w:pStyle w:val="P68B1DB1-Normal11"/>
              <w:spacing w:line="276" w:lineRule="auto"/>
              <w:jc w:val="center"/>
              <w:rPr>
                <w:noProof/>
              </w:rPr>
            </w:pPr>
            <w:r>
              <w:rPr>
                <w:noProof/>
              </w:rPr>
              <w:t>Ключов етап</w:t>
            </w:r>
          </w:p>
        </w:tc>
        <w:tc>
          <w:tcPr>
            <w:tcW w:w="1732" w:type="dxa"/>
            <w:shd w:val="clear" w:color="auto" w:fill="C6EFCE"/>
            <w:noWrap/>
            <w:vAlign w:val="center"/>
          </w:tcPr>
          <w:p w14:paraId="0D1FDE94" w14:textId="77777777" w:rsidR="006054AA" w:rsidRDefault="001F7667">
            <w:pPr>
              <w:pStyle w:val="P68B1DB1-Normal11"/>
              <w:spacing w:line="276" w:lineRule="auto"/>
              <w:jc w:val="center"/>
              <w:rPr>
                <w:noProof/>
              </w:rPr>
            </w:pPr>
            <w:r>
              <w:rPr>
                <w:noProof/>
              </w:rPr>
              <w:t>Влизане в сила на постановлението на директора</w:t>
            </w:r>
          </w:p>
        </w:tc>
        <w:tc>
          <w:tcPr>
            <w:tcW w:w="1603" w:type="dxa"/>
            <w:shd w:val="clear" w:color="auto" w:fill="C6EFCE"/>
            <w:noWrap/>
            <w:vAlign w:val="center"/>
          </w:tcPr>
          <w:p w14:paraId="1AAA8C7D" w14:textId="77777777" w:rsidR="006054AA" w:rsidRDefault="001F7667">
            <w:pPr>
              <w:pStyle w:val="P68B1DB1-Normal11"/>
              <w:spacing w:line="276" w:lineRule="auto"/>
              <w:jc w:val="center"/>
              <w:rPr>
                <w:noProof/>
              </w:rPr>
            </w:pPr>
            <w:r>
              <w:rPr>
                <w:noProof/>
              </w:rPr>
              <w:t>Разпоредба в постановлението, указваща влизането в сила на закона</w:t>
            </w:r>
          </w:p>
        </w:tc>
        <w:tc>
          <w:tcPr>
            <w:tcW w:w="1275" w:type="dxa"/>
            <w:shd w:val="clear" w:color="auto" w:fill="C6EFCE"/>
            <w:noWrap/>
            <w:vAlign w:val="center"/>
          </w:tcPr>
          <w:p w14:paraId="1BDC5E25"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701476E6"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5C223E01" w14:textId="77777777" w:rsidR="006054AA" w:rsidRDefault="001F7667">
            <w:pPr>
              <w:pStyle w:val="P68B1DB1-Normal11"/>
              <w:spacing w:line="276" w:lineRule="auto"/>
              <w:jc w:val="center"/>
              <w:rPr>
                <w:noProof/>
              </w:rPr>
            </w:pPr>
            <w:r>
              <w:rPr>
                <w:noProof/>
              </w:rPr>
              <w:t>НЯМА</w:t>
            </w:r>
          </w:p>
        </w:tc>
        <w:tc>
          <w:tcPr>
            <w:tcW w:w="963" w:type="dxa"/>
            <w:shd w:val="clear" w:color="auto" w:fill="C6EFCE"/>
            <w:noWrap/>
            <w:vAlign w:val="center"/>
          </w:tcPr>
          <w:p w14:paraId="28B18E4C" w14:textId="77777777" w:rsidR="006054AA" w:rsidRDefault="001F7667">
            <w:pPr>
              <w:pStyle w:val="P68B1DB1-Normal11"/>
              <w:spacing w:line="276" w:lineRule="auto"/>
              <w:jc w:val="center"/>
              <w:rPr>
                <w:noProof/>
              </w:rPr>
            </w:pPr>
            <w:r>
              <w:rPr>
                <w:noProof/>
              </w:rPr>
              <w:t>Т3 Г.</w:t>
            </w:r>
          </w:p>
        </w:tc>
        <w:tc>
          <w:tcPr>
            <w:tcW w:w="710" w:type="dxa"/>
            <w:shd w:val="clear" w:color="auto" w:fill="C6EFCE"/>
            <w:noWrap/>
            <w:vAlign w:val="center"/>
          </w:tcPr>
          <w:p w14:paraId="3EACBC98" w14:textId="77777777" w:rsidR="006054AA" w:rsidRDefault="001F7667">
            <w:pPr>
              <w:pStyle w:val="P68B1DB1-Normal11"/>
              <w:spacing w:line="276" w:lineRule="auto"/>
              <w:rPr>
                <w:noProof/>
              </w:rPr>
            </w:pPr>
            <w:r>
              <w:rPr>
                <w:noProof/>
              </w:rPr>
              <w:t>2022</w:t>
            </w:r>
          </w:p>
        </w:tc>
        <w:tc>
          <w:tcPr>
            <w:tcW w:w="3174" w:type="dxa"/>
            <w:shd w:val="clear" w:color="auto" w:fill="C6EFCE"/>
            <w:noWrap/>
            <w:vAlign w:val="center"/>
          </w:tcPr>
          <w:p w14:paraId="438B5084" w14:textId="0ED741F9" w:rsidR="006054AA" w:rsidRDefault="001F7667">
            <w:pPr>
              <w:pStyle w:val="P68B1DB1-Normal11"/>
              <w:spacing w:before="120" w:after="120" w:line="276" w:lineRule="auto"/>
              <w:rPr>
                <w:noProof/>
              </w:rPr>
            </w:pPr>
            <w:r>
              <w:rPr>
                <w:noProof/>
              </w:rPr>
              <w:t>С постановлението на директора се одобрява класирането на проектите, свързани с резултатите от публичното обявление. Процедурата за подбор включва следното:</w:t>
            </w:r>
          </w:p>
          <w:p w14:paraId="529CA700" w14:textId="0DA48411" w:rsidR="006054AA" w:rsidRDefault="001F7667">
            <w:pPr>
              <w:pStyle w:val="P68B1DB1-Normal11"/>
              <w:spacing w:before="120" w:after="120" w:line="276" w:lineRule="auto"/>
              <w:rPr>
                <w:noProof/>
              </w:rPr>
            </w:pPr>
            <w:r>
              <w:rPr>
                <w:noProof/>
              </w:rPr>
              <w:t>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съответствие със съответното законодателство на ЕС и национално законодателство в областта на околната среда.</w:t>
            </w:r>
          </w:p>
          <w:p w14:paraId="77F87401" w14:textId="340651FE" w:rsidR="006054AA" w:rsidRDefault="001F7667">
            <w:pPr>
              <w:pStyle w:val="P68B1DB1-Normal11"/>
              <w:spacing w:line="276" w:lineRule="auto"/>
              <w:rPr>
                <w:noProof/>
              </w:rPr>
            </w:pPr>
            <w:r>
              <w:rPr>
                <w:noProof/>
              </w:rPr>
              <w:t>ангажимент, че приносът на инвестицията в областта на климата съгласно методиката в приложение VI към Регламент (ЕС) 2021/241 трябва да представлява най-малко 37 % от общите разходи за инвестицията, подкрепена от МВУ.</w:t>
            </w:r>
          </w:p>
          <w:p w14:paraId="11872F5F" w14:textId="77777777" w:rsidR="006054AA" w:rsidRDefault="001F7667">
            <w:pPr>
              <w:pStyle w:val="P68B1DB1-Normal11"/>
              <w:spacing w:before="120" w:after="120" w:line="276" w:lineRule="auto"/>
              <w:rPr>
                <w:noProof/>
              </w:rPr>
            </w:pPr>
            <w:r>
              <w:rPr>
                <w:noProof/>
              </w:rPr>
              <w:t>ангажимент за докладване относно изпълнението на мярката в средата на жизнения цикъл на схемата и края на схемата.</w:t>
            </w:r>
          </w:p>
          <w:p w14:paraId="0A30FD4C" w14:textId="77777777" w:rsidR="006054AA" w:rsidRDefault="001F7667">
            <w:pPr>
              <w:pStyle w:val="P68B1DB1-Normal11"/>
              <w:spacing w:before="120" w:after="120" w:line="276" w:lineRule="auto"/>
              <w:rPr>
                <w:noProof/>
              </w:rPr>
            </w:pPr>
            <w:r>
              <w:rPr>
                <w:noProof/>
              </w:rPr>
              <w:t>Възможните области на намеса са:</w:t>
            </w:r>
          </w:p>
          <w:p w14:paraId="1471FF6A" w14:textId="77777777" w:rsidR="006054AA" w:rsidRDefault="001F7667">
            <w:pPr>
              <w:pStyle w:val="P68B1DB1-Normal11"/>
              <w:numPr>
                <w:ilvl w:val="0"/>
                <w:numId w:val="60"/>
              </w:numPr>
              <w:spacing w:before="120" w:line="276" w:lineRule="auto"/>
              <w:ind w:left="341"/>
              <w:contextualSpacing/>
              <w:rPr>
                <w:noProof/>
              </w:rPr>
            </w:pPr>
            <w:r>
              <w:rPr>
                <w:noProof/>
              </w:rPr>
              <w:t>интегрираното и сертифицирано управление на агро-лесовъдното наследство („също и чрез обмен на кредити, произтичащи от улавянето на въглероден диоксид, управлението на биологичното разнообразие и сертифицирането на веригата за доставки на дървесина“);</w:t>
            </w:r>
          </w:p>
          <w:p w14:paraId="74603ED3" w14:textId="77777777" w:rsidR="006054AA" w:rsidRDefault="001F7667">
            <w:pPr>
              <w:pStyle w:val="P68B1DB1-Normal11"/>
              <w:numPr>
                <w:ilvl w:val="0"/>
                <w:numId w:val="60"/>
              </w:numPr>
              <w:spacing w:before="120" w:line="276" w:lineRule="auto"/>
              <w:ind w:left="341"/>
              <w:contextualSpacing/>
              <w:rPr>
                <w:noProof/>
              </w:rPr>
            </w:pPr>
            <w:r>
              <w:rPr>
                <w:noProof/>
              </w:rPr>
              <w:t>интегрираното и сертифицирано управление на водните ресурси;</w:t>
            </w:r>
          </w:p>
          <w:p w14:paraId="2B572322" w14:textId="77777777" w:rsidR="006054AA" w:rsidRDefault="001F7667">
            <w:pPr>
              <w:pStyle w:val="P68B1DB1-Normal11"/>
              <w:numPr>
                <w:ilvl w:val="0"/>
                <w:numId w:val="60"/>
              </w:numPr>
              <w:spacing w:before="120" w:line="276" w:lineRule="auto"/>
              <w:ind w:left="341"/>
              <w:contextualSpacing/>
              <w:rPr>
                <w:noProof/>
              </w:rPr>
            </w:pPr>
            <w:r>
              <w:rPr>
                <w:noProof/>
              </w:rPr>
              <w:t>производството на енергия от местни възобновяеми източници, като например микро водноелектрически централи, биомаса, биогаз, вятърна енергия, комбинирано производство на енергия и биометан;</w:t>
            </w:r>
          </w:p>
          <w:p w14:paraId="48EB9A34" w14:textId="77777777" w:rsidR="006054AA" w:rsidRDefault="001F7667">
            <w:pPr>
              <w:pStyle w:val="P68B1DB1-Normal11"/>
              <w:numPr>
                <w:ilvl w:val="0"/>
                <w:numId w:val="60"/>
              </w:numPr>
              <w:spacing w:before="120" w:line="276" w:lineRule="auto"/>
              <w:ind w:left="341"/>
              <w:contextualSpacing/>
              <w:rPr>
                <w:noProof/>
              </w:rPr>
            </w:pPr>
            <w:r>
              <w:rPr>
                <w:noProof/>
              </w:rPr>
              <w:t>развитието на устойчив туризъм („способност за подобряване на местните продукти“);</w:t>
            </w:r>
          </w:p>
          <w:p w14:paraId="1187A857" w14:textId="77777777" w:rsidR="006054AA" w:rsidRDefault="001F7667">
            <w:pPr>
              <w:pStyle w:val="P68B1DB1-Normal11"/>
              <w:numPr>
                <w:ilvl w:val="0"/>
                <w:numId w:val="60"/>
              </w:numPr>
              <w:spacing w:before="120" w:line="276" w:lineRule="auto"/>
              <w:ind w:left="341"/>
              <w:contextualSpacing/>
              <w:rPr>
                <w:noProof/>
              </w:rPr>
            </w:pPr>
            <w:r>
              <w:rPr>
                <w:noProof/>
              </w:rPr>
              <w:t>изграждането и устойчивото управление на сградния фонд и инфраструктурата на една модерна планина;</w:t>
            </w:r>
          </w:p>
          <w:p w14:paraId="1C51D737" w14:textId="77777777" w:rsidR="006054AA" w:rsidRDefault="001F7667">
            <w:pPr>
              <w:pStyle w:val="P68B1DB1-Normal11"/>
              <w:numPr>
                <w:ilvl w:val="0"/>
                <w:numId w:val="60"/>
              </w:numPr>
              <w:spacing w:before="120" w:line="276" w:lineRule="auto"/>
              <w:ind w:left="341"/>
              <w:contextualSpacing/>
              <w:rPr>
                <w:noProof/>
              </w:rPr>
            </w:pPr>
            <w:r>
              <w:rPr>
                <w:noProof/>
              </w:rPr>
              <w:t>енергийна ефективност и интелигентно интегриране на инсталации и мрежи;</w:t>
            </w:r>
          </w:p>
          <w:p w14:paraId="0ABA2902" w14:textId="77777777" w:rsidR="006054AA" w:rsidRDefault="001F7667">
            <w:pPr>
              <w:pStyle w:val="P68B1DB1-Normal11"/>
              <w:numPr>
                <w:ilvl w:val="0"/>
                <w:numId w:val="60"/>
              </w:numPr>
              <w:spacing w:before="120" w:line="276" w:lineRule="auto"/>
              <w:ind w:left="341"/>
              <w:contextualSpacing/>
              <w:rPr>
                <w:noProof/>
              </w:rPr>
            </w:pPr>
            <w:r>
              <w:rPr>
                <w:noProof/>
              </w:rPr>
              <w:t>устойчивото развитие на производствените дейности (производство с нулеви отпадъци);</w:t>
            </w:r>
          </w:p>
          <w:p w14:paraId="22C3E4E8" w14:textId="77777777" w:rsidR="006054AA" w:rsidRDefault="001F7667">
            <w:pPr>
              <w:pStyle w:val="P68B1DB1-Normal11"/>
              <w:numPr>
                <w:ilvl w:val="0"/>
                <w:numId w:val="60"/>
              </w:numPr>
              <w:spacing w:before="120" w:line="276" w:lineRule="auto"/>
              <w:ind w:left="341"/>
              <w:contextualSpacing/>
              <w:rPr>
                <w:noProof/>
              </w:rPr>
            </w:pPr>
            <w:r>
              <w:rPr>
                <w:noProof/>
              </w:rPr>
              <w:t>интегриране на услугите за мобилност;</w:t>
            </w:r>
          </w:p>
          <w:p w14:paraId="50314E14" w14:textId="77777777" w:rsidR="006054AA" w:rsidRDefault="001F7667">
            <w:pPr>
              <w:pStyle w:val="P68B1DB1-Normal11"/>
              <w:numPr>
                <w:ilvl w:val="0"/>
                <w:numId w:val="60"/>
              </w:numPr>
              <w:spacing w:before="120" w:line="276" w:lineRule="auto"/>
              <w:ind w:left="341"/>
              <w:contextualSpacing/>
              <w:rPr>
                <w:noProof/>
              </w:rPr>
            </w:pPr>
            <w:r>
              <w:rPr>
                <w:noProof/>
              </w:rPr>
              <w:t>— разработване на устойчив селскостопански модел („който също така е независим от производството и използването на енергия от възобновяеми източници в секторите на електротехниката, топлинната енергия и транспорта“).</w:t>
            </w:r>
          </w:p>
          <w:p w14:paraId="0E8D3F25" w14:textId="77777777" w:rsidR="006054AA" w:rsidRDefault="001F7667">
            <w:pPr>
              <w:pStyle w:val="P68B1DB1-Normal11"/>
              <w:spacing w:before="120" w:after="120" w:line="276" w:lineRule="auto"/>
              <w:rPr>
                <w:noProof/>
              </w:rPr>
            </w:pPr>
            <w:r>
              <w:rPr>
                <w:noProof/>
              </w:rPr>
              <w:t>Биометанът отговаря на критериите за устойчивост и за намаление на емисиите на парникови газове, определени в членове 29—31, и на правилата относно биогоривата на основата на храни и фуражи, посочени в член 26 от Директива (ЕС) 2018/2001 за енергията от възобновяеми източници (REDII), както и на свързаните актове за изпълнение и делегирани актове, за да може мярката да отговаря на принципа за ненанасяне на значителни вреди и на съответните изисквания на бележка под линия 8 от приложение VI към Регламент (ЕС) 2021/241.</w:t>
            </w:r>
          </w:p>
        </w:tc>
      </w:tr>
      <w:tr w:rsidR="006054AA" w14:paraId="789B513A" w14:textId="77777777">
        <w:trPr>
          <w:trHeight w:val="313"/>
          <w:jc w:val="center"/>
        </w:trPr>
        <w:tc>
          <w:tcPr>
            <w:tcW w:w="1220" w:type="dxa"/>
            <w:shd w:val="clear" w:color="auto" w:fill="C6EFCE"/>
            <w:noWrap/>
            <w:vAlign w:val="center"/>
          </w:tcPr>
          <w:p w14:paraId="5976FCAC" w14:textId="77777777" w:rsidR="006054AA" w:rsidRDefault="001F7667">
            <w:pPr>
              <w:pStyle w:val="P68B1DB1-Normal11"/>
              <w:spacing w:line="276" w:lineRule="auto"/>
              <w:jc w:val="center"/>
              <w:rPr>
                <w:noProof/>
              </w:rPr>
            </w:pPr>
            <w:r>
              <w:rPr>
                <w:noProof/>
              </w:rPr>
              <w:t>M2C1—19</w:t>
            </w:r>
          </w:p>
        </w:tc>
        <w:tc>
          <w:tcPr>
            <w:tcW w:w="1598" w:type="dxa"/>
            <w:shd w:val="clear" w:color="auto" w:fill="C6EFCE"/>
            <w:noWrap/>
            <w:vAlign w:val="center"/>
          </w:tcPr>
          <w:p w14:paraId="44C84A85" w14:textId="77777777" w:rsidR="006054AA" w:rsidRDefault="001F7667">
            <w:pPr>
              <w:pStyle w:val="P68B1DB1-Normal11"/>
              <w:spacing w:line="276" w:lineRule="auto"/>
              <w:jc w:val="center"/>
              <w:rPr>
                <w:noProof/>
              </w:rPr>
            </w:pPr>
            <w:r>
              <w:rPr>
                <w:noProof/>
              </w:rPr>
              <w:t>Инвестиция 3.1: Зелени острови</w:t>
            </w:r>
          </w:p>
        </w:tc>
        <w:tc>
          <w:tcPr>
            <w:tcW w:w="1185" w:type="dxa"/>
            <w:shd w:val="clear" w:color="auto" w:fill="C6EFCE"/>
            <w:noWrap/>
            <w:vAlign w:val="center"/>
          </w:tcPr>
          <w:p w14:paraId="52DFA9B4"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697E52FA" w14:textId="77777777" w:rsidR="006054AA" w:rsidRDefault="001F7667">
            <w:pPr>
              <w:pStyle w:val="P68B1DB1-Normal11"/>
              <w:spacing w:line="276" w:lineRule="auto"/>
              <w:jc w:val="center"/>
              <w:rPr>
                <w:noProof/>
              </w:rPr>
            </w:pPr>
            <w:r>
              <w:rPr>
                <w:noProof/>
              </w:rPr>
              <w:t>Изпълнение на интегрирани проекти на малки острови</w:t>
            </w:r>
          </w:p>
        </w:tc>
        <w:tc>
          <w:tcPr>
            <w:tcW w:w="1603" w:type="dxa"/>
            <w:shd w:val="clear" w:color="auto" w:fill="C6EFCE"/>
            <w:noWrap/>
            <w:vAlign w:val="center"/>
          </w:tcPr>
          <w:p w14:paraId="2E4232F0"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3CA8ED2A" w14:textId="77777777" w:rsidR="006054AA" w:rsidRDefault="001F7667">
            <w:pPr>
              <w:pStyle w:val="P68B1DB1-Normal11"/>
              <w:spacing w:line="276" w:lineRule="auto"/>
              <w:jc w:val="center"/>
              <w:rPr>
                <w:noProof/>
              </w:rPr>
            </w:pPr>
            <w:r>
              <w:rPr>
                <w:noProof/>
              </w:rPr>
              <w:t>Брой малки острови</w:t>
            </w:r>
          </w:p>
        </w:tc>
        <w:tc>
          <w:tcPr>
            <w:tcW w:w="993" w:type="dxa"/>
            <w:shd w:val="clear" w:color="auto" w:fill="C6EFCE"/>
            <w:noWrap/>
            <w:vAlign w:val="center"/>
          </w:tcPr>
          <w:p w14:paraId="379F4524" w14:textId="77777777" w:rsidR="006054AA" w:rsidRDefault="001F7667">
            <w:pPr>
              <w:pStyle w:val="P68B1DB1-Normal11"/>
              <w:spacing w:line="276" w:lineRule="auto"/>
              <w:jc w:val="center"/>
              <w:rPr>
                <w:noProof/>
              </w:rPr>
            </w:pPr>
            <w:r>
              <w:rPr>
                <w:noProof/>
              </w:rPr>
              <w:t>0</w:t>
            </w:r>
          </w:p>
        </w:tc>
        <w:tc>
          <w:tcPr>
            <w:tcW w:w="1162" w:type="dxa"/>
            <w:shd w:val="clear" w:color="auto" w:fill="C6EFCE"/>
            <w:noWrap/>
            <w:vAlign w:val="center"/>
          </w:tcPr>
          <w:p w14:paraId="742C4A98" w14:textId="77777777" w:rsidR="006054AA" w:rsidRDefault="001F7667">
            <w:pPr>
              <w:pStyle w:val="P68B1DB1-Normal11"/>
              <w:spacing w:line="276" w:lineRule="auto"/>
              <w:jc w:val="center"/>
              <w:rPr>
                <w:noProof/>
              </w:rPr>
            </w:pPr>
            <w:r>
              <w:rPr>
                <w:noProof/>
              </w:rPr>
              <w:t>19</w:t>
            </w:r>
          </w:p>
        </w:tc>
        <w:tc>
          <w:tcPr>
            <w:tcW w:w="963" w:type="dxa"/>
            <w:shd w:val="clear" w:color="auto" w:fill="C6EFCE"/>
            <w:noWrap/>
            <w:vAlign w:val="center"/>
          </w:tcPr>
          <w:p w14:paraId="6236A539" w14:textId="77777777" w:rsidR="006054AA" w:rsidRDefault="001F7667">
            <w:pPr>
              <w:pStyle w:val="P68B1DB1-Normal11"/>
              <w:spacing w:line="276" w:lineRule="auto"/>
              <w:jc w:val="center"/>
              <w:rPr>
                <w:noProof/>
              </w:rPr>
            </w:pPr>
            <w:r>
              <w:rPr>
                <w:noProof/>
              </w:rPr>
              <w:t>Т2 Г.</w:t>
            </w:r>
          </w:p>
        </w:tc>
        <w:tc>
          <w:tcPr>
            <w:tcW w:w="710" w:type="dxa"/>
            <w:shd w:val="clear" w:color="auto" w:fill="C6EFCE"/>
            <w:noWrap/>
            <w:vAlign w:val="center"/>
          </w:tcPr>
          <w:p w14:paraId="656D6D39" w14:textId="77777777" w:rsidR="006054AA" w:rsidRDefault="001F7667">
            <w:pPr>
              <w:pStyle w:val="P68B1DB1-Normal11"/>
              <w:spacing w:line="276" w:lineRule="auto"/>
              <w:rPr>
                <w:noProof/>
              </w:rPr>
            </w:pPr>
            <w:r>
              <w:rPr>
                <w:noProof/>
              </w:rPr>
              <w:t>2026</w:t>
            </w:r>
          </w:p>
        </w:tc>
        <w:tc>
          <w:tcPr>
            <w:tcW w:w="3174" w:type="dxa"/>
            <w:shd w:val="clear" w:color="auto" w:fill="C6EFCE"/>
            <w:noWrap/>
            <w:vAlign w:val="center"/>
          </w:tcPr>
          <w:p w14:paraId="320404AA" w14:textId="77777777" w:rsidR="006054AA" w:rsidRDefault="001F7667">
            <w:pPr>
              <w:pStyle w:val="P68B1DB1-Normal11"/>
              <w:spacing w:before="120" w:after="120" w:line="276" w:lineRule="auto"/>
              <w:rPr>
                <w:noProof/>
              </w:rPr>
            </w:pPr>
            <w:r>
              <w:rPr>
                <w:noProof/>
              </w:rPr>
              <w:t>Най-малко 19 малки острова, които изпълняват завършени интегрирани проекти, включващи най-малко три различни вида интервенции.</w:t>
            </w:r>
          </w:p>
          <w:p w14:paraId="5F33C93E" w14:textId="77777777" w:rsidR="006054AA" w:rsidRDefault="001F7667">
            <w:pPr>
              <w:pStyle w:val="P68B1DB1-Normal11"/>
              <w:spacing w:before="120" w:after="120" w:line="276" w:lineRule="auto"/>
              <w:rPr>
                <w:noProof/>
              </w:rPr>
            </w:pPr>
            <w:r>
              <w:rPr>
                <w:noProof/>
              </w:rPr>
              <w:t>Като цяло приносът на инвестицията в областта на климата съгласно методиката в приложение VI към Регламент (ЕС) 2021/241 представлява най-малко 37 % от общите разходи за инвестицията, подкрепена от МВУ.</w:t>
            </w:r>
          </w:p>
          <w:p w14:paraId="60BC4768" w14:textId="77777777" w:rsidR="006054AA" w:rsidRDefault="001F7667">
            <w:pPr>
              <w:pStyle w:val="P68B1DB1-Normal11"/>
              <w:spacing w:before="120" w:after="120" w:line="276" w:lineRule="auto"/>
              <w:rPr>
                <w:noProof/>
              </w:rPr>
            </w:pPr>
            <w:r>
              <w:rPr>
                <w:noProof/>
              </w:rPr>
              <w:t>Допустимите интервенции за финансиране са:</w:t>
            </w:r>
          </w:p>
          <w:p w14:paraId="320C5299" w14:textId="77777777" w:rsidR="006054AA" w:rsidRDefault="001F7667">
            <w:pPr>
              <w:pStyle w:val="P68B1DB1-Normal11"/>
              <w:numPr>
                <w:ilvl w:val="0"/>
                <w:numId w:val="61"/>
              </w:numPr>
              <w:spacing w:before="120" w:line="276" w:lineRule="auto"/>
              <w:ind w:left="29" w:hanging="142"/>
              <w:contextualSpacing/>
              <w:rPr>
                <w:noProof/>
              </w:rPr>
            </w:pPr>
            <w:r>
              <w:rPr>
                <w:noProof/>
              </w:rPr>
              <w:t>интервенции в областта на енергийната ефективност;</w:t>
            </w:r>
          </w:p>
          <w:p w14:paraId="1DC98E0D" w14:textId="77777777" w:rsidR="006054AA" w:rsidRDefault="001F7667">
            <w:pPr>
              <w:pStyle w:val="P68B1DB1-Normal11"/>
              <w:numPr>
                <w:ilvl w:val="0"/>
                <w:numId w:val="61"/>
              </w:numPr>
              <w:spacing w:before="120" w:line="276" w:lineRule="auto"/>
              <w:ind w:left="29" w:hanging="142"/>
              <w:contextualSpacing/>
              <w:rPr>
                <w:noProof/>
              </w:rPr>
            </w:pPr>
            <w:r>
              <w:rPr>
                <w:noProof/>
              </w:rPr>
              <w:t>разработване и/или модернизиране на услуги и инфраструктури за колективна мобилност; автобуси и лодки, задвижвани с електричество; приюти за услуги на обществения транспорт; съвместно ползване на автомобили, велосипеди, скутери;</w:t>
            </w:r>
          </w:p>
          <w:p w14:paraId="585B53BA" w14:textId="77777777" w:rsidR="006054AA" w:rsidRDefault="001F7667">
            <w:pPr>
              <w:pStyle w:val="P68B1DB1-Normal11"/>
              <w:numPr>
                <w:ilvl w:val="0"/>
                <w:numId w:val="61"/>
              </w:numPr>
              <w:spacing w:before="120" w:line="276" w:lineRule="auto"/>
              <w:ind w:left="29" w:hanging="142"/>
              <w:contextualSpacing/>
              <w:rPr>
                <w:noProof/>
              </w:rPr>
            </w:pPr>
            <w:r>
              <w:rPr>
                <w:noProof/>
              </w:rPr>
              <w:t>изграждане и/или адаптиране на велосипедни маршрути, изграждане на заслони;</w:t>
            </w:r>
          </w:p>
          <w:p w14:paraId="42A7D997" w14:textId="77777777" w:rsidR="006054AA" w:rsidRDefault="001F7667">
            <w:pPr>
              <w:pStyle w:val="P68B1DB1-Normal11"/>
              <w:numPr>
                <w:ilvl w:val="0"/>
                <w:numId w:val="61"/>
              </w:numPr>
              <w:spacing w:before="120" w:line="276" w:lineRule="auto"/>
              <w:ind w:left="29" w:hanging="142"/>
              <w:contextualSpacing/>
              <w:rPr>
                <w:noProof/>
              </w:rPr>
            </w:pPr>
            <w:r>
              <w:rPr>
                <w:noProof/>
              </w:rPr>
              <w:t>ефективно разделно събиране с укрепване на системите за събиране;</w:t>
            </w:r>
          </w:p>
          <w:p w14:paraId="3C535996" w14:textId="77777777" w:rsidR="006054AA" w:rsidRDefault="001F7667">
            <w:pPr>
              <w:pStyle w:val="P68B1DB1-Normal11"/>
              <w:numPr>
                <w:ilvl w:val="0"/>
                <w:numId w:val="61"/>
              </w:numPr>
              <w:spacing w:before="120" w:line="276" w:lineRule="auto"/>
              <w:ind w:left="29" w:hanging="142"/>
              <w:contextualSpacing/>
              <w:rPr>
                <w:noProof/>
              </w:rPr>
            </w:pPr>
            <w:r>
              <w:rPr>
                <w:noProof/>
              </w:rPr>
              <w:t>изграждане/модернизация на екологични острови със свързан с тях център за повторна употреба;</w:t>
            </w:r>
          </w:p>
          <w:p w14:paraId="64A0A043" w14:textId="77777777" w:rsidR="006054AA" w:rsidRDefault="001F7667">
            <w:pPr>
              <w:pStyle w:val="P68B1DB1-Normal11"/>
              <w:numPr>
                <w:ilvl w:val="0"/>
                <w:numId w:val="61"/>
              </w:numPr>
              <w:spacing w:before="120" w:line="276" w:lineRule="auto"/>
              <w:ind w:left="29" w:hanging="142"/>
              <w:contextualSpacing/>
              <w:rPr>
                <w:noProof/>
              </w:rPr>
            </w:pPr>
            <w:r>
              <w:rPr>
                <w:noProof/>
              </w:rPr>
              <w:t>системи за обезсоляване;</w:t>
            </w:r>
          </w:p>
          <w:p w14:paraId="01312334" w14:textId="77777777" w:rsidR="006054AA" w:rsidRDefault="001F7667">
            <w:pPr>
              <w:pStyle w:val="P68B1DB1-Normal11"/>
              <w:numPr>
                <w:ilvl w:val="0"/>
                <w:numId w:val="61"/>
              </w:numPr>
              <w:spacing w:before="120" w:line="276" w:lineRule="auto"/>
              <w:ind w:left="29" w:hanging="142"/>
              <w:contextualSpacing/>
              <w:rPr>
                <w:noProof/>
              </w:rPr>
            </w:pPr>
            <w:r>
              <w:rPr>
                <w:noProof/>
              </w:rPr>
              <w:t>централи за производство на електроенергия от възобновяеми източници, включително фотоволтаична енергия, вятърна енергия от разположени в морето инсталации и морска енергия от възобновяеми източници, като енергия от вълните или от приливите и отливите;</w:t>
            </w:r>
          </w:p>
          <w:p w14:paraId="552034D7" w14:textId="77777777" w:rsidR="006054AA" w:rsidRDefault="001F7667">
            <w:pPr>
              <w:pStyle w:val="P68B1DB1-Normal11"/>
              <w:numPr>
                <w:ilvl w:val="0"/>
                <w:numId w:val="61"/>
              </w:numPr>
              <w:spacing w:before="120" w:line="276" w:lineRule="auto"/>
              <w:ind w:left="29" w:hanging="142"/>
              <w:contextualSpacing/>
              <w:rPr>
                <w:noProof/>
              </w:rPr>
            </w:pPr>
            <w:r>
              <w:rPr>
                <w:noProof/>
              </w:rPr>
              <w:t>мерки за енергийна ефективност, насочени към намаляване на търсенето на електроенергия;</w:t>
            </w:r>
          </w:p>
          <w:p w14:paraId="4F9809BA" w14:textId="77777777" w:rsidR="006054AA" w:rsidRDefault="001F7667">
            <w:pPr>
              <w:pStyle w:val="P68B1DB1-Normal11"/>
              <w:numPr>
                <w:ilvl w:val="0"/>
                <w:numId w:val="61"/>
              </w:numPr>
              <w:spacing w:before="120" w:line="276" w:lineRule="auto"/>
              <w:ind w:left="29" w:hanging="142"/>
              <w:contextualSpacing/>
              <w:rPr>
                <w:noProof/>
              </w:rPr>
            </w:pPr>
            <w:r>
              <w:rPr>
                <w:noProof/>
              </w:rPr>
              <w:t>интервенции относно електроенергийната мрежа и свързаните с нея инфраструктури: устройства за съхранение, интегриране на електроенергийната система с водната система на острова, интелигентни мрежи, иновативни системи за енергийно управление и мониторинг.</w:t>
            </w:r>
          </w:p>
          <w:p w14:paraId="16B9FFE9" w14:textId="77777777" w:rsidR="006054AA" w:rsidRDefault="006054AA">
            <w:pPr>
              <w:spacing w:line="276" w:lineRule="auto"/>
              <w:rPr>
                <w:rFonts w:ascii="Arial Narrow" w:hAnsi="Arial Narrow"/>
                <w:noProof/>
                <w:color w:val="006100"/>
                <w:sz w:val="20"/>
              </w:rPr>
            </w:pPr>
          </w:p>
        </w:tc>
      </w:tr>
      <w:tr w:rsidR="006054AA" w14:paraId="2772E720" w14:textId="77777777">
        <w:trPr>
          <w:trHeight w:val="313"/>
          <w:jc w:val="center"/>
        </w:trPr>
        <w:tc>
          <w:tcPr>
            <w:tcW w:w="1220" w:type="dxa"/>
            <w:shd w:val="clear" w:color="auto" w:fill="C6EFCE"/>
            <w:noWrap/>
            <w:vAlign w:val="center"/>
          </w:tcPr>
          <w:p w14:paraId="79881820" w14:textId="77777777" w:rsidR="006054AA" w:rsidRDefault="001F7667">
            <w:pPr>
              <w:pStyle w:val="P68B1DB1-Normal11"/>
              <w:spacing w:line="276" w:lineRule="auto"/>
              <w:jc w:val="center"/>
              <w:rPr>
                <w:noProof/>
              </w:rPr>
            </w:pPr>
            <w:r>
              <w:rPr>
                <w:noProof/>
              </w:rPr>
              <w:t>M2C1—20</w:t>
            </w:r>
          </w:p>
        </w:tc>
        <w:tc>
          <w:tcPr>
            <w:tcW w:w="1598" w:type="dxa"/>
            <w:shd w:val="clear" w:color="auto" w:fill="C6EFCE"/>
            <w:noWrap/>
            <w:vAlign w:val="center"/>
          </w:tcPr>
          <w:p w14:paraId="75127FC7" w14:textId="77777777" w:rsidR="006054AA" w:rsidRDefault="001F7667">
            <w:pPr>
              <w:pStyle w:val="P68B1DB1-Normal11"/>
              <w:spacing w:line="276" w:lineRule="auto"/>
              <w:jc w:val="center"/>
              <w:rPr>
                <w:noProof/>
              </w:rPr>
            </w:pPr>
            <w:r>
              <w:rPr>
                <w:noProof/>
              </w:rPr>
              <w:t>Инвестиция 3.2: Зелени общности</w:t>
            </w:r>
          </w:p>
        </w:tc>
        <w:tc>
          <w:tcPr>
            <w:tcW w:w="1185" w:type="dxa"/>
            <w:shd w:val="clear" w:color="auto" w:fill="C6EFCE"/>
            <w:noWrap/>
            <w:vAlign w:val="center"/>
          </w:tcPr>
          <w:p w14:paraId="61BCF4BF" w14:textId="77777777" w:rsidR="006054AA" w:rsidRDefault="001F7667">
            <w:pPr>
              <w:pStyle w:val="P68B1DB1-Normal11"/>
              <w:spacing w:line="276" w:lineRule="auto"/>
              <w:jc w:val="center"/>
              <w:rPr>
                <w:noProof/>
              </w:rPr>
            </w:pPr>
            <w:r>
              <w:rPr>
                <w:noProof/>
              </w:rPr>
              <w:t>Ключов етап</w:t>
            </w:r>
          </w:p>
        </w:tc>
        <w:tc>
          <w:tcPr>
            <w:tcW w:w="1732" w:type="dxa"/>
            <w:shd w:val="clear" w:color="auto" w:fill="C6EFCE"/>
            <w:noWrap/>
            <w:vAlign w:val="center"/>
          </w:tcPr>
          <w:p w14:paraId="29061C2E" w14:textId="77777777" w:rsidR="006054AA" w:rsidRDefault="001F7667">
            <w:pPr>
              <w:pStyle w:val="P68B1DB1-Normal11"/>
              <w:spacing w:line="276" w:lineRule="auto"/>
              <w:jc w:val="center"/>
              <w:rPr>
                <w:noProof/>
              </w:rPr>
            </w:pPr>
            <w:r>
              <w:rPr>
                <w:noProof/>
              </w:rPr>
              <w:t>Възлагане на (всички) обществени поръчки за подбор на зелени общности</w:t>
            </w:r>
          </w:p>
        </w:tc>
        <w:tc>
          <w:tcPr>
            <w:tcW w:w="1603" w:type="dxa"/>
            <w:shd w:val="clear" w:color="auto" w:fill="C6EFCE"/>
            <w:noWrap/>
            <w:vAlign w:val="center"/>
          </w:tcPr>
          <w:p w14:paraId="6A73CD8D" w14:textId="77777777" w:rsidR="006054AA" w:rsidRDefault="001F7667">
            <w:pPr>
              <w:pStyle w:val="P68B1DB1-Normal11"/>
              <w:spacing w:line="276" w:lineRule="auto"/>
              <w:jc w:val="center"/>
              <w:rPr>
                <w:noProof/>
              </w:rPr>
            </w:pPr>
            <w:r>
              <w:rPr>
                <w:noProof/>
              </w:rPr>
              <w:t>Уведомление за възлагането на (всички) обществени поръчки за избор на зелени общности</w:t>
            </w:r>
          </w:p>
        </w:tc>
        <w:tc>
          <w:tcPr>
            <w:tcW w:w="1275" w:type="dxa"/>
            <w:shd w:val="clear" w:color="auto" w:fill="C6EFCE"/>
            <w:noWrap/>
            <w:vAlign w:val="center"/>
          </w:tcPr>
          <w:p w14:paraId="77A186F1"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0AC2BAE6" w14:textId="77777777" w:rsidR="006054AA" w:rsidRDefault="001F7667">
            <w:pPr>
              <w:pStyle w:val="P68B1DB1-Normal11"/>
              <w:spacing w:line="276" w:lineRule="auto"/>
              <w:jc w:val="center"/>
              <w:rPr>
                <w:noProof/>
              </w:rPr>
            </w:pPr>
            <w:r>
              <w:rPr>
                <w:noProof/>
              </w:rPr>
              <w:t>НЯМА</w:t>
            </w:r>
          </w:p>
        </w:tc>
        <w:tc>
          <w:tcPr>
            <w:tcW w:w="1162" w:type="dxa"/>
            <w:shd w:val="clear" w:color="auto" w:fill="C6EFCE"/>
            <w:noWrap/>
            <w:vAlign w:val="center"/>
          </w:tcPr>
          <w:p w14:paraId="6B88BA08" w14:textId="77777777" w:rsidR="006054AA" w:rsidRDefault="001F7667">
            <w:pPr>
              <w:pStyle w:val="P68B1DB1-Normal11"/>
              <w:spacing w:line="276" w:lineRule="auto"/>
              <w:jc w:val="center"/>
              <w:rPr>
                <w:noProof/>
              </w:rPr>
            </w:pPr>
            <w:r>
              <w:rPr>
                <w:noProof/>
              </w:rPr>
              <w:t>НЯМА</w:t>
            </w:r>
          </w:p>
        </w:tc>
        <w:tc>
          <w:tcPr>
            <w:tcW w:w="963" w:type="dxa"/>
            <w:shd w:val="clear" w:color="auto" w:fill="C6EFCE"/>
            <w:noWrap/>
            <w:vAlign w:val="center"/>
          </w:tcPr>
          <w:p w14:paraId="7755B2C0" w14:textId="77777777" w:rsidR="006054AA" w:rsidRDefault="001F7667">
            <w:pPr>
              <w:pStyle w:val="P68B1DB1-Normal11"/>
              <w:spacing w:line="276" w:lineRule="auto"/>
              <w:jc w:val="center"/>
              <w:rPr>
                <w:noProof/>
              </w:rPr>
            </w:pPr>
            <w:r>
              <w:rPr>
                <w:noProof/>
              </w:rPr>
              <w:t>Т3 Г.</w:t>
            </w:r>
          </w:p>
        </w:tc>
        <w:tc>
          <w:tcPr>
            <w:tcW w:w="710" w:type="dxa"/>
            <w:shd w:val="clear" w:color="auto" w:fill="C6EFCE"/>
            <w:noWrap/>
            <w:vAlign w:val="center"/>
          </w:tcPr>
          <w:p w14:paraId="2DB754AE" w14:textId="77777777" w:rsidR="006054AA" w:rsidRDefault="001F7667">
            <w:pPr>
              <w:pStyle w:val="P68B1DB1-Normal11"/>
              <w:spacing w:line="276" w:lineRule="auto"/>
              <w:rPr>
                <w:noProof/>
              </w:rPr>
            </w:pPr>
            <w:r>
              <w:rPr>
                <w:noProof/>
              </w:rPr>
              <w:t>2022</w:t>
            </w:r>
          </w:p>
        </w:tc>
        <w:tc>
          <w:tcPr>
            <w:tcW w:w="3174" w:type="dxa"/>
            <w:shd w:val="clear" w:color="auto" w:fill="C6EFCE"/>
            <w:noWrap/>
            <w:vAlign w:val="center"/>
          </w:tcPr>
          <w:p w14:paraId="6D386476" w14:textId="77777777" w:rsidR="006054AA" w:rsidRDefault="001F7667">
            <w:pPr>
              <w:pStyle w:val="P68B1DB1-Normal11"/>
              <w:spacing w:line="276" w:lineRule="auto"/>
              <w:rPr>
                <w:noProof/>
              </w:rPr>
            </w:pPr>
            <w:r>
              <w:rPr>
                <w:noProof/>
              </w:rPr>
              <w:t>Уведомяване за процедурата за отпускане на безвъзмездни средства, която следва да включва 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30806A68" w14:textId="77777777">
        <w:trPr>
          <w:trHeight w:val="313"/>
          <w:jc w:val="center"/>
        </w:trPr>
        <w:tc>
          <w:tcPr>
            <w:tcW w:w="1220" w:type="dxa"/>
            <w:shd w:val="clear" w:color="auto" w:fill="C6EFCE"/>
            <w:noWrap/>
            <w:vAlign w:val="center"/>
          </w:tcPr>
          <w:p w14:paraId="7E196B99" w14:textId="77777777" w:rsidR="006054AA" w:rsidRDefault="001F7667">
            <w:pPr>
              <w:pStyle w:val="P68B1DB1-Normal11"/>
              <w:spacing w:line="276" w:lineRule="auto"/>
              <w:jc w:val="center"/>
              <w:rPr>
                <w:noProof/>
              </w:rPr>
            </w:pPr>
            <w:r>
              <w:rPr>
                <w:noProof/>
              </w:rPr>
              <w:t>M2C1—21</w:t>
            </w:r>
          </w:p>
        </w:tc>
        <w:tc>
          <w:tcPr>
            <w:tcW w:w="1598" w:type="dxa"/>
            <w:shd w:val="clear" w:color="auto" w:fill="C6EFCE"/>
            <w:noWrap/>
            <w:vAlign w:val="center"/>
          </w:tcPr>
          <w:p w14:paraId="3041B688" w14:textId="77777777" w:rsidR="006054AA" w:rsidRDefault="001F7667">
            <w:pPr>
              <w:pStyle w:val="P68B1DB1-Normal11"/>
              <w:spacing w:line="276" w:lineRule="auto"/>
              <w:jc w:val="center"/>
              <w:rPr>
                <w:noProof/>
              </w:rPr>
            </w:pPr>
            <w:r>
              <w:rPr>
                <w:noProof/>
              </w:rPr>
              <w:t>Инвестиция 3.2: Зелени общности</w:t>
            </w:r>
          </w:p>
        </w:tc>
        <w:tc>
          <w:tcPr>
            <w:tcW w:w="1185" w:type="dxa"/>
            <w:shd w:val="clear" w:color="auto" w:fill="C6EFCE"/>
            <w:noWrap/>
            <w:vAlign w:val="center"/>
          </w:tcPr>
          <w:p w14:paraId="64045340" w14:textId="77777777"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14FAA1E8" w14:textId="77777777" w:rsidR="006054AA" w:rsidRDefault="001F7667">
            <w:pPr>
              <w:pStyle w:val="P68B1DB1-Normal11"/>
              <w:spacing w:line="276" w:lineRule="auto"/>
              <w:jc w:val="center"/>
              <w:rPr>
                <w:noProof/>
              </w:rPr>
            </w:pPr>
            <w:r>
              <w:rPr>
                <w:noProof/>
              </w:rPr>
              <w:t>Изпълнение на интервенциите, представени в плановете на зелените общности</w:t>
            </w:r>
          </w:p>
        </w:tc>
        <w:tc>
          <w:tcPr>
            <w:tcW w:w="1603" w:type="dxa"/>
            <w:shd w:val="clear" w:color="auto" w:fill="C6EFCE"/>
            <w:noWrap/>
            <w:vAlign w:val="center"/>
          </w:tcPr>
          <w:p w14:paraId="6E220B15" w14:textId="77777777" w:rsidR="006054AA" w:rsidRDefault="001F7667">
            <w:pPr>
              <w:pStyle w:val="P68B1DB1-Normal11"/>
              <w:spacing w:line="276" w:lineRule="auto"/>
              <w:jc w:val="center"/>
              <w:rPr>
                <w:noProof/>
              </w:rPr>
            </w:pPr>
            <w:r>
              <w:rPr>
                <w:noProof/>
              </w:rPr>
              <w:t>НЯМА</w:t>
            </w:r>
          </w:p>
        </w:tc>
        <w:tc>
          <w:tcPr>
            <w:tcW w:w="1275" w:type="dxa"/>
            <w:shd w:val="clear" w:color="auto" w:fill="C6EFCE"/>
            <w:noWrap/>
            <w:vAlign w:val="center"/>
          </w:tcPr>
          <w:p w14:paraId="2B10219C" w14:textId="77777777" w:rsidR="006054AA" w:rsidRDefault="001F7667">
            <w:pPr>
              <w:pStyle w:val="P68B1DB1-Normal11"/>
              <w:spacing w:line="276" w:lineRule="auto"/>
              <w:jc w:val="center"/>
              <w:rPr>
                <w:noProof/>
              </w:rPr>
            </w:pPr>
            <w:r>
              <w:rPr>
                <w:noProof/>
              </w:rPr>
              <w:t>Процент на интервенциите, представени от зелените общности</w:t>
            </w:r>
          </w:p>
        </w:tc>
        <w:tc>
          <w:tcPr>
            <w:tcW w:w="993" w:type="dxa"/>
            <w:shd w:val="clear" w:color="auto" w:fill="C6EFCE"/>
            <w:noWrap/>
            <w:vAlign w:val="center"/>
          </w:tcPr>
          <w:p w14:paraId="24E6369D" w14:textId="77777777" w:rsidR="006054AA" w:rsidRDefault="001F7667">
            <w:pPr>
              <w:pStyle w:val="P68B1DB1-Normal11"/>
              <w:spacing w:line="276" w:lineRule="auto"/>
              <w:jc w:val="center"/>
              <w:rPr>
                <w:noProof/>
              </w:rPr>
            </w:pPr>
            <w:r>
              <w:rPr>
                <w:noProof/>
              </w:rPr>
              <w:t>0</w:t>
            </w:r>
          </w:p>
        </w:tc>
        <w:tc>
          <w:tcPr>
            <w:tcW w:w="1162" w:type="dxa"/>
            <w:shd w:val="clear" w:color="auto" w:fill="C6EFCE"/>
            <w:noWrap/>
            <w:vAlign w:val="center"/>
          </w:tcPr>
          <w:p w14:paraId="2EC9EFD1" w14:textId="77777777" w:rsidR="006054AA" w:rsidRDefault="001F7667">
            <w:pPr>
              <w:pStyle w:val="P68B1DB1-Normal11"/>
              <w:spacing w:line="276" w:lineRule="auto"/>
              <w:jc w:val="center"/>
              <w:rPr>
                <w:noProof/>
              </w:rPr>
            </w:pPr>
            <w:r>
              <w:rPr>
                <w:noProof/>
              </w:rPr>
              <w:t>90</w:t>
            </w:r>
          </w:p>
        </w:tc>
        <w:tc>
          <w:tcPr>
            <w:tcW w:w="963" w:type="dxa"/>
            <w:shd w:val="clear" w:color="auto" w:fill="C6EFCE"/>
            <w:noWrap/>
            <w:vAlign w:val="center"/>
          </w:tcPr>
          <w:p w14:paraId="1401E30B" w14:textId="77777777" w:rsidR="006054AA" w:rsidRDefault="001F7667">
            <w:pPr>
              <w:pStyle w:val="P68B1DB1-Normal11"/>
              <w:spacing w:line="276" w:lineRule="auto"/>
              <w:jc w:val="center"/>
              <w:rPr>
                <w:noProof/>
              </w:rPr>
            </w:pPr>
            <w:r>
              <w:rPr>
                <w:noProof/>
              </w:rPr>
              <w:t>Т2 Г.</w:t>
            </w:r>
          </w:p>
        </w:tc>
        <w:tc>
          <w:tcPr>
            <w:tcW w:w="710" w:type="dxa"/>
            <w:shd w:val="clear" w:color="auto" w:fill="C6EFCE"/>
            <w:noWrap/>
            <w:vAlign w:val="center"/>
          </w:tcPr>
          <w:p w14:paraId="276FE6BA" w14:textId="77777777" w:rsidR="006054AA" w:rsidRDefault="001F7667">
            <w:pPr>
              <w:pStyle w:val="P68B1DB1-Normal11"/>
              <w:spacing w:line="276" w:lineRule="auto"/>
              <w:rPr>
                <w:noProof/>
              </w:rPr>
            </w:pPr>
            <w:r>
              <w:rPr>
                <w:noProof/>
              </w:rPr>
              <w:t>2026</w:t>
            </w:r>
          </w:p>
        </w:tc>
        <w:tc>
          <w:tcPr>
            <w:tcW w:w="3174" w:type="dxa"/>
            <w:shd w:val="clear" w:color="auto" w:fill="C6EFCE"/>
            <w:noWrap/>
            <w:vAlign w:val="center"/>
          </w:tcPr>
          <w:p w14:paraId="0AF33D39" w14:textId="77777777" w:rsidR="006054AA" w:rsidRDefault="001F7667">
            <w:pPr>
              <w:pStyle w:val="P68B1DB1-Normal11"/>
              <w:spacing w:line="276" w:lineRule="auto"/>
              <w:rPr>
                <w:noProof/>
              </w:rPr>
            </w:pPr>
            <w:r>
              <w:rPr>
                <w:noProof/>
              </w:rPr>
              <w:t>Приключване на изпълнението на най-малко 90 % от интервенциите, предвидени в плановете, представени от зелените общности (както е определено в член 72 от Закон 221/2015)</w:t>
            </w:r>
          </w:p>
        </w:tc>
      </w:tr>
      <w:tr w:rsidR="006054AA" w14:paraId="1F195820" w14:textId="77777777">
        <w:trPr>
          <w:trHeight w:val="313"/>
          <w:jc w:val="center"/>
        </w:trPr>
        <w:tc>
          <w:tcPr>
            <w:tcW w:w="1220" w:type="dxa"/>
            <w:shd w:val="clear" w:color="auto" w:fill="C6EFCE"/>
            <w:noWrap/>
            <w:vAlign w:val="center"/>
          </w:tcPr>
          <w:p w14:paraId="497EE22F" w14:textId="77777777" w:rsidR="006054AA" w:rsidRDefault="001F7667">
            <w:pPr>
              <w:pStyle w:val="P68B1DB1-Normal11"/>
              <w:spacing w:line="276" w:lineRule="auto"/>
              <w:jc w:val="center"/>
              <w:rPr>
                <w:noProof/>
              </w:rPr>
            </w:pPr>
            <w:r>
              <w:rPr>
                <w:noProof/>
              </w:rPr>
              <w:t>M2C1—22</w:t>
            </w:r>
          </w:p>
        </w:tc>
        <w:tc>
          <w:tcPr>
            <w:tcW w:w="1598" w:type="dxa"/>
            <w:shd w:val="clear" w:color="auto" w:fill="C6EFCE"/>
            <w:noWrap/>
            <w:vAlign w:val="center"/>
          </w:tcPr>
          <w:p w14:paraId="23B80D14" w14:textId="77777777" w:rsidR="006054AA" w:rsidRDefault="001F7667">
            <w:pPr>
              <w:pStyle w:val="P68B1DB1-Normal11"/>
              <w:spacing w:line="276" w:lineRule="auto"/>
              <w:jc w:val="center"/>
              <w:rPr>
                <w:noProof/>
              </w:rPr>
            </w:pPr>
            <w:r>
              <w:rPr>
                <w:noProof/>
              </w:rPr>
              <w:t>Инвестиция 3.4: Fondo Contratti di Filiera (FCF) за подпомагане на договори за вериги на доставки в секторите на хранително-вкусовата промишленост, рибарството и аквакултурите, горското стопанство, цветарството и растениевъдството</w:t>
            </w:r>
          </w:p>
        </w:tc>
        <w:tc>
          <w:tcPr>
            <w:tcW w:w="1185" w:type="dxa"/>
            <w:shd w:val="clear" w:color="auto" w:fill="C6EFCE"/>
            <w:noWrap/>
            <w:vAlign w:val="center"/>
          </w:tcPr>
          <w:p w14:paraId="66DA703C" w14:textId="028A8054" w:rsidR="006054AA" w:rsidRDefault="001F7667">
            <w:pPr>
              <w:pStyle w:val="P68B1DB1-Normal11"/>
              <w:spacing w:line="276" w:lineRule="auto"/>
              <w:jc w:val="center"/>
              <w:rPr>
                <w:noProof/>
                <w:color w:val="000000" w:themeColor="text1"/>
              </w:rPr>
            </w:pPr>
            <w:r>
              <w:rPr>
                <w:noProof/>
              </w:rPr>
              <w:t>Ключов етап</w:t>
            </w:r>
          </w:p>
        </w:tc>
        <w:tc>
          <w:tcPr>
            <w:tcW w:w="1732" w:type="dxa"/>
            <w:shd w:val="clear" w:color="auto" w:fill="C6EFCE"/>
            <w:noWrap/>
            <w:vAlign w:val="center"/>
          </w:tcPr>
          <w:p w14:paraId="6510A1EF" w14:textId="77777777" w:rsidR="006054AA" w:rsidRDefault="001F7667">
            <w:pPr>
              <w:pStyle w:val="P68B1DB1-Normal11"/>
              <w:spacing w:line="276" w:lineRule="auto"/>
              <w:jc w:val="center"/>
              <w:rPr>
                <w:noProof/>
                <w:color w:val="000000" w:themeColor="text1"/>
              </w:rPr>
            </w:pPr>
            <w:r>
              <w:rPr>
                <w:noProof/>
              </w:rPr>
              <w:t>Споразумение за изпълнение</w:t>
            </w:r>
          </w:p>
        </w:tc>
        <w:tc>
          <w:tcPr>
            <w:tcW w:w="1603" w:type="dxa"/>
            <w:shd w:val="clear" w:color="auto" w:fill="C6EFCE"/>
            <w:noWrap/>
            <w:vAlign w:val="center"/>
          </w:tcPr>
          <w:p w14:paraId="4A213C7E" w14:textId="77777777" w:rsidR="006054AA" w:rsidRDefault="001F7667">
            <w:pPr>
              <w:pStyle w:val="P68B1DB1-Normal11"/>
              <w:spacing w:line="276" w:lineRule="auto"/>
              <w:jc w:val="center"/>
              <w:rPr>
                <w:noProof/>
                <w:color w:val="000000" w:themeColor="text1"/>
              </w:rPr>
            </w:pPr>
            <w:r>
              <w:rPr>
                <w:noProof/>
              </w:rPr>
              <w:t>Влизане в сила на споразумението за прилагане</w:t>
            </w:r>
          </w:p>
        </w:tc>
        <w:tc>
          <w:tcPr>
            <w:tcW w:w="1275" w:type="dxa"/>
            <w:shd w:val="clear" w:color="auto" w:fill="C6EFCE"/>
            <w:noWrap/>
            <w:vAlign w:val="center"/>
          </w:tcPr>
          <w:p w14:paraId="781A9279" w14:textId="77777777" w:rsidR="006054AA" w:rsidRDefault="001F7667">
            <w:pPr>
              <w:pStyle w:val="P68B1DB1-Normal11"/>
              <w:spacing w:line="276" w:lineRule="auto"/>
              <w:jc w:val="center"/>
              <w:rPr>
                <w:noProof/>
              </w:rPr>
            </w:pPr>
            <w:r>
              <w:rPr>
                <w:noProof/>
              </w:rPr>
              <w:t xml:space="preserve"> </w:t>
            </w:r>
          </w:p>
        </w:tc>
        <w:tc>
          <w:tcPr>
            <w:tcW w:w="993" w:type="dxa"/>
            <w:shd w:val="clear" w:color="auto" w:fill="C6EFCE"/>
            <w:noWrap/>
            <w:vAlign w:val="center"/>
          </w:tcPr>
          <w:p w14:paraId="2E7230F5" w14:textId="77777777" w:rsidR="006054AA" w:rsidRDefault="001F7667">
            <w:pPr>
              <w:pStyle w:val="P68B1DB1-Normal11"/>
              <w:spacing w:line="276" w:lineRule="auto"/>
              <w:jc w:val="center"/>
              <w:rPr>
                <w:noProof/>
                <w:color w:val="000000" w:themeColor="text1"/>
              </w:rPr>
            </w:pPr>
            <w:r>
              <w:rPr>
                <w:noProof/>
              </w:rPr>
              <w:t xml:space="preserve"> </w:t>
            </w:r>
          </w:p>
        </w:tc>
        <w:tc>
          <w:tcPr>
            <w:tcW w:w="1162" w:type="dxa"/>
            <w:shd w:val="clear" w:color="auto" w:fill="C6EFCE"/>
            <w:noWrap/>
            <w:vAlign w:val="center"/>
          </w:tcPr>
          <w:p w14:paraId="6DCCEA5D" w14:textId="77777777" w:rsidR="006054AA" w:rsidRDefault="001F7667">
            <w:pPr>
              <w:pStyle w:val="P68B1DB1-Normal11"/>
              <w:spacing w:line="276" w:lineRule="auto"/>
              <w:jc w:val="center"/>
              <w:rPr>
                <w:noProof/>
                <w:color w:val="000000" w:themeColor="text1"/>
              </w:rPr>
            </w:pPr>
            <w:r>
              <w:rPr>
                <w:noProof/>
              </w:rPr>
              <w:t xml:space="preserve"> </w:t>
            </w:r>
          </w:p>
        </w:tc>
        <w:tc>
          <w:tcPr>
            <w:tcW w:w="963" w:type="dxa"/>
            <w:shd w:val="clear" w:color="auto" w:fill="C6EFCE"/>
            <w:noWrap/>
            <w:vAlign w:val="center"/>
          </w:tcPr>
          <w:p w14:paraId="6947D6F0" w14:textId="77777777" w:rsidR="006054AA" w:rsidRDefault="001F7667">
            <w:pPr>
              <w:pStyle w:val="P68B1DB1-Normal11"/>
              <w:spacing w:line="276" w:lineRule="auto"/>
              <w:jc w:val="center"/>
              <w:rPr>
                <w:noProof/>
                <w:color w:val="000000" w:themeColor="text1"/>
              </w:rPr>
            </w:pPr>
            <w:r>
              <w:rPr>
                <w:noProof/>
              </w:rPr>
              <w:t>Т2 Г.</w:t>
            </w:r>
          </w:p>
        </w:tc>
        <w:tc>
          <w:tcPr>
            <w:tcW w:w="710" w:type="dxa"/>
            <w:shd w:val="clear" w:color="auto" w:fill="C6EFCE"/>
            <w:noWrap/>
            <w:vAlign w:val="center"/>
          </w:tcPr>
          <w:p w14:paraId="040D976C" w14:textId="77777777" w:rsidR="006054AA" w:rsidRDefault="001F7667">
            <w:pPr>
              <w:pStyle w:val="P68B1DB1-Normal11"/>
              <w:spacing w:line="276" w:lineRule="auto"/>
              <w:rPr>
                <w:noProof/>
                <w:color w:val="000000" w:themeColor="text1"/>
              </w:rPr>
            </w:pPr>
            <w:r>
              <w:rPr>
                <w:noProof/>
              </w:rPr>
              <w:t>2024</w:t>
            </w:r>
          </w:p>
        </w:tc>
        <w:tc>
          <w:tcPr>
            <w:tcW w:w="3174" w:type="dxa"/>
            <w:shd w:val="clear" w:color="auto" w:fill="C6EFCE"/>
            <w:noWrap/>
            <w:vAlign w:val="center"/>
          </w:tcPr>
          <w:p w14:paraId="1876C2BC" w14:textId="77777777" w:rsidR="006054AA" w:rsidRDefault="001F7667">
            <w:pPr>
              <w:pStyle w:val="P68B1DB1-Normal11"/>
              <w:spacing w:line="276" w:lineRule="auto"/>
              <w:rPr>
                <w:noProof/>
                <w:color w:val="000000" w:themeColor="text1"/>
              </w:rPr>
            </w:pPr>
            <w:r>
              <w:rPr>
                <w:noProof/>
              </w:rPr>
              <w:t>Влизане в сила на споразумението за изпълнение.</w:t>
            </w:r>
          </w:p>
        </w:tc>
      </w:tr>
      <w:tr w:rsidR="006054AA" w14:paraId="37FA3D9A" w14:textId="77777777">
        <w:trPr>
          <w:trHeight w:val="313"/>
          <w:jc w:val="center"/>
        </w:trPr>
        <w:tc>
          <w:tcPr>
            <w:tcW w:w="1220" w:type="dxa"/>
            <w:shd w:val="clear" w:color="auto" w:fill="C6EFCE"/>
            <w:noWrap/>
            <w:vAlign w:val="center"/>
          </w:tcPr>
          <w:p w14:paraId="2A569573" w14:textId="77777777" w:rsidR="006054AA" w:rsidRDefault="001F7667">
            <w:pPr>
              <w:pStyle w:val="P68B1DB1-Normal11"/>
              <w:spacing w:line="276" w:lineRule="auto"/>
              <w:jc w:val="center"/>
              <w:rPr>
                <w:noProof/>
              </w:rPr>
            </w:pPr>
            <w:r>
              <w:rPr>
                <w:noProof/>
              </w:rPr>
              <w:t>M2C1—23</w:t>
            </w:r>
          </w:p>
        </w:tc>
        <w:tc>
          <w:tcPr>
            <w:tcW w:w="1598" w:type="dxa"/>
            <w:shd w:val="clear" w:color="auto" w:fill="C6EFCE"/>
            <w:noWrap/>
            <w:vAlign w:val="center"/>
          </w:tcPr>
          <w:p w14:paraId="56B01DBD" w14:textId="77777777" w:rsidR="006054AA" w:rsidRDefault="001F7667">
            <w:pPr>
              <w:pStyle w:val="P68B1DB1-Normal11"/>
              <w:spacing w:line="276" w:lineRule="auto"/>
              <w:jc w:val="center"/>
              <w:rPr>
                <w:noProof/>
              </w:rPr>
            </w:pPr>
            <w:r>
              <w:rPr>
                <w:noProof/>
              </w:rPr>
              <w:t>Инвестиция 3.4: Fondo Contratti di Filiera (FCF) за подпомагане на договори за вериги на доставки в секторите на хранително-вкусовата промишленост, рибарството и аквакултурите, горското стопанство, цветарството и растениевъдството</w:t>
            </w:r>
          </w:p>
        </w:tc>
        <w:tc>
          <w:tcPr>
            <w:tcW w:w="1185" w:type="dxa"/>
            <w:shd w:val="clear" w:color="auto" w:fill="C6EFCE"/>
            <w:noWrap/>
            <w:vAlign w:val="center"/>
          </w:tcPr>
          <w:p w14:paraId="3D71C802" w14:textId="099F9D65"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5112C13A" w14:textId="77777777" w:rsidR="006054AA" w:rsidRDefault="001F7667">
            <w:pPr>
              <w:pStyle w:val="P68B1DB1-Normal11"/>
              <w:spacing w:line="276" w:lineRule="auto"/>
              <w:jc w:val="center"/>
              <w:rPr>
                <w:noProof/>
              </w:rPr>
            </w:pPr>
            <w:r>
              <w:rPr>
                <w:noProof/>
              </w:rPr>
              <w:t>Правни споразумения, подписани с крайните бенефициери</w:t>
            </w:r>
          </w:p>
        </w:tc>
        <w:tc>
          <w:tcPr>
            <w:tcW w:w="1603" w:type="dxa"/>
            <w:shd w:val="clear" w:color="auto" w:fill="C6EFCE"/>
            <w:noWrap/>
            <w:vAlign w:val="center"/>
          </w:tcPr>
          <w:p w14:paraId="578BB95E" w14:textId="77777777" w:rsidR="006054AA" w:rsidRDefault="001F7667">
            <w:pPr>
              <w:pStyle w:val="P68B1DB1-Normal11"/>
              <w:spacing w:line="276" w:lineRule="auto"/>
              <w:jc w:val="center"/>
              <w:rPr>
                <w:noProof/>
              </w:rPr>
            </w:pPr>
            <w:r>
              <w:rPr>
                <w:noProof/>
              </w:rPr>
              <w:t xml:space="preserve">Влизане в сила на правните споразумения за финансиране </w:t>
            </w:r>
          </w:p>
        </w:tc>
        <w:tc>
          <w:tcPr>
            <w:tcW w:w="1275" w:type="dxa"/>
            <w:shd w:val="clear" w:color="auto" w:fill="C6EFCE"/>
            <w:noWrap/>
            <w:vAlign w:val="center"/>
          </w:tcPr>
          <w:p w14:paraId="2653292F" w14:textId="77777777" w:rsidR="006054AA" w:rsidRDefault="001F7667">
            <w:pPr>
              <w:pStyle w:val="P68B1DB1-Normal11"/>
              <w:spacing w:line="276" w:lineRule="auto"/>
              <w:jc w:val="center"/>
              <w:rPr>
                <w:noProof/>
              </w:rPr>
            </w:pPr>
            <w:r>
              <w:rPr>
                <w:noProof/>
              </w:rPr>
              <w:t xml:space="preserve"> </w:t>
            </w:r>
          </w:p>
        </w:tc>
        <w:tc>
          <w:tcPr>
            <w:tcW w:w="993" w:type="dxa"/>
            <w:shd w:val="clear" w:color="auto" w:fill="C6EFCE"/>
            <w:noWrap/>
            <w:vAlign w:val="center"/>
          </w:tcPr>
          <w:p w14:paraId="5F5FC857" w14:textId="77777777" w:rsidR="006054AA" w:rsidRDefault="001F7667">
            <w:pPr>
              <w:pStyle w:val="P68B1DB1-Normal11"/>
              <w:spacing w:line="276" w:lineRule="auto"/>
              <w:jc w:val="center"/>
              <w:rPr>
                <w:noProof/>
              </w:rPr>
            </w:pPr>
            <w:r>
              <w:rPr>
                <w:noProof/>
              </w:rPr>
              <w:t>0</w:t>
            </w:r>
          </w:p>
        </w:tc>
        <w:tc>
          <w:tcPr>
            <w:tcW w:w="1162" w:type="dxa"/>
            <w:shd w:val="clear" w:color="auto" w:fill="C6EFCE"/>
            <w:noWrap/>
            <w:vAlign w:val="center"/>
          </w:tcPr>
          <w:p w14:paraId="78958A64" w14:textId="77777777" w:rsidR="006054AA" w:rsidRDefault="001F7667">
            <w:pPr>
              <w:pStyle w:val="P68B1DB1-Normal11"/>
              <w:spacing w:line="276" w:lineRule="auto"/>
              <w:jc w:val="center"/>
              <w:rPr>
                <w:noProof/>
              </w:rPr>
            </w:pPr>
            <w:r>
              <w:rPr>
                <w:noProof/>
              </w:rPr>
              <w:t>50 %</w:t>
            </w:r>
          </w:p>
        </w:tc>
        <w:tc>
          <w:tcPr>
            <w:tcW w:w="963" w:type="dxa"/>
            <w:shd w:val="clear" w:color="auto" w:fill="C6EFCE"/>
            <w:noWrap/>
            <w:vAlign w:val="center"/>
          </w:tcPr>
          <w:p w14:paraId="1BEB27E6" w14:textId="77777777" w:rsidR="006054AA" w:rsidRDefault="001F7667">
            <w:pPr>
              <w:pStyle w:val="P68B1DB1-Normal11"/>
              <w:spacing w:line="276" w:lineRule="auto"/>
              <w:jc w:val="center"/>
              <w:rPr>
                <w:noProof/>
              </w:rPr>
            </w:pPr>
            <w:r>
              <w:rPr>
                <w:noProof/>
              </w:rPr>
              <w:t>Т2 Г.</w:t>
            </w:r>
          </w:p>
        </w:tc>
        <w:tc>
          <w:tcPr>
            <w:tcW w:w="710" w:type="dxa"/>
            <w:shd w:val="clear" w:color="auto" w:fill="C6EFCE"/>
            <w:noWrap/>
            <w:vAlign w:val="center"/>
          </w:tcPr>
          <w:p w14:paraId="276668EA" w14:textId="77777777" w:rsidR="006054AA" w:rsidRDefault="001F7667">
            <w:pPr>
              <w:pStyle w:val="P68B1DB1-Normal11"/>
              <w:spacing w:line="276" w:lineRule="auto"/>
              <w:rPr>
                <w:noProof/>
              </w:rPr>
            </w:pPr>
            <w:r>
              <w:rPr>
                <w:noProof/>
              </w:rPr>
              <w:t>2025</w:t>
            </w:r>
          </w:p>
        </w:tc>
        <w:tc>
          <w:tcPr>
            <w:tcW w:w="3174" w:type="dxa"/>
            <w:shd w:val="clear" w:color="auto" w:fill="C6EFCE"/>
            <w:noWrap/>
            <w:vAlign w:val="center"/>
          </w:tcPr>
          <w:p w14:paraId="1ED3A1FE" w14:textId="322D45F1" w:rsidR="006054AA" w:rsidRDefault="001F7667">
            <w:pPr>
              <w:pStyle w:val="P68B1DB1-Normal11"/>
              <w:spacing w:line="276" w:lineRule="auto"/>
              <w:rPr>
                <w:noProof/>
              </w:rPr>
            </w:pPr>
            <w:r>
              <w:rPr>
                <w:noProof/>
              </w:rPr>
              <w:t>Механизмът е сключил правни споразумения за финансиране с крайни бенефициери за сума, необходима за използване на най-малко 50 % от инвестицията по МВУ във фонда (като се вземат предвид таксите за управление). ISMEA изготвя доклад, в който подробно се описва процентът на това финансиране, което допринася за постигането на целите в областта на климата, като използва методиката в приложение VI.</w:t>
            </w:r>
          </w:p>
        </w:tc>
      </w:tr>
      <w:tr w:rsidR="006054AA" w14:paraId="5B867713" w14:textId="77777777">
        <w:trPr>
          <w:trHeight w:val="313"/>
          <w:jc w:val="center"/>
        </w:trPr>
        <w:tc>
          <w:tcPr>
            <w:tcW w:w="1220" w:type="dxa"/>
            <w:shd w:val="clear" w:color="auto" w:fill="C6EFCE"/>
            <w:noWrap/>
            <w:vAlign w:val="center"/>
          </w:tcPr>
          <w:p w14:paraId="161A1CDB" w14:textId="77777777" w:rsidR="006054AA" w:rsidRDefault="001F7667">
            <w:pPr>
              <w:pStyle w:val="P68B1DB1-Normal11"/>
              <w:spacing w:line="276" w:lineRule="auto"/>
              <w:jc w:val="center"/>
              <w:rPr>
                <w:noProof/>
              </w:rPr>
            </w:pPr>
            <w:r>
              <w:rPr>
                <w:noProof/>
              </w:rPr>
              <w:t>M2C1—24</w:t>
            </w:r>
          </w:p>
        </w:tc>
        <w:tc>
          <w:tcPr>
            <w:tcW w:w="1598" w:type="dxa"/>
            <w:shd w:val="clear" w:color="auto" w:fill="C6EFCE"/>
            <w:noWrap/>
            <w:vAlign w:val="center"/>
          </w:tcPr>
          <w:p w14:paraId="02D1C438" w14:textId="77777777" w:rsidR="006054AA" w:rsidRDefault="001F7667">
            <w:pPr>
              <w:pStyle w:val="P68B1DB1-Normal11"/>
              <w:spacing w:line="276" w:lineRule="auto"/>
              <w:jc w:val="center"/>
              <w:rPr>
                <w:noProof/>
              </w:rPr>
            </w:pPr>
            <w:r>
              <w:rPr>
                <w:noProof/>
              </w:rPr>
              <w:t>Инвестиция 3.4: Fondo Contratti di Filiera (FCF) за подпомагане на договори за вериги на доставки в секторите на хранително-вкусовата промишленост, рибарството и аквакултурите, горското стопанство, цветарството и растениевъдството</w:t>
            </w:r>
          </w:p>
        </w:tc>
        <w:tc>
          <w:tcPr>
            <w:tcW w:w="1185" w:type="dxa"/>
            <w:shd w:val="clear" w:color="auto" w:fill="C6EFCE"/>
            <w:noWrap/>
            <w:vAlign w:val="center"/>
          </w:tcPr>
          <w:p w14:paraId="446156D6" w14:textId="2158EA78" w:rsidR="006054AA" w:rsidRDefault="001F7667">
            <w:pPr>
              <w:pStyle w:val="P68B1DB1-Normal11"/>
              <w:spacing w:line="276" w:lineRule="auto"/>
              <w:jc w:val="center"/>
              <w:rPr>
                <w:noProof/>
              </w:rPr>
            </w:pPr>
            <w:r>
              <w:rPr>
                <w:noProof/>
              </w:rPr>
              <w:t>Целеви</w:t>
            </w:r>
          </w:p>
        </w:tc>
        <w:tc>
          <w:tcPr>
            <w:tcW w:w="1732" w:type="dxa"/>
            <w:shd w:val="clear" w:color="auto" w:fill="C6EFCE"/>
            <w:noWrap/>
            <w:vAlign w:val="center"/>
          </w:tcPr>
          <w:p w14:paraId="654D15F3" w14:textId="77777777" w:rsidR="006054AA" w:rsidRDefault="001F7667">
            <w:pPr>
              <w:pStyle w:val="P68B1DB1-Normal11"/>
              <w:spacing w:line="276" w:lineRule="auto"/>
              <w:jc w:val="center"/>
              <w:rPr>
                <w:noProof/>
              </w:rPr>
            </w:pPr>
            <w:r>
              <w:rPr>
                <w:noProof/>
              </w:rPr>
              <w:t>Правни споразумения, подписани с крайните бенефициери</w:t>
            </w:r>
          </w:p>
        </w:tc>
        <w:tc>
          <w:tcPr>
            <w:tcW w:w="1603" w:type="dxa"/>
            <w:shd w:val="clear" w:color="auto" w:fill="C6EFCE"/>
            <w:noWrap/>
            <w:vAlign w:val="center"/>
          </w:tcPr>
          <w:p w14:paraId="595003B0" w14:textId="77777777" w:rsidR="006054AA" w:rsidRDefault="001F7667">
            <w:pPr>
              <w:pStyle w:val="P68B1DB1-Normal11"/>
              <w:spacing w:line="276" w:lineRule="auto"/>
              <w:jc w:val="center"/>
              <w:rPr>
                <w:noProof/>
              </w:rPr>
            </w:pPr>
            <w:r>
              <w:rPr>
                <w:noProof/>
              </w:rPr>
              <w:t xml:space="preserve">Влизане в сила на правните споразумения за финансиране </w:t>
            </w:r>
          </w:p>
        </w:tc>
        <w:tc>
          <w:tcPr>
            <w:tcW w:w="1275" w:type="dxa"/>
            <w:shd w:val="clear" w:color="auto" w:fill="C6EFCE"/>
            <w:noWrap/>
            <w:vAlign w:val="center"/>
          </w:tcPr>
          <w:p w14:paraId="6DAA4CCE" w14:textId="77777777" w:rsidR="006054AA" w:rsidRDefault="001F7667">
            <w:pPr>
              <w:pStyle w:val="P68B1DB1-Normal11"/>
              <w:spacing w:line="276" w:lineRule="auto"/>
              <w:jc w:val="center"/>
              <w:rPr>
                <w:noProof/>
              </w:rPr>
            </w:pPr>
            <w:r>
              <w:rPr>
                <w:noProof/>
              </w:rPr>
              <w:t xml:space="preserve"> </w:t>
            </w:r>
          </w:p>
        </w:tc>
        <w:tc>
          <w:tcPr>
            <w:tcW w:w="993" w:type="dxa"/>
            <w:shd w:val="clear" w:color="auto" w:fill="C6EFCE"/>
            <w:noWrap/>
            <w:vAlign w:val="center"/>
          </w:tcPr>
          <w:p w14:paraId="39515AD2" w14:textId="77777777" w:rsidR="006054AA" w:rsidRDefault="001F7667">
            <w:pPr>
              <w:pStyle w:val="P68B1DB1-Normal11"/>
              <w:spacing w:line="276" w:lineRule="auto"/>
              <w:jc w:val="center"/>
              <w:rPr>
                <w:noProof/>
              </w:rPr>
            </w:pPr>
            <w:r>
              <w:rPr>
                <w:noProof/>
              </w:rPr>
              <w:t>50 %</w:t>
            </w:r>
          </w:p>
        </w:tc>
        <w:tc>
          <w:tcPr>
            <w:tcW w:w="1162" w:type="dxa"/>
            <w:shd w:val="clear" w:color="auto" w:fill="C6EFCE"/>
            <w:noWrap/>
            <w:vAlign w:val="center"/>
          </w:tcPr>
          <w:p w14:paraId="0115F7FE" w14:textId="77777777" w:rsidR="006054AA" w:rsidRDefault="001F7667">
            <w:pPr>
              <w:pStyle w:val="P68B1DB1-Normal11"/>
              <w:spacing w:line="276" w:lineRule="auto"/>
              <w:jc w:val="center"/>
              <w:rPr>
                <w:noProof/>
              </w:rPr>
            </w:pPr>
            <w:r>
              <w:rPr>
                <w:noProof/>
              </w:rPr>
              <w:t>100 %</w:t>
            </w:r>
          </w:p>
        </w:tc>
        <w:tc>
          <w:tcPr>
            <w:tcW w:w="963" w:type="dxa"/>
            <w:shd w:val="clear" w:color="auto" w:fill="C6EFCE"/>
            <w:noWrap/>
            <w:vAlign w:val="center"/>
          </w:tcPr>
          <w:p w14:paraId="42D78C9C" w14:textId="77777777" w:rsidR="006054AA" w:rsidRDefault="001F7667">
            <w:pPr>
              <w:pStyle w:val="P68B1DB1-Normal11"/>
              <w:spacing w:line="276" w:lineRule="auto"/>
              <w:jc w:val="center"/>
              <w:rPr>
                <w:noProof/>
              </w:rPr>
            </w:pPr>
            <w:r>
              <w:rPr>
                <w:noProof/>
              </w:rPr>
              <w:t>Т2 Г.</w:t>
            </w:r>
          </w:p>
        </w:tc>
        <w:tc>
          <w:tcPr>
            <w:tcW w:w="710" w:type="dxa"/>
            <w:shd w:val="clear" w:color="auto" w:fill="C6EFCE"/>
            <w:noWrap/>
            <w:vAlign w:val="center"/>
          </w:tcPr>
          <w:p w14:paraId="623A257F" w14:textId="77777777" w:rsidR="006054AA" w:rsidRDefault="001F7667">
            <w:pPr>
              <w:pStyle w:val="P68B1DB1-Normal11"/>
              <w:spacing w:line="276" w:lineRule="auto"/>
              <w:rPr>
                <w:noProof/>
              </w:rPr>
            </w:pPr>
            <w:r>
              <w:rPr>
                <w:noProof/>
              </w:rPr>
              <w:t>2026</w:t>
            </w:r>
          </w:p>
        </w:tc>
        <w:tc>
          <w:tcPr>
            <w:tcW w:w="3174" w:type="dxa"/>
            <w:shd w:val="clear" w:color="auto" w:fill="C6EFCE"/>
            <w:noWrap/>
            <w:vAlign w:val="center"/>
          </w:tcPr>
          <w:p w14:paraId="6BBD62DC" w14:textId="1D0241B8" w:rsidR="006054AA" w:rsidRDefault="001F7667">
            <w:pPr>
              <w:pStyle w:val="P68B1DB1-Normal11"/>
              <w:spacing w:line="276" w:lineRule="auto"/>
              <w:rPr>
                <w:noProof/>
              </w:rPr>
            </w:pPr>
            <w:r>
              <w:rPr>
                <w:noProof/>
              </w:rPr>
              <w:t>Механизмът е сключил правни споразумения за финансиране с крайни бенефициери за сума, необходима за използване на 100 % от инвестицията по МВУ във фонда (като се вземат предвид таксите за управление).</w:t>
            </w:r>
          </w:p>
        </w:tc>
      </w:tr>
      <w:tr w:rsidR="006054AA" w14:paraId="7BA0BD7F" w14:textId="77777777">
        <w:trPr>
          <w:trHeight w:val="313"/>
          <w:jc w:val="center"/>
        </w:trPr>
        <w:tc>
          <w:tcPr>
            <w:tcW w:w="1220" w:type="dxa"/>
            <w:shd w:val="clear" w:color="auto" w:fill="C6EFCE"/>
            <w:noWrap/>
            <w:vAlign w:val="center"/>
          </w:tcPr>
          <w:p w14:paraId="5092F622" w14:textId="77777777" w:rsidR="006054AA" w:rsidRDefault="001F7667">
            <w:pPr>
              <w:pStyle w:val="P68B1DB1-Normal11"/>
              <w:spacing w:line="276" w:lineRule="auto"/>
              <w:jc w:val="center"/>
              <w:rPr>
                <w:noProof/>
              </w:rPr>
            </w:pPr>
            <w:r>
              <w:rPr>
                <w:noProof/>
              </w:rPr>
              <w:t>M2C1—25</w:t>
            </w:r>
          </w:p>
        </w:tc>
        <w:tc>
          <w:tcPr>
            <w:tcW w:w="1598" w:type="dxa"/>
            <w:shd w:val="clear" w:color="auto" w:fill="C6EFCE"/>
            <w:noWrap/>
            <w:vAlign w:val="center"/>
          </w:tcPr>
          <w:p w14:paraId="30F95536" w14:textId="77777777" w:rsidR="006054AA" w:rsidRDefault="001F7667">
            <w:pPr>
              <w:pStyle w:val="P68B1DB1-Normal11"/>
              <w:spacing w:line="276" w:lineRule="auto"/>
              <w:jc w:val="center"/>
              <w:rPr>
                <w:noProof/>
              </w:rPr>
            </w:pPr>
            <w:r>
              <w:rPr>
                <w:noProof/>
              </w:rPr>
              <w:t>Инвестиция 3.4: Fondo Contratti di Filiera (FCF) за подпомагане на договори за вериги на доставки в секторите на хранително-вкусовата промишленост, рибарството и аквакултурите, горското стопанство, цветарството и растениевъдството</w:t>
            </w:r>
          </w:p>
        </w:tc>
        <w:tc>
          <w:tcPr>
            <w:tcW w:w="1185" w:type="dxa"/>
            <w:shd w:val="clear" w:color="auto" w:fill="C6EFCE"/>
            <w:noWrap/>
            <w:vAlign w:val="center"/>
          </w:tcPr>
          <w:p w14:paraId="6846D0CE" w14:textId="53F4AA05" w:rsidR="006054AA" w:rsidRDefault="001F7667">
            <w:pPr>
              <w:pStyle w:val="P68B1DB1-Normal11"/>
              <w:spacing w:line="276" w:lineRule="auto"/>
              <w:jc w:val="center"/>
              <w:rPr>
                <w:noProof/>
              </w:rPr>
            </w:pPr>
            <w:r>
              <w:rPr>
                <w:noProof/>
              </w:rPr>
              <w:t>Ключов етап</w:t>
            </w:r>
          </w:p>
        </w:tc>
        <w:tc>
          <w:tcPr>
            <w:tcW w:w="1732" w:type="dxa"/>
            <w:shd w:val="clear" w:color="auto" w:fill="C6EFCE"/>
            <w:noWrap/>
            <w:vAlign w:val="center"/>
          </w:tcPr>
          <w:p w14:paraId="7FC56704" w14:textId="77777777" w:rsidR="006054AA" w:rsidRDefault="001F7667">
            <w:pPr>
              <w:pStyle w:val="P68B1DB1-Normal11"/>
              <w:spacing w:line="276" w:lineRule="auto"/>
              <w:jc w:val="center"/>
              <w:rPr>
                <w:noProof/>
              </w:rPr>
            </w:pPr>
            <w:r>
              <w:rPr>
                <w:noProof/>
              </w:rPr>
              <w:t>Министерството е прехвърлило общия размер на средствата</w:t>
            </w:r>
          </w:p>
        </w:tc>
        <w:tc>
          <w:tcPr>
            <w:tcW w:w="1603" w:type="dxa"/>
            <w:shd w:val="clear" w:color="auto" w:fill="C6EFCE"/>
            <w:noWrap/>
            <w:vAlign w:val="center"/>
          </w:tcPr>
          <w:p w14:paraId="530E1224" w14:textId="77777777" w:rsidR="006054AA" w:rsidRDefault="001F7667">
            <w:pPr>
              <w:pStyle w:val="P68B1DB1-Normal11"/>
              <w:spacing w:line="276" w:lineRule="auto"/>
              <w:jc w:val="center"/>
              <w:rPr>
                <w:noProof/>
              </w:rPr>
            </w:pPr>
            <w:r>
              <w:rPr>
                <w:noProof/>
              </w:rPr>
              <w:t>Удостоверение за прехвърляне</w:t>
            </w:r>
          </w:p>
        </w:tc>
        <w:tc>
          <w:tcPr>
            <w:tcW w:w="1275" w:type="dxa"/>
            <w:shd w:val="clear" w:color="auto" w:fill="C6EFCE"/>
            <w:noWrap/>
            <w:vAlign w:val="center"/>
          </w:tcPr>
          <w:p w14:paraId="5DDADB7F" w14:textId="77777777" w:rsidR="006054AA" w:rsidRDefault="001F7667">
            <w:pPr>
              <w:pStyle w:val="P68B1DB1-Normal11"/>
              <w:spacing w:line="276" w:lineRule="auto"/>
              <w:jc w:val="center"/>
              <w:rPr>
                <w:noProof/>
              </w:rPr>
            </w:pPr>
            <w:r>
              <w:rPr>
                <w:noProof/>
              </w:rPr>
              <w:t xml:space="preserve"> </w:t>
            </w:r>
          </w:p>
        </w:tc>
        <w:tc>
          <w:tcPr>
            <w:tcW w:w="993" w:type="dxa"/>
            <w:shd w:val="clear" w:color="auto" w:fill="C6EFCE"/>
            <w:noWrap/>
            <w:vAlign w:val="center"/>
          </w:tcPr>
          <w:p w14:paraId="302390F9" w14:textId="77777777" w:rsidR="006054AA" w:rsidRDefault="001F7667">
            <w:pPr>
              <w:pStyle w:val="P68B1DB1-Normal11"/>
              <w:spacing w:line="276" w:lineRule="auto"/>
              <w:jc w:val="center"/>
              <w:rPr>
                <w:noProof/>
              </w:rPr>
            </w:pPr>
            <w:r>
              <w:rPr>
                <w:noProof/>
              </w:rPr>
              <w:t xml:space="preserve"> </w:t>
            </w:r>
          </w:p>
        </w:tc>
        <w:tc>
          <w:tcPr>
            <w:tcW w:w="1162" w:type="dxa"/>
            <w:shd w:val="clear" w:color="auto" w:fill="C6EFCE"/>
            <w:noWrap/>
            <w:vAlign w:val="center"/>
          </w:tcPr>
          <w:p w14:paraId="5F7D6145" w14:textId="77777777" w:rsidR="006054AA" w:rsidRDefault="001F7667">
            <w:pPr>
              <w:pStyle w:val="P68B1DB1-Normal11"/>
              <w:spacing w:line="276" w:lineRule="auto"/>
              <w:jc w:val="center"/>
              <w:rPr>
                <w:noProof/>
              </w:rPr>
            </w:pPr>
            <w:r>
              <w:rPr>
                <w:noProof/>
              </w:rPr>
              <w:t xml:space="preserve"> </w:t>
            </w:r>
          </w:p>
        </w:tc>
        <w:tc>
          <w:tcPr>
            <w:tcW w:w="963" w:type="dxa"/>
            <w:shd w:val="clear" w:color="auto" w:fill="C6EFCE"/>
            <w:noWrap/>
            <w:vAlign w:val="center"/>
          </w:tcPr>
          <w:p w14:paraId="68097279" w14:textId="77777777" w:rsidR="006054AA" w:rsidRDefault="001F7667">
            <w:pPr>
              <w:pStyle w:val="P68B1DB1-Normal11"/>
              <w:spacing w:line="276" w:lineRule="auto"/>
              <w:jc w:val="center"/>
              <w:rPr>
                <w:noProof/>
              </w:rPr>
            </w:pPr>
            <w:r>
              <w:rPr>
                <w:noProof/>
              </w:rPr>
              <w:t>Т4 Г.</w:t>
            </w:r>
          </w:p>
        </w:tc>
        <w:tc>
          <w:tcPr>
            <w:tcW w:w="710" w:type="dxa"/>
            <w:shd w:val="clear" w:color="auto" w:fill="C6EFCE"/>
            <w:noWrap/>
            <w:vAlign w:val="center"/>
          </w:tcPr>
          <w:p w14:paraId="4D798710" w14:textId="77777777" w:rsidR="006054AA" w:rsidRDefault="001F7667">
            <w:pPr>
              <w:pStyle w:val="P68B1DB1-Normal11"/>
              <w:spacing w:line="276" w:lineRule="auto"/>
              <w:rPr>
                <w:noProof/>
              </w:rPr>
            </w:pPr>
            <w:r>
              <w:rPr>
                <w:noProof/>
              </w:rPr>
              <w:t>2024</w:t>
            </w:r>
          </w:p>
        </w:tc>
        <w:tc>
          <w:tcPr>
            <w:tcW w:w="3174" w:type="dxa"/>
            <w:shd w:val="clear" w:color="auto" w:fill="C6EFCE"/>
            <w:noWrap/>
            <w:vAlign w:val="center"/>
          </w:tcPr>
          <w:p w14:paraId="4A3F5B5C" w14:textId="74905199" w:rsidR="006054AA" w:rsidRDefault="001F7667">
            <w:pPr>
              <w:pStyle w:val="P68B1DB1-Normal12"/>
              <w:spacing w:line="276" w:lineRule="auto"/>
              <w:rPr>
                <w:rFonts w:ascii="Arial Narrow" w:hAnsi="Arial Narrow"/>
                <w:noProof/>
              </w:rPr>
            </w:pPr>
            <w:r>
              <w:rPr>
                <w:rFonts w:ascii="Arial Narrow" w:hAnsi="Arial Narrow"/>
                <w:noProof/>
              </w:rPr>
              <w:t>Италия прехвърля 1 960 EUR</w:t>
            </w:r>
            <w:r>
              <w:rPr>
                <w:noProof/>
              </w:rPr>
              <w:t xml:space="preserve"> </w:t>
            </w:r>
            <w:r>
              <w:rPr>
                <w:rFonts w:ascii="Arial Narrow" w:hAnsi="Arial Narrow"/>
                <w:noProof/>
              </w:rPr>
              <w:t>000</w:t>
            </w:r>
            <w:r>
              <w:rPr>
                <w:noProof/>
              </w:rPr>
              <w:t xml:space="preserve"> </w:t>
            </w:r>
            <w:r>
              <w:rPr>
                <w:rFonts w:ascii="Arial Narrow" w:hAnsi="Arial Narrow"/>
                <w:noProof/>
              </w:rPr>
              <w:t xml:space="preserve">000.00 към ISMEA за механизма. </w:t>
            </w:r>
          </w:p>
        </w:tc>
      </w:tr>
    </w:tbl>
    <w:p w14:paraId="4B850D53" w14:textId="77777777" w:rsidR="006054AA" w:rsidRDefault="006054AA">
      <w:pPr>
        <w:tabs>
          <w:tab w:val="left" w:pos="4252"/>
        </w:tabs>
        <w:rPr>
          <w:i/>
          <w:noProof/>
        </w:rPr>
      </w:pPr>
    </w:p>
    <w:p w14:paraId="4A5CFDE5" w14:textId="77777777" w:rsidR="006054AA" w:rsidRDefault="006054AA">
      <w:pPr>
        <w:tabs>
          <w:tab w:val="left" w:pos="4252"/>
        </w:tabs>
        <w:rPr>
          <w:i/>
          <w:noProof/>
        </w:rPr>
      </w:pPr>
    </w:p>
    <w:p w14:paraId="6C8524BD" w14:textId="77777777" w:rsidR="006054AA" w:rsidRDefault="006054AA">
      <w:pPr>
        <w:tabs>
          <w:tab w:val="left" w:pos="4252"/>
        </w:tabs>
        <w:rPr>
          <w:i/>
          <w:noProof/>
        </w:rPr>
        <w:sectPr w:rsidR="006054AA" w:rsidSect="001354D1">
          <w:headerReference w:type="even" r:id="rId110"/>
          <w:headerReference w:type="default" r:id="rId111"/>
          <w:footerReference w:type="even" r:id="rId112"/>
          <w:footerReference w:type="default" r:id="rId113"/>
          <w:headerReference w:type="first" r:id="rId114"/>
          <w:footerReference w:type="first" r:id="rId115"/>
          <w:pgSz w:w="16839" w:h="11907" w:orient="landscape"/>
          <w:pgMar w:top="1134" w:right="1134" w:bottom="1134" w:left="1134" w:header="567" w:footer="567" w:gutter="0"/>
          <w:cols w:space="720"/>
          <w:docGrid w:linePitch="360"/>
        </w:sectPr>
      </w:pPr>
    </w:p>
    <w:p w14:paraId="6E52E8D0" w14:textId="6F24A70E" w:rsidR="006054AA" w:rsidRDefault="001F7667">
      <w:pPr>
        <w:pStyle w:val="Heading2"/>
        <w:numPr>
          <w:ilvl w:val="1"/>
          <w:numId w:val="0"/>
        </w:numPr>
        <w:ind w:left="850" w:hanging="850"/>
        <w:rPr>
          <w:noProof/>
        </w:rPr>
      </w:pPr>
      <w:r>
        <w:rPr>
          <w:noProof/>
        </w:rPr>
        <w:t>Д. МИСИЯ 2, КОМПОНЕНТ 2: Енергиен преход и устойчива мобилност</w:t>
      </w:r>
    </w:p>
    <w:p w14:paraId="7DBA7064" w14:textId="05C86449" w:rsidR="006054AA" w:rsidRDefault="001F7667">
      <w:pPr>
        <w:spacing w:before="120" w:after="120"/>
        <w:jc w:val="both"/>
        <w:rPr>
          <w:noProof/>
        </w:rPr>
      </w:pPr>
      <w:r>
        <w:rPr>
          <w:noProof/>
        </w:rPr>
        <w:t xml:space="preserve">Този компонент на италианския план за възстановяване и устойчивост обхваща инвестициите и реформите в енергийния преход. Тя включва реформи за улесняване на издаването на разрешения за проекти за възобновяеми енергийни източници. Компонентът съдържа инвестиции във веригата на доставки на енергия от възобновяеми източници, водородна енергия, съоръжения за биометан и интелигентни мрежи. Тези реформи и инвестиции се допълват от реформи за увеличаване на конкуренцията на пазара на електроенергия в компонента „бизнес среда“ на реформата. </w:t>
      </w:r>
    </w:p>
    <w:p w14:paraId="74769DD7" w14:textId="77777777" w:rsidR="006054AA" w:rsidRDefault="001F7667">
      <w:pPr>
        <w:spacing w:before="120" w:after="120"/>
        <w:jc w:val="both"/>
        <w:rPr>
          <w:noProof/>
        </w:rPr>
      </w:pPr>
      <w:r>
        <w:rPr>
          <w:noProof/>
        </w:rPr>
        <w:t xml:space="preserve">Този компонент обхваща и инвестициите и реформите в устойчивата мобилност. Тя включва реформи за улесняване на издаването на разрешения за проекти за устойчива мобилност. Компонентът съдържа инвестиции за изграждане на велосипедни алеи и инфраструктура за бърз транзит на метро/трамвай/автобус, както и за възлагане на обществени поръчки за автобуси, подвижен състав, противопожарни и летищни превозни средства с нулеви емисии. Тези реформи и инвестиции се допълват от реформи за премахване на регулираните цени за зареждане с електроенергия и увеличаване на конкуренцията при концесиите на зарядни точки, регионалните железници и местния обществен транспорт в компонента „бизнес среда“ за реформа. </w:t>
      </w:r>
    </w:p>
    <w:p w14:paraId="05924881" w14:textId="2416E309" w:rsidR="006054AA" w:rsidRDefault="001F7667">
      <w:pPr>
        <w:spacing w:before="120" w:after="120"/>
        <w:jc w:val="both"/>
        <w:rPr>
          <w:noProof/>
        </w:rPr>
      </w:pPr>
      <w:r>
        <w:rPr>
          <w:noProof/>
        </w:rPr>
        <w:t>Инвестициите и реформите по този компонент допринасят за изпълнението на специфичните за всяка държава препоръки, отправени към Италия през 2020 г. и 2019 г., относно необходимостта от „съсредоточаване на инвестициите върху екологичния и цифровия преход, по-специално върху [...] чистото и ефективно производство и използване на енергия [...] устойчив обществен транспорт „(СДП 3, 2020) и „съсредоточаване на икономическата политика, свързана с инвестициите, върху [...] и качеството на инфраструктурата, като се вземат предвид и регионалните различия“ (специфични за всяка държава препоръки 3, 2019).</w:t>
      </w:r>
    </w:p>
    <w:p w14:paraId="57F43908" w14:textId="77777777" w:rsidR="006054AA" w:rsidRDefault="001F7667">
      <w:pPr>
        <w:spacing w:before="120" w:after="120" w:line="257" w:lineRule="auto"/>
        <w:jc w:val="both"/>
        <w:rPr>
          <w:rFonts w:eastAsiaTheme="minorHAnsi"/>
          <w:noProof/>
        </w:rPr>
      </w:pPr>
      <w:r>
        <w:rPr>
          <w:noProof/>
        </w:rPr>
        <w:t>Компонентът подкрепя насоките, издадени на Италия относно изпълнението на нейния национален план в областта на енергетиката и климата (SWD (2020) 911 final), с които Италия се приканва да насърчава, обновява и модернизира съществуващите инсталации за енергия от възобновяеми източници, по-специално съществуващите вятърни електроцентрали, и да проучи възможностите за иновативна енергия от разположени в морето инсталации в Средиземно море.</w:t>
      </w:r>
    </w:p>
    <w:p w14:paraId="4F3CBC46" w14:textId="77777777" w:rsidR="006054AA" w:rsidRDefault="001F7667">
      <w:pPr>
        <w:spacing w:before="120" w:after="120"/>
        <w:jc w:val="both"/>
        <w:rPr>
          <w:noProof/>
        </w:rPr>
      </w:pPr>
      <w:r>
        <w:rPr>
          <w:noProof/>
        </w:rPr>
        <w:t xml:space="preserve">Очаква се, че нито една мярка в този компонент не нанася значителни вреди на екологичните цели по смисъла на член 17 от Регламент (ЕС) 2020/852, като се вземе предвид описанието на мерките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w:t>
      </w:r>
    </w:p>
    <w:p w14:paraId="680FB77F"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Д.1. </w:t>
      </w:r>
      <w:r>
        <w:rPr>
          <w:noProof/>
        </w:rPr>
        <w:tab/>
      </w:r>
      <w:r>
        <w:rPr>
          <w:b/>
          <w:i w:val="0"/>
          <w:noProof/>
          <w:u w:val="single"/>
        </w:rPr>
        <w:t>Описание на реформите и инвестициите за безвъзмездна финансова подкрепа</w:t>
      </w:r>
    </w:p>
    <w:p w14:paraId="3DFF7CD2" w14:textId="77777777" w:rsidR="006054AA" w:rsidRDefault="001F7667">
      <w:pPr>
        <w:pStyle w:val="P68B1DB1-Normal2"/>
        <w:spacing w:before="120" w:after="120"/>
        <w:jc w:val="both"/>
        <w:rPr>
          <w:noProof/>
        </w:rPr>
      </w:pPr>
      <w:r>
        <w:rPr>
          <w:noProof/>
        </w:rPr>
        <w:t>Реформа 1 — Опростяване на разрешителните процедури за инсталации за енергия от възобновяеми източници на сушата и в морето и нова правна рамка за поддържане на производството от възобновяеми източници и удължаване на срока и допустимостта на настоящите схеми за подпомагане</w:t>
      </w:r>
    </w:p>
    <w:p w14:paraId="0D645D88" w14:textId="77777777" w:rsidR="006054AA" w:rsidRDefault="001F7667">
      <w:pPr>
        <w:spacing w:before="120" w:after="120"/>
        <w:jc w:val="both"/>
        <w:rPr>
          <w:noProof/>
        </w:rPr>
      </w:pPr>
      <w:r>
        <w:rPr>
          <w:noProof/>
        </w:rPr>
        <w:t>Тази реформа се състои от:</w:t>
      </w:r>
    </w:p>
    <w:p w14:paraId="5E64EAB1" w14:textId="77777777" w:rsidR="006054AA" w:rsidRDefault="001F7667">
      <w:pPr>
        <w:numPr>
          <w:ilvl w:val="0"/>
          <w:numId w:val="66"/>
        </w:numPr>
        <w:spacing w:before="120" w:after="120" w:line="259" w:lineRule="auto"/>
        <w:ind w:left="360"/>
        <w:contextualSpacing/>
        <w:jc w:val="both"/>
        <w:rPr>
          <w:noProof/>
        </w:rPr>
      </w:pPr>
      <w:r>
        <w:rPr>
          <w:noProof/>
        </w:rPr>
        <w:t>Влизането в сила на регулаторна рамка за инсталациите от възобновяеми енергийни източници и модернизирането и обновяването на съществуващи инсталации;</w:t>
      </w:r>
    </w:p>
    <w:p w14:paraId="608C82A8" w14:textId="77777777" w:rsidR="006054AA" w:rsidRDefault="001F7667">
      <w:pPr>
        <w:numPr>
          <w:ilvl w:val="0"/>
          <w:numId w:val="66"/>
        </w:numPr>
        <w:spacing w:before="120" w:after="120" w:line="259" w:lineRule="auto"/>
        <w:ind w:left="360"/>
        <w:contextualSpacing/>
        <w:jc w:val="both"/>
        <w:rPr>
          <w:noProof/>
        </w:rPr>
      </w:pPr>
      <w:r>
        <w:rPr>
          <w:noProof/>
        </w:rPr>
        <w:t>Влизането в сила на регулаторна рамка, определяща критерии за определяне на зоните, които са подходящи и неподходящи за инсталиране на централи за енергия от възобновяеми източници с обща мощност над 50 GW, в съответствие с италианския национален план за енергетиката и климата и с целите на Зеления пакт; регулаторната рамка е договорена между регионите и другите съответни държавни администрации.</w:t>
      </w:r>
    </w:p>
    <w:p w14:paraId="097D58A0" w14:textId="77777777" w:rsidR="006054AA" w:rsidRDefault="001F7667">
      <w:pPr>
        <w:numPr>
          <w:ilvl w:val="0"/>
          <w:numId w:val="66"/>
        </w:numPr>
        <w:spacing w:before="120" w:after="120" w:line="259" w:lineRule="auto"/>
        <w:ind w:left="360"/>
        <w:contextualSpacing/>
        <w:jc w:val="both"/>
        <w:rPr>
          <w:noProof/>
        </w:rPr>
      </w:pPr>
      <w:r>
        <w:rPr>
          <w:noProof/>
        </w:rPr>
        <w:t>Завършване на механизма за подпомагане на възобновяемите енергийни източници и за допълнителни неутвърдени технологии или технологии с високи оперативни разходи и удължаване на периода на провеждане на търговете за така наречения механизъм RES1 (също за да се отрази забавянето, причинено от периода на извънредна ситуация в областта на здравеопазването), като същевременно се запазят принципите на конкурентен достъп;</w:t>
      </w:r>
    </w:p>
    <w:p w14:paraId="28BDB3B0" w14:textId="77777777" w:rsidR="006054AA" w:rsidRDefault="001F7667">
      <w:pPr>
        <w:numPr>
          <w:ilvl w:val="0"/>
          <w:numId w:val="66"/>
        </w:numPr>
        <w:spacing w:before="120" w:after="120" w:line="259" w:lineRule="auto"/>
        <w:ind w:left="360"/>
        <w:contextualSpacing/>
        <w:jc w:val="both"/>
        <w:rPr>
          <w:noProof/>
        </w:rPr>
      </w:pPr>
      <w:r>
        <w:rPr>
          <w:noProof/>
        </w:rPr>
        <w:t>Влизането в сила на разпоредби насърчава инвестициите в системи за съхранение в постановлението за транспониране на Директива (ЕС) 2019/944 относно общите правила за вътрешния пазар на електроенергия.</w:t>
      </w:r>
    </w:p>
    <w:p w14:paraId="10A33E4F" w14:textId="77777777" w:rsidR="006054AA" w:rsidRDefault="001F7667">
      <w:pPr>
        <w:pStyle w:val="P68B1DB1-Normal2"/>
        <w:spacing w:before="120" w:after="120"/>
        <w:jc w:val="both"/>
        <w:rPr>
          <w:noProof/>
        </w:rPr>
      </w:pPr>
      <w:r>
        <w:rPr>
          <w:noProof/>
        </w:rPr>
        <w:t>Реформа 2 — Ново законодателство за насърчаване на производството и потреблението на газ от възобновяеми източници</w:t>
      </w:r>
    </w:p>
    <w:p w14:paraId="619A083B" w14:textId="77777777" w:rsidR="006054AA" w:rsidRDefault="001F7667">
      <w:pPr>
        <w:spacing w:before="120" w:after="120"/>
        <w:jc w:val="both"/>
        <w:rPr>
          <w:noProof/>
        </w:rPr>
      </w:pPr>
      <w:r>
        <w:rPr>
          <w:noProof/>
        </w:rPr>
        <w:t>Тази реформа се състои в засилване на подкрепата за чист биометан чрез приемане на законодателство за увеличаване на обхвата на допустимите за подпомагане проекти за биометан и за удължаване на срока за предоставяне на безвъзмездни средства. Биометанът трябва да отговаря на критериите, определени в Директива (ЕС) 2018/2001 за енергията от възобновяеми източници (REDII), за да може мярката да съответства на принципа за ненанасяне на значителни вреди и на съответните изисквания на бележка под линия 8 от приложение VI към Регламент (ЕС) 2021/241.</w:t>
      </w:r>
    </w:p>
    <w:p w14:paraId="6D3AADBA" w14:textId="77777777" w:rsidR="006054AA" w:rsidRDefault="001F7667">
      <w:pPr>
        <w:pStyle w:val="P68B1DB1-Normal2"/>
        <w:spacing w:before="120" w:after="120"/>
        <w:jc w:val="both"/>
        <w:rPr>
          <w:noProof/>
        </w:rPr>
      </w:pPr>
      <w:r>
        <w:rPr>
          <w:noProof/>
        </w:rPr>
        <w:t>Реформа 3 — Административно опростяване и намаляване на регулаторните пречки пред внедряването на водорода</w:t>
      </w:r>
    </w:p>
    <w:p w14:paraId="7F27A0CB" w14:textId="77777777" w:rsidR="006054AA" w:rsidRDefault="001F7667">
      <w:pPr>
        <w:spacing w:before="120" w:after="120"/>
        <w:jc w:val="both"/>
        <w:rPr>
          <w:noProof/>
        </w:rPr>
      </w:pPr>
      <w:r>
        <w:rPr>
          <w:noProof/>
        </w:rPr>
        <w:t>Тази реформа се състои в влизането в сила на законодателна рамка за насърчаване на водорода като възобновяем източник на енергия. Тази законодателна рамка съдържа:</w:t>
      </w:r>
    </w:p>
    <w:p w14:paraId="2E507F10" w14:textId="77777777" w:rsidR="006054AA" w:rsidRDefault="001F7667">
      <w:pPr>
        <w:numPr>
          <w:ilvl w:val="0"/>
          <w:numId w:val="66"/>
        </w:numPr>
        <w:spacing w:before="120" w:after="120" w:line="259" w:lineRule="auto"/>
        <w:ind w:left="360"/>
        <w:contextualSpacing/>
        <w:jc w:val="both"/>
        <w:rPr>
          <w:noProof/>
        </w:rPr>
      </w:pPr>
      <w:r>
        <w:rPr>
          <w:noProof/>
        </w:rPr>
        <w:t>Технически разпоредби за безопасност относно производството, транспорта (технически и регулаторни критерии за въвеждането на водород в мрежата за природен газ), съхранението и използването на водород;</w:t>
      </w:r>
    </w:p>
    <w:p w14:paraId="61275144" w14:textId="03FDACD9" w:rsidR="006054AA" w:rsidRDefault="001F7667">
      <w:pPr>
        <w:numPr>
          <w:ilvl w:val="0"/>
          <w:numId w:val="66"/>
        </w:numPr>
        <w:spacing w:before="120" w:after="120" w:line="259" w:lineRule="auto"/>
        <w:ind w:left="360"/>
        <w:contextualSpacing/>
        <w:jc w:val="both"/>
        <w:rPr>
          <w:noProof/>
        </w:rPr>
      </w:pPr>
      <w:r>
        <w:rPr>
          <w:noProof/>
        </w:rPr>
        <w:t xml:space="preserve">Ускорена процедура за издаване на разрешения с процедура за обслужване на едно гише за получаване на разрешение за изграждане и експлоатация на малка инсталация за производство на водород (за съоръжения за електролизьори с мощност под 1—5 MW; прагът за съхранение се определя в горепосочените регламенти за техническа безопасност на водорода).  </w:t>
      </w:r>
    </w:p>
    <w:p w14:paraId="3C659058" w14:textId="77777777" w:rsidR="006054AA" w:rsidRDefault="001F7667">
      <w:pPr>
        <w:numPr>
          <w:ilvl w:val="0"/>
          <w:numId w:val="66"/>
        </w:numPr>
        <w:spacing w:before="120" w:after="120" w:line="259" w:lineRule="auto"/>
        <w:ind w:left="360"/>
        <w:contextualSpacing/>
        <w:jc w:val="both"/>
        <w:rPr>
          <w:noProof/>
        </w:rPr>
      </w:pPr>
      <w:r>
        <w:rPr>
          <w:noProof/>
        </w:rPr>
        <w:t>Регулиране на участието на инсталации за производство на водород в мрежовите услуги. На енергийния регулатор (ARERA) се възлага да издаде специфична регулаторна мярка след консултация със заинтересованите страни.</w:t>
      </w:r>
    </w:p>
    <w:p w14:paraId="1F5F565D" w14:textId="77777777" w:rsidR="006054AA" w:rsidRDefault="001F7667">
      <w:pPr>
        <w:numPr>
          <w:ilvl w:val="0"/>
          <w:numId w:val="66"/>
        </w:numPr>
        <w:spacing w:before="120" w:after="120" w:line="259" w:lineRule="auto"/>
        <w:ind w:left="360"/>
        <w:contextualSpacing/>
        <w:jc w:val="both"/>
        <w:rPr>
          <w:noProof/>
        </w:rPr>
      </w:pPr>
      <w:r>
        <w:rPr>
          <w:noProof/>
        </w:rPr>
        <w:t>Система за гаранции за произход на водорода от възобновяеми източници, за да се подават ценови сигнали към потребителите.</w:t>
      </w:r>
    </w:p>
    <w:p w14:paraId="2780F1D2" w14:textId="10BDFCD5" w:rsidR="006054AA" w:rsidRDefault="001F7667">
      <w:pPr>
        <w:numPr>
          <w:ilvl w:val="0"/>
          <w:numId w:val="66"/>
        </w:numPr>
        <w:spacing w:before="120" w:after="120" w:line="259" w:lineRule="auto"/>
        <w:ind w:left="360"/>
        <w:contextualSpacing/>
        <w:jc w:val="both"/>
        <w:rPr>
          <w:noProof/>
        </w:rPr>
      </w:pPr>
      <w:r>
        <w:rPr>
          <w:noProof/>
        </w:rPr>
        <w:t xml:space="preserve">Процедури и/или критерии за определяне на избраните зони за зареждане по магистралите за оптимизиране на местоположението на станциите за зареждане с цел създаване на коридори H2 за камиони, като се започне от регионите на Северна Италия до долината на река По и логистичните центрове и главните магистрали по протежение на полуострова. </w:t>
      </w:r>
    </w:p>
    <w:p w14:paraId="18C9DC6F" w14:textId="77777777" w:rsidR="006054AA" w:rsidRDefault="001F7667">
      <w:pPr>
        <w:numPr>
          <w:ilvl w:val="0"/>
          <w:numId w:val="66"/>
        </w:numPr>
        <w:spacing w:before="120" w:after="120" w:line="259" w:lineRule="auto"/>
        <w:ind w:left="360"/>
        <w:contextualSpacing/>
        <w:jc w:val="both"/>
        <w:rPr>
          <w:noProof/>
        </w:rPr>
      </w:pPr>
      <w:r>
        <w:rPr>
          <w:noProof/>
        </w:rPr>
        <w:t>Координирането на 10-годишния план за развитие на националния оператор на преносна система (ОПС) с плановете на други европейски ОПС, насочени към разработването на общи стандарти за транспортиране на водород чрез съществуващи газопроводи или специални тръбопроводи.</w:t>
      </w:r>
    </w:p>
    <w:p w14:paraId="131A4B52" w14:textId="77777777" w:rsidR="006054AA" w:rsidRDefault="001F7667">
      <w:pPr>
        <w:pStyle w:val="P68B1DB1-Normal2"/>
        <w:spacing w:before="120" w:after="120"/>
        <w:jc w:val="both"/>
        <w:rPr>
          <w:noProof/>
        </w:rPr>
      </w:pPr>
      <w:r>
        <w:rPr>
          <w:noProof/>
        </w:rPr>
        <w:t>Реформа 4 — Мерки за насърчаване на конкурентоспособността на водорода</w:t>
      </w:r>
    </w:p>
    <w:p w14:paraId="72C836B8" w14:textId="77777777" w:rsidR="006054AA" w:rsidRDefault="001F7667">
      <w:pPr>
        <w:spacing w:before="120" w:after="120"/>
        <w:jc w:val="both"/>
        <w:rPr>
          <w:noProof/>
        </w:rPr>
      </w:pPr>
      <w:r>
        <w:rPr>
          <w:noProof/>
        </w:rPr>
        <w:t>Тази реформа се състои в приемането на данъчни мерки за стимулиране на производството и/или използването на водород в съответствие с правилата на ЕС относно данъчното облагане и транспонирането на Директивата за енергията от възобновяеми източници II. Тази мярка подпомага производството на водород въз основа на електролиза, като се използват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w:t>
      </w:r>
    </w:p>
    <w:p w14:paraId="05E817F3" w14:textId="77777777" w:rsidR="006054AA" w:rsidRDefault="001F7667">
      <w:pPr>
        <w:spacing w:after="200" w:line="276" w:lineRule="auto"/>
        <w:rPr>
          <w:b/>
          <w:noProof/>
        </w:rPr>
      </w:pPr>
      <w:r>
        <w:rPr>
          <w:noProof/>
        </w:rPr>
        <w:br w:type="page"/>
      </w:r>
      <w:r>
        <w:rPr>
          <w:b/>
          <w:noProof/>
        </w:rPr>
        <w:t>Реформа 5 — По-интелигентни процедури за оценка на проекти в сектора на местния обществен транспорт със стационарни инсталации и в сектора на бързия масов транспорт</w:t>
      </w:r>
    </w:p>
    <w:p w14:paraId="33EB765B" w14:textId="77777777" w:rsidR="006054AA" w:rsidRDefault="001F7667">
      <w:pPr>
        <w:spacing w:before="120" w:after="120"/>
        <w:jc w:val="both"/>
        <w:rPr>
          <w:noProof/>
        </w:rPr>
      </w:pPr>
      <w:r>
        <w:rPr>
          <w:noProof/>
        </w:rPr>
        <w:t xml:space="preserve">Тази реформа се състои в приемането на законодателство, с което ясно се възлагат отговорности при одобряването на проекти за местен обществен транспорт и опростяване на процедурата за плащане. </w:t>
      </w:r>
    </w:p>
    <w:p w14:paraId="559BB5DD" w14:textId="77777777" w:rsidR="006054AA" w:rsidRDefault="001F7667">
      <w:pPr>
        <w:pStyle w:val="P68B1DB1-Normal2"/>
        <w:spacing w:before="120" w:after="120"/>
        <w:jc w:val="both"/>
        <w:rPr>
          <w:noProof/>
        </w:rPr>
      </w:pPr>
      <w:r>
        <w:rPr>
          <w:noProof/>
        </w:rPr>
        <w:t>Инвестиция 4.1 — Инвестиции в екологосъобразна мобилност (Национален план на цикъла)</w:t>
      </w:r>
    </w:p>
    <w:p w14:paraId="519CBDFE" w14:textId="05EE7EEF" w:rsidR="006054AA" w:rsidRDefault="001F7667">
      <w:pPr>
        <w:spacing w:before="120" w:after="120"/>
        <w:jc w:val="both"/>
        <w:rPr>
          <w:noProof/>
        </w:rPr>
      </w:pPr>
      <w:r>
        <w:rPr>
          <w:noProof/>
        </w:rPr>
        <w:t>Тази инвестиция се състои в изграждането на най-малко 565 км велосипедни алеи в метрополните райони и най-малко 746 км туристически велосипедни алеи. Метрополните велосипедни алеи се разработват в най-малко 40 метрополни области или градове, в които са разположени университети</w:t>
      </w:r>
      <w:r>
        <w:rPr>
          <w:rStyle w:val="FootnoteReference"/>
          <w:noProof/>
        </w:rPr>
        <w:footnoteReference w:id="48"/>
      </w:r>
      <w:r>
        <w:rPr>
          <w:noProof/>
        </w:rPr>
        <w:t>. Велосипедните алеи улесняват придвижването до работното място в „първа миля „и „последната миля“ — свързване на места в метрополните райони към съседни железопътни възли или възли на метрото, или университети към съседни железопътни линии или възли на метрото. Допустимите пътеки за туристически велосипеди са определени в Закон № 208 от 28 декември 2015 г.</w:t>
      </w:r>
    </w:p>
    <w:p w14:paraId="2DCEDA99" w14:textId="77777777" w:rsidR="006054AA" w:rsidRDefault="001F7667">
      <w:pPr>
        <w:pStyle w:val="P68B1DB1-Normal2"/>
        <w:spacing w:before="120" w:after="120"/>
        <w:jc w:val="both"/>
        <w:rPr>
          <w:noProof/>
        </w:rPr>
      </w:pPr>
      <w:r>
        <w:rPr>
          <w:noProof/>
        </w:rPr>
        <w:t>Инвестиция 4.3 — Инсталиране на инфраструктури за зареждане</w:t>
      </w:r>
    </w:p>
    <w:p w14:paraId="73A4FDFD" w14:textId="77777777" w:rsidR="006054AA" w:rsidRDefault="001F7667">
      <w:pPr>
        <w:spacing w:before="120" w:after="120"/>
        <w:jc w:val="both"/>
        <w:rPr>
          <w:noProof/>
        </w:rPr>
      </w:pPr>
      <w:r>
        <w:rPr>
          <w:noProof/>
        </w:rPr>
        <w:t>Тази инвестиция се състои в подкрепа на развитието на:</w:t>
      </w:r>
    </w:p>
    <w:p w14:paraId="1BB0CE05" w14:textId="4D6E5829" w:rsidR="006054AA" w:rsidRDefault="001F7667">
      <w:pPr>
        <w:numPr>
          <w:ilvl w:val="0"/>
          <w:numId w:val="69"/>
        </w:numPr>
        <w:spacing w:before="120" w:after="120" w:line="259" w:lineRule="auto"/>
        <w:ind w:left="360"/>
        <w:contextualSpacing/>
        <w:jc w:val="both"/>
        <w:rPr>
          <w:noProof/>
        </w:rPr>
      </w:pPr>
      <w:r>
        <w:rPr>
          <w:noProof/>
        </w:rPr>
        <w:t>7</w:t>
      </w:r>
      <w:r>
        <w:rPr>
          <w:noProof/>
          <w:color w:val="006100"/>
          <w:sz w:val="20"/>
        </w:rPr>
        <w:t xml:space="preserve"> </w:t>
      </w:r>
      <w:r>
        <w:rPr>
          <w:noProof/>
        </w:rPr>
        <w:t>500 точки за бърза обществена инфраструктура за зареждане по безплатни пътища;</w:t>
      </w:r>
    </w:p>
    <w:p w14:paraId="68DC5A13" w14:textId="2F72240B" w:rsidR="006054AA" w:rsidRDefault="001F7667">
      <w:pPr>
        <w:numPr>
          <w:ilvl w:val="0"/>
          <w:numId w:val="69"/>
        </w:numPr>
        <w:spacing w:before="120" w:after="120" w:line="259" w:lineRule="auto"/>
        <w:ind w:left="360"/>
        <w:contextualSpacing/>
        <w:jc w:val="both"/>
        <w:rPr>
          <w:noProof/>
        </w:rPr>
      </w:pPr>
      <w:r>
        <w:rPr>
          <w:noProof/>
        </w:rPr>
        <w:t>13</w:t>
      </w:r>
      <w:r>
        <w:rPr>
          <w:noProof/>
          <w:color w:val="006100"/>
          <w:sz w:val="20"/>
        </w:rPr>
        <w:t xml:space="preserve"> </w:t>
      </w:r>
      <w:r>
        <w:rPr>
          <w:noProof/>
        </w:rPr>
        <w:t>755 точки за бърза публична инфраструктура за зареждане в градските центрове;</w:t>
      </w:r>
    </w:p>
    <w:p w14:paraId="687876F2" w14:textId="77777777" w:rsidR="006054AA" w:rsidRDefault="001F7667">
      <w:pPr>
        <w:numPr>
          <w:ilvl w:val="0"/>
          <w:numId w:val="69"/>
        </w:numPr>
        <w:spacing w:before="120" w:after="120" w:line="259" w:lineRule="auto"/>
        <w:ind w:left="360"/>
        <w:contextualSpacing/>
        <w:jc w:val="both"/>
        <w:rPr>
          <w:noProof/>
        </w:rPr>
      </w:pPr>
      <w:r>
        <w:rPr>
          <w:noProof/>
        </w:rPr>
        <w:t>100 експериментални зарядни станции, свързани към хранилища.</w:t>
      </w:r>
    </w:p>
    <w:p w14:paraId="70781F44" w14:textId="77777777" w:rsidR="006054AA" w:rsidRDefault="001F7667">
      <w:pPr>
        <w:spacing w:before="120" w:after="120"/>
        <w:jc w:val="both"/>
        <w:rPr>
          <w:noProof/>
        </w:rPr>
      </w:pPr>
      <w:r>
        <w:rPr>
          <w:noProof/>
        </w:rPr>
        <w:t>Тази инвестиция се допълва от реформи на цените за зареждане с електроенергия и отстъпки, посочени в компонента за реформа на бизнес средата.</w:t>
      </w:r>
    </w:p>
    <w:p w14:paraId="7B5A3BD6" w14:textId="09ABCBD3" w:rsidR="006054AA" w:rsidRDefault="006054AA">
      <w:pPr>
        <w:rPr>
          <w:noProof/>
        </w:rPr>
      </w:pPr>
    </w:p>
    <w:p w14:paraId="4FB68A76" w14:textId="77777777" w:rsidR="006054AA" w:rsidRDefault="001F7667">
      <w:pPr>
        <w:pStyle w:val="Heading3"/>
        <w:numPr>
          <w:ilvl w:val="0"/>
          <w:numId w:val="0"/>
        </w:numPr>
        <w:ind w:left="850" w:hanging="850"/>
        <w:rPr>
          <w:b/>
          <w:i w:val="0"/>
          <w:noProof/>
          <w:u w:val="single"/>
        </w:rPr>
      </w:pPr>
      <w:r>
        <w:rPr>
          <w:b/>
          <w:i w:val="0"/>
          <w:noProof/>
          <w:u w:val="single"/>
        </w:rPr>
        <w:t xml:space="preserve">Д.2.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28EAA550" w14:textId="77777777" w:rsidR="006054AA" w:rsidRDefault="006054AA">
      <w:pPr>
        <w:spacing w:before="120" w:after="120"/>
        <w:ind w:left="709"/>
        <w:jc w:val="both"/>
        <w:rPr>
          <w:noProof/>
        </w:rPr>
        <w:sectPr w:rsidR="006054AA">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716"/>
        <w:gridCol w:w="1131"/>
        <w:gridCol w:w="1418"/>
        <w:gridCol w:w="1277"/>
        <w:gridCol w:w="1415"/>
        <w:gridCol w:w="709"/>
        <w:gridCol w:w="1418"/>
        <w:gridCol w:w="993"/>
        <w:gridCol w:w="709"/>
        <w:gridCol w:w="3854"/>
      </w:tblGrid>
      <w:tr w:rsidR="006054AA" w14:paraId="130BB1AE" w14:textId="77777777">
        <w:trPr>
          <w:trHeight w:val="309"/>
          <w:tblHeader/>
          <w:jc w:val="center"/>
        </w:trPr>
        <w:tc>
          <w:tcPr>
            <w:tcW w:w="975" w:type="dxa"/>
            <w:vMerge w:val="restart"/>
            <w:shd w:val="clear" w:color="auto" w:fill="C6D9F1" w:themeFill="text2" w:themeFillTint="33"/>
            <w:noWrap/>
            <w:vAlign w:val="center"/>
          </w:tcPr>
          <w:p w14:paraId="14E9BC0D" w14:textId="06CD487D" w:rsidR="006054AA" w:rsidRDefault="001F7667">
            <w:pPr>
              <w:pStyle w:val="P68B1DB1-Normal9"/>
              <w:spacing w:line="276" w:lineRule="auto"/>
              <w:jc w:val="center"/>
              <w:rPr>
                <w:noProof/>
                <w:color w:val="006100"/>
              </w:rPr>
            </w:pPr>
            <w:r>
              <w:rPr>
                <w:noProof/>
              </w:rPr>
              <w:t>Пореден номер</w:t>
            </w:r>
          </w:p>
        </w:tc>
        <w:tc>
          <w:tcPr>
            <w:tcW w:w="1716" w:type="dxa"/>
            <w:vMerge w:val="restart"/>
            <w:shd w:val="clear" w:color="auto" w:fill="C6D9F1" w:themeFill="text2" w:themeFillTint="33"/>
            <w:noWrap/>
            <w:vAlign w:val="center"/>
          </w:tcPr>
          <w:p w14:paraId="65E008C0" w14:textId="5B95454C" w:rsidR="006054AA" w:rsidRDefault="001F7667">
            <w:pPr>
              <w:pStyle w:val="P68B1DB1-Normal9"/>
              <w:spacing w:line="276" w:lineRule="auto"/>
              <w:jc w:val="center"/>
              <w:rPr>
                <w:noProof/>
                <w:color w:val="006100"/>
              </w:rPr>
            </w:pPr>
            <w:r>
              <w:rPr>
                <w:noProof/>
              </w:rPr>
              <w:t>Свързана мярка (реформа или инвестиции)</w:t>
            </w:r>
          </w:p>
        </w:tc>
        <w:tc>
          <w:tcPr>
            <w:tcW w:w="1131" w:type="dxa"/>
            <w:vMerge w:val="restart"/>
            <w:shd w:val="clear" w:color="auto" w:fill="C6D9F1" w:themeFill="text2" w:themeFillTint="33"/>
            <w:noWrap/>
            <w:vAlign w:val="center"/>
          </w:tcPr>
          <w:p w14:paraId="5EBC9945" w14:textId="089054F9" w:rsidR="006054AA" w:rsidRDefault="001F7667">
            <w:pPr>
              <w:pStyle w:val="P68B1DB1-Normal9"/>
              <w:spacing w:line="276" w:lineRule="auto"/>
              <w:jc w:val="center"/>
              <w:rPr>
                <w:noProof/>
                <w:color w:val="006100"/>
              </w:rPr>
            </w:pPr>
            <w:r>
              <w:rPr>
                <w:noProof/>
              </w:rPr>
              <w:t>Ключов етап/Цел</w:t>
            </w:r>
          </w:p>
        </w:tc>
        <w:tc>
          <w:tcPr>
            <w:tcW w:w="1418" w:type="dxa"/>
            <w:vMerge w:val="restart"/>
            <w:shd w:val="clear" w:color="auto" w:fill="C6D9F1" w:themeFill="text2" w:themeFillTint="33"/>
            <w:noWrap/>
            <w:vAlign w:val="center"/>
          </w:tcPr>
          <w:p w14:paraId="0450DF03" w14:textId="24187833" w:rsidR="006054AA" w:rsidRDefault="001F7667">
            <w:pPr>
              <w:pStyle w:val="P68B1DB1-Normal9"/>
              <w:spacing w:line="276" w:lineRule="auto"/>
              <w:jc w:val="center"/>
              <w:rPr>
                <w:noProof/>
                <w:color w:val="006100"/>
              </w:rPr>
            </w:pPr>
            <w:r>
              <w:rPr>
                <w:noProof/>
              </w:rPr>
              <w:t>Име</w:t>
            </w:r>
          </w:p>
        </w:tc>
        <w:tc>
          <w:tcPr>
            <w:tcW w:w="1277" w:type="dxa"/>
            <w:vMerge w:val="restart"/>
            <w:shd w:val="clear" w:color="auto" w:fill="C6D9F1" w:themeFill="text2" w:themeFillTint="33"/>
            <w:noWrap/>
            <w:vAlign w:val="center"/>
          </w:tcPr>
          <w:p w14:paraId="2D881BA1" w14:textId="67BD3E2B" w:rsidR="006054AA" w:rsidRDefault="001F7667">
            <w:pPr>
              <w:pStyle w:val="P68B1DB1-Normal10"/>
              <w:spacing w:line="276" w:lineRule="auto"/>
              <w:jc w:val="center"/>
              <w:rPr>
                <w:noProof/>
                <w:color w:val="006100"/>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542" w:type="dxa"/>
            <w:gridSpan w:val="3"/>
            <w:shd w:val="clear" w:color="auto" w:fill="C6D9F1" w:themeFill="text2" w:themeFillTint="33"/>
            <w:noWrap/>
            <w:vAlign w:val="center"/>
          </w:tcPr>
          <w:p w14:paraId="43600DB8" w14:textId="1BE2C025" w:rsidR="006054AA" w:rsidRDefault="001F7667">
            <w:pPr>
              <w:pStyle w:val="P68B1DB1-Normal10"/>
              <w:spacing w:line="276" w:lineRule="auto"/>
              <w:jc w:val="center"/>
              <w:rPr>
                <w:noProof/>
                <w:color w:val="006100"/>
                <w:sz w:val="20"/>
              </w:rPr>
            </w:pPr>
            <w:r>
              <w:rPr>
                <w:b/>
                <w:noProof/>
                <w:sz w:val="20"/>
              </w:rPr>
              <w:t>Количествени индикатори</w:t>
            </w:r>
            <w:r>
              <w:rPr>
                <w:noProof/>
              </w:rPr>
              <w:t xml:space="preserve"> </w:t>
            </w:r>
            <w:r>
              <w:rPr>
                <w:noProof/>
              </w:rPr>
              <w:br/>
            </w:r>
            <w:r>
              <w:rPr>
                <w:b/>
                <w:noProof/>
                <w:sz w:val="20"/>
              </w:rPr>
              <w:t>(за целите)</w:t>
            </w:r>
          </w:p>
        </w:tc>
        <w:tc>
          <w:tcPr>
            <w:tcW w:w="1702" w:type="dxa"/>
            <w:gridSpan w:val="2"/>
            <w:shd w:val="clear" w:color="auto" w:fill="C6D9F1" w:themeFill="text2" w:themeFillTint="33"/>
            <w:noWrap/>
            <w:vAlign w:val="center"/>
          </w:tcPr>
          <w:p w14:paraId="7A324FA4" w14:textId="66F70BD2" w:rsidR="006054AA" w:rsidRDefault="001F7667">
            <w:pPr>
              <w:pStyle w:val="P68B1DB1-Normal9"/>
              <w:spacing w:line="276" w:lineRule="auto"/>
              <w:jc w:val="center"/>
              <w:rPr>
                <w:noProof/>
                <w:color w:val="006100"/>
              </w:rPr>
            </w:pPr>
            <w:r>
              <w:rPr>
                <w:noProof/>
              </w:rPr>
              <w:t>Примерен график за приключване</w:t>
            </w:r>
          </w:p>
        </w:tc>
        <w:tc>
          <w:tcPr>
            <w:tcW w:w="3854" w:type="dxa"/>
            <w:vMerge w:val="restart"/>
            <w:shd w:val="clear" w:color="auto" w:fill="C6D9F1" w:themeFill="text2" w:themeFillTint="33"/>
            <w:noWrap/>
            <w:vAlign w:val="center"/>
          </w:tcPr>
          <w:p w14:paraId="77264AAC" w14:textId="790DE21C" w:rsidR="006054AA" w:rsidRDefault="001F7667">
            <w:pPr>
              <w:pStyle w:val="P68B1DB1-Normal9"/>
              <w:spacing w:after="120"/>
              <w:rPr>
                <w:noProof/>
                <w:color w:val="006100"/>
              </w:rPr>
            </w:pPr>
            <w:r>
              <w:rPr>
                <w:noProof/>
              </w:rPr>
              <w:t>Описание на всеки ключов етап и цел</w:t>
            </w:r>
          </w:p>
        </w:tc>
      </w:tr>
      <w:tr w:rsidR="006054AA" w14:paraId="7AE028E8" w14:textId="77777777">
        <w:trPr>
          <w:trHeight w:val="309"/>
          <w:tblHeader/>
          <w:jc w:val="center"/>
        </w:trPr>
        <w:tc>
          <w:tcPr>
            <w:tcW w:w="975" w:type="dxa"/>
            <w:vMerge/>
            <w:noWrap/>
            <w:vAlign w:val="center"/>
          </w:tcPr>
          <w:p w14:paraId="3F322593" w14:textId="77777777" w:rsidR="006054AA" w:rsidRDefault="006054AA">
            <w:pPr>
              <w:spacing w:line="276" w:lineRule="auto"/>
              <w:jc w:val="center"/>
              <w:rPr>
                <w:rFonts w:ascii="Arial Narrow" w:hAnsi="Arial Narrow"/>
                <w:noProof/>
                <w:color w:val="006100"/>
                <w:sz w:val="20"/>
              </w:rPr>
            </w:pPr>
          </w:p>
        </w:tc>
        <w:tc>
          <w:tcPr>
            <w:tcW w:w="1716" w:type="dxa"/>
            <w:vMerge/>
            <w:noWrap/>
            <w:vAlign w:val="center"/>
          </w:tcPr>
          <w:p w14:paraId="01D83CE4" w14:textId="77777777" w:rsidR="006054AA" w:rsidRDefault="006054AA">
            <w:pPr>
              <w:spacing w:line="276" w:lineRule="auto"/>
              <w:jc w:val="center"/>
              <w:rPr>
                <w:rFonts w:ascii="Arial Narrow" w:hAnsi="Arial Narrow"/>
                <w:noProof/>
                <w:color w:val="006100"/>
                <w:sz w:val="20"/>
              </w:rPr>
            </w:pPr>
          </w:p>
        </w:tc>
        <w:tc>
          <w:tcPr>
            <w:tcW w:w="1131" w:type="dxa"/>
            <w:vMerge/>
            <w:noWrap/>
            <w:vAlign w:val="center"/>
          </w:tcPr>
          <w:p w14:paraId="5FA4AB0D" w14:textId="77777777" w:rsidR="006054AA" w:rsidRDefault="006054AA">
            <w:pPr>
              <w:spacing w:line="276" w:lineRule="auto"/>
              <w:jc w:val="center"/>
              <w:rPr>
                <w:rFonts w:ascii="Arial Narrow" w:hAnsi="Arial Narrow"/>
                <w:noProof/>
                <w:color w:val="006100"/>
                <w:sz w:val="20"/>
              </w:rPr>
            </w:pPr>
          </w:p>
        </w:tc>
        <w:tc>
          <w:tcPr>
            <w:tcW w:w="1418" w:type="dxa"/>
            <w:vMerge/>
            <w:noWrap/>
            <w:vAlign w:val="center"/>
          </w:tcPr>
          <w:p w14:paraId="4B4302B7" w14:textId="77777777" w:rsidR="006054AA" w:rsidRDefault="006054AA">
            <w:pPr>
              <w:spacing w:line="276" w:lineRule="auto"/>
              <w:jc w:val="center"/>
              <w:rPr>
                <w:rFonts w:ascii="Arial Narrow" w:hAnsi="Arial Narrow"/>
                <w:noProof/>
                <w:color w:val="006100"/>
                <w:sz w:val="20"/>
              </w:rPr>
            </w:pPr>
          </w:p>
        </w:tc>
        <w:tc>
          <w:tcPr>
            <w:tcW w:w="1277" w:type="dxa"/>
            <w:vMerge/>
            <w:noWrap/>
            <w:vAlign w:val="center"/>
          </w:tcPr>
          <w:p w14:paraId="64CC1406" w14:textId="77777777" w:rsidR="006054AA" w:rsidRDefault="006054AA">
            <w:pPr>
              <w:spacing w:line="276" w:lineRule="auto"/>
              <w:jc w:val="center"/>
              <w:rPr>
                <w:rFonts w:ascii="Arial Narrow" w:hAnsi="Arial Narrow"/>
                <w:noProof/>
                <w:color w:val="006100"/>
                <w:sz w:val="20"/>
              </w:rPr>
            </w:pPr>
          </w:p>
        </w:tc>
        <w:tc>
          <w:tcPr>
            <w:tcW w:w="1415" w:type="dxa"/>
            <w:shd w:val="clear" w:color="auto" w:fill="C6D9F1" w:themeFill="text2" w:themeFillTint="33"/>
            <w:noWrap/>
            <w:vAlign w:val="center"/>
          </w:tcPr>
          <w:p w14:paraId="04291974" w14:textId="3E99CDA9" w:rsidR="006054AA" w:rsidRDefault="001F7667">
            <w:pPr>
              <w:pStyle w:val="P68B1DB1-Normal9"/>
              <w:spacing w:line="276" w:lineRule="auto"/>
              <w:jc w:val="center"/>
              <w:rPr>
                <w:noProof/>
                <w:color w:val="006100"/>
              </w:rPr>
            </w:pPr>
            <w:r>
              <w:rPr>
                <w:noProof/>
              </w:rPr>
              <w:t>Единица мярка</w:t>
            </w:r>
          </w:p>
        </w:tc>
        <w:tc>
          <w:tcPr>
            <w:tcW w:w="709" w:type="dxa"/>
            <w:shd w:val="clear" w:color="auto" w:fill="C6D9F1" w:themeFill="text2" w:themeFillTint="33"/>
            <w:noWrap/>
            <w:vAlign w:val="center"/>
          </w:tcPr>
          <w:p w14:paraId="37C22080" w14:textId="4FF67D39" w:rsidR="006054AA" w:rsidRDefault="001F7667">
            <w:pPr>
              <w:pStyle w:val="P68B1DB1-Normal9"/>
              <w:spacing w:line="276" w:lineRule="auto"/>
              <w:jc w:val="center"/>
              <w:rPr>
                <w:noProof/>
                <w:color w:val="006100"/>
              </w:rPr>
            </w:pPr>
            <w:r>
              <w:rPr>
                <w:noProof/>
              </w:rPr>
              <w:t>Основна линия</w:t>
            </w:r>
          </w:p>
        </w:tc>
        <w:tc>
          <w:tcPr>
            <w:tcW w:w="1418" w:type="dxa"/>
            <w:shd w:val="clear" w:color="auto" w:fill="C6D9F1" w:themeFill="text2" w:themeFillTint="33"/>
            <w:noWrap/>
            <w:vAlign w:val="center"/>
          </w:tcPr>
          <w:p w14:paraId="2D65B288" w14:textId="45C63F9C" w:rsidR="006054AA" w:rsidRDefault="001F7667">
            <w:pPr>
              <w:pStyle w:val="P68B1DB1-Normal9"/>
              <w:spacing w:line="276" w:lineRule="auto"/>
              <w:jc w:val="center"/>
              <w:rPr>
                <w:noProof/>
                <w:color w:val="006100"/>
              </w:rPr>
            </w:pPr>
            <w:r>
              <w:rPr>
                <w:noProof/>
              </w:rPr>
              <w:t>Цел</w:t>
            </w:r>
          </w:p>
        </w:tc>
        <w:tc>
          <w:tcPr>
            <w:tcW w:w="993" w:type="dxa"/>
            <w:shd w:val="clear" w:color="auto" w:fill="C6D9F1" w:themeFill="text2" w:themeFillTint="33"/>
            <w:noWrap/>
            <w:vAlign w:val="center"/>
          </w:tcPr>
          <w:p w14:paraId="317ED1B1" w14:textId="42976C0A" w:rsidR="006054AA" w:rsidRDefault="001F7667">
            <w:pPr>
              <w:pStyle w:val="P68B1DB1-Normal9"/>
              <w:spacing w:line="276" w:lineRule="auto"/>
              <w:jc w:val="center"/>
              <w:rPr>
                <w:noProof/>
                <w:color w:val="006100"/>
              </w:rPr>
            </w:pPr>
            <w:r>
              <w:rPr>
                <w:noProof/>
              </w:rPr>
              <w:t>Тримесечие</w:t>
            </w:r>
          </w:p>
        </w:tc>
        <w:tc>
          <w:tcPr>
            <w:tcW w:w="709" w:type="dxa"/>
            <w:shd w:val="clear" w:color="auto" w:fill="C6D9F1" w:themeFill="text2" w:themeFillTint="33"/>
            <w:noWrap/>
            <w:vAlign w:val="center"/>
          </w:tcPr>
          <w:p w14:paraId="693F354F" w14:textId="46188C2E" w:rsidR="006054AA" w:rsidRDefault="001F7667">
            <w:pPr>
              <w:pStyle w:val="P68B1DB1-Normal9"/>
              <w:spacing w:line="276" w:lineRule="auto"/>
              <w:jc w:val="center"/>
              <w:rPr>
                <w:noProof/>
                <w:color w:val="006100"/>
              </w:rPr>
            </w:pPr>
            <w:r>
              <w:rPr>
                <w:noProof/>
              </w:rPr>
              <w:t>Година</w:t>
            </w:r>
          </w:p>
        </w:tc>
        <w:tc>
          <w:tcPr>
            <w:tcW w:w="3854" w:type="dxa"/>
            <w:vMerge/>
            <w:noWrap/>
            <w:vAlign w:val="center"/>
          </w:tcPr>
          <w:p w14:paraId="38ED18E0" w14:textId="77777777" w:rsidR="006054AA" w:rsidRDefault="006054AA">
            <w:pPr>
              <w:spacing w:after="120"/>
              <w:rPr>
                <w:rFonts w:ascii="Arial Narrow" w:hAnsi="Arial Narrow"/>
                <w:noProof/>
                <w:color w:val="006100"/>
                <w:sz w:val="20"/>
              </w:rPr>
            </w:pPr>
          </w:p>
        </w:tc>
      </w:tr>
      <w:tr w:rsidR="006054AA" w14:paraId="115C53BA" w14:textId="77777777">
        <w:trPr>
          <w:trHeight w:val="309"/>
          <w:jc w:val="center"/>
        </w:trPr>
        <w:tc>
          <w:tcPr>
            <w:tcW w:w="975" w:type="dxa"/>
            <w:shd w:val="clear" w:color="auto" w:fill="C6EFCE"/>
            <w:noWrap/>
            <w:vAlign w:val="center"/>
          </w:tcPr>
          <w:p w14:paraId="7745102E" w14:textId="77777777" w:rsidR="006054AA" w:rsidRDefault="001F7667">
            <w:pPr>
              <w:pStyle w:val="P68B1DB1-Normal11"/>
              <w:spacing w:line="276" w:lineRule="auto"/>
              <w:jc w:val="center"/>
              <w:rPr>
                <w:noProof/>
              </w:rPr>
            </w:pPr>
            <w:r>
              <w:rPr>
                <w:noProof/>
              </w:rPr>
              <w:t>M2C2—6</w:t>
            </w:r>
          </w:p>
        </w:tc>
        <w:tc>
          <w:tcPr>
            <w:tcW w:w="1716" w:type="dxa"/>
            <w:shd w:val="clear" w:color="auto" w:fill="C6EFCE"/>
            <w:noWrap/>
            <w:vAlign w:val="center"/>
          </w:tcPr>
          <w:p w14:paraId="2F8AB896" w14:textId="77777777" w:rsidR="006054AA" w:rsidRDefault="001F7667">
            <w:pPr>
              <w:pStyle w:val="P68B1DB1-Normal11"/>
              <w:spacing w:line="276" w:lineRule="auto"/>
              <w:jc w:val="center"/>
              <w:rPr>
                <w:noProof/>
              </w:rPr>
            </w:pPr>
            <w:r>
              <w:rPr>
                <w:noProof/>
              </w:rPr>
              <w:t>Реформа 1 Опростяване на разрешителните процедури за инсталации за енергия от възобновяеми източници на сушата и в морето и нова правна рамка за поддържане на производството от възобновяеми източници и удължаване на срока и допустимостта на настоящите схеми за подпомагане</w:t>
            </w:r>
          </w:p>
        </w:tc>
        <w:tc>
          <w:tcPr>
            <w:tcW w:w="1131" w:type="dxa"/>
            <w:shd w:val="clear" w:color="auto" w:fill="C6EFCE"/>
            <w:noWrap/>
            <w:vAlign w:val="center"/>
          </w:tcPr>
          <w:p w14:paraId="77D82057"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395D9F3E" w14:textId="77777777" w:rsidR="006054AA" w:rsidRDefault="001F7667">
            <w:pPr>
              <w:pStyle w:val="P68B1DB1-Normal11"/>
              <w:spacing w:line="276" w:lineRule="auto"/>
              <w:jc w:val="center"/>
              <w:rPr>
                <w:noProof/>
              </w:rPr>
            </w:pPr>
            <w:r>
              <w:rPr>
                <w:noProof/>
              </w:rPr>
              <w:t>Влизане в сила на правна рамка за опростяване на разрешителните процедури за изграждане на структури за енергия от възобновяеми източници на сушата и в морето</w:t>
            </w:r>
          </w:p>
        </w:tc>
        <w:tc>
          <w:tcPr>
            <w:tcW w:w="1277" w:type="dxa"/>
            <w:shd w:val="clear" w:color="auto" w:fill="C6EFCE"/>
            <w:noWrap/>
            <w:vAlign w:val="center"/>
          </w:tcPr>
          <w:p w14:paraId="57B2EE41" w14:textId="77777777" w:rsidR="006054AA" w:rsidRDefault="001F7667">
            <w:pPr>
              <w:pStyle w:val="P68B1DB1-Normal11"/>
              <w:spacing w:line="276" w:lineRule="auto"/>
              <w:jc w:val="center"/>
              <w:rPr>
                <w:noProof/>
              </w:rPr>
            </w:pPr>
            <w:r>
              <w:rPr>
                <w:noProof/>
              </w:rPr>
              <w:t>Законова разпоредба, указваща влизането в сила на закона</w:t>
            </w:r>
          </w:p>
        </w:tc>
        <w:tc>
          <w:tcPr>
            <w:tcW w:w="1415" w:type="dxa"/>
            <w:shd w:val="clear" w:color="auto" w:fill="C6EFCE"/>
            <w:noWrap/>
            <w:vAlign w:val="center"/>
          </w:tcPr>
          <w:p w14:paraId="066B2090"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56CCEBD5"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0E803B13"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68670292" w14:textId="77777777" w:rsidR="006054AA" w:rsidRDefault="001F7667">
            <w:pPr>
              <w:pStyle w:val="P68B1DB1-Normal11"/>
              <w:spacing w:line="276" w:lineRule="auto"/>
              <w:jc w:val="center"/>
              <w:rPr>
                <w:noProof/>
              </w:rPr>
            </w:pPr>
            <w:r>
              <w:rPr>
                <w:noProof/>
              </w:rPr>
              <w:t>Т1 Г.</w:t>
            </w:r>
          </w:p>
        </w:tc>
        <w:tc>
          <w:tcPr>
            <w:tcW w:w="709" w:type="dxa"/>
            <w:shd w:val="clear" w:color="auto" w:fill="C6EFCE"/>
            <w:noWrap/>
            <w:vAlign w:val="center"/>
          </w:tcPr>
          <w:p w14:paraId="52DA7D7E" w14:textId="77777777" w:rsidR="006054AA" w:rsidRDefault="001F7667">
            <w:pPr>
              <w:pStyle w:val="P68B1DB1-Normal11"/>
              <w:spacing w:line="276" w:lineRule="auto"/>
              <w:jc w:val="center"/>
              <w:rPr>
                <w:noProof/>
              </w:rPr>
            </w:pPr>
            <w:r>
              <w:rPr>
                <w:noProof/>
              </w:rPr>
              <w:t>2024</w:t>
            </w:r>
          </w:p>
        </w:tc>
        <w:tc>
          <w:tcPr>
            <w:tcW w:w="3854" w:type="dxa"/>
            <w:shd w:val="clear" w:color="auto" w:fill="C6EFCE"/>
            <w:noWrap/>
            <w:vAlign w:val="center"/>
          </w:tcPr>
          <w:p w14:paraId="230D3E8A" w14:textId="77777777" w:rsidR="006054AA" w:rsidRDefault="001F7667">
            <w:pPr>
              <w:pStyle w:val="P68B1DB1-Normal11"/>
              <w:spacing w:after="120"/>
              <w:rPr>
                <w:noProof/>
              </w:rPr>
            </w:pPr>
            <w:r>
              <w:rPr>
                <w:noProof/>
              </w:rPr>
              <w:t>Правната рамка включва следните цели:</w:t>
            </w:r>
          </w:p>
          <w:p w14:paraId="4E24FFF6" w14:textId="77777777" w:rsidR="006054AA" w:rsidRDefault="001F7667">
            <w:pPr>
              <w:pStyle w:val="P68B1DB1-Normal11"/>
              <w:numPr>
                <w:ilvl w:val="0"/>
                <w:numId w:val="65"/>
              </w:numPr>
              <w:pBdr>
                <w:top w:val="nil"/>
                <w:left w:val="nil"/>
                <w:bottom w:val="nil"/>
                <w:right w:val="nil"/>
                <w:between w:val="nil"/>
              </w:pBdr>
              <w:spacing w:after="120"/>
              <w:rPr>
                <w:noProof/>
              </w:rPr>
            </w:pPr>
            <w:r>
              <w:rPr>
                <w:noProof/>
              </w:rPr>
              <w:t>създаване на опростена и достъпна регулаторна рамка за инсталации за възобновяеми енергийни източници и модернизиране и обновяване на съществуващи инсталации в съответствие с разпоредбите на Наредбата за опростяване;</w:t>
            </w:r>
          </w:p>
          <w:p w14:paraId="7C7C534F" w14:textId="77777777" w:rsidR="006054AA" w:rsidRDefault="001F7667">
            <w:pPr>
              <w:pStyle w:val="P68B1DB1-Normal11"/>
              <w:numPr>
                <w:ilvl w:val="0"/>
                <w:numId w:val="65"/>
              </w:numPr>
              <w:pBdr>
                <w:top w:val="nil"/>
                <w:left w:val="nil"/>
                <w:bottom w:val="nil"/>
                <w:right w:val="nil"/>
                <w:between w:val="nil"/>
              </w:pBdr>
              <w:spacing w:after="120"/>
              <w:rPr>
                <w:noProof/>
              </w:rPr>
            </w:pPr>
            <w:r>
              <w:rPr>
                <w:noProof/>
              </w:rPr>
              <w:t>въвеждане на дисциплина, споделена с регионите и другите съответни държавни администрации, с цел определяне на критерии за определяне на зоните, които са подходящи и неподходящи за инсталиране на централи за енергия от възобновяеми източници с обща мощност, най-малко равна на определената от PNIEC, за постигане на целите за развитие на възобновяемите източници;</w:t>
            </w:r>
          </w:p>
          <w:p w14:paraId="489500D3" w14:textId="77777777" w:rsidR="006054AA" w:rsidRDefault="001F7667">
            <w:pPr>
              <w:pStyle w:val="P68B1DB1-Normal11"/>
              <w:numPr>
                <w:ilvl w:val="0"/>
                <w:numId w:val="65"/>
              </w:numPr>
              <w:pBdr>
                <w:top w:val="nil"/>
                <w:left w:val="nil"/>
                <w:bottom w:val="nil"/>
                <w:right w:val="nil"/>
                <w:between w:val="nil"/>
              </w:pBdr>
              <w:spacing w:after="120"/>
              <w:rPr>
                <w:noProof/>
              </w:rPr>
            </w:pPr>
            <w:r>
              <w:rPr>
                <w:noProof/>
              </w:rPr>
              <w:t>завършване на механизма за подпомагане на ВЕИ и за допълнителни неутвърдени технологии или технологии с високи оперативни разходи и удължаване на периода на провеждане на търговете за т.нар. механизъм RES1;</w:t>
            </w:r>
          </w:p>
          <w:p w14:paraId="174D73B3" w14:textId="77777777" w:rsidR="006054AA" w:rsidRDefault="001F7667">
            <w:pPr>
              <w:pStyle w:val="P68B1DB1-Normal11"/>
              <w:numPr>
                <w:ilvl w:val="0"/>
                <w:numId w:val="65"/>
              </w:numPr>
              <w:pBdr>
                <w:top w:val="nil"/>
                <w:left w:val="nil"/>
                <w:bottom w:val="nil"/>
                <w:right w:val="nil"/>
                <w:between w:val="nil"/>
              </w:pBdr>
              <w:spacing w:after="120"/>
              <w:rPr>
                <w:noProof/>
              </w:rPr>
            </w:pPr>
            <w:r>
              <w:rPr>
                <w:noProof/>
              </w:rPr>
              <w:t>реформа за насърчаване на инвестициите в системи за съхранение, която е отразена в законодателния декрет за транспониране на Директива (ЕС) 2019/944 относно общите правила за вътрешния пазар на електроенергия.</w:t>
            </w:r>
          </w:p>
        </w:tc>
      </w:tr>
      <w:tr w:rsidR="006054AA" w14:paraId="1BFB3C14" w14:textId="77777777">
        <w:trPr>
          <w:trHeight w:val="309"/>
          <w:jc w:val="center"/>
        </w:trPr>
        <w:tc>
          <w:tcPr>
            <w:tcW w:w="975" w:type="dxa"/>
            <w:shd w:val="clear" w:color="auto" w:fill="C6EFCE"/>
            <w:noWrap/>
            <w:vAlign w:val="center"/>
          </w:tcPr>
          <w:p w14:paraId="1E04B4CE" w14:textId="77777777" w:rsidR="006054AA" w:rsidRDefault="001F7667">
            <w:pPr>
              <w:pStyle w:val="P68B1DB1-Normal11"/>
              <w:spacing w:line="276" w:lineRule="auto"/>
              <w:jc w:val="center"/>
              <w:rPr>
                <w:noProof/>
              </w:rPr>
            </w:pPr>
            <w:r>
              <w:rPr>
                <w:noProof/>
              </w:rPr>
              <w:t>M2C2—7</w:t>
            </w:r>
          </w:p>
        </w:tc>
        <w:tc>
          <w:tcPr>
            <w:tcW w:w="1716" w:type="dxa"/>
            <w:shd w:val="clear" w:color="auto" w:fill="C6EFCE"/>
            <w:noWrap/>
            <w:vAlign w:val="center"/>
          </w:tcPr>
          <w:p w14:paraId="3598F916" w14:textId="77777777" w:rsidR="006054AA" w:rsidRDefault="001F7667">
            <w:pPr>
              <w:pStyle w:val="P68B1DB1-Normal11"/>
              <w:spacing w:line="276" w:lineRule="auto"/>
              <w:jc w:val="center"/>
              <w:rPr>
                <w:noProof/>
              </w:rPr>
            </w:pPr>
            <w:r>
              <w:rPr>
                <w:noProof/>
              </w:rPr>
              <w:t>Реформа 2 Ново законодателство за насърчаване на производството и потреблението на газ от възобновяеми източници</w:t>
            </w:r>
          </w:p>
        </w:tc>
        <w:tc>
          <w:tcPr>
            <w:tcW w:w="1131" w:type="dxa"/>
            <w:shd w:val="clear" w:color="auto" w:fill="C6EFCE"/>
            <w:noWrap/>
            <w:vAlign w:val="center"/>
          </w:tcPr>
          <w:p w14:paraId="489887F3"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1EA44FA5" w14:textId="77777777" w:rsidR="006054AA" w:rsidRDefault="001F7667">
            <w:pPr>
              <w:pStyle w:val="P68B1DB1-Normal11"/>
              <w:spacing w:line="276" w:lineRule="auto"/>
              <w:jc w:val="center"/>
              <w:rPr>
                <w:noProof/>
              </w:rPr>
            </w:pPr>
            <w:r>
              <w:rPr>
                <w:noProof/>
              </w:rPr>
              <w:t>Влизане в сила на законодателен декрет за насърчаване на използването на газ от възобновяеми източници за използването на биометан в транспортния, промишления и жилищния сектор и постановление за изпълнение, в което се определят условията и критериите във връзка с неговото използване и новата система от стимули.</w:t>
            </w:r>
          </w:p>
        </w:tc>
        <w:tc>
          <w:tcPr>
            <w:tcW w:w="1277" w:type="dxa"/>
            <w:shd w:val="clear" w:color="auto" w:fill="C6EFCE"/>
            <w:noWrap/>
            <w:vAlign w:val="center"/>
          </w:tcPr>
          <w:p w14:paraId="209022AB" w14:textId="77777777" w:rsidR="006054AA" w:rsidRDefault="001F7667">
            <w:pPr>
              <w:pStyle w:val="P68B1DB1-Normal11"/>
              <w:spacing w:line="276" w:lineRule="auto"/>
              <w:jc w:val="center"/>
              <w:rPr>
                <w:noProof/>
              </w:rPr>
            </w:pPr>
            <w:r>
              <w:rPr>
                <w:noProof/>
              </w:rPr>
              <w:t xml:space="preserve">Законова разпоредба, указваща влизането в сила на закона </w:t>
            </w:r>
          </w:p>
        </w:tc>
        <w:tc>
          <w:tcPr>
            <w:tcW w:w="1415" w:type="dxa"/>
            <w:shd w:val="clear" w:color="auto" w:fill="C6EFCE"/>
            <w:noWrap/>
            <w:vAlign w:val="center"/>
          </w:tcPr>
          <w:p w14:paraId="548EB6AA" w14:textId="77777777" w:rsidR="006054AA" w:rsidRDefault="001F7667">
            <w:pPr>
              <w:pStyle w:val="P68B1DB1-Normal11"/>
              <w:spacing w:line="276" w:lineRule="auto"/>
              <w:jc w:val="center"/>
              <w:rPr>
                <w:noProof/>
              </w:rPr>
            </w:pPr>
            <w:r>
              <w:rPr>
                <w:noProof/>
              </w:rPr>
              <w:t xml:space="preserve">НЯМА </w:t>
            </w:r>
          </w:p>
        </w:tc>
        <w:tc>
          <w:tcPr>
            <w:tcW w:w="709" w:type="dxa"/>
            <w:shd w:val="clear" w:color="auto" w:fill="C6EFCE"/>
            <w:noWrap/>
            <w:vAlign w:val="center"/>
          </w:tcPr>
          <w:p w14:paraId="0202689C"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3173DBC6"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44C31020"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0A4E7A43" w14:textId="77777777" w:rsidR="006054AA" w:rsidRDefault="001F7667">
            <w:pPr>
              <w:pStyle w:val="P68B1DB1-Normal11"/>
              <w:spacing w:line="276" w:lineRule="auto"/>
              <w:jc w:val="center"/>
              <w:rPr>
                <w:noProof/>
              </w:rPr>
            </w:pPr>
            <w:r>
              <w:rPr>
                <w:noProof/>
              </w:rPr>
              <w:t>2021</w:t>
            </w:r>
          </w:p>
        </w:tc>
        <w:tc>
          <w:tcPr>
            <w:tcW w:w="3854" w:type="dxa"/>
            <w:shd w:val="clear" w:color="auto" w:fill="C6EFCE"/>
            <w:noWrap/>
            <w:vAlign w:val="center"/>
          </w:tcPr>
          <w:p w14:paraId="7FB51F9F" w14:textId="77777777" w:rsidR="006054AA" w:rsidRDefault="001F7667">
            <w:pPr>
              <w:pStyle w:val="P68B1DB1-Normal11"/>
              <w:spacing w:after="120"/>
              <w:rPr>
                <w:noProof/>
              </w:rPr>
            </w:pPr>
            <w:r>
              <w:rPr>
                <w:noProof/>
              </w:rPr>
              <w:t>Законодателният декрет включва по-специално:</w:t>
            </w:r>
          </w:p>
          <w:p w14:paraId="628B1B4F" w14:textId="77777777" w:rsidR="006054AA" w:rsidRDefault="001F7667">
            <w:pPr>
              <w:pStyle w:val="P68B1DB1-Normal11"/>
              <w:spacing w:after="120"/>
              <w:rPr>
                <w:noProof/>
              </w:rPr>
            </w:pPr>
            <w:r>
              <w:rPr>
                <w:noProof/>
              </w:rPr>
              <w:t>1-законодателно изменение за опростен процес на издаване на разрешения и изменение на настоящия механизъм за отпускане на безвъзмездни средства с цел i) разширяване на периметъра за допустимост и ii) удължаване на периода на предоставяне на безвъзмездните средства и iii) предвиждане на тарифния механизъм и гаранцията за произход за възобновяем газ</w:t>
            </w:r>
          </w:p>
          <w:p w14:paraId="0DA38BFB" w14:textId="77777777" w:rsidR="006054AA" w:rsidRDefault="001F7667">
            <w:pPr>
              <w:pStyle w:val="P68B1DB1-Normal11"/>
              <w:spacing w:after="120"/>
              <w:rPr>
                <w:noProof/>
              </w:rPr>
            </w:pPr>
            <w:r>
              <w:rPr>
                <w:noProof/>
              </w:rPr>
              <w:t xml:space="preserve">2 — транспониране на Директивата REDII чрез законодателен декрет </w:t>
            </w:r>
          </w:p>
          <w:p w14:paraId="563DCD56" w14:textId="77777777" w:rsidR="006054AA" w:rsidRDefault="001F7667">
            <w:pPr>
              <w:pStyle w:val="P68B1DB1-Normal11"/>
              <w:spacing w:after="120"/>
              <w:rPr>
                <w:noProof/>
              </w:rPr>
            </w:pPr>
            <w:r>
              <w:rPr>
                <w:noProof/>
              </w:rPr>
              <w:t>3 — общата координация ще бъде извършена от Ministero della Transigione Ecologica (MiTE) с подкрепата на другите администрации с консултативни функции: Министерство на земеделието (MIPAAF), Министерство на икономиката и финансите (MEF) и Gestore Servizi Energetici.</w:t>
            </w:r>
          </w:p>
        </w:tc>
      </w:tr>
      <w:tr w:rsidR="006054AA" w14:paraId="39919253" w14:textId="77777777">
        <w:trPr>
          <w:trHeight w:val="309"/>
          <w:jc w:val="center"/>
        </w:trPr>
        <w:tc>
          <w:tcPr>
            <w:tcW w:w="975" w:type="dxa"/>
            <w:shd w:val="clear" w:color="auto" w:fill="C6EFCE"/>
            <w:noWrap/>
            <w:vAlign w:val="center"/>
          </w:tcPr>
          <w:p w14:paraId="103C8AF5" w14:textId="77777777" w:rsidR="006054AA" w:rsidRDefault="001F7667">
            <w:pPr>
              <w:pStyle w:val="P68B1DB1-Normal11"/>
              <w:spacing w:line="276" w:lineRule="auto"/>
              <w:jc w:val="center"/>
              <w:rPr>
                <w:noProof/>
              </w:rPr>
            </w:pPr>
            <w:r>
              <w:rPr>
                <w:noProof/>
              </w:rPr>
              <w:t>M2C2—8</w:t>
            </w:r>
          </w:p>
        </w:tc>
        <w:tc>
          <w:tcPr>
            <w:tcW w:w="1716" w:type="dxa"/>
            <w:shd w:val="clear" w:color="auto" w:fill="C6EFCE"/>
            <w:noWrap/>
            <w:vAlign w:val="center"/>
          </w:tcPr>
          <w:p w14:paraId="7DAB9B9D" w14:textId="77777777" w:rsidR="006054AA" w:rsidRDefault="001F7667">
            <w:pPr>
              <w:pStyle w:val="P68B1DB1-Normal11"/>
              <w:spacing w:line="276" w:lineRule="auto"/>
              <w:jc w:val="center"/>
              <w:rPr>
                <w:noProof/>
              </w:rPr>
            </w:pPr>
            <w:r>
              <w:rPr>
                <w:noProof/>
              </w:rPr>
              <w:t>Инвестиция 2.1 Укрепване на интелигентните мрежи</w:t>
            </w:r>
          </w:p>
        </w:tc>
        <w:tc>
          <w:tcPr>
            <w:tcW w:w="1131" w:type="dxa"/>
            <w:shd w:val="clear" w:color="auto" w:fill="C6EFCE"/>
            <w:noWrap/>
            <w:vAlign w:val="center"/>
          </w:tcPr>
          <w:p w14:paraId="3B7DC23B"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6291365C" w14:textId="77777777" w:rsidR="006054AA" w:rsidRDefault="001F7667">
            <w:pPr>
              <w:pStyle w:val="P68B1DB1-Normal11"/>
              <w:spacing w:line="276" w:lineRule="auto"/>
              <w:jc w:val="center"/>
              <w:rPr>
                <w:noProof/>
              </w:rPr>
            </w:pPr>
            <w:r>
              <w:rPr>
                <w:noProof/>
              </w:rPr>
              <w:t>Възлагане на (всички) обществени поръчки за увеличаване на капацитета на мрежата</w:t>
            </w:r>
          </w:p>
        </w:tc>
        <w:tc>
          <w:tcPr>
            <w:tcW w:w="1277" w:type="dxa"/>
            <w:shd w:val="clear" w:color="auto" w:fill="C6EFCE"/>
            <w:noWrap/>
            <w:vAlign w:val="center"/>
          </w:tcPr>
          <w:p w14:paraId="77DF5AF5" w14:textId="77777777" w:rsidR="006054AA" w:rsidRDefault="001F7667">
            <w:pPr>
              <w:pStyle w:val="P68B1DB1-Normal11"/>
              <w:spacing w:line="276" w:lineRule="auto"/>
              <w:jc w:val="center"/>
              <w:rPr>
                <w:noProof/>
              </w:rPr>
            </w:pPr>
            <w:r>
              <w:rPr>
                <w:noProof/>
              </w:rPr>
              <w:t>Уведомление за възлагане на (всички) обществени поръчки за</w:t>
            </w:r>
          </w:p>
        </w:tc>
        <w:tc>
          <w:tcPr>
            <w:tcW w:w="1415" w:type="dxa"/>
            <w:shd w:val="clear" w:color="auto" w:fill="C6EFCE"/>
            <w:noWrap/>
            <w:vAlign w:val="center"/>
          </w:tcPr>
          <w:p w14:paraId="4EB16CA7"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07A2220E"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72012F53"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328184DB"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2DD28938" w14:textId="77777777" w:rsidR="006054AA" w:rsidRDefault="001F7667">
            <w:pPr>
              <w:pStyle w:val="P68B1DB1-Normal11"/>
              <w:spacing w:line="276" w:lineRule="auto"/>
              <w:jc w:val="center"/>
              <w:rPr>
                <w:noProof/>
              </w:rPr>
            </w:pPr>
            <w:r>
              <w:rPr>
                <w:noProof/>
              </w:rPr>
              <w:t>2022</w:t>
            </w:r>
          </w:p>
        </w:tc>
        <w:tc>
          <w:tcPr>
            <w:tcW w:w="3854" w:type="dxa"/>
            <w:shd w:val="clear" w:color="auto" w:fill="C6EFCE"/>
            <w:noWrap/>
            <w:vAlign w:val="center"/>
          </w:tcPr>
          <w:p w14:paraId="00E70403" w14:textId="77777777" w:rsidR="006054AA" w:rsidRDefault="001F7667">
            <w:pPr>
              <w:pStyle w:val="P68B1DB1-Normal11"/>
              <w:spacing w:after="120"/>
              <w:rPr>
                <w:noProof/>
              </w:rPr>
            </w:pPr>
            <w:r>
              <w:rPr>
                <w:noProof/>
              </w:rPr>
              <w:t>Уведомление за възлагане на (всички) обществени поръчки за увеличаване на мрежовия капацитет за разпределение на енергия от възобновяеми източници и за електрификация на потреблението на енергия</w:t>
            </w:r>
          </w:p>
        </w:tc>
      </w:tr>
      <w:tr w:rsidR="006054AA" w14:paraId="1945505C" w14:textId="77777777">
        <w:trPr>
          <w:trHeight w:val="309"/>
          <w:jc w:val="center"/>
        </w:trPr>
        <w:tc>
          <w:tcPr>
            <w:tcW w:w="975" w:type="dxa"/>
            <w:shd w:val="clear" w:color="auto" w:fill="C6EFCE"/>
            <w:noWrap/>
            <w:vAlign w:val="center"/>
          </w:tcPr>
          <w:p w14:paraId="315676E8" w14:textId="77777777" w:rsidR="006054AA" w:rsidRDefault="001F7667">
            <w:pPr>
              <w:pStyle w:val="P68B1DB1-Normal11"/>
              <w:spacing w:line="276" w:lineRule="auto"/>
              <w:jc w:val="center"/>
              <w:rPr>
                <w:noProof/>
              </w:rPr>
            </w:pPr>
            <w:r>
              <w:rPr>
                <w:noProof/>
              </w:rPr>
              <w:t>M2C2—12</w:t>
            </w:r>
          </w:p>
        </w:tc>
        <w:tc>
          <w:tcPr>
            <w:tcW w:w="1716" w:type="dxa"/>
            <w:shd w:val="clear" w:color="auto" w:fill="C6EFCE"/>
            <w:noWrap/>
            <w:vAlign w:val="center"/>
          </w:tcPr>
          <w:p w14:paraId="5D1C693D" w14:textId="77777777" w:rsidR="006054AA" w:rsidRDefault="001F7667">
            <w:pPr>
              <w:pStyle w:val="P68B1DB1-Normal11"/>
              <w:spacing w:line="276" w:lineRule="auto"/>
              <w:jc w:val="center"/>
              <w:rPr>
                <w:noProof/>
              </w:rPr>
            </w:pPr>
            <w:r>
              <w:rPr>
                <w:noProof/>
              </w:rPr>
              <w:t>Инвестиция 2.2 Интервенции за повишаване на устойчивостта на електроенергийната мрежа</w:t>
            </w:r>
          </w:p>
        </w:tc>
        <w:tc>
          <w:tcPr>
            <w:tcW w:w="1131" w:type="dxa"/>
            <w:shd w:val="clear" w:color="auto" w:fill="C6EFCE"/>
            <w:noWrap/>
            <w:vAlign w:val="center"/>
          </w:tcPr>
          <w:p w14:paraId="25FE2387"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21A5A7C5" w14:textId="77777777" w:rsidR="006054AA" w:rsidRDefault="001F7667">
            <w:pPr>
              <w:pStyle w:val="P68B1DB1-Normal11"/>
              <w:spacing w:line="276" w:lineRule="auto"/>
              <w:jc w:val="center"/>
              <w:rPr>
                <w:noProof/>
              </w:rPr>
            </w:pPr>
            <w:r>
              <w:rPr>
                <w:noProof/>
              </w:rPr>
              <w:t>Възлагане на проекти за повишаване на устойчивостта на електроенергийната мрежа</w:t>
            </w:r>
          </w:p>
        </w:tc>
        <w:tc>
          <w:tcPr>
            <w:tcW w:w="1277" w:type="dxa"/>
            <w:shd w:val="clear" w:color="auto" w:fill="C6EFCE"/>
            <w:noWrap/>
            <w:vAlign w:val="center"/>
          </w:tcPr>
          <w:p w14:paraId="6B21ED1B" w14:textId="77777777" w:rsidR="006054AA" w:rsidRDefault="001F7667">
            <w:pPr>
              <w:pStyle w:val="P68B1DB1-Normal11"/>
              <w:spacing w:line="276" w:lineRule="auto"/>
              <w:jc w:val="center"/>
              <w:rPr>
                <w:noProof/>
              </w:rPr>
            </w:pPr>
            <w:r>
              <w:rPr>
                <w:noProof/>
              </w:rPr>
              <w:t>Уведомяване за възлагането на проектите</w:t>
            </w:r>
          </w:p>
        </w:tc>
        <w:tc>
          <w:tcPr>
            <w:tcW w:w="1415" w:type="dxa"/>
            <w:shd w:val="clear" w:color="auto" w:fill="C6EFCE"/>
            <w:noWrap/>
            <w:vAlign w:val="center"/>
          </w:tcPr>
          <w:p w14:paraId="0F921C06"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7349C55A"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70251038"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58EC1E5E"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7555D6E2" w14:textId="77777777" w:rsidR="006054AA" w:rsidRDefault="001F7667">
            <w:pPr>
              <w:pStyle w:val="P68B1DB1-Normal11"/>
              <w:spacing w:line="276" w:lineRule="auto"/>
              <w:jc w:val="center"/>
              <w:rPr>
                <w:noProof/>
              </w:rPr>
            </w:pPr>
            <w:r>
              <w:rPr>
                <w:noProof/>
              </w:rPr>
              <w:t>2022</w:t>
            </w:r>
          </w:p>
        </w:tc>
        <w:tc>
          <w:tcPr>
            <w:tcW w:w="3854" w:type="dxa"/>
            <w:shd w:val="clear" w:color="auto" w:fill="C6EFCE"/>
            <w:noWrap/>
            <w:vAlign w:val="center"/>
          </w:tcPr>
          <w:p w14:paraId="79219B07" w14:textId="6616E607" w:rsidR="006054AA" w:rsidRDefault="001F7667">
            <w:pPr>
              <w:pStyle w:val="P68B1DB1-Normal12"/>
              <w:spacing w:after="120"/>
              <w:rPr>
                <w:rFonts w:ascii="Arial Narrow" w:hAnsi="Arial Narrow"/>
                <w:noProof/>
              </w:rPr>
            </w:pPr>
            <w:r>
              <w:rPr>
                <w:rFonts w:ascii="Arial Narrow" w:hAnsi="Arial Narrow"/>
                <w:noProof/>
              </w:rPr>
              <w:t>Възлагане на проекти за повишаване на устойчивостта на най-малко 4</w:t>
            </w:r>
            <w:r>
              <w:rPr>
                <w:noProof/>
              </w:rPr>
              <w:t xml:space="preserve"> </w:t>
            </w:r>
            <w:r>
              <w:rPr>
                <w:rFonts w:ascii="Arial Narrow" w:hAnsi="Arial Narrow"/>
                <w:noProof/>
              </w:rPr>
              <w:t>km в мрежата на електроенергийната система, така че да се намалят честотата и продължителността на намаленията на енергия, дължащи се на екстремни метеорологични условия.</w:t>
            </w:r>
          </w:p>
        </w:tc>
      </w:tr>
      <w:tr w:rsidR="006054AA" w14:paraId="6F1B06C6" w14:textId="77777777">
        <w:trPr>
          <w:trHeight w:val="309"/>
          <w:jc w:val="center"/>
        </w:trPr>
        <w:tc>
          <w:tcPr>
            <w:tcW w:w="975" w:type="dxa"/>
            <w:shd w:val="clear" w:color="auto" w:fill="C6EFCE"/>
            <w:noWrap/>
            <w:vAlign w:val="center"/>
          </w:tcPr>
          <w:p w14:paraId="4D6E1128" w14:textId="77777777" w:rsidR="006054AA" w:rsidRDefault="001F7667">
            <w:pPr>
              <w:pStyle w:val="P68B1DB1-Normal11"/>
              <w:spacing w:line="276" w:lineRule="auto"/>
              <w:jc w:val="center"/>
              <w:rPr>
                <w:noProof/>
              </w:rPr>
            </w:pPr>
            <w:r>
              <w:rPr>
                <w:noProof/>
              </w:rPr>
              <w:t>M2C2—14</w:t>
            </w:r>
          </w:p>
        </w:tc>
        <w:tc>
          <w:tcPr>
            <w:tcW w:w="1716" w:type="dxa"/>
            <w:shd w:val="clear" w:color="auto" w:fill="C6EFCE"/>
            <w:noWrap/>
            <w:vAlign w:val="center"/>
          </w:tcPr>
          <w:p w14:paraId="12950B38" w14:textId="77777777" w:rsidR="006054AA" w:rsidRDefault="001F7667">
            <w:pPr>
              <w:pStyle w:val="P68B1DB1-Normal11"/>
              <w:spacing w:line="276" w:lineRule="auto"/>
              <w:jc w:val="center"/>
              <w:rPr>
                <w:noProof/>
              </w:rPr>
            </w:pPr>
            <w:r>
              <w:rPr>
                <w:noProof/>
              </w:rPr>
              <w:t>Инвестиция 3.3 Изпитване на водород за автомобилния транспорт</w:t>
            </w:r>
          </w:p>
        </w:tc>
        <w:tc>
          <w:tcPr>
            <w:tcW w:w="1131" w:type="dxa"/>
            <w:shd w:val="clear" w:color="auto" w:fill="C6EFCE"/>
            <w:noWrap/>
            <w:vAlign w:val="center"/>
          </w:tcPr>
          <w:p w14:paraId="7ADC1518"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68222AEF" w14:textId="77777777" w:rsidR="006054AA" w:rsidRDefault="001F7667">
            <w:pPr>
              <w:pStyle w:val="P68B1DB1-Normal11"/>
              <w:spacing w:line="276" w:lineRule="auto"/>
              <w:jc w:val="center"/>
              <w:rPr>
                <w:noProof/>
              </w:rPr>
            </w:pPr>
            <w:r>
              <w:rPr>
                <w:noProof/>
              </w:rPr>
              <w:t>Възлагане на (всички) обществени поръчки за изграждане на станции за презареждане с водород</w:t>
            </w:r>
          </w:p>
        </w:tc>
        <w:tc>
          <w:tcPr>
            <w:tcW w:w="1277" w:type="dxa"/>
            <w:shd w:val="clear" w:color="auto" w:fill="C6EFCE"/>
            <w:noWrap/>
            <w:vAlign w:val="center"/>
          </w:tcPr>
          <w:p w14:paraId="01D5FE5A" w14:textId="77777777" w:rsidR="006054AA" w:rsidRDefault="001F7667">
            <w:pPr>
              <w:pStyle w:val="P68B1DB1-Normal11"/>
              <w:spacing w:line="276" w:lineRule="auto"/>
              <w:jc w:val="center"/>
              <w:rPr>
                <w:noProof/>
              </w:rPr>
            </w:pPr>
            <w:r>
              <w:rPr>
                <w:noProof/>
              </w:rPr>
              <w:t>Уведомление за възлагане на (всички) обществени поръчки за изграждане на най-малко 40 станции за презареждане с водород [...]</w:t>
            </w:r>
          </w:p>
        </w:tc>
        <w:tc>
          <w:tcPr>
            <w:tcW w:w="1415" w:type="dxa"/>
            <w:shd w:val="clear" w:color="auto" w:fill="C6EFCE"/>
            <w:noWrap/>
            <w:vAlign w:val="center"/>
          </w:tcPr>
          <w:p w14:paraId="098B68EA"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44447E8D"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12B7B1C5"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2C2B92DB" w14:textId="77777777" w:rsidR="006054AA" w:rsidRDefault="001F7667">
            <w:pPr>
              <w:pStyle w:val="P68B1DB1-Normal11"/>
              <w:spacing w:line="276" w:lineRule="auto"/>
              <w:jc w:val="center"/>
              <w:rPr>
                <w:noProof/>
              </w:rPr>
            </w:pPr>
            <w:r>
              <w:rPr>
                <w:noProof/>
              </w:rPr>
              <w:t>Т1 Г.</w:t>
            </w:r>
          </w:p>
        </w:tc>
        <w:tc>
          <w:tcPr>
            <w:tcW w:w="709" w:type="dxa"/>
            <w:shd w:val="clear" w:color="auto" w:fill="C6EFCE"/>
            <w:noWrap/>
            <w:vAlign w:val="center"/>
          </w:tcPr>
          <w:p w14:paraId="1EADAF8E" w14:textId="77777777" w:rsidR="006054AA" w:rsidRDefault="001F7667">
            <w:pPr>
              <w:pStyle w:val="P68B1DB1-Normal11"/>
              <w:spacing w:line="276" w:lineRule="auto"/>
              <w:jc w:val="center"/>
              <w:rPr>
                <w:noProof/>
              </w:rPr>
            </w:pPr>
            <w:r>
              <w:rPr>
                <w:noProof/>
              </w:rPr>
              <w:t>2023</w:t>
            </w:r>
          </w:p>
        </w:tc>
        <w:tc>
          <w:tcPr>
            <w:tcW w:w="3854" w:type="dxa"/>
            <w:shd w:val="clear" w:color="auto" w:fill="C6EFCE"/>
            <w:noWrap/>
            <w:vAlign w:val="center"/>
          </w:tcPr>
          <w:p w14:paraId="66CA047C" w14:textId="23214ECE" w:rsidR="006054AA" w:rsidRDefault="001F7667">
            <w:pPr>
              <w:pStyle w:val="P68B1DB1-Normal11"/>
              <w:spacing w:after="120"/>
              <w:rPr>
                <w:noProof/>
              </w:rPr>
            </w:pPr>
            <w:r>
              <w:rPr>
                <w:noProof/>
              </w:rPr>
              <w:t>Уведомление за възлагането на (всички) обществени поръчки за разработването на най-малко 40 станции за презареждане, базирани на водород, в съответствие с Директива 2014/94/ЕС относно инфраструктурата за алтернативни горива.</w:t>
            </w:r>
          </w:p>
        </w:tc>
      </w:tr>
      <w:tr w:rsidR="006054AA" w14:paraId="1EB8DE3E" w14:textId="77777777">
        <w:trPr>
          <w:trHeight w:val="309"/>
          <w:jc w:val="center"/>
        </w:trPr>
        <w:tc>
          <w:tcPr>
            <w:tcW w:w="975" w:type="dxa"/>
            <w:shd w:val="clear" w:color="auto" w:fill="C6EFCE"/>
            <w:noWrap/>
            <w:vAlign w:val="center"/>
          </w:tcPr>
          <w:p w14:paraId="44F58440" w14:textId="77777777" w:rsidR="006054AA" w:rsidRDefault="001F7667">
            <w:pPr>
              <w:pStyle w:val="P68B1DB1-Normal11"/>
              <w:spacing w:line="276" w:lineRule="auto"/>
              <w:jc w:val="center"/>
              <w:rPr>
                <w:noProof/>
              </w:rPr>
            </w:pPr>
            <w:r>
              <w:rPr>
                <w:noProof/>
              </w:rPr>
              <w:t>M2C2—16</w:t>
            </w:r>
          </w:p>
        </w:tc>
        <w:tc>
          <w:tcPr>
            <w:tcW w:w="1716" w:type="dxa"/>
            <w:shd w:val="clear" w:color="auto" w:fill="C6EFCE"/>
            <w:noWrap/>
            <w:vAlign w:val="center"/>
          </w:tcPr>
          <w:p w14:paraId="19DF74E7" w14:textId="77777777" w:rsidR="006054AA" w:rsidRDefault="001F7667">
            <w:pPr>
              <w:pStyle w:val="P68B1DB1-Normal11"/>
              <w:spacing w:line="276" w:lineRule="auto"/>
              <w:jc w:val="center"/>
              <w:rPr>
                <w:noProof/>
              </w:rPr>
            </w:pPr>
            <w:r>
              <w:rPr>
                <w:noProof/>
              </w:rPr>
              <w:t>Инвестиция 3.4 Изпитване на водород за железопътна мобилност</w:t>
            </w:r>
          </w:p>
        </w:tc>
        <w:tc>
          <w:tcPr>
            <w:tcW w:w="1131" w:type="dxa"/>
            <w:shd w:val="clear" w:color="auto" w:fill="C6EFCE"/>
            <w:noWrap/>
            <w:vAlign w:val="center"/>
          </w:tcPr>
          <w:p w14:paraId="2C9479BE"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570F2DDC" w14:textId="77777777" w:rsidR="006054AA" w:rsidRDefault="001F7667">
            <w:pPr>
              <w:pStyle w:val="P68B1DB1-Normal11"/>
              <w:spacing w:line="276" w:lineRule="auto"/>
              <w:jc w:val="center"/>
              <w:rPr>
                <w:noProof/>
              </w:rPr>
            </w:pPr>
            <w:r>
              <w:rPr>
                <w:noProof/>
              </w:rPr>
              <w:t>Разпределение на ресурсите за изпитване на водорода за железопътна мобилност</w:t>
            </w:r>
          </w:p>
        </w:tc>
        <w:tc>
          <w:tcPr>
            <w:tcW w:w="1277" w:type="dxa"/>
            <w:shd w:val="clear" w:color="auto" w:fill="C6EFCE"/>
            <w:noWrap/>
            <w:vAlign w:val="center"/>
          </w:tcPr>
          <w:p w14:paraId="7C5F47D4" w14:textId="77777777" w:rsidR="006054AA" w:rsidRDefault="001F7667">
            <w:pPr>
              <w:pStyle w:val="P68B1DB1-Normal11"/>
              <w:spacing w:line="276" w:lineRule="auto"/>
              <w:jc w:val="center"/>
              <w:rPr>
                <w:noProof/>
              </w:rPr>
            </w:pPr>
            <w:r>
              <w:rPr>
                <w:noProof/>
              </w:rPr>
              <w:t>Уведомление за разпределението на ресурсите</w:t>
            </w:r>
          </w:p>
        </w:tc>
        <w:tc>
          <w:tcPr>
            <w:tcW w:w="1415" w:type="dxa"/>
            <w:shd w:val="clear" w:color="auto" w:fill="C6EFCE"/>
            <w:noWrap/>
            <w:vAlign w:val="center"/>
          </w:tcPr>
          <w:p w14:paraId="6E539A55"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185494B6"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7FD9B7E5"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5E70CBB8" w14:textId="77777777" w:rsidR="006054AA" w:rsidRDefault="001F7667">
            <w:pPr>
              <w:pStyle w:val="P68B1DB1-Normal11"/>
              <w:spacing w:line="276" w:lineRule="auto"/>
              <w:jc w:val="center"/>
              <w:rPr>
                <w:noProof/>
              </w:rPr>
            </w:pPr>
            <w:r>
              <w:rPr>
                <w:noProof/>
              </w:rPr>
              <w:t>Т1 Г.</w:t>
            </w:r>
          </w:p>
        </w:tc>
        <w:tc>
          <w:tcPr>
            <w:tcW w:w="709" w:type="dxa"/>
            <w:shd w:val="clear" w:color="auto" w:fill="C6EFCE"/>
            <w:noWrap/>
            <w:vAlign w:val="center"/>
          </w:tcPr>
          <w:p w14:paraId="284431AE" w14:textId="77777777" w:rsidR="006054AA" w:rsidRDefault="001F7667">
            <w:pPr>
              <w:pStyle w:val="P68B1DB1-Normal11"/>
              <w:spacing w:line="276" w:lineRule="auto"/>
              <w:jc w:val="center"/>
              <w:rPr>
                <w:noProof/>
              </w:rPr>
            </w:pPr>
            <w:r>
              <w:rPr>
                <w:noProof/>
              </w:rPr>
              <w:t>2023</w:t>
            </w:r>
          </w:p>
        </w:tc>
        <w:tc>
          <w:tcPr>
            <w:tcW w:w="3854" w:type="dxa"/>
            <w:shd w:val="clear" w:color="auto" w:fill="C6EFCE"/>
            <w:noWrap/>
            <w:vAlign w:val="center"/>
          </w:tcPr>
          <w:p w14:paraId="402D2388" w14:textId="2F0F8E1F" w:rsidR="006054AA" w:rsidRDefault="001F7667">
            <w:pPr>
              <w:pStyle w:val="P68B1DB1-Normal11"/>
              <w:spacing w:after="120"/>
              <w:rPr>
                <w:noProof/>
              </w:rPr>
            </w:pPr>
            <w:r>
              <w:rPr>
                <w:noProof/>
              </w:rPr>
              <w:t>Разпределение на ресурсите в съответствие с процедурите и критериите, установени за изграждане на десет станции за презареждане с гориво на основата на водород по шест железопътни линии.</w:t>
            </w:r>
          </w:p>
        </w:tc>
      </w:tr>
      <w:tr w:rsidR="006054AA" w14:paraId="697301A6" w14:textId="77777777">
        <w:trPr>
          <w:trHeight w:val="309"/>
          <w:jc w:val="center"/>
        </w:trPr>
        <w:tc>
          <w:tcPr>
            <w:tcW w:w="975" w:type="dxa"/>
            <w:shd w:val="clear" w:color="auto" w:fill="C6EFCE"/>
            <w:noWrap/>
            <w:vAlign w:val="center"/>
          </w:tcPr>
          <w:p w14:paraId="3FF9559B" w14:textId="77777777" w:rsidR="006054AA" w:rsidRDefault="001F7667">
            <w:pPr>
              <w:pStyle w:val="P68B1DB1-Normal11"/>
              <w:spacing w:line="276" w:lineRule="auto"/>
              <w:jc w:val="center"/>
              <w:rPr>
                <w:noProof/>
              </w:rPr>
            </w:pPr>
            <w:r>
              <w:rPr>
                <w:noProof/>
              </w:rPr>
              <w:t>M2C2—18</w:t>
            </w:r>
          </w:p>
        </w:tc>
        <w:tc>
          <w:tcPr>
            <w:tcW w:w="1716" w:type="dxa"/>
            <w:shd w:val="clear" w:color="auto" w:fill="C6EFCE"/>
            <w:noWrap/>
            <w:vAlign w:val="center"/>
          </w:tcPr>
          <w:p w14:paraId="5B55E111" w14:textId="77777777" w:rsidR="006054AA" w:rsidRDefault="001F7667">
            <w:pPr>
              <w:pStyle w:val="P68B1DB1-Normal11"/>
              <w:spacing w:line="276" w:lineRule="auto"/>
              <w:jc w:val="center"/>
              <w:rPr>
                <w:noProof/>
              </w:rPr>
            </w:pPr>
            <w:r>
              <w:rPr>
                <w:noProof/>
              </w:rPr>
              <w:t>Инвестиция 3.5 Научноизследователска и развойна дейност в областта на водорода</w:t>
            </w:r>
          </w:p>
        </w:tc>
        <w:tc>
          <w:tcPr>
            <w:tcW w:w="1131" w:type="dxa"/>
            <w:shd w:val="clear" w:color="auto" w:fill="C6EFCE"/>
            <w:noWrap/>
            <w:vAlign w:val="center"/>
          </w:tcPr>
          <w:p w14:paraId="08A82724"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35F23B03" w14:textId="77777777" w:rsidR="006054AA" w:rsidRDefault="001F7667">
            <w:pPr>
              <w:pStyle w:val="P68B1DB1-Normal11"/>
              <w:spacing w:line="276" w:lineRule="auto"/>
              <w:jc w:val="center"/>
              <w:rPr>
                <w:noProof/>
              </w:rPr>
            </w:pPr>
            <w:r>
              <w:rPr>
                <w:noProof/>
              </w:rPr>
              <w:t>Възлагане на всички обществени поръчки в областта на НИРД за научноизследователски проекти в областта на водорода</w:t>
            </w:r>
          </w:p>
        </w:tc>
        <w:tc>
          <w:tcPr>
            <w:tcW w:w="1277" w:type="dxa"/>
            <w:shd w:val="clear" w:color="auto" w:fill="C6EFCE"/>
            <w:noWrap/>
            <w:vAlign w:val="center"/>
          </w:tcPr>
          <w:p w14:paraId="28CEBF01" w14:textId="77777777" w:rsidR="006054AA" w:rsidRDefault="001F7667">
            <w:pPr>
              <w:pStyle w:val="P68B1DB1-Normal11"/>
              <w:spacing w:line="276" w:lineRule="auto"/>
              <w:jc w:val="center"/>
              <w:rPr>
                <w:noProof/>
              </w:rPr>
            </w:pPr>
            <w:r>
              <w:rPr>
                <w:noProof/>
              </w:rPr>
              <w:t>Уведомление за възлагането на договори за научноизследователска и развойна дейност в областта на водорода</w:t>
            </w:r>
          </w:p>
        </w:tc>
        <w:tc>
          <w:tcPr>
            <w:tcW w:w="1415" w:type="dxa"/>
            <w:shd w:val="clear" w:color="auto" w:fill="C6EFCE"/>
            <w:noWrap/>
            <w:vAlign w:val="center"/>
          </w:tcPr>
          <w:p w14:paraId="1E8245D5"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06BDC643"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396BAF90"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733AFC21" w14:textId="77777777" w:rsidR="006054AA" w:rsidRDefault="001F7667">
            <w:pPr>
              <w:pStyle w:val="P68B1DB1-Normal11"/>
              <w:spacing w:line="276" w:lineRule="auto"/>
              <w:jc w:val="center"/>
              <w:rPr>
                <w:noProof/>
              </w:rPr>
            </w:pPr>
            <w:r>
              <w:rPr>
                <w:noProof/>
              </w:rPr>
              <w:t>Т2 Г.</w:t>
            </w:r>
          </w:p>
        </w:tc>
        <w:tc>
          <w:tcPr>
            <w:tcW w:w="709" w:type="dxa"/>
            <w:shd w:val="clear" w:color="auto" w:fill="C6EFCE"/>
            <w:noWrap/>
            <w:vAlign w:val="center"/>
          </w:tcPr>
          <w:p w14:paraId="38E76F81" w14:textId="77777777" w:rsidR="006054AA" w:rsidRDefault="001F7667">
            <w:pPr>
              <w:pStyle w:val="P68B1DB1-Normal11"/>
              <w:spacing w:line="276" w:lineRule="auto"/>
              <w:jc w:val="center"/>
              <w:rPr>
                <w:noProof/>
              </w:rPr>
            </w:pPr>
            <w:r>
              <w:rPr>
                <w:noProof/>
              </w:rPr>
              <w:t>2022</w:t>
            </w:r>
          </w:p>
        </w:tc>
        <w:tc>
          <w:tcPr>
            <w:tcW w:w="3854" w:type="dxa"/>
            <w:shd w:val="clear" w:color="auto" w:fill="C6EFCE"/>
            <w:noWrap/>
            <w:vAlign w:val="center"/>
          </w:tcPr>
          <w:p w14:paraId="21AD88E6" w14:textId="77777777" w:rsidR="006054AA" w:rsidRDefault="001F7667">
            <w:pPr>
              <w:pStyle w:val="P68B1DB1-Normal11"/>
              <w:spacing w:after="120"/>
              <w:rPr>
                <w:noProof/>
              </w:rPr>
            </w:pPr>
            <w:r>
              <w:rPr>
                <w:noProof/>
              </w:rPr>
              <w:t>Уведомяване за възлагането на поръчки за НИРД, което има за цел да подобри познанията за прилагането на водородния вектор във фазите на производство, съхранение и разпространение.  Договорите развиват най-малко четири измерения на научните изследвания:</w:t>
            </w:r>
          </w:p>
          <w:p w14:paraId="19699BA6" w14:textId="77777777" w:rsidR="006054AA" w:rsidRDefault="001F7667">
            <w:pPr>
              <w:pStyle w:val="P68B1DB1-Normal11"/>
              <w:spacing w:after="120"/>
              <w:rPr>
                <w:noProof/>
              </w:rPr>
            </w:pPr>
            <w:r>
              <w:rPr>
                <w:noProof/>
              </w:rPr>
              <w:t>а) производство на зелен и чист водород</w:t>
            </w:r>
          </w:p>
          <w:p w14:paraId="0384FCB6" w14:textId="77777777" w:rsidR="006054AA" w:rsidRDefault="001F7667">
            <w:pPr>
              <w:pStyle w:val="P68B1DB1-Normal11"/>
              <w:spacing w:after="120"/>
              <w:rPr>
                <w:noProof/>
              </w:rPr>
            </w:pPr>
            <w:r>
              <w:rPr>
                <w:noProof/>
              </w:rPr>
              <w:t>иновативни технологии за съхранение, транспортиране и преобразуване на водород в производни и горива на основата на електроенергия</w:t>
            </w:r>
          </w:p>
          <w:p w14:paraId="1FDF7795" w14:textId="77777777" w:rsidR="006054AA" w:rsidRDefault="001F7667">
            <w:pPr>
              <w:pStyle w:val="P68B1DB1-Normal11"/>
              <w:spacing w:after="120"/>
              <w:rPr>
                <w:noProof/>
              </w:rPr>
            </w:pPr>
            <w:r>
              <w:rPr>
                <w:noProof/>
              </w:rPr>
              <w:t>горивни елементи за стационарни инсталации и за приложение за мобилност</w:t>
            </w:r>
          </w:p>
          <w:p w14:paraId="5AFB6213" w14:textId="77777777" w:rsidR="006054AA" w:rsidRDefault="001F7667">
            <w:pPr>
              <w:pStyle w:val="P68B1DB1-Normal11"/>
              <w:spacing w:after="120"/>
              <w:rPr>
                <w:noProof/>
              </w:rPr>
            </w:pPr>
            <w:r>
              <w:rPr>
                <w:noProof/>
              </w:rPr>
              <w:t>г) Интегрирани интелигентни системи за управление с цел повишаване на устойчивостта и надеждността на интелигентните инфраструктури, основани на водород</w:t>
            </w:r>
          </w:p>
          <w:p w14:paraId="78EE4FA9" w14:textId="77777777" w:rsidR="006054AA" w:rsidRDefault="001F7667">
            <w:pPr>
              <w:pStyle w:val="P68B1DB1-Normal11"/>
              <w:spacing w:after="120"/>
              <w:rPr>
                <w:noProof/>
              </w:rPr>
            </w:pPr>
            <w:r>
              <w:rPr>
                <w:noProof/>
              </w:rPr>
              <w:t>Тази мярка подпомага производството на водород въз основа на електролиза чрез използване на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 или водородни дейности, които отговарят на изискването за намаляване на емисиите на парникови газове през целия жизнен цикъл с 73,4 % за водорода [което води до емисии на парникови газове през целия жизнен цикъл, по-ниски от 3 tCO2e/tH2] и 70 % за синтетични горива на основата на водород в сравнение с изкопаемо гориво от 94 g CO2e/MJ, по аналогия с подхода, посочен в член 25, параграф 2 от Директива (ЕС) 2018/2001 и приложение V към нея.</w:t>
            </w:r>
          </w:p>
        </w:tc>
      </w:tr>
      <w:tr w:rsidR="006054AA" w14:paraId="711887B7" w14:textId="77777777">
        <w:trPr>
          <w:trHeight w:val="309"/>
          <w:jc w:val="center"/>
        </w:trPr>
        <w:tc>
          <w:tcPr>
            <w:tcW w:w="975" w:type="dxa"/>
            <w:shd w:val="clear" w:color="auto" w:fill="C6EFCE"/>
            <w:noWrap/>
            <w:vAlign w:val="center"/>
          </w:tcPr>
          <w:p w14:paraId="1039D2DF" w14:textId="77777777" w:rsidR="006054AA" w:rsidRDefault="001F7667">
            <w:pPr>
              <w:pStyle w:val="P68B1DB1-Normal11"/>
              <w:spacing w:line="276" w:lineRule="auto"/>
              <w:jc w:val="center"/>
              <w:rPr>
                <w:noProof/>
              </w:rPr>
            </w:pPr>
            <w:r>
              <w:rPr>
                <w:noProof/>
              </w:rPr>
              <w:t>M2C2—20</w:t>
            </w:r>
          </w:p>
        </w:tc>
        <w:tc>
          <w:tcPr>
            <w:tcW w:w="1716" w:type="dxa"/>
            <w:shd w:val="clear" w:color="auto" w:fill="C6EFCE"/>
            <w:noWrap/>
            <w:vAlign w:val="center"/>
          </w:tcPr>
          <w:p w14:paraId="155B65CB" w14:textId="77777777" w:rsidR="006054AA" w:rsidRDefault="001F7667">
            <w:pPr>
              <w:pStyle w:val="P68B1DB1-Normal11"/>
              <w:spacing w:line="276" w:lineRule="auto"/>
              <w:jc w:val="center"/>
              <w:rPr>
                <w:noProof/>
              </w:rPr>
            </w:pPr>
            <w:r>
              <w:rPr>
                <w:noProof/>
              </w:rPr>
              <w:t>Реформа 3 Административно опростяване и намаляване на регулаторните пречки пред внедряването на водорода</w:t>
            </w:r>
          </w:p>
        </w:tc>
        <w:tc>
          <w:tcPr>
            <w:tcW w:w="1131" w:type="dxa"/>
            <w:shd w:val="clear" w:color="auto" w:fill="C6EFCE"/>
            <w:noWrap/>
            <w:vAlign w:val="center"/>
          </w:tcPr>
          <w:p w14:paraId="6E5CD9BC"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7B19FBF4" w14:textId="77777777" w:rsidR="006054AA" w:rsidRDefault="001F7667">
            <w:pPr>
              <w:pStyle w:val="P68B1DB1-Normal11"/>
              <w:spacing w:line="276" w:lineRule="auto"/>
              <w:jc w:val="center"/>
              <w:rPr>
                <w:noProof/>
              </w:rPr>
            </w:pPr>
            <w:r>
              <w:rPr>
                <w:noProof/>
              </w:rPr>
              <w:t>Влизане в сила на необходимите законодателни действия</w:t>
            </w:r>
          </w:p>
        </w:tc>
        <w:tc>
          <w:tcPr>
            <w:tcW w:w="1277" w:type="dxa"/>
            <w:shd w:val="clear" w:color="auto" w:fill="C6EFCE"/>
            <w:noWrap/>
            <w:vAlign w:val="center"/>
          </w:tcPr>
          <w:p w14:paraId="2EE3A6D1" w14:textId="77777777" w:rsidR="006054AA" w:rsidRDefault="001F7667">
            <w:pPr>
              <w:pStyle w:val="P68B1DB1-Normal11"/>
              <w:spacing w:line="276" w:lineRule="auto"/>
              <w:jc w:val="center"/>
              <w:rPr>
                <w:noProof/>
              </w:rPr>
            </w:pPr>
            <w:r>
              <w:rPr>
                <w:noProof/>
              </w:rPr>
              <w:t>Законова разпоредба, указваща влизането в сила на закона</w:t>
            </w:r>
          </w:p>
        </w:tc>
        <w:tc>
          <w:tcPr>
            <w:tcW w:w="1415" w:type="dxa"/>
            <w:shd w:val="clear" w:color="auto" w:fill="C6EFCE"/>
            <w:noWrap/>
            <w:vAlign w:val="center"/>
          </w:tcPr>
          <w:p w14:paraId="6E837E68"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45955DDB"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0E3E80FD"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0EE72901" w14:textId="77777777" w:rsidR="006054AA" w:rsidRDefault="001F7667">
            <w:pPr>
              <w:pStyle w:val="P68B1DB1-Normal11"/>
              <w:spacing w:line="276" w:lineRule="auto"/>
              <w:jc w:val="center"/>
              <w:rPr>
                <w:noProof/>
              </w:rPr>
            </w:pPr>
            <w:r>
              <w:rPr>
                <w:noProof/>
              </w:rPr>
              <w:t>Т1 Г.</w:t>
            </w:r>
          </w:p>
        </w:tc>
        <w:tc>
          <w:tcPr>
            <w:tcW w:w="709" w:type="dxa"/>
            <w:shd w:val="clear" w:color="auto" w:fill="C6EFCE"/>
            <w:noWrap/>
            <w:vAlign w:val="center"/>
          </w:tcPr>
          <w:p w14:paraId="551CBC97" w14:textId="77777777" w:rsidR="006054AA" w:rsidRDefault="001F7667">
            <w:pPr>
              <w:pStyle w:val="P68B1DB1-Normal11"/>
              <w:spacing w:line="276" w:lineRule="auto"/>
              <w:jc w:val="center"/>
              <w:rPr>
                <w:noProof/>
              </w:rPr>
            </w:pPr>
            <w:r>
              <w:rPr>
                <w:noProof/>
              </w:rPr>
              <w:t>2023</w:t>
            </w:r>
          </w:p>
        </w:tc>
        <w:tc>
          <w:tcPr>
            <w:tcW w:w="3854" w:type="dxa"/>
            <w:shd w:val="clear" w:color="auto" w:fill="C6EFCE"/>
            <w:noWrap/>
            <w:vAlign w:val="center"/>
          </w:tcPr>
          <w:p w14:paraId="4A7BD3A8" w14:textId="77777777" w:rsidR="006054AA" w:rsidRDefault="001F7667">
            <w:pPr>
              <w:pStyle w:val="P68B1DB1-Normal11"/>
              <w:spacing w:after="120"/>
              <w:rPr>
                <w:noProof/>
              </w:rPr>
            </w:pPr>
            <w:r>
              <w:rPr>
                <w:noProof/>
              </w:rPr>
              <w:t>В необходимите законодателни действия се определят i) разпоредби за сигурност във връзка с производството, транспортирането и съхранението на водород, ii) опростяване на процедурите за изграждане на малки структури за производство на зелен водород и iii) мерки във връзка с условията за изграждане на станции за повторно зареждане, основани на водород.</w:t>
            </w:r>
          </w:p>
          <w:p w14:paraId="0B73B5F7" w14:textId="77777777" w:rsidR="006054AA" w:rsidRDefault="001F7667">
            <w:pPr>
              <w:pStyle w:val="P68B1DB1-Normal11"/>
              <w:spacing w:after="120"/>
              <w:rPr>
                <w:noProof/>
              </w:rPr>
            </w:pPr>
            <w:r>
              <w:rPr>
                <w:noProof/>
              </w:rPr>
              <w:t>Тази мярка подпомага само водородни дейности, които отговарят на изискването за намаление на емисиите на парникови газове през целия жизнен цикъл от 73,4 % за водород [което води до 3 tCO2eq/tH2].</w:t>
            </w:r>
          </w:p>
        </w:tc>
      </w:tr>
      <w:tr w:rsidR="006054AA" w14:paraId="5C93101B" w14:textId="77777777">
        <w:trPr>
          <w:trHeight w:val="309"/>
          <w:jc w:val="center"/>
        </w:trPr>
        <w:tc>
          <w:tcPr>
            <w:tcW w:w="975" w:type="dxa"/>
            <w:shd w:val="clear" w:color="auto" w:fill="C6EFCE"/>
            <w:noWrap/>
            <w:vAlign w:val="center"/>
          </w:tcPr>
          <w:p w14:paraId="551B6028" w14:textId="77777777" w:rsidR="006054AA" w:rsidRDefault="001F7667">
            <w:pPr>
              <w:pStyle w:val="P68B1DB1-Normal11"/>
              <w:spacing w:line="276" w:lineRule="auto"/>
              <w:jc w:val="center"/>
              <w:rPr>
                <w:noProof/>
              </w:rPr>
            </w:pPr>
            <w:r>
              <w:rPr>
                <w:noProof/>
              </w:rPr>
              <w:t>M2C2—21</w:t>
            </w:r>
          </w:p>
        </w:tc>
        <w:tc>
          <w:tcPr>
            <w:tcW w:w="1716" w:type="dxa"/>
            <w:shd w:val="clear" w:color="auto" w:fill="C6EFCE"/>
            <w:noWrap/>
            <w:vAlign w:val="center"/>
          </w:tcPr>
          <w:p w14:paraId="1644AEEF" w14:textId="77777777" w:rsidR="006054AA" w:rsidRDefault="001F7667">
            <w:pPr>
              <w:pStyle w:val="P68B1DB1-Normal11"/>
              <w:spacing w:line="276" w:lineRule="auto"/>
              <w:jc w:val="center"/>
              <w:rPr>
                <w:noProof/>
              </w:rPr>
            </w:pPr>
            <w:r>
              <w:rPr>
                <w:noProof/>
              </w:rPr>
              <w:t>Реформа 4 Мерки за насърчаване на конкурентоспособността на водорода</w:t>
            </w:r>
          </w:p>
        </w:tc>
        <w:tc>
          <w:tcPr>
            <w:tcW w:w="1131" w:type="dxa"/>
            <w:shd w:val="clear" w:color="auto" w:fill="C6EFCE"/>
            <w:noWrap/>
            <w:vAlign w:val="center"/>
          </w:tcPr>
          <w:p w14:paraId="63F7B67A"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3120543E" w14:textId="77777777" w:rsidR="006054AA" w:rsidRDefault="001F7667">
            <w:pPr>
              <w:pStyle w:val="P68B1DB1-Normal11"/>
              <w:spacing w:line="276" w:lineRule="auto"/>
              <w:jc w:val="center"/>
              <w:rPr>
                <w:noProof/>
              </w:rPr>
            </w:pPr>
            <w:r>
              <w:rPr>
                <w:noProof/>
              </w:rPr>
              <w:t>Влизане в сила на фискалните стимули</w:t>
            </w:r>
          </w:p>
        </w:tc>
        <w:tc>
          <w:tcPr>
            <w:tcW w:w="1277" w:type="dxa"/>
            <w:shd w:val="clear" w:color="auto" w:fill="C6EFCE"/>
            <w:noWrap/>
            <w:vAlign w:val="center"/>
          </w:tcPr>
          <w:p w14:paraId="404C93E8" w14:textId="77777777" w:rsidR="006054AA" w:rsidRDefault="001F7667">
            <w:pPr>
              <w:pStyle w:val="P68B1DB1-Normal11"/>
              <w:spacing w:line="276" w:lineRule="auto"/>
              <w:jc w:val="center"/>
              <w:rPr>
                <w:noProof/>
              </w:rPr>
            </w:pPr>
            <w:r>
              <w:rPr>
                <w:noProof/>
              </w:rPr>
              <w:t>Законова разпоредба, указваща влизането в сила на закона</w:t>
            </w:r>
          </w:p>
        </w:tc>
        <w:tc>
          <w:tcPr>
            <w:tcW w:w="1415" w:type="dxa"/>
            <w:shd w:val="clear" w:color="auto" w:fill="C6EFCE"/>
            <w:noWrap/>
            <w:vAlign w:val="center"/>
          </w:tcPr>
          <w:p w14:paraId="54D30CC3" w14:textId="77777777" w:rsidR="006054AA" w:rsidRDefault="001F7667">
            <w:pPr>
              <w:pStyle w:val="P68B1DB1-Normal11"/>
              <w:spacing w:line="276" w:lineRule="auto"/>
              <w:jc w:val="center"/>
              <w:rPr>
                <w:noProof/>
              </w:rPr>
            </w:pPr>
            <w:r>
              <w:rPr>
                <w:noProof/>
              </w:rPr>
              <w:t>Н.А.</w:t>
            </w:r>
          </w:p>
        </w:tc>
        <w:tc>
          <w:tcPr>
            <w:tcW w:w="709" w:type="dxa"/>
            <w:shd w:val="clear" w:color="auto" w:fill="C6EFCE"/>
            <w:noWrap/>
            <w:vAlign w:val="center"/>
          </w:tcPr>
          <w:p w14:paraId="3F9D7ABE" w14:textId="4B31707E"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177AA610"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574181E3" w14:textId="77777777" w:rsidR="006054AA" w:rsidRDefault="001F7667">
            <w:pPr>
              <w:pStyle w:val="P68B1DB1-Normal11"/>
              <w:spacing w:line="276" w:lineRule="auto"/>
              <w:jc w:val="center"/>
              <w:rPr>
                <w:noProof/>
              </w:rPr>
            </w:pPr>
            <w:r>
              <w:rPr>
                <w:noProof/>
              </w:rPr>
              <w:t>Т2 Г.</w:t>
            </w:r>
          </w:p>
        </w:tc>
        <w:tc>
          <w:tcPr>
            <w:tcW w:w="709" w:type="dxa"/>
            <w:shd w:val="clear" w:color="auto" w:fill="C6EFCE"/>
            <w:noWrap/>
            <w:vAlign w:val="center"/>
          </w:tcPr>
          <w:p w14:paraId="0720C5A6" w14:textId="77777777" w:rsidR="006054AA" w:rsidRDefault="001F7667">
            <w:pPr>
              <w:pStyle w:val="P68B1DB1-Normal11"/>
              <w:spacing w:line="276" w:lineRule="auto"/>
              <w:jc w:val="center"/>
              <w:rPr>
                <w:noProof/>
              </w:rPr>
            </w:pPr>
            <w:r>
              <w:rPr>
                <w:noProof/>
              </w:rPr>
              <w:t>2022</w:t>
            </w:r>
          </w:p>
        </w:tc>
        <w:tc>
          <w:tcPr>
            <w:tcW w:w="3854" w:type="dxa"/>
            <w:shd w:val="clear" w:color="auto" w:fill="C6EFCE"/>
            <w:noWrap/>
            <w:vAlign w:val="center"/>
          </w:tcPr>
          <w:p w14:paraId="0F4B1F2A" w14:textId="77777777" w:rsidR="006054AA" w:rsidRDefault="001F7667">
            <w:pPr>
              <w:pStyle w:val="P68B1DB1-Normal11"/>
              <w:spacing w:after="120"/>
              <w:rPr>
                <w:noProof/>
              </w:rPr>
            </w:pPr>
            <w:r>
              <w:rPr>
                <w:noProof/>
              </w:rPr>
              <w:t>В закона се определят фискални стимули за подпомагане на производството на зелен водород и за насърчаване на потреблението на зелен водород от транспортния сектор.</w:t>
            </w:r>
          </w:p>
          <w:p w14:paraId="4FF74807" w14:textId="77777777" w:rsidR="006054AA" w:rsidRDefault="001F7667">
            <w:pPr>
              <w:pStyle w:val="P68B1DB1-Normal11"/>
              <w:spacing w:after="120"/>
              <w:rPr>
                <w:noProof/>
              </w:rPr>
            </w:pPr>
            <w:r>
              <w:rPr>
                <w:noProof/>
              </w:rPr>
              <w:t>Тази мярка подпомага само водородни дейности, които отговарят на изискването за намаление на емисиите на парникови газове през целия жизнен цикъл от 73,4 % за водород [което води до 3 tCO2eq/tH2].</w:t>
            </w:r>
          </w:p>
        </w:tc>
      </w:tr>
      <w:tr w:rsidR="006054AA" w14:paraId="79176F09" w14:textId="77777777">
        <w:trPr>
          <w:trHeight w:val="309"/>
          <w:jc w:val="center"/>
        </w:trPr>
        <w:tc>
          <w:tcPr>
            <w:tcW w:w="975" w:type="dxa"/>
            <w:shd w:val="clear" w:color="auto" w:fill="C6EFCE"/>
            <w:noWrap/>
            <w:vAlign w:val="center"/>
          </w:tcPr>
          <w:p w14:paraId="10DDB44D" w14:textId="77777777" w:rsidR="006054AA" w:rsidRDefault="001F7667">
            <w:pPr>
              <w:pStyle w:val="P68B1DB1-Normal11"/>
              <w:spacing w:line="276" w:lineRule="auto"/>
              <w:jc w:val="center"/>
              <w:rPr>
                <w:noProof/>
              </w:rPr>
            </w:pPr>
            <w:r>
              <w:rPr>
                <w:noProof/>
              </w:rPr>
              <w:t>M2C2—22</w:t>
            </w:r>
          </w:p>
        </w:tc>
        <w:tc>
          <w:tcPr>
            <w:tcW w:w="1716" w:type="dxa"/>
            <w:shd w:val="clear" w:color="auto" w:fill="C6EFCE"/>
            <w:noWrap/>
            <w:vAlign w:val="center"/>
          </w:tcPr>
          <w:p w14:paraId="245AB54E" w14:textId="77777777" w:rsidR="006054AA" w:rsidRDefault="001F7667">
            <w:pPr>
              <w:pStyle w:val="P68B1DB1-Normal11"/>
              <w:spacing w:line="276" w:lineRule="auto"/>
              <w:jc w:val="center"/>
              <w:rPr>
                <w:noProof/>
              </w:rPr>
            </w:pPr>
            <w:r>
              <w:rPr>
                <w:noProof/>
              </w:rPr>
              <w:t>Инвестиция 4.1 Инвестиции в екологосъобразна мобилност (Национален план на цикъла)</w:t>
            </w:r>
          </w:p>
        </w:tc>
        <w:tc>
          <w:tcPr>
            <w:tcW w:w="1131" w:type="dxa"/>
            <w:shd w:val="clear" w:color="auto" w:fill="C6EFCE"/>
            <w:noWrap/>
            <w:vAlign w:val="center"/>
          </w:tcPr>
          <w:p w14:paraId="46EA482D" w14:textId="77777777" w:rsidR="006054AA" w:rsidRDefault="001F7667">
            <w:pPr>
              <w:pStyle w:val="P68B1DB1-Normal11"/>
              <w:spacing w:line="276" w:lineRule="auto"/>
              <w:jc w:val="center"/>
              <w:rPr>
                <w:noProof/>
              </w:rPr>
            </w:pPr>
            <w:r>
              <w:rPr>
                <w:noProof/>
              </w:rPr>
              <w:t>Целеви:</w:t>
            </w:r>
          </w:p>
        </w:tc>
        <w:tc>
          <w:tcPr>
            <w:tcW w:w="1418" w:type="dxa"/>
            <w:shd w:val="clear" w:color="auto" w:fill="C6EFCE"/>
            <w:noWrap/>
            <w:vAlign w:val="center"/>
          </w:tcPr>
          <w:p w14:paraId="24DFD432" w14:textId="77777777" w:rsidR="006054AA" w:rsidRDefault="001F7667">
            <w:pPr>
              <w:pStyle w:val="P68B1DB1-Normal11"/>
              <w:spacing w:line="276" w:lineRule="auto"/>
              <w:jc w:val="center"/>
              <w:rPr>
                <w:noProof/>
              </w:rPr>
            </w:pPr>
            <w:r>
              <w:rPr>
                <w:noProof/>
              </w:rPr>
              <w:t>Велосипедни алеи T1</w:t>
            </w:r>
          </w:p>
        </w:tc>
        <w:tc>
          <w:tcPr>
            <w:tcW w:w="1277" w:type="dxa"/>
            <w:shd w:val="clear" w:color="auto" w:fill="C6EFCE"/>
            <w:noWrap/>
            <w:vAlign w:val="center"/>
          </w:tcPr>
          <w:p w14:paraId="39DC4094" w14:textId="77777777" w:rsidR="006054AA" w:rsidRDefault="001F7667">
            <w:pPr>
              <w:pStyle w:val="P68B1DB1-Normal11"/>
              <w:spacing w:line="276" w:lineRule="auto"/>
              <w:jc w:val="center"/>
              <w:rPr>
                <w:noProof/>
              </w:rPr>
            </w:pPr>
            <w:r>
              <w:rPr>
                <w:noProof/>
              </w:rPr>
              <w:t>НЯМА</w:t>
            </w:r>
          </w:p>
        </w:tc>
        <w:tc>
          <w:tcPr>
            <w:tcW w:w="1415" w:type="dxa"/>
            <w:shd w:val="clear" w:color="auto" w:fill="C6EFCE"/>
            <w:noWrap/>
            <w:vAlign w:val="center"/>
          </w:tcPr>
          <w:p w14:paraId="51A6535E" w14:textId="77777777" w:rsidR="006054AA" w:rsidRDefault="001F7667">
            <w:pPr>
              <w:pStyle w:val="P68B1DB1-Normal11"/>
              <w:spacing w:line="276" w:lineRule="auto"/>
              <w:jc w:val="center"/>
              <w:rPr>
                <w:noProof/>
              </w:rPr>
            </w:pPr>
            <w:r>
              <w:rPr>
                <w:noProof/>
              </w:rPr>
              <w:t>Километър</w:t>
            </w:r>
          </w:p>
        </w:tc>
        <w:tc>
          <w:tcPr>
            <w:tcW w:w="709" w:type="dxa"/>
            <w:shd w:val="clear" w:color="auto" w:fill="C6EFCE"/>
            <w:noWrap/>
            <w:vAlign w:val="center"/>
          </w:tcPr>
          <w:p w14:paraId="74D922AC" w14:textId="77777777" w:rsidR="006054AA" w:rsidRDefault="001F7667">
            <w:pPr>
              <w:pStyle w:val="P68B1DB1-Normal11"/>
              <w:spacing w:line="276" w:lineRule="auto"/>
              <w:jc w:val="center"/>
              <w:rPr>
                <w:noProof/>
              </w:rPr>
            </w:pPr>
            <w:r>
              <w:rPr>
                <w:noProof/>
              </w:rPr>
              <w:t>0</w:t>
            </w:r>
          </w:p>
        </w:tc>
        <w:tc>
          <w:tcPr>
            <w:tcW w:w="1418" w:type="dxa"/>
            <w:shd w:val="clear" w:color="auto" w:fill="C6EFCE"/>
            <w:noWrap/>
            <w:vAlign w:val="center"/>
          </w:tcPr>
          <w:p w14:paraId="49142568" w14:textId="77777777" w:rsidR="006054AA" w:rsidRDefault="001F7667">
            <w:pPr>
              <w:pStyle w:val="P68B1DB1-Normal11"/>
              <w:spacing w:line="276" w:lineRule="auto"/>
              <w:jc w:val="center"/>
              <w:rPr>
                <w:noProof/>
              </w:rPr>
            </w:pPr>
            <w:r>
              <w:rPr>
                <w:noProof/>
              </w:rPr>
              <w:t>200</w:t>
            </w:r>
          </w:p>
        </w:tc>
        <w:tc>
          <w:tcPr>
            <w:tcW w:w="993" w:type="dxa"/>
            <w:shd w:val="clear" w:color="auto" w:fill="C6EFCE"/>
            <w:noWrap/>
            <w:vAlign w:val="center"/>
          </w:tcPr>
          <w:p w14:paraId="24EBE99D"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096DF5EB" w14:textId="77777777" w:rsidR="006054AA" w:rsidRDefault="001F7667">
            <w:pPr>
              <w:pStyle w:val="P68B1DB1-Normal11"/>
              <w:spacing w:line="276" w:lineRule="auto"/>
              <w:jc w:val="center"/>
              <w:rPr>
                <w:noProof/>
              </w:rPr>
            </w:pPr>
            <w:r>
              <w:rPr>
                <w:noProof/>
              </w:rPr>
              <w:t>2023</w:t>
            </w:r>
          </w:p>
        </w:tc>
        <w:tc>
          <w:tcPr>
            <w:tcW w:w="3854" w:type="dxa"/>
            <w:shd w:val="clear" w:color="auto" w:fill="C6EFCE"/>
            <w:noWrap/>
            <w:vAlign w:val="center"/>
          </w:tcPr>
          <w:p w14:paraId="5A7FEF98" w14:textId="54D05733" w:rsidR="006054AA" w:rsidRDefault="001F7667">
            <w:pPr>
              <w:pStyle w:val="P68B1DB1-Normal11"/>
              <w:spacing w:after="120"/>
              <w:rPr>
                <w:noProof/>
              </w:rPr>
            </w:pPr>
            <w:r>
              <w:rPr>
                <w:noProof/>
              </w:rPr>
              <w:t>Завършване на най-малко 200 km велосипедни алеи в метрополните райони, както е определено в описанието на мярката.</w:t>
            </w:r>
          </w:p>
        </w:tc>
      </w:tr>
      <w:tr w:rsidR="006054AA" w14:paraId="5B488591" w14:textId="77777777">
        <w:trPr>
          <w:trHeight w:val="309"/>
          <w:jc w:val="center"/>
        </w:trPr>
        <w:tc>
          <w:tcPr>
            <w:tcW w:w="975" w:type="dxa"/>
            <w:shd w:val="clear" w:color="auto" w:fill="C6EFCE"/>
            <w:noWrap/>
            <w:vAlign w:val="center"/>
          </w:tcPr>
          <w:p w14:paraId="130B9DCA" w14:textId="77777777" w:rsidR="006054AA" w:rsidRDefault="001F7667">
            <w:pPr>
              <w:pStyle w:val="P68B1DB1-Normal11"/>
              <w:spacing w:line="276" w:lineRule="auto"/>
              <w:jc w:val="center"/>
              <w:rPr>
                <w:noProof/>
              </w:rPr>
            </w:pPr>
            <w:r>
              <w:rPr>
                <w:noProof/>
              </w:rPr>
              <w:t>M2C2—23</w:t>
            </w:r>
          </w:p>
        </w:tc>
        <w:tc>
          <w:tcPr>
            <w:tcW w:w="1716" w:type="dxa"/>
            <w:shd w:val="clear" w:color="auto" w:fill="C6EFCE"/>
            <w:noWrap/>
            <w:vAlign w:val="center"/>
          </w:tcPr>
          <w:p w14:paraId="3FB1090D" w14:textId="77777777" w:rsidR="006054AA" w:rsidRDefault="001F7667">
            <w:pPr>
              <w:pStyle w:val="P68B1DB1-Normal11"/>
              <w:spacing w:line="276" w:lineRule="auto"/>
              <w:jc w:val="center"/>
              <w:rPr>
                <w:noProof/>
              </w:rPr>
            </w:pPr>
            <w:r>
              <w:rPr>
                <w:noProof/>
              </w:rPr>
              <w:t>Инвестиция 4.1 Инвестиции в екологосъобразна мобилност (Национален план на цикъла)</w:t>
            </w:r>
          </w:p>
        </w:tc>
        <w:tc>
          <w:tcPr>
            <w:tcW w:w="1131" w:type="dxa"/>
            <w:shd w:val="clear" w:color="auto" w:fill="C6EFCE"/>
            <w:noWrap/>
            <w:vAlign w:val="center"/>
          </w:tcPr>
          <w:p w14:paraId="05B51A2F" w14:textId="77777777" w:rsidR="006054AA" w:rsidRDefault="001F7667">
            <w:pPr>
              <w:pStyle w:val="P68B1DB1-Normal11"/>
              <w:spacing w:line="276" w:lineRule="auto"/>
              <w:jc w:val="center"/>
              <w:rPr>
                <w:noProof/>
              </w:rPr>
            </w:pPr>
            <w:r>
              <w:rPr>
                <w:noProof/>
              </w:rPr>
              <w:t>Целеви</w:t>
            </w:r>
          </w:p>
        </w:tc>
        <w:tc>
          <w:tcPr>
            <w:tcW w:w="1418" w:type="dxa"/>
            <w:shd w:val="clear" w:color="auto" w:fill="C6EFCE"/>
            <w:noWrap/>
            <w:vAlign w:val="center"/>
          </w:tcPr>
          <w:p w14:paraId="0FBA241D" w14:textId="77777777" w:rsidR="006054AA" w:rsidRDefault="001F7667">
            <w:pPr>
              <w:pStyle w:val="P68B1DB1-Normal11"/>
              <w:spacing w:line="276" w:lineRule="auto"/>
              <w:jc w:val="center"/>
              <w:rPr>
                <w:noProof/>
              </w:rPr>
            </w:pPr>
            <w:r>
              <w:rPr>
                <w:noProof/>
              </w:rPr>
              <w:t>Велосипедни алеи T2</w:t>
            </w:r>
          </w:p>
        </w:tc>
        <w:tc>
          <w:tcPr>
            <w:tcW w:w="1277" w:type="dxa"/>
            <w:shd w:val="clear" w:color="auto" w:fill="C6EFCE"/>
            <w:noWrap/>
            <w:vAlign w:val="center"/>
          </w:tcPr>
          <w:p w14:paraId="7308385C" w14:textId="77777777" w:rsidR="006054AA" w:rsidRDefault="001F7667">
            <w:pPr>
              <w:pStyle w:val="P68B1DB1-Normal11"/>
              <w:spacing w:line="276" w:lineRule="auto"/>
              <w:jc w:val="center"/>
              <w:rPr>
                <w:noProof/>
              </w:rPr>
            </w:pPr>
            <w:r>
              <w:rPr>
                <w:noProof/>
              </w:rPr>
              <w:t>НЯМА</w:t>
            </w:r>
          </w:p>
        </w:tc>
        <w:tc>
          <w:tcPr>
            <w:tcW w:w="1415" w:type="dxa"/>
            <w:shd w:val="clear" w:color="auto" w:fill="C6EFCE"/>
            <w:noWrap/>
            <w:vAlign w:val="center"/>
          </w:tcPr>
          <w:p w14:paraId="1D671ABC" w14:textId="77777777" w:rsidR="006054AA" w:rsidRDefault="001F7667">
            <w:pPr>
              <w:pStyle w:val="P68B1DB1-Normal11"/>
              <w:spacing w:line="276" w:lineRule="auto"/>
              <w:jc w:val="center"/>
              <w:rPr>
                <w:noProof/>
              </w:rPr>
            </w:pPr>
            <w:r>
              <w:rPr>
                <w:noProof/>
              </w:rPr>
              <w:t>Километър</w:t>
            </w:r>
          </w:p>
        </w:tc>
        <w:tc>
          <w:tcPr>
            <w:tcW w:w="709" w:type="dxa"/>
            <w:shd w:val="clear" w:color="auto" w:fill="C6EFCE"/>
            <w:noWrap/>
            <w:vAlign w:val="center"/>
          </w:tcPr>
          <w:p w14:paraId="177954C6" w14:textId="77777777" w:rsidR="006054AA" w:rsidRDefault="001F7667">
            <w:pPr>
              <w:pStyle w:val="P68B1DB1-Normal11"/>
              <w:spacing w:line="276" w:lineRule="auto"/>
              <w:jc w:val="center"/>
              <w:rPr>
                <w:noProof/>
              </w:rPr>
            </w:pPr>
            <w:r>
              <w:rPr>
                <w:noProof/>
              </w:rPr>
              <w:t>200</w:t>
            </w:r>
          </w:p>
        </w:tc>
        <w:tc>
          <w:tcPr>
            <w:tcW w:w="1418" w:type="dxa"/>
            <w:shd w:val="clear" w:color="auto" w:fill="C6EFCE"/>
            <w:noWrap/>
            <w:vAlign w:val="center"/>
          </w:tcPr>
          <w:p w14:paraId="24B5E56E" w14:textId="2CDD59B1" w:rsidR="006054AA" w:rsidRDefault="001F7667">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311</w:t>
            </w:r>
          </w:p>
        </w:tc>
        <w:tc>
          <w:tcPr>
            <w:tcW w:w="993" w:type="dxa"/>
            <w:shd w:val="clear" w:color="auto" w:fill="C6EFCE"/>
            <w:noWrap/>
            <w:vAlign w:val="center"/>
          </w:tcPr>
          <w:p w14:paraId="712F7AF5" w14:textId="77777777" w:rsidR="006054AA" w:rsidRDefault="001F7667">
            <w:pPr>
              <w:pStyle w:val="P68B1DB1-Normal11"/>
              <w:spacing w:line="276" w:lineRule="auto"/>
              <w:jc w:val="center"/>
              <w:rPr>
                <w:noProof/>
              </w:rPr>
            </w:pPr>
            <w:r>
              <w:rPr>
                <w:noProof/>
              </w:rPr>
              <w:t>Т2 Г.</w:t>
            </w:r>
          </w:p>
        </w:tc>
        <w:tc>
          <w:tcPr>
            <w:tcW w:w="709" w:type="dxa"/>
            <w:shd w:val="clear" w:color="auto" w:fill="C6EFCE"/>
            <w:noWrap/>
            <w:vAlign w:val="center"/>
          </w:tcPr>
          <w:p w14:paraId="458D0C94" w14:textId="77777777" w:rsidR="006054AA" w:rsidRDefault="001F7667">
            <w:pPr>
              <w:pStyle w:val="P68B1DB1-Normal11"/>
              <w:spacing w:line="276" w:lineRule="auto"/>
              <w:jc w:val="center"/>
              <w:rPr>
                <w:noProof/>
              </w:rPr>
            </w:pPr>
            <w:r>
              <w:rPr>
                <w:noProof/>
              </w:rPr>
              <w:t>2026</w:t>
            </w:r>
          </w:p>
        </w:tc>
        <w:tc>
          <w:tcPr>
            <w:tcW w:w="3854" w:type="dxa"/>
            <w:shd w:val="clear" w:color="auto" w:fill="C6EFCE"/>
            <w:noWrap/>
            <w:vAlign w:val="center"/>
          </w:tcPr>
          <w:p w14:paraId="4F28621B" w14:textId="5BC22B15" w:rsidR="006054AA" w:rsidRDefault="001F7667">
            <w:pPr>
              <w:pStyle w:val="P68B1DB1-Normal11"/>
              <w:spacing w:after="120"/>
              <w:rPr>
                <w:noProof/>
              </w:rPr>
            </w:pPr>
            <w:r>
              <w:rPr>
                <w:noProof/>
              </w:rPr>
              <w:t>Завършване на най-малко 365 km велосипедни алеи в метрополните райони (както е определено в описанието на мярката) и най-малко 746 km туристически велосипедни алеи, както е определено в Закон № 208 от 28 декември 2015 г., № 208.</w:t>
            </w:r>
          </w:p>
        </w:tc>
      </w:tr>
      <w:tr w:rsidR="006054AA" w14:paraId="703463F5" w14:textId="77777777">
        <w:trPr>
          <w:trHeight w:val="309"/>
          <w:jc w:val="center"/>
        </w:trPr>
        <w:tc>
          <w:tcPr>
            <w:tcW w:w="975" w:type="dxa"/>
            <w:shd w:val="clear" w:color="auto" w:fill="C6EFCE"/>
            <w:noWrap/>
            <w:vAlign w:val="center"/>
          </w:tcPr>
          <w:p w14:paraId="0838EAC3" w14:textId="77777777" w:rsidR="006054AA" w:rsidRDefault="001F7667">
            <w:pPr>
              <w:pStyle w:val="P68B1DB1-Normal11"/>
              <w:spacing w:line="276" w:lineRule="auto"/>
              <w:jc w:val="center"/>
              <w:rPr>
                <w:noProof/>
              </w:rPr>
            </w:pPr>
            <w:r>
              <w:rPr>
                <w:noProof/>
              </w:rPr>
              <w:t>M2C2—24</w:t>
            </w:r>
          </w:p>
        </w:tc>
        <w:tc>
          <w:tcPr>
            <w:tcW w:w="1716" w:type="dxa"/>
            <w:shd w:val="clear" w:color="auto" w:fill="C6EFCE"/>
            <w:noWrap/>
            <w:vAlign w:val="center"/>
          </w:tcPr>
          <w:p w14:paraId="0A930193" w14:textId="77777777" w:rsidR="006054AA" w:rsidRDefault="001F7667">
            <w:pPr>
              <w:pStyle w:val="P68B1DB1-Normal11"/>
              <w:spacing w:line="276" w:lineRule="auto"/>
              <w:jc w:val="center"/>
              <w:rPr>
                <w:noProof/>
              </w:rPr>
            </w:pPr>
            <w:r>
              <w:rPr>
                <w:noProof/>
              </w:rPr>
              <w:t>Инвестиция 4.2 Разработване на системи за бърз масов транспорт (метро, улици, BRT)</w:t>
            </w:r>
          </w:p>
        </w:tc>
        <w:tc>
          <w:tcPr>
            <w:tcW w:w="1131" w:type="dxa"/>
            <w:shd w:val="clear" w:color="auto" w:fill="C6EFCE"/>
            <w:noWrap/>
            <w:vAlign w:val="center"/>
          </w:tcPr>
          <w:p w14:paraId="44B029DC"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3542C55F" w14:textId="31053442" w:rsidR="006054AA" w:rsidRDefault="001F7667">
            <w:pPr>
              <w:pStyle w:val="P68B1DB1-Normal19"/>
              <w:spacing w:line="276" w:lineRule="auto"/>
              <w:jc w:val="center"/>
              <w:rPr>
                <w:noProof/>
                <w:color w:val="006100"/>
              </w:rPr>
            </w:pPr>
            <w:r>
              <w:rPr>
                <w:noProof/>
                <w:color w:val="006100"/>
              </w:rPr>
              <w:t>Възлагане на</w:t>
            </w:r>
            <w:r>
              <w:rPr>
                <w:noProof/>
              </w:rPr>
              <w:t xml:space="preserve"> </w:t>
            </w:r>
            <w:r>
              <w:rPr>
                <w:noProof/>
                <w:color w:val="006100"/>
              </w:rPr>
              <w:t>всички обществени поръчки за изграждане на метрополни области, трамваи, тролейбуси и въжени линии</w:t>
            </w:r>
          </w:p>
        </w:tc>
        <w:tc>
          <w:tcPr>
            <w:tcW w:w="1277" w:type="dxa"/>
            <w:shd w:val="clear" w:color="auto" w:fill="C6EFCE"/>
            <w:noWrap/>
            <w:vAlign w:val="center"/>
          </w:tcPr>
          <w:p w14:paraId="5D9AAF4B" w14:textId="77777777" w:rsidR="006054AA" w:rsidRDefault="001F7667">
            <w:pPr>
              <w:pStyle w:val="P68B1DB1-Normal11"/>
              <w:spacing w:line="276" w:lineRule="auto"/>
              <w:jc w:val="center"/>
              <w:rPr>
                <w:noProof/>
              </w:rPr>
            </w:pPr>
            <w:r>
              <w:rPr>
                <w:noProof/>
              </w:rPr>
              <w:t>Уведомяване за възлагането на всички обществени поръчки</w:t>
            </w:r>
          </w:p>
        </w:tc>
        <w:tc>
          <w:tcPr>
            <w:tcW w:w="1415" w:type="dxa"/>
            <w:shd w:val="clear" w:color="auto" w:fill="C6EFCE"/>
            <w:noWrap/>
            <w:vAlign w:val="center"/>
          </w:tcPr>
          <w:p w14:paraId="1243ABA9"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491D3CF3"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01B805DB"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0BC5524B"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2BF2AF69" w14:textId="77777777" w:rsidR="006054AA" w:rsidRDefault="001F7667">
            <w:pPr>
              <w:pStyle w:val="P68B1DB1-Normal11"/>
              <w:spacing w:line="276" w:lineRule="auto"/>
              <w:jc w:val="center"/>
              <w:rPr>
                <w:noProof/>
              </w:rPr>
            </w:pPr>
            <w:r>
              <w:rPr>
                <w:noProof/>
              </w:rPr>
              <w:t>2023</w:t>
            </w:r>
          </w:p>
        </w:tc>
        <w:tc>
          <w:tcPr>
            <w:tcW w:w="3854" w:type="dxa"/>
            <w:shd w:val="clear" w:color="auto" w:fill="C6EFCE"/>
            <w:noWrap/>
            <w:vAlign w:val="center"/>
          </w:tcPr>
          <w:p w14:paraId="18402767" w14:textId="77777777" w:rsidR="006054AA" w:rsidRDefault="001F7667">
            <w:pPr>
              <w:pStyle w:val="P68B1DB1-Normal11"/>
              <w:spacing w:after="120"/>
              <w:rPr>
                <w:noProof/>
              </w:rPr>
            </w:pPr>
            <w:r>
              <w:rPr>
                <w:noProof/>
              </w:rPr>
              <w:t>Уведомяване за възлагането на всички обществени поръчки за изграждане на инфраструктурни проекти, както е определено в описанието на мярката.</w:t>
            </w:r>
          </w:p>
        </w:tc>
      </w:tr>
      <w:tr w:rsidR="006054AA" w14:paraId="7DB92FD0" w14:textId="77777777">
        <w:trPr>
          <w:trHeight w:val="309"/>
          <w:jc w:val="center"/>
        </w:trPr>
        <w:tc>
          <w:tcPr>
            <w:tcW w:w="975" w:type="dxa"/>
            <w:shd w:val="clear" w:color="auto" w:fill="C6EFCE"/>
            <w:noWrap/>
            <w:vAlign w:val="center"/>
          </w:tcPr>
          <w:p w14:paraId="6F81F9A4" w14:textId="77777777" w:rsidR="006054AA" w:rsidRDefault="001F7667">
            <w:pPr>
              <w:pStyle w:val="P68B1DB1-Normal11"/>
              <w:spacing w:line="276" w:lineRule="auto"/>
              <w:jc w:val="center"/>
              <w:rPr>
                <w:noProof/>
              </w:rPr>
            </w:pPr>
            <w:r>
              <w:rPr>
                <w:noProof/>
              </w:rPr>
              <w:t>M2C2—27</w:t>
            </w:r>
          </w:p>
        </w:tc>
        <w:tc>
          <w:tcPr>
            <w:tcW w:w="1716" w:type="dxa"/>
            <w:shd w:val="clear" w:color="auto" w:fill="C6EFCE"/>
            <w:noWrap/>
            <w:vAlign w:val="center"/>
          </w:tcPr>
          <w:p w14:paraId="6852EA35" w14:textId="77777777" w:rsidR="006054AA" w:rsidRDefault="001F7667">
            <w:pPr>
              <w:pStyle w:val="P68B1DB1-Normal11"/>
              <w:spacing w:line="276" w:lineRule="auto"/>
              <w:jc w:val="center"/>
              <w:rPr>
                <w:noProof/>
              </w:rPr>
            </w:pPr>
            <w:r>
              <w:rPr>
                <w:noProof/>
              </w:rPr>
              <w:t>Инвестиция 4.3 Инсталиране на инфраструктури за зареждане</w:t>
            </w:r>
          </w:p>
        </w:tc>
        <w:tc>
          <w:tcPr>
            <w:tcW w:w="1131" w:type="dxa"/>
            <w:shd w:val="clear" w:color="auto" w:fill="C6EFCE"/>
            <w:noWrap/>
            <w:vAlign w:val="center"/>
          </w:tcPr>
          <w:p w14:paraId="4FEFE72B"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41843663" w14:textId="77777777" w:rsidR="006054AA" w:rsidRDefault="001F7667">
            <w:pPr>
              <w:pStyle w:val="P68B1DB1-Normal11"/>
              <w:spacing w:line="276" w:lineRule="auto"/>
              <w:jc w:val="center"/>
              <w:rPr>
                <w:noProof/>
              </w:rPr>
            </w:pPr>
            <w:r>
              <w:rPr>
                <w:noProof/>
              </w:rPr>
              <w:t>Възлагане на всички обществени поръчки за инсталиране на инфраструктури за зареждане М1</w:t>
            </w:r>
          </w:p>
        </w:tc>
        <w:tc>
          <w:tcPr>
            <w:tcW w:w="1277" w:type="dxa"/>
            <w:shd w:val="clear" w:color="auto" w:fill="C6EFCE"/>
            <w:noWrap/>
            <w:vAlign w:val="center"/>
          </w:tcPr>
          <w:p w14:paraId="08273EAC" w14:textId="77777777" w:rsidR="006054AA" w:rsidRDefault="001F7667">
            <w:pPr>
              <w:pStyle w:val="P68B1DB1-Normal11"/>
              <w:spacing w:line="276" w:lineRule="auto"/>
              <w:jc w:val="center"/>
              <w:rPr>
                <w:noProof/>
              </w:rPr>
            </w:pPr>
            <w:r>
              <w:rPr>
                <w:noProof/>
              </w:rPr>
              <w:t>Уведомление за възлагането на всички обществени поръчки за изграждане на инфраструктури за зареждане</w:t>
            </w:r>
          </w:p>
        </w:tc>
        <w:tc>
          <w:tcPr>
            <w:tcW w:w="1415" w:type="dxa"/>
            <w:shd w:val="clear" w:color="auto" w:fill="C6EFCE"/>
            <w:noWrap/>
            <w:vAlign w:val="center"/>
          </w:tcPr>
          <w:p w14:paraId="649C03A1"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50442BB4"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624D67AA"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4E8EC557" w14:textId="77777777" w:rsidR="006054AA" w:rsidRDefault="001F7667">
            <w:pPr>
              <w:pStyle w:val="P68B1DB1-Normal11"/>
              <w:spacing w:line="276" w:lineRule="auto"/>
              <w:jc w:val="center"/>
              <w:rPr>
                <w:noProof/>
              </w:rPr>
            </w:pPr>
            <w:r>
              <w:rPr>
                <w:noProof/>
              </w:rPr>
              <w:t>Т2 Г.</w:t>
            </w:r>
          </w:p>
        </w:tc>
        <w:tc>
          <w:tcPr>
            <w:tcW w:w="709" w:type="dxa"/>
            <w:shd w:val="clear" w:color="auto" w:fill="C6EFCE"/>
            <w:noWrap/>
            <w:vAlign w:val="center"/>
          </w:tcPr>
          <w:p w14:paraId="5635799D" w14:textId="77777777" w:rsidR="006054AA" w:rsidRDefault="001F7667">
            <w:pPr>
              <w:pStyle w:val="P68B1DB1-Normal11"/>
              <w:spacing w:line="276" w:lineRule="auto"/>
              <w:jc w:val="center"/>
              <w:rPr>
                <w:noProof/>
              </w:rPr>
            </w:pPr>
            <w:r>
              <w:rPr>
                <w:noProof/>
              </w:rPr>
              <w:t>2023</w:t>
            </w:r>
          </w:p>
        </w:tc>
        <w:tc>
          <w:tcPr>
            <w:tcW w:w="3854" w:type="dxa"/>
            <w:shd w:val="clear" w:color="auto" w:fill="C6EFCE"/>
            <w:noWrap/>
            <w:vAlign w:val="center"/>
          </w:tcPr>
          <w:p w14:paraId="5C876229" w14:textId="42E26E56" w:rsidR="006054AA" w:rsidRDefault="001F7667">
            <w:pPr>
              <w:pStyle w:val="P68B1DB1-Normal12"/>
              <w:spacing w:after="120"/>
              <w:rPr>
                <w:rFonts w:ascii="Arial Narrow" w:hAnsi="Arial Narrow"/>
                <w:noProof/>
              </w:rPr>
            </w:pPr>
            <w:r>
              <w:rPr>
                <w:rFonts w:ascii="Arial Narrow" w:hAnsi="Arial Narrow"/>
                <w:noProof/>
              </w:rPr>
              <w:t>Уведомление за възлагане на всички обществени поръчки за изграждане на най-малко 4</w:t>
            </w:r>
            <w:r>
              <w:rPr>
                <w:noProof/>
              </w:rPr>
              <w:t xml:space="preserve"> </w:t>
            </w:r>
            <w:r>
              <w:rPr>
                <w:rFonts w:ascii="Arial Narrow" w:hAnsi="Arial Narrow"/>
                <w:noProof/>
              </w:rPr>
              <w:t>700 станции за презареждане в градски райони (всички общини).</w:t>
            </w:r>
          </w:p>
          <w:p w14:paraId="50CDAED6" w14:textId="77777777" w:rsidR="006054AA" w:rsidRDefault="001F7667">
            <w:pPr>
              <w:pStyle w:val="P68B1DB1-Normal11"/>
              <w:spacing w:after="120"/>
              <w:rPr>
                <w:noProof/>
              </w:rPr>
            </w:pPr>
            <w:r>
              <w:rPr>
                <w:noProof/>
              </w:rPr>
              <w:t>Проектът може да включва и пилотни станции за презареждане, насочени към съхраняване на енергия.</w:t>
            </w:r>
          </w:p>
        </w:tc>
      </w:tr>
      <w:tr w:rsidR="006054AA" w14:paraId="6D209B5B" w14:textId="77777777">
        <w:trPr>
          <w:trHeight w:val="309"/>
          <w:jc w:val="center"/>
        </w:trPr>
        <w:tc>
          <w:tcPr>
            <w:tcW w:w="975" w:type="dxa"/>
            <w:shd w:val="clear" w:color="auto" w:fill="C6EFCE"/>
            <w:noWrap/>
            <w:vAlign w:val="center"/>
          </w:tcPr>
          <w:p w14:paraId="446C4A3B" w14:textId="77777777" w:rsidR="006054AA" w:rsidRDefault="001F7667">
            <w:pPr>
              <w:pStyle w:val="P68B1DB1-Normal11"/>
              <w:spacing w:line="276" w:lineRule="auto"/>
              <w:jc w:val="center"/>
              <w:rPr>
                <w:noProof/>
              </w:rPr>
            </w:pPr>
            <w:r>
              <w:rPr>
                <w:noProof/>
              </w:rPr>
              <w:t>M2C2—28</w:t>
            </w:r>
          </w:p>
        </w:tc>
        <w:tc>
          <w:tcPr>
            <w:tcW w:w="1716" w:type="dxa"/>
            <w:shd w:val="clear" w:color="auto" w:fill="C6EFCE"/>
            <w:noWrap/>
            <w:vAlign w:val="center"/>
          </w:tcPr>
          <w:p w14:paraId="09688317" w14:textId="77777777" w:rsidR="006054AA" w:rsidRDefault="001F7667">
            <w:pPr>
              <w:pStyle w:val="P68B1DB1-Normal11"/>
              <w:spacing w:line="276" w:lineRule="auto"/>
              <w:jc w:val="center"/>
              <w:rPr>
                <w:noProof/>
              </w:rPr>
            </w:pPr>
            <w:r>
              <w:rPr>
                <w:noProof/>
              </w:rPr>
              <w:t>Инвестиция 4.3 Инсталиране на инфраструктури за зареждане</w:t>
            </w:r>
          </w:p>
        </w:tc>
        <w:tc>
          <w:tcPr>
            <w:tcW w:w="1131" w:type="dxa"/>
            <w:shd w:val="clear" w:color="auto" w:fill="C6EFCE"/>
            <w:noWrap/>
            <w:vAlign w:val="center"/>
          </w:tcPr>
          <w:p w14:paraId="0979D20A"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217B8474" w14:textId="77777777" w:rsidR="006054AA" w:rsidRDefault="001F7667">
            <w:pPr>
              <w:pStyle w:val="P68B1DB1-Normal11"/>
              <w:spacing w:line="276" w:lineRule="auto"/>
              <w:jc w:val="center"/>
              <w:rPr>
                <w:noProof/>
              </w:rPr>
            </w:pPr>
            <w:r>
              <w:rPr>
                <w:noProof/>
              </w:rPr>
              <w:t>Възлагане на всички обществени поръчки за инсталиране на инфраструктури за зареждане М2</w:t>
            </w:r>
          </w:p>
        </w:tc>
        <w:tc>
          <w:tcPr>
            <w:tcW w:w="1277" w:type="dxa"/>
            <w:shd w:val="clear" w:color="auto" w:fill="C6EFCE"/>
            <w:noWrap/>
            <w:vAlign w:val="center"/>
          </w:tcPr>
          <w:p w14:paraId="1A95202C" w14:textId="77777777" w:rsidR="006054AA" w:rsidRDefault="001F7667">
            <w:pPr>
              <w:pStyle w:val="P68B1DB1-Normal11"/>
              <w:spacing w:line="276" w:lineRule="auto"/>
              <w:jc w:val="center"/>
              <w:rPr>
                <w:noProof/>
              </w:rPr>
            </w:pPr>
            <w:r>
              <w:rPr>
                <w:noProof/>
              </w:rPr>
              <w:t>Уведомление за възлагането на всички обществени поръчки за изграждане на инфраструктури за зареждане</w:t>
            </w:r>
          </w:p>
        </w:tc>
        <w:tc>
          <w:tcPr>
            <w:tcW w:w="1415" w:type="dxa"/>
            <w:shd w:val="clear" w:color="auto" w:fill="C6EFCE"/>
            <w:noWrap/>
            <w:vAlign w:val="center"/>
          </w:tcPr>
          <w:p w14:paraId="65FFFD24"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289F4105"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008E28B9"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68BCF4C1"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34068F1E" w14:textId="77777777" w:rsidR="006054AA" w:rsidRDefault="001F7667">
            <w:pPr>
              <w:pStyle w:val="P68B1DB1-Normal11"/>
              <w:spacing w:line="276" w:lineRule="auto"/>
              <w:jc w:val="center"/>
              <w:rPr>
                <w:noProof/>
              </w:rPr>
            </w:pPr>
            <w:r>
              <w:rPr>
                <w:noProof/>
              </w:rPr>
              <w:t>2024</w:t>
            </w:r>
          </w:p>
        </w:tc>
        <w:tc>
          <w:tcPr>
            <w:tcW w:w="3854" w:type="dxa"/>
            <w:shd w:val="clear" w:color="auto" w:fill="C6EFCE"/>
            <w:noWrap/>
            <w:vAlign w:val="center"/>
          </w:tcPr>
          <w:p w14:paraId="7AAD52A1" w14:textId="58427F7C" w:rsidR="006054AA" w:rsidRDefault="001F7667">
            <w:pPr>
              <w:pStyle w:val="P68B1DB1-Normal12"/>
              <w:spacing w:after="120"/>
              <w:rPr>
                <w:rFonts w:ascii="Arial Narrow" w:hAnsi="Arial Narrow"/>
                <w:noProof/>
              </w:rPr>
            </w:pPr>
            <w:r>
              <w:rPr>
                <w:rFonts w:ascii="Arial Narrow" w:hAnsi="Arial Narrow"/>
                <w:noProof/>
              </w:rPr>
              <w:t>Възлагане на договори за изграждане на 7</w:t>
            </w:r>
            <w:r>
              <w:rPr>
                <w:noProof/>
              </w:rPr>
              <w:t xml:space="preserve"> </w:t>
            </w:r>
            <w:r>
              <w:rPr>
                <w:rFonts w:ascii="Arial Narrow" w:hAnsi="Arial Narrow"/>
                <w:noProof/>
              </w:rPr>
              <w:t>500 точки за бърза обществена инфраструктура за зареждане по безплатен път и най-малко 9</w:t>
            </w:r>
            <w:r>
              <w:rPr>
                <w:noProof/>
              </w:rPr>
              <w:t xml:space="preserve"> </w:t>
            </w:r>
            <w:r>
              <w:rPr>
                <w:rFonts w:ascii="Arial Narrow" w:hAnsi="Arial Narrow"/>
                <w:noProof/>
              </w:rPr>
              <w:t>055 в градски райони (всички общини).</w:t>
            </w:r>
          </w:p>
          <w:p w14:paraId="6647D76F" w14:textId="77777777" w:rsidR="006054AA" w:rsidRDefault="001F7667">
            <w:pPr>
              <w:pStyle w:val="P68B1DB1-Normal11"/>
              <w:spacing w:after="120"/>
              <w:rPr>
                <w:noProof/>
              </w:rPr>
            </w:pPr>
            <w:r>
              <w:rPr>
                <w:noProof/>
              </w:rPr>
              <w:t>Проектът може да включва и пилотни станции за презареждане, насочени към съхраняване на енергия.</w:t>
            </w:r>
          </w:p>
        </w:tc>
      </w:tr>
      <w:tr w:rsidR="006054AA" w14:paraId="048B4642" w14:textId="77777777">
        <w:trPr>
          <w:trHeight w:val="309"/>
          <w:jc w:val="center"/>
        </w:trPr>
        <w:tc>
          <w:tcPr>
            <w:tcW w:w="975" w:type="dxa"/>
            <w:shd w:val="clear" w:color="auto" w:fill="C6EFCE"/>
            <w:noWrap/>
            <w:vAlign w:val="center"/>
          </w:tcPr>
          <w:p w14:paraId="16F4F0B1" w14:textId="77777777" w:rsidR="006054AA" w:rsidRDefault="001F7667">
            <w:pPr>
              <w:pStyle w:val="P68B1DB1-Normal11"/>
              <w:spacing w:line="276" w:lineRule="auto"/>
              <w:jc w:val="center"/>
              <w:rPr>
                <w:noProof/>
              </w:rPr>
            </w:pPr>
            <w:r>
              <w:rPr>
                <w:noProof/>
              </w:rPr>
              <w:t>M2C2—29</w:t>
            </w:r>
          </w:p>
        </w:tc>
        <w:tc>
          <w:tcPr>
            <w:tcW w:w="1716" w:type="dxa"/>
            <w:shd w:val="clear" w:color="auto" w:fill="C6EFCE"/>
            <w:noWrap/>
            <w:vAlign w:val="center"/>
          </w:tcPr>
          <w:p w14:paraId="4DC268E0" w14:textId="77777777" w:rsidR="006054AA" w:rsidRDefault="001F7667">
            <w:pPr>
              <w:pStyle w:val="P68B1DB1-Normal11"/>
              <w:spacing w:line="276" w:lineRule="auto"/>
              <w:jc w:val="center"/>
              <w:rPr>
                <w:noProof/>
              </w:rPr>
            </w:pPr>
            <w:r>
              <w:rPr>
                <w:noProof/>
              </w:rPr>
              <w:t>Инвестиция 4.3 Инсталиране на инфраструктури за зареждане</w:t>
            </w:r>
          </w:p>
        </w:tc>
        <w:tc>
          <w:tcPr>
            <w:tcW w:w="1131" w:type="dxa"/>
            <w:shd w:val="clear" w:color="auto" w:fill="C6EFCE"/>
            <w:noWrap/>
            <w:vAlign w:val="center"/>
          </w:tcPr>
          <w:p w14:paraId="363E4A85" w14:textId="77777777" w:rsidR="006054AA" w:rsidRDefault="001F7667">
            <w:pPr>
              <w:pStyle w:val="P68B1DB1-Normal11"/>
              <w:spacing w:line="276" w:lineRule="auto"/>
              <w:jc w:val="center"/>
              <w:rPr>
                <w:noProof/>
              </w:rPr>
            </w:pPr>
            <w:r>
              <w:rPr>
                <w:noProof/>
              </w:rPr>
              <w:t>Целеви</w:t>
            </w:r>
          </w:p>
        </w:tc>
        <w:tc>
          <w:tcPr>
            <w:tcW w:w="1418" w:type="dxa"/>
            <w:shd w:val="clear" w:color="auto" w:fill="C6EFCE"/>
            <w:noWrap/>
            <w:vAlign w:val="center"/>
          </w:tcPr>
          <w:p w14:paraId="0EBD8E6F" w14:textId="77777777" w:rsidR="006054AA" w:rsidRDefault="001F7667">
            <w:pPr>
              <w:pStyle w:val="P68B1DB1-Normal11"/>
              <w:spacing w:line="276" w:lineRule="auto"/>
              <w:jc w:val="center"/>
              <w:rPr>
                <w:noProof/>
              </w:rPr>
            </w:pPr>
            <w:r>
              <w:rPr>
                <w:noProof/>
              </w:rPr>
              <w:t>Брой станции за бързо презареждане по свободните пътища</w:t>
            </w:r>
          </w:p>
        </w:tc>
        <w:tc>
          <w:tcPr>
            <w:tcW w:w="1277" w:type="dxa"/>
            <w:shd w:val="clear" w:color="auto" w:fill="C6EFCE"/>
            <w:noWrap/>
            <w:vAlign w:val="center"/>
          </w:tcPr>
          <w:p w14:paraId="190E020E" w14:textId="77777777" w:rsidR="006054AA" w:rsidRDefault="001F7667">
            <w:pPr>
              <w:pStyle w:val="P68B1DB1-Normal11"/>
              <w:spacing w:line="276" w:lineRule="auto"/>
              <w:jc w:val="center"/>
              <w:rPr>
                <w:noProof/>
              </w:rPr>
            </w:pPr>
            <w:r>
              <w:rPr>
                <w:noProof/>
              </w:rPr>
              <w:t>НЯМА</w:t>
            </w:r>
          </w:p>
        </w:tc>
        <w:tc>
          <w:tcPr>
            <w:tcW w:w="1415" w:type="dxa"/>
            <w:shd w:val="clear" w:color="auto" w:fill="C6EFCE"/>
            <w:noWrap/>
            <w:vAlign w:val="center"/>
          </w:tcPr>
          <w:p w14:paraId="4971A2BC" w14:textId="77777777" w:rsidR="006054AA" w:rsidRDefault="001F7667">
            <w:pPr>
              <w:pStyle w:val="P68B1DB1-Normal11"/>
              <w:spacing w:line="276" w:lineRule="auto"/>
              <w:jc w:val="center"/>
              <w:rPr>
                <w:noProof/>
              </w:rPr>
            </w:pPr>
            <w:r>
              <w:rPr>
                <w:noProof/>
              </w:rPr>
              <w:t>Брой</w:t>
            </w:r>
          </w:p>
        </w:tc>
        <w:tc>
          <w:tcPr>
            <w:tcW w:w="709" w:type="dxa"/>
            <w:shd w:val="clear" w:color="auto" w:fill="C6EFCE"/>
            <w:noWrap/>
            <w:vAlign w:val="center"/>
          </w:tcPr>
          <w:p w14:paraId="277CE35C" w14:textId="77777777" w:rsidR="006054AA" w:rsidRDefault="001F7667">
            <w:pPr>
              <w:pStyle w:val="P68B1DB1-Normal11"/>
              <w:spacing w:line="276" w:lineRule="auto"/>
              <w:jc w:val="center"/>
              <w:rPr>
                <w:noProof/>
              </w:rPr>
            </w:pPr>
            <w:r>
              <w:rPr>
                <w:noProof/>
              </w:rPr>
              <w:t>0</w:t>
            </w:r>
          </w:p>
        </w:tc>
        <w:tc>
          <w:tcPr>
            <w:tcW w:w="1418" w:type="dxa"/>
            <w:shd w:val="clear" w:color="auto" w:fill="C6EFCE"/>
            <w:noWrap/>
            <w:vAlign w:val="center"/>
          </w:tcPr>
          <w:p w14:paraId="7D2B0AD2" w14:textId="201A5DB8" w:rsidR="006054AA" w:rsidRDefault="001F7667">
            <w:pPr>
              <w:pStyle w:val="P68B1DB1-Normal11"/>
              <w:spacing w:line="276" w:lineRule="auto"/>
              <w:jc w:val="center"/>
              <w:rPr>
                <w:noProof/>
              </w:rPr>
            </w:pPr>
            <w:r>
              <w:rPr>
                <w:noProof/>
              </w:rPr>
              <w:t>2 500</w:t>
            </w:r>
          </w:p>
        </w:tc>
        <w:tc>
          <w:tcPr>
            <w:tcW w:w="993" w:type="dxa"/>
            <w:shd w:val="clear" w:color="auto" w:fill="C6EFCE"/>
            <w:noWrap/>
            <w:vAlign w:val="center"/>
          </w:tcPr>
          <w:p w14:paraId="774B28A6"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19636D01" w14:textId="77777777" w:rsidR="006054AA" w:rsidRDefault="001F7667">
            <w:pPr>
              <w:pStyle w:val="P68B1DB1-Normal11"/>
              <w:spacing w:line="276" w:lineRule="auto"/>
              <w:jc w:val="center"/>
              <w:rPr>
                <w:noProof/>
              </w:rPr>
            </w:pPr>
            <w:r>
              <w:rPr>
                <w:noProof/>
              </w:rPr>
              <w:t>2025</w:t>
            </w:r>
          </w:p>
        </w:tc>
        <w:tc>
          <w:tcPr>
            <w:tcW w:w="3854" w:type="dxa"/>
            <w:shd w:val="clear" w:color="auto" w:fill="C6EFCE"/>
            <w:noWrap/>
            <w:vAlign w:val="center"/>
          </w:tcPr>
          <w:p w14:paraId="16598D37" w14:textId="45C3D92E" w:rsidR="006054AA" w:rsidRDefault="001F7667">
            <w:pPr>
              <w:pStyle w:val="P68B1DB1-Normal12"/>
              <w:spacing w:after="120"/>
              <w:rPr>
                <w:rFonts w:ascii="Arial Narrow" w:hAnsi="Arial Narrow"/>
                <w:noProof/>
              </w:rPr>
            </w:pPr>
            <w:r>
              <w:rPr>
                <w:rFonts w:ascii="Arial Narrow" w:hAnsi="Arial Narrow"/>
                <w:noProof/>
              </w:rPr>
              <w:t>Въвеждане в експлоатация на най-малко 2</w:t>
            </w:r>
            <w:r>
              <w:rPr>
                <w:noProof/>
              </w:rPr>
              <w:t xml:space="preserve"> </w:t>
            </w:r>
            <w:r>
              <w:rPr>
                <w:rFonts w:ascii="Arial Narrow" w:hAnsi="Arial Narrow"/>
                <w:noProof/>
              </w:rPr>
              <w:t>500 точки за бърза публична инфраструктура за зареждане на електрически превозни средства по свободните пътища с мощност най-малко 175 kW.</w:t>
            </w:r>
          </w:p>
        </w:tc>
      </w:tr>
      <w:tr w:rsidR="006054AA" w14:paraId="417A1A15" w14:textId="77777777">
        <w:trPr>
          <w:trHeight w:val="309"/>
          <w:jc w:val="center"/>
        </w:trPr>
        <w:tc>
          <w:tcPr>
            <w:tcW w:w="975" w:type="dxa"/>
            <w:shd w:val="clear" w:color="auto" w:fill="C6EFCE"/>
            <w:noWrap/>
            <w:vAlign w:val="center"/>
          </w:tcPr>
          <w:p w14:paraId="6E130C32" w14:textId="77777777" w:rsidR="006054AA" w:rsidRDefault="001F7667">
            <w:pPr>
              <w:pStyle w:val="P68B1DB1-Normal11"/>
              <w:spacing w:line="276" w:lineRule="auto"/>
              <w:jc w:val="center"/>
              <w:rPr>
                <w:noProof/>
              </w:rPr>
            </w:pPr>
            <w:r>
              <w:rPr>
                <w:noProof/>
              </w:rPr>
              <w:t>M2C2—29bis</w:t>
            </w:r>
          </w:p>
        </w:tc>
        <w:tc>
          <w:tcPr>
            <w:tcW w:w="1716" w:type="dxa"/>
            <w:shd w:val="clear" w:color="auto" w:fill="C6EFCE"/>
            <w:noWrap/>
            <w:vAlign w:val="center"/>
          </w:tcPr>
          <w:p w14:paraId="6BC7B92C" w14:textId="77777777" w:rsidR="006054AA" w:rsidRDefault="001F7667">
            <w:pPr>
              <w:pStyle w:val="P68B1DB1-Normal11"/>
              <w:spacing w:line="276" w:lineRule="auto"/>
              <w:jc w:val="center"/>
              <w:rPr>
                <w:noProof/>
              </w:rPr>
            </w:pPr>
            <w:r>
              <w:rPr>
                <w:noProof/>
              </w:rPr>
              <w:t>Инвестиция 4.3 Инсталиране на инфраструктури за зареждане</w:t>
            </w:r>
          </w:p>
        </w:tc>
        <w:tc>
          <w:tcPr>
            <w:tcW w:w="1131" w:type="dxa"/>
            <w:shd w:val="clear" w:color="auto" w:fill="C6EFCE"/>
            <w:noWrap/>
            <w:vAlign w:val="center"/>
          </w:tcPr>
          <w:p w14:paraId="6817B31C" w14:textId="77777777" w:rsidR="006054AA" w:rsidRDefault="001F7667">
            <w:pPr>
              <w:pStyle w:val="P68B1DB1-Normal11"/>
              <w:spacing w:line="276" w:lineRule="auto"/>
              <w:jc w:val="center"/>
              <w:rPr>
                <w:noProof/>
              </w:rPr>
            </w:pPr>
            <w:r>
              <w:rPr>
                <w:noProof/>
              </w:rPr>
              <w:t>Целеви</w:t>
            </w:r>
          </w:p>
        </w:tc>
        <w:tc>
          <w:tcPr>
            <w:tcW w:w="1418" w:type="dxa"/>
            <w:shd w:val="clear" w:color="auto" w:fill="C6EFCE"/>
            <w:noWrap/>
            <w:vAlign w:val="center"/>
          </w:tcPr>
          <w:p w14:paraId="703F2930" w14:textId="77777777" w:rsidR="006054AA" w:rsidRDefault="001F7667">
            <w:pPr>
              <w:pStyle w:val="P68B1DB1-Normal11"/>
              <w:spacing w:line="276" w:lineRule="auto"/>
              <w:jc w:val="center"/>
              <w:rPr>
                <w:noProof/>
              </w:rPr>
            </w:pPr>
            <w:r>
              <w:rPr>
                <w:noProof/>
              </w:rPr>
              <w:t>Брой станции за бързо презареждане в градските райони</w:t>
            </w:r>
          </w:p>
        </w:tc>
        <w:tc>
          <w:tcPr>
            <w:tcW w:w="1277" w:type="dxa"/>
            <w:shd w:val="clear" w:color="auto" w:fill="C6EFCE"/>
            <w:noWrap/>
            <w:vAlign w:val="center"/>
          </w:tcPr>
          <w:p w14:paraId="421C057B" w14:textId="77777777" w:rsidR="006054AA" w:rsidRDefault="001F7667">
            <w:pPr>
              <w:pStyle w:val="P68B1DB1-Normal11"/>
              <w:spacing w:line="276" w:lineRule="auto"/>
              <w:jc w:val="center"/>
              <w:rPr>
                <w:noProof/>
              </w:rPr>
            </w:pPr>
            <w:r>
              <w:rPr>
                <w:noProof/>
              </w:rPr>
              <w:t>НЯМА</w:t>
            </w:r>
          </w:p>
        </w:tc>
        <w:tc>
          <w:tcPr>
            <w:tcW w:w="1415" w:type="dxa"/>
            <w:shd w:val="clear" w:color="auto" w:fill="C6EFCE"/>
            <w:noWrap/>
            <w:vAlign w:val="center"/>
          </w:tcPr>
          <w:p w14:paraId="480B2104" w14:textId="77777777" w:rsidR="006054AA" w:rsidRDefault="001F7667">
            <w:pPr>
              <w:pStyle w:val="P68B1DB1-Normal11"/>
              <w:spacing w:line="276" w:lineRule="auto"/>
              <w:jc w:val="center"/>
              <w:rPr>
                <w:noProof/>
              </w:rPr>
            </w:pPr>
            <w:r>
              <w:rPr>
                <w:noProof/>
              </w:rPr>
              <w:t>Брой</w:t>
            </w:r>
          </w:p>
        </w:tc>
        <w:tc>
          <w:tcPr>
            <w:tcW w:w="709" w:type="dxa"/>
            <w:shd w:val="clear" w:color="auto" w:fill="C6EFCE"/>
            <w:noWrap/>
            <w:vAlign w:val="center"/>
          </w:tcPr>
          <w:p w14:paraId="6DFE6E6B" w14:textId="77777777" w:rsidR="006054AA" w:rsidRDefault="001F7667">
            <w:pPr>
              <w:pStyle w:val="P68B1DB1-Normal11"/>
              <w:spacing w:line="276" w:lineRule="auto"/>
              <w:jc w:val="center"/>
              <w:rPr>
                <w:noProof/>
              </w:rPr>
            </w:pPr>
            <w:r>
              <w:rPr>
                <w:noProof/>
              </w:rPr>
              <w:t>0</w:t>
            </w:r>
          </w:p>
        </w:tc>
        <w:tc>
          <w:tcPr>
            <w:tcW w:w="1418" w:type="dxa"/>
            <w:shd w:val="clear" w:color="auto" w:fill="C6EFCE"/>
            <w:noWrap/>
            <w:vAlign w:val="center"/>
          </w:tcPr>
          <w:p w14:paraId="54DEE226" w14:textId="4D345AB5" w:rsidR="006054AA" w:rsidRDefault="001F7667">
            <w:pPr>
              <w:pStyle w:val="P68B1DB1-Normal11"/>
              <w:spacing w:line="276" w:lineRule="auto"/>
              <w:jc w:val="center"/>
              <w:rPr>
                <w:noProof/>
              </w:rPr>
            </w:pPr>
            <w:r>
              <w:rPr>
                <w:noProof/>
              </w:rPr>
              <w:t>4 700</w:t>
            </w:r>
          </w:p>
        </w:tc>
        <w:tc>
          <w:tcPr>
            <w:tcW w:w="993" w:type="dxa"/>
            <w:shd w:val="clear" w:color="auto" w:fill="C6EFCE"/>
            <w:noWrap/>
            <w:vAlign w:val="center"/>
          </w:tcPr>
          <w:p w14:paraId="0596BF93"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03400FDF" w14:textId="77777777" w:rsidR="006054AA" w:rsidRDefault="001F7667">
            <w:pPr>
              <w:pStyle w:val="P68B1DB1-Normal11"/>
              <w:spacing w:line="276" w:lineRule="auto"/>
              <w:jc w:val="center"/>
              <w:rPr>
                <w:noProof/>
              </w:rPr>
            </w:pPr>
            <w:r>
              <w:rPr>
                <w:noProof/>
              </w:rPr>
              <w:t>2025</w:t>
            </w:r>
          </w:p>
        </w:tc>
        <w:tc>
          <w:tcPr>
            <w:tcW w:w="3854" w:type="dxa"/>
            <w:shd w:val="clear" w:color="auto" w:fill="C6EFCE"/>
            <w:noWrap/>
            <w:vAlign w:val="center"/>
          </w:tcPr>
          <w:p w14:paraId="4BAD8A98" w14:textId="22DB8CA6" w:rsidR="006054AA" w:rsidRDefault="001F7667">
            <w:pPr>
              <w:pStyle w:val="P68B1DB1-Normal12"/>
              <w:spacing w:after="120"/>
              <w:rPr>
                <w:rFonts w:ascii="Arial Narrow" w:hAnsi="Arial Narrow"/>
                <w:noProof/>
              </w:rPr>
            </w:pPr>
            <w:r>
              <w:rPr>
                <w:rFonts w:ascii="Arial Narrow" w:hAnsi="Arial Narrow"/>
                <w:noProof/>
              </w:rPr>
              <w:t>Въвеждане в експлоатация на най-малко 4</w:t>
            </w:r>
            <w:r>
              <w:rPr>
                <w:noProof/>
              </w:rPr>
              <w:t xml:space="preserve"> </w:t>
            </w:r>
            <w:r>
              <w:rPr>
                <w:rFonts w:ascii="Arial Narrow" w:hAnsi="Arial Narrow"/>
                <w:noProof/>
              </w:rPr>
              <w:t>700 точки за бърза публична инфраструктура за зареждане на електрически превозни средства с мощност най-малко 90 kW в градските райони (всички общини).</w:t>
            </w:r>
          </w:p>
          <w:p w14:paraId="5BAAC5FB" w14:textId="77777777" w:rsidR="006054AA" w:rsidRDefault="001F7667">
            <w:pPr>
              <w:pStyle w:val="P68B1DB1-Normal11"/>
              <w:spacing w:after="120"/>
              <w:rPr>
                <w:noProof/>
              </w:rPr>
            </w:pPr>
            <w:r>
              <w:rPr>
                <w:noProof/>
              </w:rPr>
              <w:t>Проектът може да включва и пилотни станции за презареждане, насочени към съхраняване на енергия.</w:t>
            </w:r>
          </w:p>
        </w:tc>
      </w:tr>
      <w:tr w:rsidR="006054AA" w14:paraId="3683DFC7" w14:textId="77777777">
        <w:trPr>
          <w:trHeight w:val="309"/>
          <w:jc w:val="center"/>
        </w:trPr>
        <w:tc>
          <w:tcPr>
            <w:tcW w:w="975" w:type="dxa"/>
            <w:shd w:val="clear" w:color="auto" w:fill="C6EFCE"/>
            <w:noWrap/>
            <w:vAlign w:val="center"/>
          </w:tcPr>
          <w:p w14:paraId="044760B0" w14:textId="77777777" w:rsidR="006054AA" w:rsidRDefault="001F7667">
            <w:pPr>
              <w:pStyle w:val="P68B1DB1-Normal11"/>
              <w:spacing w:line="276" w:lineRule="auto"/>
              <w:jc w:val="center"/>
              <w:rPr>
                <w:noProof/>
              </w:rPr>
            </w:pPr>
            <w:r>
              <w:rPr>
                <w:noProof/>
              </w:rPr>
              <w:t>M2C2—30</w:t>
            </w:r>
          </w:p>
        </w:tc>
        <w:tc>
          <w:tcPr>
            <w:tcW w:w="1716" w:type="dxa"/>
            <w:shd w:val="clear" w:color="auto" w:fill="C6EFCE"/>
            <w:noWrap/>
            <w:vAlign w:val="center"/>
          </w:tcPr>
          <w:p w14:paraId="4154F73C" w14:textId="77777777" w:rsidR="006054AA" w:rsidRDefault="001F7667">
            <w:pPr>
              <w:pStyle w:val="P68B1DB1-Normal11"/>
              <w:spacing w:line="276" w:lineRule="auto"/>
              <w:jc w:val="center"/>
              <w:rPr>
                <w:noProof/>
              </w:rPr>
            </w:pPr>
            <w:r>
              <w:rPr>
                <w:noProof/>
              </w:rPr>
              <w:t>Инвестиция 4.3: Инсталиране на инфраструктури за зареждане</w:t>
            </w:r>
          </w:p>
        </w:tc>
        <w:tc>
          <w:tcPr>
            <w:tcW w:w="1131" w:type="dxa"/>
            <w:shd w:val="clear" w:color="auto" w:fill="C6EFCE"/>
            <w:noWrap/>
            <w:vAlign w:val="center"/>
          </w:tcPr>
          <w:p w14:paraId="739D9495" w14:textId="77777777" w:rsidR="006054AA" w:rsidRDefault="001F7667">
            <w:pPr>
              <w:pStyle w:val="P68B1DB1-Normal11"/>
              <w:spacing w:line="276" w:lineRule="auto"/>
              <w:jc w:val="center"/>
              <w:rPr>
                <w:noProof/>
              </w:rPr>
            </w:pPr>
            <w:r>
              <w:rPr>
                <w:noProof/>
              </w:rPr>
              <w:t>Целеви</w:t>
            </w:r>
          </w:p>
        </w:tc>
        <w:tc>
          <w:tcPr>
            <w:tcW w:w="1418" w:type="dxa"/>
            <w:shd w:val="clear" w:color="auto" w:fill="C6EFCE"/>
            <w:noWrap/>
            <w:vAlign w:val="center"/>
          </w:tcPr>
          <w:p w14:paraId="7F5A0585" w14:textId="77777777" w:rsidR="006054AA" w:rsidRDefault="001F7667">
            <w:pPr>
              <w:pStyle w:val="P68B1DB1-Normal11"/>
              <w:spacing w:line="276" w:lineRule="auto"/>
              <w:jc w:val="center"/>
              <w:rPr>
                <w:noProof/>
              </w:rPr>
            </w:pPr>
            <w:r>
              <w:rPr>
                <w:noProof/>
              </w:rPr>
              <w:t>Брой станции за бързо презареждане по свободните пътища</w:t>
            </w:r>
          </w:p>
        </w:tc>
        <w:tc>
          <w:tcPr>
            <w:tcW w:w="1277" w:type="dxa"/>
            <w:shd w:val="clear" w:color="auto" w:fill="C6EFCE"/>
            <w:noWrap/>
            <w:vAlign w:val="center"/>
          </w:tcPr>
          <w:p w14:paraId="3B92C703" w14:textId="77777777" w:rsidR="006054AA" w:rsidRDefault="006054AA">
            <w:pPr>
              <w:spacing w:line="276" w:lineRule="auto"/>
              <w:jc w:val="center"/>
              <w:rPr>
                <w:rFonts w:ascii="Arial Narrow" w:hAnsi="Arial Narrow"/>
                <w:noProof/>
                <w:color w:val="006100"/>
                <w:sz w:val="20"/>
              </w:rPr>
            </w:pPr>
          </w:p>
        </w:tc>
        <w:tc>
          <w:tcPr>
            <w:tcW w:w="1415" w:type="dxa"/>
            <w:shd w:val="clear" w:color="auto" w:fill="C6EFCE"/>
            <w:noWrap/>
            <w:vAlign w:val="center"/>
          </w:tcPr>
          <w:p w14:paraId="08E99622" w14:textId="77777777" w:rsidR="006054AA" w:rsidRDefault="001F7667">
            <w:pPr>
              <w:pStyle w:val="P68B1DB1-Normal11"/>
              <w:spacing w:line="276" w:lineRule="auto"/>
              <w:jc w:val="center"/>
              <w:rPr>
                <w:noProof/>
              </w:rPr>
            </w:pPr>
            <w:r>
              <w:rPr>
                <w:noProof/>
              </w:rPr>
              <w:t>Брой</w:t>
            </w:r>
          </w:p>
        </w:tc>
        <w:tc>
          <w:tcPr>
            <w:tcW w:w="709" w:type="dxa"/>
            <w:shd w:val="clear" w:color="auto" w:fill="C6EFCE"/>
            <w:noWrap/>
            <w:vAlign w:val="center"/>
          </w:tcPr>
          <w:p w14:paraId="04315A3E" w14:textId="77777777" w:rsidR="006054AA" w:rsidRDefault="001F7667">
            <w:pPr>
              <w:pStyle w:val="P68B1DB1-Normal11"/>
              <w:spacing w:line="276" w:lineRule="auto"/>
              <w:jc w:val="center"/>
              <w:rPr>
                <w:noProof/>
              </w:rPr>
            </w:pPr>
            <w:r>
              <w:rPr>
                <w:noProof/>
              </w:rPr>
              <w:t>2 500</w:t>
            </w:r>
          </w:p>
        </w:tc>
        <w:tc>
          <w:tcPr>
            <w:tcW w:w="1418" w:type="dxa"/>
            <w:shd w:val="clear" w:color="auto" w:fill="C6EFCE"/>
            <w:noWrap/>
            <w:vAlign w:val="center"/>
          </w:tcPr>
          <w:p w14:paraId="745F9F5D" w14:textId="552E153B" w:rsidR="006054AA" w:rsidRDefault="001F7667">
            <w:pPr>
              <w:pStyle w:val="P68B1DB1-Normal11"/>
              <w:spacing w:line="276" w:lineRule="auto"/>
              <w:jc w:val="center"/>
              <w:rPr>
                <w:noProof/>
              </w:rPr>
            </w:pPr>
            <w:r>
              <w:rPr>
                <w:noProof/>
              </w:rPr>
              <w:t>7 500</w:t>
            </w:r>
          </w:p>
        </w:tc>
        <w:tc>
          <w:tcPr>
            <w:tcW w:w="993" w:type="dxa"/>
            <w:shd w:val="clear" w:color="auto" w:fill="C6EFCE"/>
            <w:noWrap/>
            <w:vAlign w:val="center"/>
          </w:tcPr>
          <w:p w14:paraId="13719E63"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08D5E926" w14:textId="77777777" w:rsidR="006054AA" w:rsidRDefault="001F7667">
            <w:pPr>
              <w:pStyle w:val="P68B1DB1-Normal11"/>
              <w:spacing w:line="276" w:lineRule="auto"/>
              <w:jc w:val="center"/>
              <w:rPr>
                <w:noProof/>
              </w:rPr>
            </w:pPr>
            <w:r>
              <w:rPr>
                <w:noProof/>
              </w:rPr>
              <w:t>2025</w:t>
            </w:r>
          </w:p>
        </w:tc>
        <w:tc>
          <w:tcPr>
            <w:tcW w:w="3854" w:type="dxa"/>
            <w:shd w:val="clear" w:color="auto" w:fill="C6EFCE"/>
            <w:noWrap/>
            <w:vAlign w:val="center"/>
          </w:tcPr>
          <w:p w14:paraId="115E1E97" w14:textId="779ED7F3" w:rsidR="006054AA" w:rsidRDefault="001F7667">
            <w:pPr>
              <w:pStyle w:val="P68B1DB1-Normal12"/>
              <w:spacing w:after="120"/>
              <w:rPr>
                <w:rFonts w:ascii="Arial Narrow" w:hAnsi="Arial Narrow"/>
                <w:noProof/>
              </w:rPr>
            </w:pPr>
            <w:r>
              <w:rPr>
                <w:rFonts w:ascii="Arial Narrow" w:hAnsi="Arial Narrow"/>
                <w:noProof/>
              </w:rPr>
              <w:t>Въвеждане в експлоатация на най-малко 7</w:t>
            </w:r>
            <w:r>
              <w:rPr>
                <w:noProof/>
              </w:rPr>
              <w:t xml:space="preserve"> </w:t>
            </w:r>
            <w:r>
              <w:rPr>
                <w:rFonts w:ascii="Arial Narrow" w:hAnsi="Arial Narrow"/>
                <w:noProof/>
              </w:rPr>
              <w:t>500 точки за бърза публична инфраструктура за зареждане на електрически превозни средства по свободните пътища с мощност най-малко 175 kW.</w:t>
            </w:r>
          </w:p>
          <w:p w14:paraId="62C83AC7" w14:textId="77777777" w:rsidR="006054AA" w:rsidRDefault="001F7667">
            <w:pPr>
              <w:pStyle w:val="P68B1DB1-Normal11"/>
              <w:spacing w:after="120"/>
              <w:rPr>
                <w:noProof/>
              </w:rPr>
            </w:pPr>
            <w:r>
              <w:rPr>
                <w:noProof/>
              </w:rPr>
              <w:t>Проектът може да включва и пилотни станции за презареждане, насочени към съхраняване на енергия.</w:t>
            </w:r>
          </w:p>
        </w:tc>
      </w:tr>
      <w:tr w:rsidR="006054AA" w14:paraId="0EB5CCED" w14:textId="77777777">
        <w:trPr>
          <w:trHeight w:val="309"/>
          <w:jc w:val="center"/>
        </w:trPr>
        <w:tc>
          <w:tcPr>
            <w:tcW w:w="975" w:type="dxa"/>
            <w:shd w:val="clear" w:color="auto" w:fill="C6EFCE"/>
            <w:noWrap/>
            <w:vAlign w:val="center"/>
          </w:tcPr>
          <w:p w14:paraId="7C2C95F4" w14:textId="77777777" w:rsidR="006054AA" w:rsidRDefault="001F7667">
            <w:pPr>
              <w:pStyle w:val="P68B1DB1-Normal11"/>
              <w:spacing w:line="276" w:lineRule="auto"/>
              <w:jc w:val="center"/>
              <w:rPr>
                <w:noProof/>
              </w:rPr>
            </w:pPr>
            <w:r>
              <w:rPr>
                <w:noProof/>
              </w:rPr>
              <w:t>M2C2—30bis</w:t>
            </w:r>
          </w:p>
        </w:tc>
        <w:tc>
          <w:tcPr>
            <w:tcW w:w="1716" w:type="dxa"/>
            <w:shd w:val="clear" w:color="auto" w:fill="C6EFCE"/>
            <w:noWrap/>
            <w:vAlign w:val="center"/>
          </w:tcPr>
          <w:p w14:paraId="5581A87A" w14:textId="77777777" w:rsidR="006054AA" w:rsidRDefault="001F7667">
            <w:pPr>
              <w:pStyle w:val="P68B1DB1-Normal11"/>
              <w:spacing w:line="276" w:lineRule="auto"/>
              <w:jc w:val="center"/>
              <w:rPr>
                <w:noProof/>
              </w:rPr>
            </w:pPr>
            <w:r>
              <w:rPr>
                <w:noProof/>
              </w:rPr>
              <w:t>Инвестиция 4.3: Инсталиране на инфраструктури за зареждане</w:t>
            </w:r>
          </w:p>
        </w:tc>
        <w:tc>
          <w:tcPr>
            <w:tcW w:w="1131" w:type="dxa"/>
            <w:shd w:val="clear" w:color="auto" w:fill="C6EFCE"/>
            <w:noWrap/>
            <w:vAlign w:val="center"/>
          </w:tcPr>
          <w:p w14:paraId="6A292D74" w14:textId="77777777" w:rsidR="006054AA" w:rsidRDefault="001F7667">
            <w:pPr>
              <w:pStyle w:val="P68B1DB1-Normal11"/>
              <w:spacing w:line="276" w:lineRule="auto"/>
              <w:jc w:val="center"/>
              <w:rPr>
                <w:noProof/>
              </w:rPr>
            </w:pPr>
            <w:r>
              <w:rPr>
                <w:noProof/>
              </w:rPr>
              <w:t>Целеви</w:t>
            </w:r>
          </w:p>
        </w:tc>
        <w:tc>
          <w:tcPr>
            <w:tcW w:w="1418" w:type="dxa"/>
            <w:shd w:val="clear" w:color="auto" w:fill="C6EFCE"/>
            <w:noWrap/>
            <w:vAlign w:val="center"/>
          </w:tcPr>
          <w:p w14:paraId="48C1B2E0" w14:textId="77777777" w:rsidR="006054AA" w:rsidRDefault="001F7667">
            <w:pPr>
              <w:pStyle w:val="P68B1DB1-Normal11"/>
              <w:spacing w:line="276" w:lineRule="auto"/>
              <w:jc w:val="center"/>
              <w:rPr>
                <w:noProof/>
              </w:rPr>
            </w:pPr>
            <w:r>
              <w:rPr>
                <w:noProof/>
              </w:rPr>
              <w:t>Брой станции за бързо презареждане в градските райони</w:t>
            </w:r>
          </w:p>
        </w:tc>
        <w:tc>
          <w:tcPr>
            <w:tcW w:w="1277" w:type="dxa"/>
            <w:shd w:val="clear" w:color="auto" w:fill="C6EFCE"/>
            <w:noWrap/>
            <w:vAlign w:val="center"/>
          </w:tcPr>
          <w:p w14:paraId="49F81F41" w14:textId="77777777" w:rsidR="006054AA" w:rsidRDefault="006054AA">
            <w:pPr>
              <w:spacing w:line="276" w:lineRule="auto"/>
              <w:jc w:val="center"/>
              <w:rPr>
                <w:rFonts w:ascii="Arial Narrow" w:hAnsi="Arial Narrow"/>
                <w:noProof/>
                <w:color w:val="006100"/>
                <w:sz w:val="20"/>
              </w:rPr>
            </w:pPr>
          </w:p>
        </w:tc>
        <w:tc>
          <w:tcPr>
            <w:tcW w:w="1415" w:type="dxa"/>
            <w:shd w:val="clear" w:color="auto" w:fill="C6EFCE"/>
            <w:noWrap/>
            <w:vAlign w:val="center"/>
          </w:tcPr>
          <w:p w14:paraId="4ED3DF52" w14:textId="77777777" w:rsidR="006054AA" w:rsidRDefault="001F7667">
            <w:pPr>
              <w:pStyle w:val="P68B1DB1-Normal11"/>
              <w:spacing w:line="276" w:lineRule="auto"/>
              <w:jc w:val="center"/>
              <w:rPr>
                <w:noProof/>
              </w:rPr>
            </w:pPr>
            <w:r>
              <w:rPr>
                <w:noProof/>
              </w:rPr>
              <w:t>Брой</w:t>
            </w:r>
          </w:p>
        </w:tc>
        <w:tc>
          <w:tcPr>
            <w:tcW w:w="709" w:type="dxa"/>
            <w:shd w:val="clear" w:color="auto" w:fill="C6EFCE"/>
            <w:noWrap/>
            <w:vAlign w:val="center"/>
          </w:tcPr>
          <w:p w14:paraId="312B3D68" w14:textId="40DD1C0E" w:rsidR="006054AA" w:rsidRDefault="001F7667">
            <w:pPr>
              <w:pStyle w:val="P68B1DB1-Normal11"/>
              <w:spacing w:line="276" w:lineRule="auto"/>
              <w:jc w:val="center"/>
              <w:rPr>
                <w:noProof/>
              </w:rPr>
            </w:pPr>
            <w:r>
              <w:rPr>
                <w:noProof/>
              </w:rPr>
              <w:t>4 700</w:t>
            </w:r>
          </w:p>
        </w:tc>
        <w:tc>
          <w:tcPr>
            <w:tcW w:w="1418" w:type="dxa"/>
            <w:shd w:val="clear" w:color="auto" w:fill="C6EFCE"/>
            <w:noWrap/>
            <w:vAlign w:val="center"/>
          </w:tcPr>
          <w:p w14:paraId="62DF98D8" w14:textId="3D190BA7" w:rsidR="006054AA" w:rsidRDefault="001F7667">
            <w:pPr>
              <w:pStyle w:val="P68B1DB1-Normal11"/>
              <w:spacing w:line="276" w:lineRule="auto"/>
              <w:jc w:val="center"/>
              <w:rPr>
                <w:noProof/>
              </w:rPr>
            </w:pPr>
            <w:r>
              <w:rPr>
                <w:noProof/>
              </w:rPr>
              <w:t>13 755</w:t>
            </w:r>
          </w:p>
        </w:tc>
        <w:tc>
          <w:tcPr>
            <w:tcW w:w="993" w:type="dxa"/>
            <w:shd w:val="clear" w:color="auto" w:fill="C6EFCE"/>
            <w:noWrap/>
            <w:vAlign w:val="center"/>
          </w:tcPr>
          <w:p w14:paraId="36F77D0C"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4F850263" w14:textId="77777777" w:rsidR="006054AA" w:rsidRDefault="001F7667">
            <w:pPr>
              <w:pStyle w:val="P68B1DB1-Normal11"/>
              <w:spacing w:line="276" w:lineRule="auto"/>
              <w:jc w:val="center"/>
              <w:rPr>
                <w:noProof/>
              </w:rPr>
            </w:pPr>
            <w:r>
              <w:rPr>
                <w:noProof/>
              </w:rPr>
              <w:t>2025</w:t>
            </w:r>
          </w:p>
        </w:tc>
        <w:tc>
          <w:tcPr>
            <w:tcW w:w="3854" w:type="dxa"/>
            <w:shd w:val="clear" w:color="auto" w:fill="C6EFCE"/>
            <w:noWrap/>
            <w:vAlign w:val="center"/>
          </w:tcPr>
          <w:p w14:paraId="3CB95F50" w14:textId="6AED3541" w:rsidR="006054AA" w:rsidRDefault="001F7667" w:rsidP="00E23585">
            <w:pPr>
              <w:pStyle w:val="P68B1DB1-Normal11"/>
              <w:spacing w:after="120"/>
              <w:rPr>
                <w:noProof/>
              </w:rPr>
            </w:pPr>
            <w:r>
              <w:rPr>
                <w:noProof/>
              </w:rPr>
              <w:t>Въвеждане в експлоатация на най-малко 13 755 точки за бързапублична инфраструктура за зареждане на електрически превозни средства в градски райони с мощност най-малко 90 kW.</w:t>
            </w:r>
          </w:p>
          <w:p w14:paraId="2E8A679D" w14:textId="2920EA5D" w:rsidR="006054AA" w:rsidRDefault="001F7667">
            <w:pPr>
              <w:pStyle w:val="P68B1DB1-Normal11"/>
              <w:spacing w:after="120"/>
              <w:rPr>
                <w:noProof/>
              </w:rPr>
            </w:pPr>
            <w:r>
              <w:rPr>
                <w:noProof/>
              </w:rPr>
              <w:t>Проектът може да включва и пилотни станции за презареждане, насочени към съхраняване на енергия.</w:t>
            </w:r>
          </w:p>
        </w:tc>
      </w:tr>
      <w:tr w:rsidR="006054AA" w14:paraId="4E68330F" w14:textId="77777777">
        <w:trPr>
          <w:trHeight w:val="309"/>
          <w:jc w:val="center"/>
        </w:trPr>
        <w:tc>
          <w:tcPr>
            <w:tcW w:w="975" w:type="dxa"/>
            <w:shd w:val="clear" w:color="auto" w:fill="C6EFCE"/>
            <w:noWrap/>
            <w:vAlign w:val="center"/>
          </w:tcPr>
          <w:p w14:paraId="6F83603C" w14:textId="77777777" w:rsidR="006054AA" w:rsidRDefault="001F7667">
            <w:pPr>
              <w:pStyle w:val="P68B1DB1-Normal11"/>
              <w:spacing w:line="276" w:lineRule="auto"/>
              <w:jc w:val="center"/>
              <w:rPr>
                <w:noProof/>
              </w:rPr>
            </w:pPr>
            <w:r>
              <w:rPr>
                <w:noProof/>
              </w:rPr>
              <w:t>M2C2—30ter</w:t>
            </w:r>
          </w:p>
        </w:tc>
        <w:tc>
          <w:tcPr>
            <w:tcW w:w="1716" w:type="dxa"/>
            <w:shd w:val="clear" w:color="auto" w:fill="C6EFCE"/>
            <w:noWrap/>
            <w:vAlign w:val="center"/>
          </w:tcPr>
          <w:p w14:paraId="1E0FCA38" w14:textId="77777777" w:rsidR="006054AA" w:rsidRDefault="001F7667">
            <w:pPr>
              <w:pStyle w:val="P68B1DB1-Normal11"/>
              <w:spacing w:line="276" w:lineRule="auto"/>
              <w:jc w:val="center"/>
              <w:rPr>
                <w:noProof/>
              </w:rPr>
            </w:pPr>
            <w:r>
              <w:rPr>
                <w:noProof/>
              </w:rPr>
              <w:t>Инвестиция 4.3: Инсталиране на инфраструктури за зареждане</w:t>
            </w:r>
          </w:p>
        </w:tc>
        <w:tc>
          <w:tcPr>
            <w:tcW w:w="1131" w:type="dxa"/>
            <w:shd w:val="clear" w:color="auto" w:fill="C6EFCE"/>
            <w:noWrap/>
            <w:vAlign w:val="center"/>
          </w:tcPr>
          <w:p w14:paraId="5ECD99E3" w14:textId="77777777" w:rsidR="006054AA" w:rsidRDefault="001F7667">
            <w:pPr>
              <w:pStyle w:val="P68B1DB1-Normal11"/>
              <w:spacing w:line="276" w:lineRule="auto"/>
              <w:jc w:val="center"/>
              <w:rPr>
                <w:noProof/>
              </w:rPr>
            </w:pPr>
            <w:r>
              <w:rPr>
                <w:noProof/>
              </w:rPr>
              <w:t>Целеви</w:t>
            </w:r>
          </w:p>
        </w:tc>
        <w:tc>
          <w:tcPr>
            <w:tcW w:w="1418" w:type="dxa"/>
            <w:shd w:val="clear" w:color="auto" w:fill="C6EFCE"/>
            <w:noWrap/>
            <w:vAlign w:val="center"/>
          </w:tcPr>
          <w:p w14:paraId="1095879D" w14:textId="77777777" w:rsidR="006054AA" w:rsidRDefault="001F7667">
            <w:pPr>
              <w:pStyle w:val="P68B1DB1-Normal11"/>
              <w:spacing w:line="276" w:lineRule="auto"/>
              <w:jc w:val="center"/>
              <w:rPr>
                <w:noProof/>
              </w:rPr>
            </w:pPr>
            <w:r>
              <w:rPr>
                <w:noProof/>
              </w:rPr>
              <w:t>Брой станции за бързо презареждане</w:t>
            </w:r>
          </w:p>
        </w:tc>
        <w:tc>
          <w:tcPr>
            <w:tcW w:w="1277" w:type="dxa"/>
            <w:shd w:val="clear" w:color="auto" w:fill="C6EFCE"/>
            <w:noWrap/>
            <w:vAlign w:val="center"/>
          </w:tcPr>
          <w:p w14:paraId="538045F6" w14:textId="77777777" w:rsidR="006054AA" w:rsidRDefault="006054AA">
            <w:pPr>
              <w:spacing w:line="276" w:lineRule="auto"/>
              <w:jc w:val="center"/>
              <w:rPr>
                <w:rFonts w:ascii="Arial Narrow" w:hAnsi="Arial Narrow"/>
                <w:noProof/>
                <w:color w:val="006100"/>
                <w:sz w:val="20"/>
              </w:rPr>
            </w:pPr>
          </w:p>
        </w:tc>
        <w:tc>
          <w:tcPr>
            <w:tcW w:w="1415" w:type="dxa"/>
            <w:shd w:val="clear" w:color="auto" w:fill="C6EFCE"/>
            <w:noWrap/>
            <w:vAlign w:val="center"/>
          </w:tcPr>
          <w:p w14:paraId="7B08C37C" w14:textId="77777777" w:rsidR="006054AA" w:rsidRDefault="001F7667">
            <w:pPr>
              <w:pStyle w:val="P68B1DB1-Normal11"/>
              <w:spacing w:line="276" w:lineRule="auto"/>
              <w:jc w:val="center"/>
              <w:rPr>
                <w:noProof/>
              </w:rPr>
            </w:pPr>
            <w:r>
              <w:rPr>
                <w:noProof/>
              </w:rPr>
              <w:t>Брой</w:t>
            </w:r>
          </w:p>
        </w:tc>
        <w:tc>
          <w:tcPr>
            <w:tcW w:w="709" w:type="dxa"/>
            <w:shd w:val="clear" w:color="auto" w:fill="C6EFCE"/>
            <w:noWrap/>
            <w:vAlign w:val="center"/>
          </w:tcPr>
          <w:p w14:paraId="1A405313" w14:textId="77777777" w:rsidR="006054AA" w:rsidRDefault="001F7667">
            <w:pPr>
              <w:pStyle w:val="P68B1DB1-Normal11"/>
              <w:spacing w:line="276" w:lineRule="auto"/>
              <w:jc w:val="center"/>
              <w:rPr>
                <w:noProof/>
              </w:rPr>
            </w:pPr>
            <w:r>
              <w:rPr>
                <w:noProof/>
              </w:rPr>
              <w:t>0</w:t>
            </w:r>
          </w:p>
        </w:tc>
        <w:tc>
          <w:tcPr>
            <w:tcW w:w="1418" w:type="dxa"/>
            <w:shd w:val="clear" w:color="auto" w:fill="C6EFCE"/>
            <w:noWrap/>
            <w:vAlign w:val="center"/>
          </w:tcPr>
          <w:p w14:paraId="30BFD074" w14:textId="77777777" w:rsidR="006054AA" w:rsidRDefault="001F7667">
            <w:pPr>
              <w:pStyle w:val="P68B1DB1-Normal11"/>
              <w:spacing w:line="276" w:lineRule="auto"/>
              <w:jc w:val="center"/>
              <w:rPr>
                <w:noProof/>
              </w:rPr>
            </w:pPr>
            <w:r>
              <w:rPr>
                <w:noProof/>
              </w:rPr>
              <w:t>100</w:t>
            </w:r>
          </w:p>
        </w:tc>
        <w:tc>
          <w:tcPr>
            <w:tcW w:w="993" w:type="dxa"/>
            <w:shd w:val="clear" w:color="auto" w:fill="C6EFCE"/>
            <w:noWrap/>
            <w:vAlign w:val="center"/>
          </w:tcPr>
          <w:p w14:paraId="49ACAFBB"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00DE7E9E" w14:textId="77777777" w:rsidR="006054AA" w:rsidRDefault="001F7667">
            <w:pPr>
              <w:pStyle w:val="P68B1DB1-Normal11"/>
              <w:spacing w:line="276" w:lineRule="auto"/>
              <w:jc w:val="center"/>
              <w:rPr>
                <w:noProof/>
              </w:rPr>
            </w:pPr>
            <w:r>
              <w:rPr>
                <w:noProof/>
              </w:rPr>
              <w:t>2025</w:t>
            </w:r>
          </w:p>
        </w:tc>
        <w:tc>
          <w:tcPr>
            <w:tcW w:w="3854" w:type="dxa"/>
            <w:shd w:val="clear" w:color="auto" w:fill="C6EFCE"/>
            <w:noWrap/>
            <w:vAlign w:val="center"/>
          </w:tcPr>
          <w:p w14:paraId="72AC132A" w14:textId="77777777" w:rsidR="006054AA" w:rsidRDefault="001F7667">
            <w:pPr>
              <w:pStyle w:val="P68B1DB1-Normal11"/>
              <w:spacing w:after="120"/>
              <w:rPr>
                <w:noProof/>
              </w:rPr>
            </w:pPr>
            <w:r>
              <w:rPr>
                <w:noProof/>
              </w:rPr>
              <w:t>Въвеждане в експлоатация на поне 100 експериментални зарядни станции, свързани към хранилища</w:t>
            </w:r>
          </w:p>
        </w:tc>
      </w:tr>
      <w:tr w:rsidR="006054AA" w14:paraId="5EC00068" w14:textId="77777777">
        <w:trPr>
          <w:trHeight w:val="309"/>
          <w:jc w:val="center"/>
        </w:trPr>
        <w:tc>
          <w:tcPr>
            <w:tcW w:w="975" w:type="dxa"/>
            <w:shd w:val="clear" w:color="auto" w:fill="C6EFCE"/>
            <w:noWrap/>
            <w:vAlign w:val="center"/>
          </w:tcPr>
          <w:p w14:paraId="1A7B98CC" w14:textId="77777777" w:rsidR="006054AA" w:rsidRDefault="001F7667">
            <w:pPr>
              <w:pStyle w:val="P68B1DB1-Normal11"/>
              <w:spacing w:line="276" w:lineRule="auto"/>
              <w:jc w:val="center"/>
              <w:rPr>
                <w:noProof/>
              </w:rPr>
            </w:pPr>
            <w:r>
              <w:rPr>
                <w:noProof/>
              </w:rPr>
              <w:t>M2C2—33</w:t>
            </w:r>
          </w:p>
        </w:tc>
        <w:tc>
          <w:tcPr>
            <w:tcW w:w="1716" w:type="dxa"/>
            <w:shd w:val="clear" w:color="auto" w:fill="C6EFCE"/>
            <w:noWrap/>
            <w:vAlign w:val="center"/>
          </w:tcPr>
          <w:p w14:paraId="12A18DB3" w14:textId="77777777" w:rsidR="006054AA" w:rsidRDefault="001F7667">
            <w:pPr>
              <w:pStyle w:val="P68B1DB1-Normal19"/>
              <w:spacing w:line="276" w:lineRule="auto"/>
              <w:jc w:val="center"/>
              <w:rPr>
                <w:noProof/>
                <w:color w:val="006100"/>
              </w:rPr>
            </w:pPr>
            <w:r>
              <w:rPr>
                <w:noProof/>
                <w:color w:val="006100"/>
              </w:rPr>
              <w:t>Инвестиция 4.4.2: Укрепване на регионалния железопътен парк от обществен транспорт с влакове с нулеви емисии и универсална услуга</w:t>
            </w:r>
          </w:p>
        </w:tc>
        <w:tc>
          <w:tcPr>
            <w:tcW w:w="1131" w:type="dxa"/>
            <w:shd w:val="clear" w:color="auto" w:fill="C6EFCE"/>
            <w:noWrap/>
            <w:vAlign w:val="center"/>
          </w:tcPr>
          <w:p w14:paraId="5AC5C4DC"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701E1049" w14:textId="77777777" w:rsidR="006054AA" w:rsidRDefault="001F7667">
            <w:pPr>
              <w:pStyle w:val="P68B1DB1-Normal11"/>
              <w:spacing w:line="276" w:lineRule="auto"/>
              <w:jc w:val="center"/>
              <w:rPr>
                <w:noProof/>
              </w:rPr>
            </w:pPr>
            <w:r>
              <w:rPr>
                <w:noProof/>
              </w:rPr>
              <w:t>Възлагане на всички обществени поръчки за укрепване на регионалния обществен железопътен парк с влакове с нулеви емисии и универсална услуга</w:t>
            </w:r>
          </w:p>
        </w:tc>
        <w:tc>
          <w:tcPr>
            <w:tcW w:w="1277" w:type="dxa"/>
            <w:shd w:val="clear" w:color="auto" w:fill="C6EFCE"/>
            <w:noWrap/>
            <w:vAlign w:val="center"/>
          </w:tcPr>
          <w:p w14:paraId="4C63B94E" w14:textId="77777777" w:rsidR="006054AA" w:rsidRDefault="001F7667">
            <w:pPr>
              <w:pStyle w:val="P68B1DB1-Normal11"/>
              <w:spacing w:line="276" w:lineRule="auto"/>
              <w:jc w:val="center"/>
              <w:rPr>
                <w:noProof/>
              </w:rPr>
            </w:pPr>
            <w:r>
              <w:rPr>
                <w:noProof/>
              </w:rPr>
              <w:t>Уведомление за възлагането на всички договори за регионален железопътен парк за обществен транспорт с влакове с нулеви емисии и универсална услуга</w:t>
            </w:r>
          </w:p>
        </w:tc>
        <w:tc>
          <w:tcPr>
            <w:tcW w:w="1415" w:type="dxa"/>
            <w:shd w:val="clear" w:color="auto" w:fill="C6EFCE"/>
            <w:noWrap/>
            <w:vAlign w:val="center"/>
          </w:tcPr>
          <w:p w14:paraId="28C8B7AF"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373B7FF4"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00A88325"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5BBBCB33" w14:textId="77777777" w:rsidR="006054AA" w:rsidRDefault="001F7667">
            <w:pPr>
              <w:pStyle w:val="P68B1DB1-Normal11"/>
              <w:spacing w:line="276" w:lineRule="auto"/>
              <w:jc w:val="center"/>
              <w:rPr>
                <w:noProof/>
              </w:rPr>
            </w:pPr>
            <w:r>
              <w:rPr>
                <w:noProof/>
              </w:rPr>
              <w:t>Т2 Г.</w:t>
            </w:r>
          </w:p>
        </w:tc>
        <w:tc>
          <w:tcPr>
            <w:tcW w:w="709" w:type="dxa"/>
            <w:shd w:val="clear" w:color="auto" w:fill="C6EFCE"/>
            <w:noWrap/>
            <w:vAlign w:val="center"/>
          </w:tcPr>
          <w:p w14:paraId="4E6F5C8A" w14:textId="77777777" w:rsidR="006054AA" w:rsidRDefault="001F7667">
            <w:pPr>
              <w:pStyle w:val="P68B1DB1-Normal11"/>
              <w:spacing w:line="276" w:lineRule="auto"/>
              <w:jc w:val="center"/>
              <w:rPr>
                <w:noProof/>
              </w:rPr>
            </w:pPr>
            <w:r>
              <w:rPr>
                <w:noProof/>
              </w:rPr>
              <w:t>2023</w:t>
            </w:r>
          </w:p>
        </w:tc>
        <w:tc>
          <w:tcPr>
            <w:tcW w:w="3854" w:type="dxa"/>
            <w:shd w:val="clear" w:color="auto" w:fill="C6EFCE"/>
            <w:noWrap/>
            <w:vAlign w:val="center"/>
          </w:tcPr>
          <w:p w14:paraId="213DE67D" w14:textId="77777777" w:rsidR="006054AA" w:rsidRDefault="001F7667">
            <w:pPr>
              <w:spacing w:after="120"/>
              <w:rPr>
                <w:rFonts w:ascii="Arial Narrow" w:hAnsi="Arial Narrow"/>
                <w:noProof/>
                <w:color w:val="006100"/>
                <w:sz w:val="20"/>
              </w:rPr>
            </w:pPr>
            <w:r>
              <w:rPr>
                <w:rFonts w:ascii="Arial Narrow" w:hAnsi="Arial Narrow"/>
                <w:noProof/>
                <w:color w:val="006100"/>
                <w:sz w:val="20"/>
              </w:rPr>
              <w:t>Уведомление за възлагането на всички обществени поръчки за придобиване на влакове с нулеви емисии</w:t>
            </w:r>
            <w:r>
              <w:rPr>
                <w:rStyle w:val="FootnoteReference"/>
                <w:rFonts w:ascii="Arial Narrow" w:hAnsi="Arial Narrow"/>
                <w:noProof/>
                <w:color w:val="006100"/>
                <w:sz w:val="20"/>
              </w:rPr>
              <w:footnoteReference w:id="49"/>
            </w:r>
            <w:r>
              <w:rPr>
                <w:rFonts w:ascii="Arial Narrow" w:hAnsi="Arial Narrow"/>
                <w:noProof/>
              </w:rPr>
              <w:t>.</w:t>
            </w:r>
          </w:p>
        </w:tc>
      </w:tr>
      <w:tr w:rsidR="006054AA" w14:paraId="4562EC98" w14:textId="77777777">
        <w:trPr>
          <w:trHeight w:val="309"/>
          <w:jc w:val="center"/>
        </w:trPr>
        <w:tc>
          <w:tcPr>
            <w:tcW w:w="975" w:type="dxa"/>
            <w:shd w:val="clear" w:color="auto" w:fill="C6EFCE"/>
            <w:noWrap/>
            <w:vAlign w:val="center"/>
          </w:tcPr>
          <w:p w14:paraId="243E9F51" w14:textId="77777777" w:rsidR="006054AA" w:rsidRDefault="001F7667">
            <w:pPr>
              <w:pStyle w:val="P68B1DB1-Normal11"/>
              <w:spacing w:line="276" w:lineRule="auto"/>
              <w:jc w:val="center"/>
              <w:rPr>
                <w:noProof/>
              </w:rPr>
            </w:pPr>
            <w:r>
              <w:rPr>
                <w:noProof/>
              </w:rPr>
              <w:t>M2C2—37</w:t>
            </w:r>
          </w:p>
        </w:tc>
        <w:tc>
          <w:tcPr>
            <w:tcW w:w="1716" w:type="dxa"/>
            <w:shd w:val="clear" w:color="auto" w:fill="C6EFCE"/>
            <w:noWrap/>
            <w:vAlign w:val="center"/>
          </w:tcPr>
          <w:p w14:paraId="1172AFC9" w14:textId="77777777" w:rsidR="006054AA" w:rsidRDefault="001F7667">
            <w:pPr>
              <w:pStyle w:val="P68B1DB1-Normal11"/>
              <w:spacing w:line="276" w:lineRule="auto"/>
              <w:jc w:val="center"/>
              <w:rPr>
                <w:noProof/>
              </w:rPr>
            </w:pPr>
            <w:r>
              <w:rPr>
                <w:noProof/>
              </w:rPr>
              <w:t>Реформа 5: По-интелигентни процедури за оценка на проекти в сектора на местните системи за обществен транспорт със стационарни инсталации и в сектора на бързия масов транспорт</w:t>
            </w:r>
          </w:p>
        </w:tc>
        <w:tc>
          <w:tcPr>
            <w:tcW w:w="1131" w:type="dxa"/>
            <w:shd w:val="clear" w:color="auto" w:fill="C6EFCE"/>
            <w:noWrap/>
            <w:vAlign w:val="center"/>
          </w:tcPr>
          <w:p w14:paraId="77CE5ED3"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4318B652" w14:textId="77777777" w:rsidR="006054AA" w:rsidRDefault="001F7667">
            <w:pPr>
              <w:pStyle w:val="P68B1DB1-Normal11"/>
              <w:spacing w:line="276" w:lineRule="auto"/>
              <w:jc w:val="center"/>
              <w:rPr>
                <w:noProof/>
              </w:rPr>
            </w:pPr>
            <w:r>
              <w:rPr>
                <w:noProof/>
              </w:rPr>
              <w:t>Влизане в сила на Наредба-закон</w:t>
            </w:r>
          </w:p>
        </w:tc>
        <w:tc>
          <w:tcPr>
            <w:tcW w:w="1277" w:type="dxa"/>
            <w:shd w:val="clear" w:color="auto" w:fill="C6EFCE"/>
            <w:noWrap/>
            <w:vAlign w:val="center"/>
          </w:tcPr>
          <w:p w14:paraId="26173066" w14:textId="77777777" w:rsidR="006054AA" w:rsidRDefault="001F7667">
            <w:pPr>
              <w:pStyle w:val="P68B1DB1-Normal11"/>
              <w:spacing w:line="276" w:lineRule="auto"/>
              <w:jc w:val="center"/>
              <w:rPr>
                <w:noProof/>
              </w:rPr>
            </w:pPr>
            <w:r>
              <w:rPr>
                <w:noProof/>
              </w:rPr>
              <w:t>Разпоредба в закона, указваща влизането в сила на декрет-закона</w:t>
            </w:r>
          </w:p>
        </w:tc>
        <w:tc>
          <w:tcPr>
            <w:tcW w:w="1415" w:type="dxa"/>
            <w:shd w:val="clear" w:color="auto" w:fill="C6EFCE"/>
            <w:noWrap/>
            <w:vAlign w:val="center"/>
          </w:tcPr>
          <w:p w14:paraId="62A86CE7"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7266CE6E"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6D0A3D1B"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3CD72B6C"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25A99664" w14:textId="77777777" w:rsidR="006054AA" w:rsidRDefault="001F7667">
            <w:pPr>
              <w:pStyle w:val="P68B1DB1-Normal11"/>
              <w:spacing w:line="276" w:lineRule="auto"/>
              <w:jc w:val="center"/>
              <w:rPr>
                <w:noProof/>
              </w:rPr>
            </w:pPr>
            <w:r>
              <w:rPr>
                <w:noProof/>
              </w:rPr>
              <w:t>2021</w:t>
            </w:r>
          </w:p>
        </w:tc>
        <w:tc>
          <w:tcPr>
            <w:tcW w:w="3854" w:type="dxa"/>
            <w:shd w:val="clear" w:color="auto" w:fill="C6EFCE"/>
            <w:noWrap/>
            <w:vAlign w:val="center"/>
          </w:tcPr>
          <w:p w14:paraId="75FB5118" w14:textId="77777777" w:rsidR="006054AA" w:rsidRDefault="001F7667">
            <w:pPr>
              <w:pStyle w:val="P68B1DB1-Normal11"/>
              <w:spacing w:after="120"/>
              <w:rPr>
                <w:noProof/>
              </w:rPr>
            </w:pPr>
            <w:r>
              <w:rPr>
                <w:noProof/>
              </w:rPr>
              <w:t>С Наредба-закона се опростяват критериите за оценка на проектите във връзка с местния обществен транспорт и се ускорява процесът на проектиране и издаване на разрешения.</w:t>
            </w:r>
          </w:p>
        </w:tc>
      </w:tr>
      <w:tr w:rsidR="006054AA" w14:paraId="25C91DAF" w14:textId="77777777">
        <w:trPr>
          <w:trHeight w:val="309"/>
          <w:jc w:val="center"/>
        </w:trPr>
        <w:tc>
          <w:tcPr>
            <w:tcW w:w="975" w:type="dxa"/>
            <w:shd w:val="clear" w:color="auto" w:fill="C6EFCE"/>
            <w:noWrap/>
            <w:vAlign w:val="center"/>
          </w:tcPr>
          <w:p w14:paraId="7F1B6C31" w14:textId="77777777" w:rsidR="006054AA" w:rsidRDefault="001F7667">
            <w:pPr>
              <w:pStyle w:val="P68B1DB1-Normal11"/>
              <w:spacing w:line="276" w:lineRule="auto"/>
              <w:jc w:val="center"/>
              <w:rPr>
                <w:noProof/>
              </w:rPr>
            </w:pPr>
            <w:r>
              <w:rPr>
                <w:noProof/>
              </w:rPr>
              <w:t>M2C2—38</w:t>
            </w:r>
          </w:p>
        </w:tc>
        <w:tc>
          <w:tcPr>
            <w:tcW w:w="1716" w:type="dxa"/>
            <w:shd w:val="clear" w:color="auto" w:fill="C6EFCE"/>
            <w:noWrap/>
            <w:vAlign w:val="center"/>
          </w:tcPr>
          <w:p w14:paraId="5A127FFF" w14:textId="77777777" w:rsidR="006054AA" w:rsidRDefault="001F7667">
            <w:pPr>
              <w:pStyle w:val="P68B1DB1-Normal11"/>
              <w:spacing w:line="276" w:lineRule="auto"/>
              <w:jc w:val="center"/>
              <w:rPr>
                <w:noProof/>
              </w:rPr>
            </w:pPr>
            <w:r>
              <w:rPr>
                <w:noProof/>
              </w:rPr>
              <w:t>Инвестиция 5.1: Възобновяеми енергийни източници и акумулаторни батерии</w:t>
            </w:r>
          </w:p>
        </w:tc>
        <w:tc>
          <w:tcPr>
            <w:tcW w:w="1131" w:type="dxa"/>
            <w:shd w:val="clear" w:color="auto" w:fill="C6EFCE"/>
            <w:noWrap/>
            <w:vAlign w:val="center"/>
          </w:tcPr>
          <w:p w14:paraId="12C53E91"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33FE0DDA" w14:textId="77777777" w:rsidR="006054AA" w:rsidRDefault="001F7667">
            <w:pPr>
              <w:pStyle w:val="P68B1DB1-Normal11"/>
              <w:spacing w:line="276" w:lineRule="auto"/>
              <w:jc w:val="center"/>
              <w:rPr>
                <w:noProof/>
              </w:rPr>
            </w:pPr>
            <w:r>
              <w:rPr>
                <w:noProof/>
              </w:rPr>
              <w:t>Влизане в сила на министерско постановление</w:t>
            </w:r>
          </w:p>
        </w:tc>
        <w:tc>
          <w:tcPr>
            <w:tcW w:w="1277" w:type="dxa"/>
            <w:shd w:val="clear" w:color="auto" w:fill="C6EFCE"/>
            <w:noWrap/>
            <w:vAlign w:val="center"/>
          </w:tcPr>
          <w:p w14:paraId="3466417B" w14:textId="77777777" w:rsidR="006054AA" w:rsidRDefault="001F7667">
            <w:pPr>
              <w:pStyle w:val="P68B1DB1-Normal11"/>
              <w:spacing w:line="276" w:lineRule="auto"/>
              <w:jc w:val="center"/>
              <w:rPr>
                <w:noProof/>
              </w:rPr>
            </w:pPr>
            <w:r>
              <w:rPr>
                <w:noProof/>
              </w:rPr>
              <w:t>Законова разпоредба, указваща влизането в сила на министерското постановление</w:t>
            </w:r>
          </w:p>
        </w:tc>
        <w:tc>
          <w:tcPr>
            <w:tcW w:w="1415" w:type="dxa"/>
            <w:shd w:val="clear" w:color="auto" w:fill="C6EFCE"/>
            <w:noWrap/>
            <w:vAlign w:val="center"/>
          </w:tcPr>
          <w:p w14:paraId="51EAEAFE"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3C45EDE9"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61C4E31A"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59494605" w14:textId="77777777" w:rsidR="006054AA" w:rsidRDefault="001F7667">
            <w:pPr>
              <w:pStyle w:val="P68B1DB1-Normal11"/>
              <w:spacing w:line="276" w:lineRule="auto"/>
              <w:jc w:val="center"/>
              <w:rPr>
                <w:noProof/>
              </w:rPr>
            </w:pPr>
            <w:r>
              <w:rPr>
                <w:noProof/>
              </w:rPr>
              <w:t>Т2 Г.</w:t>
            </w:r>
          </w:p>
        </w:tc>
        <w:tc>
          <w:tcPr>
            <w:tcW w:w="709" w:type="dxa"/>
            <w:shd w:val="clear" w:color="auto" w:fill="C6EFCE"/>
            <w:noWrap/>
            <w:vAlign w:val="center"/>
          </w:tcPr>
          <w:p w14:paraId="6B100508" w14:textId="77777777" w:rsidR="006054AA" w:rsidRDefault="001F7667">
            <w:pPr>
              <w:pStyle w:val="P68B1DB1-Normal11"/>
              <w:spacing w:line="276" w:lineRule="auto"/>
              <w:jc w:val="center"/>
              <w:rPr>
                <w:noProof/>
              </w:rPr>
            </w:pPr>
            <w:r>
              <w:rPr>
                <w:noProof/>
              </w:rPr>
              <w:t>2022</w:t>
            </w:r>
          </w:p>
        </w:tc>
        <w:tc>
          <w:tcPr>
            <w:tcW w:w="3854" w:type="dxa"/>
            <w:shd w:val="clear" w:color="auto" w:fill="C6EFCE"/>
            <w:noWrap/>
            <w:vAlign w:val="center"/>
          </w:tcPr>
          <w:p w14:paraId="609DEE3A" w14:textId="002BFA86" w:rsidR="006054AA" w:rsidRDefault="001F7667">
            <w:pPr>
              <w:pStyle w:val="P68B1DB1-Normal11"/>
              <w:spacing w:after="120"/>
              <w:rPr>
                <w:noProof/>
              </w:rPr>
            </w:pPr>
            <w:r>
              <w:rPr>
                <w:noProof/>
              </w:rPr>
              <w:t>Министерското постановление определя размера на наличните ресурси, изискванията за достъп на бенефициерите, условията за допустимост на програмите и проектите, допустимите разходи и формата и интензитета на помощта за разработването на високоефективни фотоволтаични панели и за разработването на батерии.</w:t>
            </w:r>
          </w:p>
        </w:tc>
      </w:tr>
      <w:tr w:rsidR="006054AA" w14:paraId="105F6478" w14:textId="77777777">
        <w:trPr>
          <w:trHeight w:val="309"/>
          <w:jc w:val="center"/>
        </w:trPr>
        <w:tc>
          <w:tcPr>
            <w:tcW w:w="975" w:type="dxa"/>
            <w:shd w:val="clear" w:color="auto" w:fill="C6EFCE"/>
            <w:noWrap/>
            <w:vAlign w:val="center"/>
          </w:tcPr>
          <w:p w14:paraId="5FBD119E" w14:textId="77777777" w:rsidR="006054AA" w:rsidRDefault="001F7667">
            <w:pPr>
              <w:pStyle w:val="P68B1DB1-Normal11"/>
              <w:spacing w:line="276" w:lineRule="auto"/>
              <w:jc w:val="center"/>
              <w:rPr>
                <w:noProof/>
              </w:rPr>
            </w:pPr>
            <w:r>
              <w:rPr>
                <w:noProof/>
              </w:rPr>
              <w:t>M2C2—41</w:t>
            </w:r>
          </w:p>
        </w:tc>
        <w:tc>
          <w:tcPr>
            <w:tcW w:w="1716" w:type="dxa"/>
            <w:shd w:val="clear" w:color="auto" w:fill="C6EFCE"/>
            <w:noWrap/>
            <w:vAlign w:val="center"/>
          </w:tcPr>
          <w:p w14:paraId="7359CF22" w14:textId="77777777" w:rsidR="006054AA" w:rsidRDefault="001F7667">
            <w:pPr>
              <w:pStyle w:val="P68B1DB1-Normal11"/>
              <w:spacing w:line="276" w:lineRule="auto"/>
              <w:jc w:val="center"/>
              <w:rPr>
                <w:noProof/>
              </w:rPr>
            </w:pPr>
            <w:r>
              <w:rPr>
                <w:noProof/>
              </w:rPr>
              <w:t>Инвестиция 5.3: Електрически автобуси</w:t>
            </w:r>
          </w:p>
        </w:tc>
        <w:tc>
          <w:tcPr>
            <w:tcW w:w="1131" w:type="dxa"/>
            <w:shd w:val="clear" w:color="auto" w:fill="C6EFCE"/>
            <w:noWrap/>
            <w:vAlign w:val="center"/>
          </w:tcPr>
          <w:p w14:paraId="576C4B67"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70959897" w14:textId="77777777" w:rsidR="006054AA" w:rsidRDefault="001F7667">
            <w:pPr>
              <w:pStyle w:val="P68B1DB1-Normal11"/>
              <w:spacing w:line="276" w:lineRule="auto"/>
              <w:jc w:val="center"/>
              <w:rPr>
                <w:noProof/>
              </w:rPr>
            </w:pPr>
            <w:r>
              <w:rPr>
                <w:noProof/>
              </w:rPr>
              <w:t>Влизане в сила на министерско постановление, в което се определя размерът на наличните ресурси за постигане на целта на интервенцията (верига за доставки на автобуси)</w:t>
            </w:r>
          </w:p>
        </w:tc>
        <w:tc>
          <w:tcPr>
            <w:tcW w:w="1277" w:type="dxa"/>
            <w:shd w:val="clear" w:color="auto" w:fill="C6EFCE"/>
            <w:noWrap/>
            <w:vAlign w:val="center"/>
          </w:tcPr>
          <w:p w14:paraId="360BC175" w14:textId="77777777" w:rsidR="006054AA" w:rsidRDefault="001F7667">
            <w:pPr>
              <w:pStyle w:val="P68B1DB1-Normal11"/>
              <w:spacing w:line="276" w:lineRule="auto"/>
              <w:jc w:val="center"/>
              <w:rPr>
                <w:noProof/>
              </w:rPr>
            </w:pPr>
            <w:r>
              <w:rPr>
                <w:noProof/>
              </w:rPr>
              <w:t>Разпоредба в министерското постановление, указваща влизането в сила</w:t>
            </w:r>
          </w:p>
        </w:tc>
        <w:tc>
          <w:tcPr>
            <w:tcW w:w="1415" w:type="dxa"/>
            <w:shd w:val="clear" w:color="auto" w:fill="C6EFCE"/>
            <w:noWrap/>
            <w:vAlign w:val="center"/>
          </w:tcPr>
          <w:p w14:paraId="7C096EDB"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10EEC118"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3272812C"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6DD24B73" w14:textId="77777777" w:rsidR="006054AA" w:rsidRDefault="001F7667">
            <w:pPr>
              <w:pStyle w:val="P68B1DB1-Normal11"/>
              <w:spacing w:line="276" w:lineRule="auto"/>
              <w:jc w:val="center"/>
              <w:rPr>
                <w:noProof/>
              </w:rPr>
            </w:pPr>
            <w:r>
              <w:rPr>
                <w:noProof/>
              </w:rPr>
              <w:t>Т4 Г.</w:t>
            </w:r>
          </w:p>
        </w:tc>
        <w:tc>
          <w:tcPr>
            <w:tcW w:w="709" w:type="dxa"/>
            <w:shd w:val="clear" w:color="auto" w:fill="C6EFCE"/>
            <w:noWrap/>
            <w:vAlign w:val="center"/>
          </w:tcPr>
          <w:p w14:paraId="37A56C25" w14:textId="77777777" w:rsidR="006054AA" w:rsidRDefault="001F7667">
            <w:pPr>
              <w:pStyle w:val="P68B1DB1-Normal11"/>
              <w:spacing w:line="276" w:lineRule="auto"/>
              <w:jc w:val="center"/>
              <w:rPr>
                <w:noProof/>
              </w:rPr>
            </w:pPr>
            <w:r>
              <w:rPr>
                <w:noProof/>
              </w:rPr>
              <w:t>2021</w:t>
            </w:r>
          </w:p>
        </w:tc>
        <w:tc>
          <w:tcPr>
            <w:tcW w:w="3854" w:type="dxa"/>
            <w:shd w:val="clear" w:color="auto" w:fill="C6EFCE"/>
            <w:noWrap/>
            <w:vAlign w:val="center"/>
          </w:tcPr>
          <w:p w14:paraId="60329A89" w14:textId="77777777" w:rsidR="006054AA" w:rsidRDefault="001F7667">
            <w:pPr>
              <w:pStyle w:val="P68B1DB1-Normal11"/>
              <w:spacing w:after="120"/>
              <w:rPr>
                <w:noProof/>
              </w:rPr>
            </w:pPr>
            <w:r>
              <w:rPr>
                <w:noProof/>
              </w:rPr>
              <w:t>В министерското постановление се определя размерът на наличните ресурси за изпълнение на приблизително 45 проекта за промишлена трансформация чрез „Договори за развитие“.</w:t>
            </w:r>
          </w:p>
        </w:tc>
      </w:tr>
      <w:tr w:rsidR="006054AA" w14:paraId="4FB88B9B" w14:textId="77777777">
        <w:trPr>
          <w:trHeight w:val="7425"/>
          <w:jc w:val="center"/>
        </w:trPr>
        <w:tc>
          <w:tcPr>
            <w:tcW w:w="975" w:type="dxa"/>
            <w:shd w:val="clear" w:color="auto" w:fill="C6EFCE"/>
            <w:noWrap/>
            <w:vAlign w:val="center"/>
          </w:tcPr>
          <w:p w14:paraId="369E1C3F" w14:textId="77777777" w:rsidR="006054AA" w:rsidRDefault="001F7667">
            <w:pPr>
              <w:pStyle w:val="P68B1DB1-Normal11"/>
              <w:spacing w:line="276" w:lineRule="auto"/>
              <w:jc w:val="center"/>
              <w:rPr>
                <w:noProof/>
              </w:rPr>
            </w:pPr>
            <w:r>
              <w:rPr>
                <w:noProof/>
              </w:rPr>
              <w:t>M2C2—42</w:t>
            </w:r>
          </w:p>
        </w:tc>
        <w:tc>
          <w:tcPr>
            <w:tcW w:w="1716" w:type="dxa"/>
            <w:shd w:val="clear" w:color="auto" w:fill="C6EFCE"/>
            <w:noWrap/>
            <w:vAlign w:val="center"/>
          </w:tcPr>
          <w:p w14:paraId="6AAE6FC1" w14:textId="77777777" w:rsidR="006054AA" w:rsidRDefault="001F7667">
            <w:pPr>
              <w:pStyle w:val="P68B1DB1-Normal11"/>
              <w:spacing w:line="276" w:lineRule="auto"/>
              <w:jc w:val="center"/>
              <w:rPr>
                <w:noProof/>
              </w:rPr>
            </w:pPr>
            <w:r>
              <w:rPr>
                <w:noProof/>
              </w:rPr>
              <w:t>Инвестиция 5.4: Подкрепа за стартиращи предприятия и рисков капитал, осъществяващи дейност в екологичния преход</w:t>
            </w:r>
          </w:p>
        </w:tc>
        <w:tc>
          <w:tcPr>
            <w:tcW w:w="1131" w:type="dxa"/>
            <w:shd w:val="clear" w:color="auto" w:fill="C6EFCE"/>
            <w:noWrap/>
            <w:vAlign w:val="center"/>
          </w:tcPr>
          <w:p w14:paraId="41023B45" w14:textId="77777777" w:rsidR="006054AA" w:rsidRDefault="001F7667">
            <w:pPr>
              <w:pStyle w:val="P68B1DB1-Normal11"/>
              <w:spacing w:line="276" w:lineRule="auto"/>
              <w:jc w:val="center"/>
              <w:rPr>
                <w:noProof/>
              </w:rPr>
            </w:pPr>
            <w:r>
              <w:rPr>
                <w:noProof/>
              </w:rPr>
              <w:t>Ключов етап</w:t>
            </w:r>
          </w:p>
        </w:tc>
        <w:tc>
          <w:tcPr>
            <w:tcW w:w="1418" w:type="dxa"/>
            <w:shd w:val="clear" w:color="auto" w:fill="C6EFCE"/>
            <w:noWrap/>
            <w:vAlign w:val="center"/>
          </w:tcPr>
          <w:p w14:paraId="0DA89F16" w14:textId="77777777" w:rsidR="006054AA" w:rsidRDefault="001F7667">
            <w:pPr>
              <w:pStyle w:val="P68B1DB1-Normal11"/>
              <w:spacing w:line="276" w:lineRule="auto"/>
              <w:jc w:val="center"/>
              <w:rPr>
                <w:noProof/>
              </w:rPr>
            </w:pPr>
            <w:r>
              <w:rPr>
                <w:noProof/>
              </w:rPr>
              <w:t>Подписване на финансовото споразумение</w:t>
            </w:r>
          </w:p>
        </w:tc>
        <w:tc>
          <w:tcPr>
            <w:tcW w:w="1277" w:type="dxa"/>
            <w:shd w:val="clear" w:color="auto" w:fill="C6EFCE"/>
            <w:noWrap/>
            <w:vAlign w:val="center"/>
          </w:tcPr>
          <w:p w14:paraId="18EBBA61" w14:textId="77777777" w:rsidR="006054AA" w:rsidRDefault="001F7667">
            <w:pPr>
              <w:pStyle w:val="P68B1DB1-Normal11"/>
              <w:spacing w:line="276" w:lineRule="auto"/>
              <w:jc w:val="center"/>
              <w:rPr>
                <w:noProof/>
              </w:rPr>
            </w:pPr>
            <w:r>
              <w:rPr>
                <w:noProof/>
              </w:rPr>
              <w:t>Уведомление за подписването на финансовото споразумение</w:t>
            </w:r>
          </w:p>
        </w:tc>
        <w:tc>
          <w:tcPr>
            <w:tcW w:w="1415" w:type="dxa"/>
            <w:shd w:val="clear" w:color="auto" w:fill="C6EFCE"/>
            <w:noWrap/>
            <w:vAlign w:val="center"/>
          </w:tcPr>
          <w:p w14:paraId="2659D53C" w14:textId="77777777" w:rsidR="006054AA" w:rsidRDefault="001F7667">
            <w:pPr>
              <w:pStyle w:val="P68B1DB1-Normal11"/>
              <w:spacing w:line="276" w:lineRule="auto"/>
              <w:jc w:val="center"/>
              <w:rPr>
                <w:noProof/>
              </w:rPr>
            </w:pPr>
            <w:r>
              <w:rPr>
                <w:noProof/>
              </w:rPr>
              <w:t>НЯМА</w:t>
            </w:r>
          </w:p>
        </w:tc>
        <w:tc>
          <w:tcPr>
            <w:tcW w:w="709" w:type="dxa"/>
            <w:shd w:val="clear" w:color="auto" w:fill="C6EFCE"/>
            <w:noWrap/>
            <w:vAlign w:val="center"/>
          </w:tcPr>
          <w:p w14:paraId="5F5628E6" w14:textId="77777777" w:rsidR="006054AA" w:rsidRDefault="001F7667">
            <w:pPr>
              <w:pStyle w:val="P68B1DB1-Normal11"/>
              <w:spacing w:line="276" w:lineRule="auto"/>
              <w:jc w:val="center"/>
              <w:rPr>
                <w:noProof/>
              </w:rPr>
            </w:pPr>
            <w:r>
              <w:rPr>
                <w:noProof/>
              </w:rPr>
              <w:t>НЯМА</w:t>
            </w:r>
          </w:p>
        </w:tc>
        <w:tc>
          <w:tcPr>
            <w:tcW w:w="1418" w:type="dxa"/>
            <w:shd w:val="clear" w:color="auto" w:fill="C6EFCE"/>
            <w:noWrap/>
            <w:vAlign w:val="center"/>
          </w:tcPr>
          <w:p w14:paraId="076BF20D" w14:textId="77777777" w:rsidR="006054AA" w:rsidRDefault="001F7667">
            <w:pPr>
              <w:pStyle w:val="P68B1DB1-Normal11"/>
              <w:spacing w:line="276" w:lineRule="auto"/>
              <w:jc w:val="center"/>
              <w:rPr>
                <w:noProof/>
              </w:rPr>
            </w:pPr>
            <w:r>
              <w:rPr>
                <w:noProof/>
              </w:rPr>
              <w:t>НЯМА</w:t>
            </w:r>
          </w:p>
        </w:tc>
        <w:tc>
          <w:tcPr>
            <w:tcW w:w="993" w:type="dxa"/>
            <w:shd w:val="clear" w:color="auto" w:fill="C6EFCE"/>
            <w:noWrap/>
            <w:vAlign w:val="center"/>
          </w:tcPr>
          <w:p w14:paraId="53317ED0" w14:textId="77777777" w:rsidR="006054AA" w:rsidRDefault="001F7667">
            <w:pPr>
              <w:pStyle w:val="P68B1DB1-Normal11"/>
              <w:spacing w:line="276" w:lineRule="auto"/>
              <w:jc w:val="center"/>
              <w:rPr>
                <w:noProof/>
              </w:rPr>
            </w:pPr>
            <w:r>
              <w:rPr>
                <w:noProof/>
              </w:rPr>
              <w:t>Т2 Г.</w:t>
            </w:r>
          </w:p>
        </w:tc>
        <w:tc>
          <w:tcPr>
            <w:tcW w:w="709" w:type="dxa"/>
            <w:shd w:val="clear" w:color="auto" w:fill="C6EFCE"/>
            <w:noWrap/>
            <w:vAlign w:val="center"/>
          </w:tcPr>
          <w:p w14:paraId="2CDAE434" w14:textId="77777777" w:rsidR="006054AA" w:rsidRDefault="001F7667">
            <w:pPr>
              <w:pStyle w:val="P68B1DB1-Normal11"/>
              <w:spacing w:line="276" w:lineRule="auto"/>
              <w:jc w:val="center"/>
              <w:rPr>
                <w:noProof/>
              </w:rPr>
            </w:pPr>
            <w:r>
              <w:rPr>
                <w:noProof/>
              </w:rPr>
              <w:t>2022</w:t>
            </w:r>
          </w:p>
        </w:tc>
        <w:tc>
          <w:tcPr>
            <w:tcW w:w="3854" w:type="dxa"/>
            <w:shd w:val="clear" w:color="auto" w:fill="C6EFCE"/>
            <w:noWrap/>
            <w:vAlign w:val="center"/>
          </w:tcPr>
          <w:p w14:paraId="64717548" w14:textId="77777777" w:rsidR="006054AA" w:rsidRDefault="001F7667">
            <w:pPr>
              <w:pStyle w:val="P68B1DB1-Normal11"/>
              <w:spacing w:after="120"/>
              <w:rPr>
                <w:noProof/>
              </w:rPr>
            </w:pPr>
            <w:r>
              <w:rPr>
                <w:noProof/>
              </w:rPr>
              <w:t>Във финансовото споразумение се определят непреките инвестиции във финансови управители на фондове за рисков капитал с инвестиции и предприятия/стартиращи предприятия в съответствие с целите на екологичния преход, увеличаване на наличния капитал за изследователи и стартиращи предприятия, засилване на дейността на активните фондове за рисков капитал, разработване на нови и иновативни предприятия в партньорство с предприятия.</w:t>
            </w:r>
          </w:p>
          <w:p w14:paraId="6FAD358D" w14:textId="77777777" w:rsidR="006054AA" w:rsidRDefault="006054AA">
            <w:pPr>
              <w:spacing w:after="120"/>
              <w:rPr>
                <w:rFonts w:ascii="Arial Narrow" w:hAnsi="Arial Narrow"/>
                <w:noProof/>
                <w:color w:val="006100"/>
                <w:sz w:val="20"/>
              </w:rPr>
            </w:pPr>
          </w:p>
          <w:p w14:paraId="62EC5FBA" w14:textId="77777777" w:rsidR="006054AA" w:rsidRDefault="001F7667">
            <w:pPr>
              <w:pStyle w:val="P68B1DB1-Normal11"/>
              <w:spacing w:after="120"/>
              <w:rPr>
                <w:noProof/>
              </w:rPr>
            </w:pPr>
            <w:r>
              <w:rPr>
                <w:noProof/>
              </w:rPr>
              <w:t>Финансовото споразумение включва:</w:t>
            </w:r>
          </w:p>
          <w:p w14:paraId="21214601" w14:textId="77777777" w:rsidR="006054AA" w:rsidRDefault="001F7667">
            <w:pPr>
              <w:pStyle w:val="P68B1DB1-ListParagraph13"/>
              <w:numPr>
                <w:ilvl w:val="0"/>
                <w:numId w:val="69"/>
              </w:numPr>
              <w:spacing w:before="0"/>
              <w:ind w:left="296"/>
              <w:contextualSpacing w:val="0"/>
              <w:jc w:val="left"/>
              <w:rPr>
                <w:noProof/>
              </w:rPr>
            </w:pPr>
            <w:r>
              <w:rPr>
                <w:noProof/>
              </w:rPr>
              <w:t>инвестиционна политика,</w:t>
            </w:r>
          </w:p>
          <w:p w14:paraId="14874944" w14:textId="77777777" w:rsidR="006054AA" w:rsidRDefault="001F7667">
            <w:pPr>
              <w:pStyle w:val="P68B1DB1-ListParagraph13"/>
              <w:numPr>
                <w:ilvl w:val="0"/>
                <w:numId w:val="69"/>
              </w:numPr>
              <w:spacing w:before="0"/>
              <w:ind w:left="296"/>
              <w:contextualSpacing w:val="0"/>
              <w:jc w:val="left"/>
              <w:rPr>
                <w:noProof/>
              </w:rPr>
            </w:pPr>
            <w:r>
              <w:rPr>
                <w:noProof/>
              </w:rPr>
              <w:t>критерии за допустимост,</w:t>
            </w:r>
          </w:p>
          <w:p w14:paraId="25127252" w14:textId="77777777" w:rsidR="006054AA" w:rsidRDefault="001F7667">
            <w:pPr>
              <w:pStyle w:val="P68B1DB1-Normal11"/>
              <w:spacing w:after="120"/>
              <w:rPr>
                <w:noProof/>
              </w:rPr>
            </w:pPr>
            <w:r>
              <w:rPr>
                <w:noProof/>
              </w:rPr>
              <w:t>спазване на техническите насоки за ненанасяне на значителни вреди (2021/C58/01) на подпомогнатите сделки по тази мярка чрез използването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w:t>
            </w:r>
          </w:p>
        </w:tc>
      </w:tr>
    </w:tbl>
    <w:p w14:paraId="2D5F1C5B" w14:textId="77777777" w:rsidR="006054AA" w:rsidRDefault="006054AA">
      <w:pPr>
        <w:spacing w:before="120" w:after="120"/>
        <w:ind w:left="709"/>
        <w:jc w:val="both"/>
        <w:rPr>
          <w:noProof/>
        </w:rPr>
      </w:pPr>
    </w:p>
    <w:p w14:paraId="34CF9AF6" w14:textId="77777777" w:rsidR="006054AA" w:rsidRDefault="006054AA">
      <w:pPr>
        <w:spacing w:before="120" w:after="120"/>
        <w:ind w:left="709"/>
        <w:jc w:val="both"/>
        <w:rPr>
          <w:noProof/>
        </w:rPr>
        <w:sectPr w:rsidR="006054AA" w:rsidSect="001354D1">
          <w:headerReference w:type="even" r:id="rId122"/>
          <w:headerReference w:type="default" r:id="rId123"/>
          <w:footerReference w:type="even" r:id="rId124"/>
          <w:footerReference w:type="default" r:id="rId125"/>
          <w:headerReference w:type="first" r:id="rId126"/>
          <w:footerReference w:type="first" r:id="rId127"/>
          <w:pgSz w:w="16839" w:h="11907" w:orient="landscape"/>
          <w:pgMar w:top="1134" w:right="1134" w:bottom="1134" w:left="1134" w:header="567" w:footer="567" w:gutter="0"/>
          <w:cols w:space="720"/>
          <w:docGrid w:linePitch="360"/>
        </w:sectPr>
      </w:pPr>
    </w:p>
    <w:p w14:paraId="1B78A949"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Д.3. </w:t>
      </w:r>
      <w:r>
        <w:rPr>
          <w:noProof/>
        </w:rPr>
        <w:tab/>
      </w:r>
      <w:r>
        <w:rPr>
          <w:b/>
          <w:i w:val="0"/>
          <w:noProof/>
          <w:u w:val="single"/>
        </w:rPr>
        <w:t xml:space="preserve">Описание на реформите и инвестициите за заема </w:t>
      </w:r>
    </w:p>
    <w:p w14:paraId="7F0307CB" w14:textId="77777777" w:rsidR="006054AA" w:rsidRDefault="001F7667">
      <w:pPr>
        <w:pStyle w:val="P68B1DB1-Normal2"/>
        <w:spacing w:before="120" w:after="120"/>
        <w:jc w:val="both"/>
        <w:rPr>
          <w:noProof/>
        </w:rPr>
      </w:pPr>
      <w:r>
        <w:rPr>
          <w:noProof/>
        </w:rPr>
        <w:t>Инвестиция 1.1 — Разработване на агроволтаични системи</w:t>
      </w:r>
    </w:p>
    <w:p w14:paraId="324EF261" w14:textId="77777777" w:rsidR="006054AA" w:rsidRDefault="001F7667">
      <w:pPr>
        <w:spacing w:before="120" w:after="120"/>
        <w:jc w:val="both"/>
        <w:rPr>
          <w:noProof/>
        </w:rPr>
      </w:pPr>
      <w:r>
        <w:rPr>
          <w:noProof/>
        </w:rPr>
        <w:t>Тази инвестиция се състои от безвъзмездни средства и заеми в подкрепа на инвестиции за изграждане на агроволтаични системи и инсталиране на измервателни уреди за мониторинг на основната селскостопанска дейност с цел оценка на микроклимата, пестенето на вода, възстановяването на плодородието на почвата, устойчивостта на изменението на климата и селскостопанската производителност за различните видове култури.</w:t>
      </w:r>
    </w:p>
    <w:p w14:paraId="19B541FE" w14:textId="77777777" w:rsidR="006054AA" w:rsidRDefault="001F7667">
      <w:pPr>
        <w:pStyle w:val="P68B1DB1-Normal2"/>
        <w:spacing w:before="120" w:after="120"/>
        <w:jc w:val="both"/>
        <w:rPr>
          <w:noProof/>
        </w:rPr>
      </w:pPr>
      <w:r>
        <w:rPr>
          <w:noProof/>
        </w:rPr>
        <w:t>Инвестиция 1.2 — Насърчаване на ВЕИ за енергийните общности и съвместно действащите потребители на собствена електроенергия от възобновяеми източници</w:t>
      </w:r>
    </w:p>
    <w:p w14:paraId="59B15D14" w14:textId="7CE05843" w:rsidR="006054AA" w:rsidRDefault="001F7667">
      <w:pPr>
        <w:spacing w:before="120" w:after="120"/>
        <w:jc w:val="both"/>
        <w:rPr>
          <w:noProof/>
        </w:rPr>
      </w:pPr>
      <w:r>
        <w:rPr>
          <w:noProof/>
        </w:rPr>
        <w:t>Тази инвестиция се състои в подкрепа на инсталирането на 1,730 MW нови мощности за производство на електроенергия за колективни конфигурации за собствено потребление и общности за енергия от възобновяеми източници, по-специално в общини с население под 5,000 жители. Подкрепата се основава на безвъзмездни средства за изграждането на възобновяеми енергийни източници и производствени централи, свързани със системи за съхранение на енергия.</w:t>
      </w:r>
    </w:p>
    <w:p w14:paraId="30BADB75" w14:textId="77777777" w:rsidR="006054AA" w:rsidRDefault="001F7667">
      <w:pPr>
        <w:pStyle w:val="P68B1DB1-Normal2"/>
        <w:spacing w:before="120" w:after="120"/>
        <w:jc w:val="both"/>
        <w:rPr>
          <w:noProof/>
        </w:rPr>
      </w:pPr>
      <w:r>
        <w:rPr>
          <w:noProof/>
        </w:rPr>
        <w:t>Инвестиция 1.4 — Разработване на биометан съгласно критериите за насърчаване на кръговата икономика</w:t>
      </w:r>
    </w:p>
    <w:p w14:paraId="0B81E416" w14:textId="77777777" w:rsidR="006054AA" w:rsidRDefault="001F7667">
      <w:pPr>
        <w:spacing w:before="120" w:after="120"/>
        <w:jc w:val="both"/>
        <w:rPr>
          <w:noProof/>
        </w:rPr>
      </w:pPr>
      <w:r>
        <w:rPr>
          <w:noProof/>
        </w:rPr>
        <w:t>Тази инвестиция се състои от:</w:t>
      </w:r>
    </w:p>
    <w:p w14:paraId="1117C589" w14:textId="77777777" w:rsidR="006054AA" w:rsidRDefault="001F7667">
      <w:pPr>
        <w:numPr>
          <w:ilvl w:val="0"/>
          <w:numId w:val="67"/>
        </w:numPr>
        <w:spacing w:before="120" w:after="120" w:line="259" w:lineRule="auto"/>
        <w:ind w:left="360"/>
        <w:contextualSpacing/>
        <w:jc w:val="both"/>
        <w:rPr>
          <w:noProof/>
        </w:rPr>
      </w:pPr>
      <w:r>
        <w:rPr>
          <w:noProof/>
        </w:rPr>
        <w:t>Подкрепа за изграждането на нови инсталации за производство на биометан</w:t>
      </w:r>
    </w:p>
    <w:p w14:paraId="5801CC52" w14:textId="77777777" w:rsidR="006054AA" w:rsidRDefault="001F7667">
      <w:pPr>
        <w:numPr>
          <w:ilvl w:val="0"/>
          <w:numId w:val="67"/>
        </w:numPr>
        <w:spacing w:before="120" w:after="120" w:line="259" w:lineRule="auto"/>
        <w:ind w:left="360"/>
        <w:contextualSpacing/>
        <w:jc w:val="both"/>
        <w:rPr>
          <w:noProof/>
        </w:rPr>
      </w:pPr>
      <w:r>
        <w:rPr>
          <w:noProof/>
        </w:rPr>
        <w:t>Преобразуване и подобряване на ефективността на съществуващите инсталации за селскостопански биогаз (включително органична фракция на твърди битови отпадъци — OFUSW) към производството на биометан за транспорта, промишлеността и отоплението. Биометанът трябва да отговаря на критериите, определени в Директива 2018/2001 (Директива RED II), за да може мярката да отговаря на принципа за ненанасяне на значителни вреди и на съответните изисквания на бележка под линия 8 от приложение VI към Регламент (ЕС) 2021/241.</w:t>
      </w:r>
    </w:p>
    <w:p w14:paraId="58083E6E" w14:textId="77777777" w:rsidR="006054AA" w:rsidRDefault="001F7667">
      <w:pPr>
        <w:numPr>
          <w:ilvl w:val="0"/>
          <w:numId w:val="67"/>
        </w:numPr>
        <w:spacing w:before="120" w:after="120" w:line="259" w:lineRule="auto"/>
        <w:ind w:left="360"/>
        <w:contextualSpacing/>
        <w:jc w:val="both"/>
        <w:rPr>
          <w:noProof/>
        </w:rPr>
      </w:pPr>
      <w:r>
        <w:rPr>
          <w:noProof/>
        </w:rPr>
        <w:t>Замяна на остарели и нискоефективни механични превозни средства с превозни средства, които се движат единствено с биометан, в съответствие с критериите, определени в Директива 2018/2001 (Директива RED II). 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 Операторът закупува сертификати за гаранция за произход, съизмерими с очакваното използване на гориво.</w:t>
      </w:r>
    </w:p>
    <w:p w14:paraId="45A6F2BB" w14:textId="1BAFC9DD" w:rsidR="006054AA" w:rsidRDefault="001F7667">
      <w:pPr>
        <w:numPr>
          <w:ilvl w:val="0"/>
          <w:numId w:val="67"/>
        </w:numPr>
        <w:spacing w:before="120" w:after="120" w:line="259" w:lineRule="auto"/>
        <w:ind w:left="360"/>
        <w:contextualSpacing/>
        <w:jc w:val="both"/>
        <w:rPr>
          <w:noProof/>
        </w:rPr>
      </w:pPr>
      <w:r>
        <w:rPr>
          <w:noProof/>
        </w:rPr>
        <w:t>Дифузни екологични практики във фазата на производство на биогаз (обекти с минимална обработка на почвата, иновативни нискоемисионни системи за разпределение на ферментационния продукт).</w:t>
      </w:r>
    </w:p>
    <w:p w14:paraId="03C2BCC9" w14:textId="77777777" w:rsidR="006054AA" w:rsidRDefault="001F7667">
      <w:pPr>
        <w:pStyle w:val="P68B1DB1-Normal2"/>
        <w:spacing w:before="120" w:after="120"/>
        <w:jc w:val="both"/>
        <w:rPr>
          <w:noProof/>
        </w:rPr>
      </w:pPr>
      <w:r>
        <w:rPr>
          <w:noProof/>
        </w:rPr>
        <w:t>Инвестиция 2.1 — Укрепване на интелигентните мрежи</w:t>
      </w:r>
    </w:p>
    <w:p w14:paraId="60D1125B" w14:textId="77777777" w:rsidR="006054AA" w:rsidRDefault="001F7667">
      <w:pPr>
        <w:spacing w:before="120" w:after="120"/>
        <w:jc w:val="both"/>
        <w:rPr>
          <w:noProof/>
        </w:rPr>
      </w:pPr>
      <w:r>
        <w:rPr>
          <w:noProof/>
        </w:rPr>
        <w:t>Тази инвестиция се състои в преобразуването на разпределителните мрежи и тяхното управление, с намеса както на електроенергийната мрежа, така и на нейните софтуерни компоненти, за да се даде възможност за нови енергийни сценарии, при които потребителите и произвеждащите потребители също могат да играят роля.</w:t>
      </w:r>
    </w:p>
    <w:p w14:paraId="4FBA14C2" w14:textId="77777777" w:rsidR="006054AA" w:rsidRDefault="001F7667">
      <w:pPr>
        <w:pStyle w:val="P68B1DB1-Normal2"/>
        <w:spacing w:before="120" w:after="120"/>
        <w:jc w:val="both"/>
        <w:rPr>
          <w:noProof/>
        </w:rPr>
      </w:pPr>
      <w:r>
        <w:rPr>
          <w:noProof/>
        </w:rPr>
        <w:t>Инвестиция 2.2 — Интервенции за повишаване на устойчивостта на електроенергийната мрежа</w:t>
      </w:r>
    </w:p>
    <w:p w14:paraId="30BB3F4D" w14:textId="77777777" w:rsidR="006054AA" w:rsidRDefault="001F7667">
      <w:pPr>
        <w:spacing w:before="120" w:after="120"/>
        <w:jc w:val="both"/>
        <w:rPr>
          <w:noProof/>
        </w:rPr>
      </w:pPr>
      <w:r>
        <w:rPr>
          <w:noProof/>
        </w:rPr>
        <w:t>Тази инвестиция се състои от интервенции за подобряване на устойчивостта на електроенергийната мрежа на екстремни метеорологични явления (вятърни/падащи дървета, лед, горещи вълни, риск от наводнения и хидрогеоложки рискове), особено в разпределителната мрежа, и за намаляване на вероятността от продължителни прекъсвания на доставките на електроенергия и на отрицателните социални и икономически последици за засегнатите райони.</w:t>
      </w:r>
    </w:p>
    <w:p w14:paraId="044C9DC3" w14:textId="5495A66C" w:rsidR="006054AA" w:rsidRDefault="001F7667">
      <w:pPr>
        <w:pStyle w:val="P68B1DB1-Normal2"/>
        <w:spacing w:before="120" w:after="120"/>
        <w:jc w:val="both"/>
        <w:rPr>
          <w:noProof/>
        </w:rPr>
      </w:pPr>
      <w:r>
        <w:rPr>
          <w:noProof/>
        </w:rPr>
        <w:t>Инвестиция 3.1 — Производство на водород в изоставени промишлени терени (водородни долини)</w:t>
      </w:r>
    </w:p>
    <w:p w14:paraId="0A4CFEFC" w14:textId="77777777" w:rsidR="006054AA" w:rsidRDefault="001F7667">
      <w:pPr>
        <w:spacing w:before="120" w:after="120"/>
        <w:jc w:val="both"/>
        <w:rPr>
          <w:noProof/>
        </w:rPr>
      </w:pPr>
      <w:r>
        <w:rPr>
          <w:noProof/>
        </w:rPr>
        <w:t>Тази инвестиция се състои в подкрепа на местното производство и използване на зелен водород в промишлеността, МСП и местния транспорт, като по този начин се създават нови водородни долини, разположени главно в Южна Италия, с местно производство от възобновяеми енергийни източници и местно използване. Проектът има за цел повторно използване на изоставени промишлени зони за изпитване на съоръжения за производство на водород от местни инсталации за ВЕИ, разположени в същото промишлено пространство и съоръжения или в съседни райони. Тази мярка подпомага производството на водород въз основа на електролиза, като се използват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w:t>
      </w:r>
    </w:p>
    <w:p w14:paraId="46DEC56A" w14:textId="77777777" w:rsidR="006054AA" w:rsidRDefault="001F7667">
      <w:pPr>
        <w:pStyle w:val="P68B1DB1-Normal2"/>
        <w:spacing w:before="120" w:after="120"/>
        <w:jc w:val="both"/>
        <w:rPr>
          <w:noProof/>
        </w:rPr>
      </w:pPr>
      <w:r>
        <w:rPr>
          <w:noProof/>
        </w:rPr>
        <w:t>Инвестиция 3.2 — Използване на водород в трудната за намаляване на емисиите промишленост</w:t>
      </w:r>
    </w:p>
    <w:p w14:paraId="6B48525D" w14:textId="266BFCF1" w:rsidR="006054AA" w:rsidRDefault="001F7667">
      <w:pPr>
        <w:spacing w:before="120" w:after="120"/>
        <w:jc w:val="both"/>
        <w:rPr>
          <w:b/>
          <w:noProof/>
        </w:rPr>
      </w:pPr>
      <w:r>
        <w:rPr>
          <w:noProof/>
        </w:rPr>
        <w:t>Тази инвестиция се състои в подкрепа на научните изследвания и иновациите относно промишлените процеси за разработване на инициативи за използване на водород в промишлените сектори, които използват метана като източник на енергия за топлинна енергия (цимент, заводи за хартия, керамична, стъкларска промишленост и др.). Секторът на изкопаемите горива, като нефтените рафинерии, не е допустим. Тази мярка подпомага производството на водород въз основа на електролиза, като се използват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w:t>
      </w:r>
      <w:r>
        <w:rPr>
          <w:b/>
          <w:noProof/>
        </w:rPr>
        <w:t xml:space="preserve"> </w:t>
      </w:r>
    </w:p>
    <w:p w14:paraId="1901E301" w14:textId="1A784B3C" w:rsidR="006054AA" w:rsidRDefault="001F7667">
      <w:pPr>
        <w:spacing w:before="120" w:after="120"/>
        <w:jc w:val="both"/>
        <w:rPr>
          <w:noProof/>
        </w:rPr>
      </w:pPr>
      <w:r>
        <w:rPr>
          <w:noProof/>
        </w:rPr>
        <w:t>За да се гарантира, че мярката е в съответствие с принципа за ненанасяне на значителни вреди съгласно Механизма за възстановяване и устойчивост, определен в техническите насоки за НЗВ (2021/C58/01), критериите за допустимост в предстоящите покани за представяне на предложения изключват дейностите по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 Когато с дейността се постигат прогнозни емисии на парникови газове, които не са значително по-ниски, но все още по-ниски от съответните параметри,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p w14:paraId="1B9A3C33" w14:textId="77777777" w:rsidR="006054AA" w:rsidRDefault="001F7667">
      <w:pPr>
        <w:pStyle w:val="P68B1DB1-Normal2"/>
        <w:spacing w:before="120" w:after="120"/>
        <w:jc w:val="both"/>
        <w:rPr>
          <w:noProof/>
        </w:rPr>
      </w:pPr>
      <w:r>
        <w:rPr>
          <w:noProof/>
        </w:rPr>
        <w:t>Инвестиция 3.3 — Изпитване на водорода за автомобилния транспорт</w:t>
      </w:r>
    </w:p>
    <w:p w14:paraId="07042940" w14:textId="77777777" w:rsidR="006054AA" w:rsidRDefault="001F7667">
      <w:pPr>
        <w:spacing w:before="120" w:after="120"/>
        <w:jc w:val="both"/>
        <w:rPr>
          <w:noProof/>
        </w:rPr>
      </w:pPr>
      <w:r>
        <w:rPr>
          <w:noProof/>
        </w:rPr>
        <w:t xml:space="preserve">Тази инвестиция се състои в създаването на най-малко 40 станции за презареждане с водород, разположени в зони за обслужване на магистралите, логистични складове и пристанища в съответствие с изискванията на Директива 2014/94 относно инфраструктурата за алтернативни горива. </w:t>
      </w:r>
    </w:p>
    <w:p w14:paraId="45AF42FB" w14:textId="77777777" w:rsidR="006054AA" w:rsidRDefault="001F7667">
      <w:pPr>
        <w:pStyle w:val="P68B1DB1-Normal2"/>
        <w:spacing w:before="120" w:after="120"/>
        <w:jc w:val="both"/>
        <w:rPr>
          <w:noProof/>
        </w:rPr>
      </w:pPr>
      <w:r>
        <w:rPr>
          <w:noProof/>
        </w:rPr>
        <w:t>Инвестиция 3.4 — Изпитване на водорода за железопътна мобилност</w:t>
      </w:r>
    </w:p>
    <w:p w14:paraId="6FA98301" w14:textId="77777777" w:rsidR="006054AA" w:rsidRDefault="001F7667">
      <w:pPr>
        <w:spacing w:before="120" w:after="120"/>
        <w:jc w:val="both"/>
        <w:rPr>
          <w:noProof/>
        </w:rPr>
      </w:pPr>
      <w:r>
        <w:rPr>
          <w:noProof/>
        </w:rPr>
        <w:t xml:space="preserve">Тази инвестиция се състои в изграждането на най-малко десет станции за презареждане с гориво на основата на водород по протежение на поне шест железопътни линии. Станциите за презареждане с водород се осъществяват за предпочитане в близост до местни обекти за производство на водород от възобновяеми източници и/или станции за презареждане с водород по магистрала.  </w:t>
      </w:r>
    </w:p>
    <w:p w14:paraId="5513A5D0" w14:textId="77777777" w:rsidR="006054AA" w:rsidRDefault="001F7667">
      <w:pPr>
        <w:pStyle w:val="P68B1DB1-Normal2"/>
        <w:spacing w:before="120" w:after="120"/>
        <w:jc w:val="both"/>
        <w:rPr>
          <w:noProof/>
        </w:rPr>
      </w:pPr>
      <w:r>
        <w:rPr>
          <w:noProof/>
        </w:rPr>
        <w:t>Инвестиция 3.5 — Научноизследователска и развойна дейност в областта на водорода</w:t>
      </w:r>
    </w:p>
    <w:p w14:paraId="6DCCFE7E" w14:textId="77777777" w:rsidR="006054AA" w:rsidRDefault="001F7667">
      <w:pPr>
        <w:spacing w:before="120" w:after="120" w:line="246" w:lineRule="auto"/>
        <w:jc w:val="both"/>
        <w:rPr>
          <w:noProof/>
        </w:rPr>
      </w:pPr>
      <w:r>
        <w:rPr>
          <w:noProof/>
        </w:rPr>
        <w:t>Тази инвестиция се състои в подкрепа на дейностите за научноизследователска и развойна дейност във връзка с водорода в:</w:t>
      </w:r>
    </w:p>
    <w:p w14:paraId="6C4C111F" w14:textId="77777777" w:rsidR="006054AA" w:rsidRDefault="001F7667">
      <w:pPr>
        <w:numPr>
          <w:ilvl w:val="0"/>
          <w:numId w:val="68"/>
        </w:numPr>
        <w:spacing w:before="120" w:after="120" w:line="246" w:lineRule="auto"/>
        <w:ind w:left="360"/>
        <w:contextualSpacing/>
        <w:jc w:val="both"/>
        <w:rPr>
          <w:noProof/>
        </w:rPr>
      </w:pPr>
      <w:r>
        <w:rPr>
          <w:noProof/>
        </w:rPr>
        <w:t>Производство на зелен и чист водород</w:t>
      </w:r>
    </w:p>
    <w:p w14:paraId="3D39BB16" w14:textId="77777777" w:rsidR="006054AA" w:rsidRDefault="001F7667">
      <w:pPr>
        <w:numPr>
          <w:ilvl w:val="0"/>
          <w:numId w:val="68"/>
        </w:numPr>
        <w:spacing w:before="120" w:after="120" w:line="246" w:lineRule="auto"/>
        <w:ind w:left="360"/>
        <w:contextualSpacing/>
        <w:jc w:val="both"/>
        <w:rPr>
          <w:noProof/>
        </w:rPr>
      </w:pPr>
      <w:r>
        <w:rPr>
          <w:noProof/>
        </w:rPr>
        <w:t>Иновативни технологии за съхранение, транспортиране и преобразуване на водород в производни и горива на основата на електроенергия</w:t>
      </w:r>
    </w:p>
    <w:p w14:paraId="6ACB1953" w14:textId="77777777" w:rsidR="006054AA" w:rsidRDefault="001F7667">
      <w:pPr>
        <w:numPr>
          <w:ilvl w:val="0"/>
          <w:numId w:val="68"/>
        </w:numPr>
        <w:spacing w:before="120" w:after="120" w:line="246" w:lineRule="auto"/>
        <w:ind w:left="360"/>
        <w:contextualSpacing/>
        <w:jc w:val="both"/>
        <w:rPr>
          <w:noProof/>
        </w:rPr>
      </w:pPr>
      <w:r>
        <w:rPr>
          <w:noProof/>
        </w:rPr>
        <w:t>Горивни елементи за стационарно приложение и за подвижност</w:t>
      </w:r>
    </w:p>
    <w:p w14:paraId="0C97794B" w14:textId="77777777" w:rsidR="006054AA" w:rsidRDefault="001F7667">
      <w:pPr>
        <w:numPr>
          <w:ilvl w:val="0"/>
          <w:numId w:val="68"/>
        </w:numPr>
        <w:spacing w:before="120" w:after="120" w:line="246" w:lineRule="auto"/>
        <w:ind w:left="360"/>
        <w:contextualSpacing/>
        <w:jc w:val="both"/>
        <w:rPr>
          <w:noProof/>
        </w:rPr>
      </w:pPr>
      <w:r>
        <w:rPr>
          <w:noProof/>
        </w:rPr>
        <w:t xml:space="preserve">Интегрирани системи за интелигентно управление с цел повишаване на устойчивостта и надеждността на интелигентните инфраструктури, основани на водород </w:t>
      </w:r>
    </w:p>
    <w:p w14:paraId="13EB039B" w14:textId="2A14FAB4" w:rsidR="006054AA" w:rsidRDefault="001F7667">
      <w:pPr>
        <w:spacing w:before="120" w:after="120"/>
        <w:jc w:val="both"/>
        <w:rPr>
          <w:noProof/>
        </w:rPr>
      </w:pPr>
      <w:r>
        <w:rPr>
          <w:noProof/>
        </w:rPr>
        <w:t>Тази мярка подпомага производството на водород въз основа на електролиза чрез използване на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 или водородни дейности, които отговарят на изискването за намаляване на емисиите на парникови газове през целия жизнен цикъл с 73,4 % за водорода [което води до емисии на парникови газове през целия жизнен цикъл, по-ниски от 3 tCO2e/tH2] и 70 % за синтетични горива на основата на водород в сравнение с изкопаемо гориво от 94 g CO2e/MJ, по аналогия с подхода, посочен в член 25, параграф 2 от Директива (ЕС) 2018/2001 и приложение V към нея.</w:t>
      </w:r>
    </w:p>
    <w:p w14:paraId="48BAE65B" w14:textId="77777777" w:rsidR="006054AA" w:rsidRDefault="001F7667">
      <w:pPr>
        <w:pStyle w:val="P68B1DB1-Normal2"/>
        <w:spacing w:after="120"/>
        <w:jc w:val="both"/>
        <w:rPr>
          <w:noProof/>
        </w:rPr>
      </w:pPr>
      <w:r>
        <w:rPr>
          <w:noProof/>
        </w:rPr>
        <w:t>Инвестиция 4.2 — Разработване на системи за бърз масов транспорт (метро, улици, BRT)</w:t>
      </w:r>
    </w:p>
    <w:p w14:paraId="45241A2F" w14:textId="77777777" w:rsidR="006054AA" w:rsidRDefault="001F7667">
      <w:pPr>
        <w:spacing w:after="120"/>
        <w:jc w:val="both"/>
        <w:rPr>
          <w:noProof/>
        </w:rPr>
      </w:pPr>
      <w:r>
        <w:rPr>
          <w:noProof/>
        </w:rPr>
        <w:t xml:space="preserve">Целта на мярката е да се увеличи бързият превоз в системата за масов транспорт, като се благоприятства преминаването от автомобилен към обществен транспорт. </w:t>
      </w:r>
    </w:p>
    <w:p w14:paraId="150D50D9" w14:textId="77777777" w:rsidR="006054AA" w:rsidRDefault="001F7667">
      <w:pPr>
        <w:spacing w:after="120"/>
        <w:jc w:val="both"/>
        <w:rPr>
          <w:noProof/>
        </w:rPr>
      </w:pPr>
      <w:r>
        <w:rPr>
          <w:noProof/>
        </w:rPr>
        <w:t>Тази инвестиция се състои от:</w:t>
      </w:r>
    </w:p>
    <w:p w14:paraId="3AE34B28" w14:textId="77777777" w:rsidR="006054AA" w:rsidRDefault="001F7667">
      <w:pPr>
        <w:numPr>
          <w:ilvl w:val="0"/>
          <w:numId w:val="98"/>
        </w:numPr>
        <w:spacing w:after="120"/>
        <w:ind w:right="4"/>
        <w:jc w:val="both"/>
        <w:rPr>
          <w:noProof/>
        </w:rPr>
      </w:pPr>
      <w:r>
        <w:rPr>
          <w:noProof/>
        </w:rPr>
        <w:t>Изграждане на нови линии и разширяване на съществуващи линии на системи за бърз масов транспорт за най-малко 231 км. Списъкът на проектите включва най-малко 96 km ленти за метрото или трамвайни линии и най-малко 135 km тролейбус или въжени линии.</w:t>
      </w:r>
    </w:p>
    <w:p w14:paraId="3CC70B75" w14:textId="77777777" w:rsidR="006054AA" w:rsidRDefault="001F7667">
      <w:pPr>
        <w:numPr>
          <w:ilvl w:val="0"/>
          <w:numId w:val="98"/>
        </w:numPr>
        <w:spacing w:after="120"/>
        <w:ind w:right="4"/>
        <w:jc w:val="both"/>
        <w:rPr>
          <w:noProof/>
        </w:rPr>
      </w:pPr>
      <w:r>
        <w:rPr>
          <w:noProof/>
        </w:rPr>
        <w:t>Модернизиране на инфраструктурата на системите за бърз масов транспорт, включително тяхната цифровизация. Тези интервенции включват модернизиране на метростанции и инфраструктура на метрото, системи за сигнализация за железопътни или трамвайни линии, публични транзитни депа.</w:t>
      </w:r>
    </w:p>
    <w:p w14:paraId="3B0F5DBF" w14:textId="77777777" w:rsidR="006054AA" w:rsidRDefault="001F7667">
      <w:pPr>
        <w:numPr>
          <w:ilvl w:val="0"/>
          <w:numId w:val="98"/>
        </w:numPr>
        <w:spacing w:after="120"/>
        <w:ind w:right="4"/>
        <w:jc w:val="both"/>
        <w:rPr>
          <w:noProof/>
        </w:rPr>
      </w:pPr>
      <w:r>
        <w:rPr>
          <w:noProof/>
        </w:rPr>
        <w:t>Закупуване на подвижен състав с нулеви емисии за системи за бърз масов транспорт.</w:t>
      </w:r>
    </w:p>
    <w:p w14:paraId="578C44D9" w14:textId="77777777" w:rsidR="006054AA" w:rsidRDefault="001F7667">
      <w:pPr>
        <w:spacing w:after="120"/>
        <w:jc w:val="both"/>
        <w:rPr>
          <w:noProof/>
        </w:rPr>
      </w:pPr>
      <w:r>
        <w:rPr>
          <w:noProof/>
        </w:rPr>
        <w:t xml:space="preserve">Интервенциите, включени в тази мярка, са резултат от две отделни покани за изразяване на интерес (макрогрупи): </w:t>
      </w:r>
    </w:p>
    <w:p w14:paraId="3B3A1837" w14:textId="77777777" w:rsidR="006054AA" w:rsidRDefault="001F7667">
      <w:pPr>
        <w:pStyle w:val="ListParagraph"/>
        <w:numPr>
          <w:ilvl w:val="0"/>
          <w:numId w:val="99"/>
        </w:numPr>
        <w:spacing w:before="0"/>
        <w:rPr>
          <w:noProof/>
        </w:rPr>
      </w:pPr>
      <w:r>
        <w:rPr>
          <w:noProof/>
        </w:rPr>
        <w:t>покана „Avviso 1“ (заключителен мандат през 2020 г.) — осъществяване на най-малко 7 интервенции в метрополни области,</w:t>
      </w:r>
      <w:r>
        <w:rPr>
          <w:rStyle w:val="FootnoteReference"/>
          <w:noProof/>
        </w:rPr>
        <w:footnoteReference w:id="50"/>
      </w:r>
      <w:r>
        <w:rPr>
          <w:noProof/>
        </w:rPr>
        <w:t xml:space="preserve"> включително Рим, Генуа, Флоренция, Палермо, Болоня, Римини; </w:t>
      </w:r>
    </w:p>
    <w:p w14:paraId="3EBFD896" w14:textId="77777777" w:rsidR="006054AA" w:rsidRDefault="001F7667">
      <w:pPr>
        <w:pStyle w:val="ListParagraph"/>
        <w:numPr>
          <w:ilvl w:val="0"/>
          <w:numId w:val="99"/>
        </w:numPr>
        <w:spacing w:before="0"/>
        <w:contextualSpacing w:val="0"/>
        <w:rPr>
          <w:noProof/>
        </w:rPr>
      </w:pPr>
      <w:r>
        <w:rPr>
          <w:noProof/>
        </w:rPr>
        <w:t>покана „Avviso 2“ (заключителен мандат през януари 2021 г.) — осъществяване на най-малко 21 интервенции в метрополни области, включително Рим, Флоренция, Неапол, Милано, Палермо, Бари, Болоня, Катания, Падова, Перуджа, Таранто.</w:t>
      </w:r>
    </w:p>
    <w:p w14:paraId="60E4CDD4" w14:textId="77777777" w:rsidR="006054AA" w:rsidRDefault="001F7667">
      <w:pPr>
        <w:spacing w:after="120"/>
        <w:ind w:right="4"/>
        <w:jc w:val="both"/>
        <w:rPr>
          <w:noProof/>
        </w:rPr>
      </w:pPr>
      <w:r>
        <w:rPr>
          <w:noProof/>
        </w:rPr>
        <w:t>Инфраструктурата, допустима както за строителство, така и за модернизиране, е предназначена за подвижен състав с нулеви емисии (а именно ленти за метро, трамвайни линии, тролейбусни ленти и/или въжени линии). Инвестицията не включва изграждането или модернизирането на пътища.</w:t>
      </w:r>
    </w:p>
    <w:p w14:paraId="7606820C" w14:textId="77777777" w:rsidR="006054AA" w:rsidRDefault="001F7667">
      <w:pPr>
        <w:pStyle w:val="P68B1DB1-Normal2"/>
        <w:spacing w:after="120"/>
        <w:jc w:val="both"/>
        <w:rPr>
          <w:noProof/>
        </w:rPr>
      </w:pPr>
      <w:bookmarkStart w:id="3" w:name="_Hlk151064119"/>
      <w:r>
        <w:rPr>
          <w:noProof/>
        </w:rPr>
        <w:t>Инвестиция 4.4.1 — Укрепване на регионалния обществен транспорт с нулеви емисии на автобусен парк</w:t>
      </w:r>
    </w:p>
    <w:p w14:paraId="72B80D61" w14:textId="71525EC1" w:rsidR="006054AA" w:rsidRDefault="001F7667">
      <w:pPr>
        <w:spacing w:after="120"/>
        <w:jc w:val="both"/>
        <w:rPr>
          <w:noProof/>
        </w:rPr>
      </w:pPr>
      <w:r>
        <w:rPr>
          <w:noProof/>
        </w:rPr>
        <w:t>Тази инвестиция се състои в възлагането на обществени поръчки за най-малко 3</w:t>
      </w:r>
      <w:r>
        <w:rPr>
          <w:noProof/>
          <w:color w:val="006100"/>
          <w:sz w:val="20"/>
        </w:rPr>
        <w:t xml:space="preserve"> </w:t>
      </w:r>
      <w:r>
        <w:rPr>
          <w:noProof/>
        </w:rPr>
        <w:t>000 автобуса с нисък под с нулеви емисии и най-малко 1</w:t>
      </w:r>
      <w:r>
        <w:rPr>
          <w:noProof/>
          <w:color w:val="006100"/>
          <w:sz w:val="20"/>
        </w:rPr>
        <w:t xml:space="preserve"> </w:t>
      </w:r>
      <w:r>
        <w:rPr>
          <w:noProof/>
        </w:rPr>
        <w:t xml:space="preserve">000 зарядни станции за нискоетажни автобуси с нулеви и ниски емисии. Автобусите се оборудват с цифрови характеристики. Автобусите, които отговарят на условията, са с нисък под (т.е. принадлежат към превозни средства от категории M2 и M3 съгласно стандартите на ИКЕ на ООН) и са електрически или водородни горивни клетки. </w:t>
      </w:r>
    </w:p>
    <w:bookmarkEnd w:id="3"/>
    <w:p w14:paraId="19E6285E" w14:textId="77777777" w:rsidR="006054AA" w:rsidRDefault="001F7667">
      <w:pPr>
        <w:pStyle w:val="P68B1DB1-Normal2"/>
        <w:spacing w:before="120" w:after="120"/>
        <w:jc w:val="both"/>
        <w:rPr>
          <w:noProof/>
        </w:rPr>
      </w:pPr>
      <w:r>
        <w:rPr>
          <w:noProof/>
        </w:rPr>
        <w:t>Инвестиция 4.4.2 — Укрепване на регионалния парк от обществен транспорт с влакове с нулеви емисии и универсална услуга</w:t>
      </w:r>
    </w:p>
    <w:p w14:paraId="2DA767CE" w14:textId="77777777" w:rsidR="006054AA" w:rsidRDefault="001F7667">
      <w:pPr>
        <w:spacing w:before="120" w:after="120"/>
        <w:jc w:val="both"/>
        <w:rPr>
          <w:noProof/>
        </w:rPr>
      </w:pPr>
      <w:r>
        <w:rPr>
          <w:noProof/>
        </w:rPr>
        <w:t>Тази инвестиция се състои в закупуването и пускането в експлоатация на най-малко 66 пътнически влака с нулеви емисии</w:t>
      </w:r>
      <w:r>
        <w:rPr>
          <w:rStyle w:val="FootnoteReference"/>
          <w:noProof/>
        </w:rPr>
        <w:footnoteReference w:id="51"/>
      </w:r>
      <w:r>
        <w:rPr>
          <w:noProof/>
        </w:rPr>
        <w:t xml:space="preserve"> (като влакът се състои от поне един локомотив и включва пътнически вагони) и допълнителни 100 вагона за универсална услуга. Като цяло инвестицията трябва да осигурява най-малко 523 единици, от които най-малко 66 са локомотиви.</w:t>
      </w:r>
    </w:p>
    <w:p w14:paraId="0A461285" w14:textId="77777777" w:rsidR="006054AA" w:rsidRDefault="001F7667">
      <w:pPr>
        <w:pStyle w:val="P68B1DB1-Normal2"/>
        <w:spacing w:before="120" w:after="120"/>
        <w:jc w:val="both"/>
        <w:rPr>
          <w:noProof/>
        </w:rPr>
      </w:pPr>
      <w:r>
        <w:rPr>
          <w:noProof/>
        </w:rPr>
        <w:t xml:space="preserve">Инвестиция 4.4.3 — Подновителен флот за командването на националната противопожарна служба </w:t>
      </w:r>
    </w:p>
    <w:p w14:paraId="3D413323" w14:textId="0009F480" w:rsidR="006054AA" w:rsidRDefault="001F7667">
      <w:pPr>
        <w:spacing w:before="120" w:after="120"/>
        <w:jc w:val="both"/>
        <w:rPr>
          <w:noProof/>
        </w:rPr>
      </w:pPr>
      <w:r>
        <w:rPr>
          <w:noProof/>
        </w:rPr>
        <w:t>Тази инвестиция се състои в закупуването на 200 летищни превозни средства и 3</w:t>
      </w:r>
      <w:r>
        <w:rPr>
          <w:noProof/>
          <w:color w:val="006100"/>
          <w:sz w:val="20"/>
        </w:rPr>
        <w:t xml:space="preserve"> </w:t>
      </w:r>
      <w:r>
        <w:rPr>
          <w:noProof/>
        </w:rPr>
        <w:t>600 пожарогасителни превозни средства, които да заменят целия автомобилен парк на Националната противопожарна служба и изграждането на 875 зарядни станции. Превозните средства са с нулеви емисии или работят единствено с биометан, който отговаря на критериите за устойчивост и намаление на емисиите на парникови газове, определени в членове 29—31, и на правилата относно биогоривата на основата на храни и фуражи, посочени в член 26 от Директива (ЕС) 2018/2001 за енергията от възобновяеми източници (REDII) и свързаните с нея актове за изпълнение и делегирани актове. Операторите закупуват сертификат за гаранция за произход, съизмерим с очакваното потребление на гориво.</w:t>
      </w:r>
    </w:p>
    <w:p w14:paraId="09538FBF" w14:textId="77777777" w:rsidR="006054AA" w:rsidRDefault="001F7667">
      <w:pPr>
        <w:pStyle w:val="P68B1DB1-Normal2"/>
        <w:spacing w:after="120"/>
        <w:jc w:val="both"/>
        <w:rPr>
          <w:noProof/>
        </w:rPr>
      </w:pPr>
      <w:r>
        <w:rPr>
          <w:noProof/>
        </w:rPr>
        <w:t>Инвестиция 5.1 — Развитие на международно, промишлено и технологично лидерство в областта на възобновяемите енергийни източници и акумулаторните батерии</w:t>
      </w:r>
    </w:p>
    <w:p w14:paraId="65BE578B" w14:textId="376BA638" w:rsidR="006054AA" w:rsidRDefault="001F7667">
      <w:pPr>
        <w:spacing w:after="120"/>
        <w:jc w:val="both"/>
        <w:rPr>
          <w:noProof/>
        </w:rPr>
      </w:pPr>
      <w:r>
        <w:rPr>
          <w:noProof/>
        </w:rPr>
        <w:t>Тази мярка се състои от публични инвестиции в механизъм — „Механизъм за възобновяеми енергийни източници и акумулаторни батерии“, за да се стимулират частните инвестиции и да се подобри достъпът до финансиране в подкрепа на развитието на верига за създаване на стойност в областта на възобновяемите енергийни източници и акумулаторните батерии. Механизмът функционира, като предоставя безвъзмездни средства, субсидирани заеми и лихвени субсидии пряко на частния сектор. Въз основа на инвестициите по МВУ Механизмът има за цел първоначално да предостави най-малко 1</w:t>
      </w:r>
      <w:r>
        <w:rPr>
          <w:noProof/>
          <w:color w:val="006100"/>
          <w:sz w:val="20"/>
        </w:rPr>
        <w:t xml:space="preserve"> </w:t>
      </w:r>
      <w:r>
        <w:rPr>
          <w:noProof/>
        </w:rPr>
        <w:t>400</w:t>
      </w:r>
      <w:r>
        <w:rPr>
          <w:noProof/>
          <w:color w:val="006100"/>
          <w:sz w:val="20"/>
        </w:rPr>
        <w:t xml:space="preserve"> </w:t>
      </w:r>
      <w:r>
        <w:rPr>
          <w:noProof/>
        </w:rPr>
        <w:t>000</w:t>
      </w:r>
      <w:r>
        <w:rPr>
          <w:noProof/>
          <w:color w:val="006100"/>
          <w:sz w:val="20"/>
        </w:rPr>
        <w:t xml:space="preserve"> </w:t>
      </w:r>
      <w:r>
        <w:rPr>
          <w:noProof/>
        </w:rPr>
        <w:t>EUR финансиране в размер на 000 EUR.</w:t>
      </w:r>
    </w:p>
    <w:p w14:paraId="5231626F" w14:textId="77777777" w:rsidR="006054AA" w:rsidRDefault="001F7667">
      <w:pPr>
        <w:spacing w:after="120"/>
        <w:jc w:val="both"/>
        <w:rPr>
          <w:noProof/>
        </w:rPr>
      </w:pPr>
      <w:r>
        <w:rPr>
          <w:noProof/>
        </w:rPr>
        <w:t>Механизмът се управлява от Invitalia S.p.A. като партньор по изпълнението. Механизмът включва следните продуктови линии:</w:t>
      </w:r>
    </w:p>
    <w:p w14:paraId="4B9A2E97" w14:textId="77777777" w:rsidR="006054AA" w:rsidRDefault="001F7667">
      <w:pPr>
        <w:pStyle w:val="ListParagraph"/>
        <w:numPr>
          <w:ilvl w:val="0"/>
          <w:numId w:val="101"/>
        </w:numPr>
        <w:spacing w:before="0"/>
        <w:rPr>
          <w:noProof/>
        </w:rPr>
      </w:pPr>
      <w:r>
        <w:rPr>
          <w:noProof/>
        </w:rPr>
        <w:t xml:space="preserve">Първият е насочен към производството на батерии и увеличава производствения капацитет на фотоволтаичните или вятърните технологии с най-малко 2,4 GW годишно.  </w:t>
      </w:r>
    </w:p>
    <w:p w14:paraId="74FA30C4" w14:textId="77777777" w:rsidR="006054AA" w:rsidRDefault="001F7667">
      <w:pPr>
        <w:pStyle w:val="ListParagraph"/>
        <w:numPr>
          <w:ilvl w:val="0"/>
          <w:numId w:val="101"/>
        </w:numPr>
        <w:spacing w:before="0"/>
        <w:rPr>
          <w:noProof/>
        </w:rPr>
      </w:pPr>
      <w:r>
        <w:rPr>
          <w:noProof/>
        </w:rPr>
        <w:t>Вторият е насочен към производството на фотоволтаични технологии или технологии, свързани с вятъра, и увеличава производствения капацитет на батериите с най-малко 13 GW годишно.</w:t>
      </w:r>
    </w:p>
    <w:p w14:paraId="3D2DCE35" w14:textId="77777777" w:rsidR="006054AA" w:rsidRDefault="001F7667">
      <w:pPr>
        <w:spacing w:after="120"/>
        <w:jc w:val="both"/>
        <w:rPr>
          <w:noProof/>
        </w:rPr>
      </w:pPr>
      <w:r>
        <w:rPr>
          <w:noProof/>
        </w:rPr>
        <w:t>За да осъществят инвестицията в механизма, Италия и Invitalia подписват споразумение за изпълнение, което включва следното съдържание:</w:t>
      </w:r>
    </w:p>
    <w:p w14:paraId="214C9C99" w14:textId="77777777" w:rsidR="006054AA" w:rsidRDefault="001F7667">
      <w:pPr>
        <w:pStyle w:val="ListParagraph"/>
        <w:numPr>
          <w:ilvl w:val="0"/>
          <w:numId w:val="144"/>
        </w:numPr>
        <w:spacing w:before="0"/>
        <w:contextualSpacing w:val="0"/>
        <w:rPr>
          <w:noProof/>
        </w:rPr>
      </w:pPr>
      <w:r>
        <w:rPr>
          <w:noProof/>
        </w:rPr>
        <w:t>Описание на процеса на вземане на решения на механизма: Окончателното инвестиционно решение на механизма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p>
    <w:p w14:paraId="13206F27" w14:textId="77777777" w:rsidR="006054AA" w:rsidRDefault="001F7667">
      <w:pPr>
        <w:pStyle w:val="ListParagraph"/>
        <w:numPr>
          <w:ilvl w:val="0"/>
          <w:numId w:val="144"/>
        </w:numPr>
        <w:spacing w:before="0"/>
        <w:contextualSpacing w:val="0"/>
        <w:rPr>
          <w:noProof/>
        </w:rPr>
      </w:pPr>
      <w:r>
        <w:rPr>
          <w:noProof/>
        </w:rPr>
        <w:t>Основни изисквания на свързаната инвестиционна политика, които включват:</w:t>
      </w:r>
    </w:p>
    <w:p w14:paraId="5E54EF47" w14:textId="77777777" w:rsidR="006054AA" w:rsidRDefault="001F7667">
      <w:pPr>
        <w:pStyle w:val="ListParagraph"/>
        <w:numPr>
          <w:ilvl w:val="4"/>
          <w:numId w:val="27"/>
        </w:numPr>
        <w:spacing w:before="0"/>
        <w:ind w:left="1276"/>
        <w:contextualSpacing w:val="0"/>
        <w:rPr>
          <w:noProof/>
        </w:rPr>
      </w:pPr>
      <w:r>
        <w:rPr>
          <w:noProof/>
        </w:rPr>
        <w:t xml:space="preserve">Описанието на финансовите продукти и допустимите крайни бенефициери. </w:t>
      </w:r>
    </w:p>
    <w:p w14:paraId="7B6C54E6" w14:textId="77777777" w:rsidR="006054AA" w:rsidRDefault="001F7667">
      <w:pPr>
        <w:pStyle w:val="ListParagraph"/>
        <w:numPr>
          <w:ilvl w:val="4"/>
          <w:numId w:val="27"/>
        </w:numPr>
        <w:spacing w:before="0"/>
        <w:ind w:left="1276"/>
        <w:contextualSpacing w:val="0"/>
        <w:rPr>
          <w:noProof/>
        </w:rPr>
      </w:pPr>
      <w:r>
        <w:rPr>
          <w:noProof/>
        </w:rPr>
        <w:t xml:space="preserve">Изискването всички подпомагани инвестиции да са икономически жизнеспособни. </w:t>
      </w:r>
    </w:p>
    <w:p w14:paraId="06020128" w14:textId="580C8E69" w:rsidR="006054AA" w:rsidRDefault="001F7667">
      <w:pPr>
        <w:pStyle w:val="ListParagraph"/>
        <w:numPr>
          <w:ilvl w:val="4"/>
          <w:numId w:val="27"/>
        </w:numPr>
        <w:spacing w:before="0"/>
        <w:ind w:left="1276"/>
        <w:contextualSpacing w:val="0"/>
        <w:rPr>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инвестиционната политика изключва от допустимост следния списък от дейности и активи: и) дейности и активи, които попадат в обхвата на критериите за допустимост: I) дейности и активи, свързани с изкопаеми горива, включително използване надолу по веригата</w:t>
      </w:r>
      <w:r>
        <w:rPr>
          <w:rStyle w:val="FootnoteReference"/>
          <w:noProof/>
        </w:rPr>
        <w:footnoteReference w:id="52"/>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53"/>
      </w:r>
      <w:r>
        <w:rPr>
          <w:noProof/>
        </w:rPr>
        <w:t>, iii) дейности и активи, свързани с депа за отпадъци, инсинератори</w:t>
      </w:r>
      <w:r>
        <w:rPr>
          <w:rStyle w:val="FootnoteReference"/>
          <w:noProof/>
        </w:rPr>
        <w:footnoteReference w:id="54"/>
      </w:r>
      <w:r>
        <w:rPr>
          <w:noProof/>
        </w:rPr>
        <w:t xml:space="preserve"> и инсталации за механично-биологично третиране</w:t>
      </w:r>
      <w:r>
        <w:rPr>
          <w:rStyle w:val="FootnoteReference"/>
          <w:noProof/>
        </w:rPr>
        <w:footnoteReference w:id="55"/>
      </w:r>
      <w:r>
        <w:rPr>
          <w:noProof/>
        </w:rPr>
        <w:t xml:space="preserve">. </w:t>
      </w:r>
    </w:p>
    <w:p w14:paraId="15F309EA" w14:textId="77777777" w:rsidR="006054AA" w:rsidRDefault="001F7667">
      <w:pPr>
        <w:pStyle w:val="ListParagraph"/>
        <w:numPr>
          <w:ilvl w:val="4"/>
          <w:numId w:val="27"/>
        </w:numPr>
        <w:spacing w:before="0"/>
        <w:ind w:left="1276"/>
        <w:contextualSpacing w:val="0"/>
        <w:rPr>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27D01A32" w14:textId="77777777" w:rsidR="006054AA" w:rsidRDefault="001F7667">
      <w:pPr>
        <w:pStyle w:val="ListParagraph"/>
        <w:numPr>
          <w:ilvl w:val="0"/>
          <w:numId w:val="144"/>
        </w:numPr>
        <w:spacing w:before="0"/>
        <w:contextualSpacing w:val="0"/>
        <w:rPr>
          <w:noProof/>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w:t>
      </w:r>
    </w:p>
    <w:p w14:paraId="7589AEE0" w14:textId="77777777" w:rsidR="006054AA" w:rsidRDefault="001F7667">
      <w:pPr>
        <w:pStyle w:val="ListParagraph"/>
        <w:numPr>
          <w:ilvl w:val="0"/>
          <w:numId w:val="144"/>
        </w:numPr>
        <w:spacing w:before="0"/>
        <w:contextualSpacing w:val="0"/>
        <w:rPr>
          <w:noProof/>
        </w:rPr>
      </w:pPr>
      <w:r>
        <w:rPr>
          <w:noProof/>
        </w:rPr>
        <w:t>Изисквания за мониторинг, одит и контрол, включително:</w:t>
      </w:r>
    </w:p>
    <w:p w14:paraId="3E06C8DA" w14:textId="77777777" w:rsidR="006054AA" w:rsidRDefault="001F7667">
      <w:pPr>
        <w:pStyle w:val="ListParagraph"/>
        <w:numPr>
          <w:ilvl w:val="4"/>
          <w:numId w:val="27"/>
        </w:numPr>
        <w:spacing w:before="0"/>
        <w:ind w:left="1276"/>
        <w:contextualSpacing w:val="0"/>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2554283E" w14:textId="77777777" w:rsidR="006054AA" w:rsidRDefault="001F7667">
      <w:pPr>
        <w:pStyle w:val="ListParagraph"/>
        <w:numPr>
          <w:ilvl w:val="4"/>
          <w:numId w:val="27"/>
        </w:numPr>
        <w:spacing w:before="0"/>
        <w:ind w:left="1276"/>
        <w:contextualSpacing w:val="0"/>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28988C38" w14:textId="77777777" w:rsidR="006054AA" w:rsidRDefault="001F7667">
      <w:pPr>
        <w:pStyle w:val="ListParagraph"/>
        <w:numPr>
          <w:ilvl w:val="4"/>
          <w:numId w:val="27"/>
        </w:numPr>
        <w:spacing w:before="0"/>
        <w:ind w:left="1276"/>
        <w:contextualSpacing w:val="0"/>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операция.</w:t>
      </w:r>
    </w:p>
    <w:p w14:paraId="7F4814EF" w14:textId="77777777" w:rsidR="006054AA" w:rsidRDefault="001F7667">
      <w:pPr>
        <w:pStyle w:val="ListParagraph"/>
        <w:numPr>
          <w:ilvl w:val="4"/>
          <w:numId w:val="27"/>
        </w:numPr>
        <w:spacing w:before="0"/>
        <w:ind w:left="1276"/>
        <w:contextualSpacing w:val="0"/>
        <w:rPr>
          <w:noProof/>
        </w:rPr>
      </w:pPr>
      <w:r>
        <w:rPr>
          <w:noProof/>
        </w:rPr>
        <w:t>Задължението за извършване на последващи одити, основани на риска, в съответствие с плана за одит на СЗЗ Invitalia. Тези одити проверяват:</w:t>
      </w:r>
    </w:p>
    <w:p w14:paraId="0B5817CD" w14:textId="77777777" w:rsidR="006054AA" w:rsidRDefault="001F7667">
      <w:pPr>
        <w:pStyle w:val="ListParagraph"/>
        <w:numPr>
          <w:ilvl w:val="5"/>
          <w:numId w:val="27"/>
        </w:numPr>
        <w:spacing w:before="0"/>
        <w:ind w:left="1985"/>
        <w:contextualSpacing w:val="0"/>
        <w:rPr>
          <w:noProof/>
        </w:rPr>
      </w:pPr>
      <w:r>
        <w:rPr>
          <w:noProof/>
        </w:rPr>
        <w:t>че системите за контрол са ефективни, включително разкриването на измами, корупция и конфликт на интереси;</w:t>
      </w:r>
    </w:p>
    <w:p w14:paraId="4D95DA6E" w14:textId="77777777" w:rsidR="006054AA" w:rsidRDefault="001F7667">
      <w:pPr>
        <w:pStyle w:val="ListParagraph"/>
        <w:numPr>
          <w:ilvl w:val="5"/>
          <w:numId w:val="27"/>
        </w:numPr>
        <w:spacing w:before="0"/>
        <w:ind w:left="1985"/>
        <w:contextualSpacing w:val="0"/>
        <w:rPr>
          <w:noProof/>
        </w:rPr>
      </w:pPr>
      <w:r>
        <w:rPr>
          <w:noProof/>
        </w:rPr>
        <w:t xml:space="preserve">спазване на принципа за ненанасяне на значителни вреди, правилата за държавна помощ, изискванията във връзка с целта в областта на климата;  </w:t>
      </w:r>
    </w:p>
    <w:p w14:paraId="08E98854" w14:textId="77777777" w:rsidR="006054AA" w:rsidRDefault="001F7667">
      <w:pPr>
        <w:pStyle w:val="ListParagraph"/>
        <w:numPr>
          <w:ilvl w:val="5"/>
          <w:numId w:val="27"/>
        </w:numPr>
        <w:spacing w:before="0"/>
        <w:ind w:left="1985"/>
        <w:contextualSpacing w:val="0"/>
        <w:rPr>
          <w:noProof/>
        </w:rPr>
      </w:pPr>
      <w:r>
        <w:rPr>
          <w:noProof/>
        </w:rPr>
        <w:t xml:space="preserve">е спазено изискването крайните бенефициери на механизма да не са получили подкрепа от други инструменти на Съюза за покриване на същите разходи. Одитите проверяват също така законосъобразността на трансакциите и спазването на условията на приложимото споразумение за изпълнение. </w:t>
      </w:r>
    </w:p>
    <w:p w14:paraId="021FB43E" w14:textId="3F5D4322" w:rsidR="006054AA" w:rsidRDefault="001F7667">
      <w:pPr>
        <w:pStyle w:val="ListParagraph"/>
        <w:numPr>
          <w:ilvl w:val="0"/>
          <w:numId w:val="144"/>
        </w:numPr>
        <w:spacing w:before="0"/>
        <w:contextualSpacing w:val="0"/>
        <w:rPr>
          <w:noProof/>
        </w:rPr>
      </w:pPr>
      <w:r>
        <w:rPr>
          <w:noProof/>
        </w:rPr>
        <w:t>Изисквания за инвестиции в областта на климата, извършвани от партньора по изпълнението: най-малко 1</w:t>
      </w:r>
      <w:r>
        <w:rPr>
          <w:noProof/>
          <w:color w:val="006100"/>
          <w:sz w:val="20"/>
        </w:rPr>
        <w:t xml:space="preserve"> </w:t>
      </w:r>
      <w:r>
        <w:rPr>
          <w:noProof/>
        </w:rPr>
        <w:t>000 000</w:t>
      </w:r>
      <w:r>
        <w:rPr>
          <w:noProof/>
          <w:color w:val="006100"/>
          <w:sz w:val="20"/>
        </w:rPr>
        <w:t xml:space="preserve">  </w:t>
      </w:r>
      <w:r>
        <w:rPr>
          <w:noProof/>
        </w:rPr>
        <w:t>000 EUR от инвестициите по МВУ в Механизма допринасят за постигането на целите във връзка с изменението на климата в съответствие с приложение VI към Регламента за МВУ</w:t>
      </w:r>
      <w:r>
        <w:rPr>
          <w:rStyle w:val="FootnoteReference"/>
          <w:noProof/>
        </w:rPr>
        <w:footnoteReference w:id="56"/>
      </w:r>
      <w:r>
        <w:rPr>
          <w:noProof/>
        </w:rPr>
        <w:t>.</w:t>
      </w:r>
    </w:p>
    <w:p w14:paraId="15526B12" w14:textId="77777777" w:rsidR="006054AA" w:rsidRDefault="001F7667">
      <w:pPr>
        <w:spacing w:after="120"/>
        <w:jc w:val="both"/>
        <w:rPr>
          <w:noProof/>
        </w:rPr>
      </w:pPr>
      <w:r>
        <w:rPr>
          <w:noProof/>
        </w:rPr>
        <w:t>Изпълнението на мярката трябва да приключи до 31 август 2026 г.</w:t>
      </w:r>
    </w:p>
    <w:p w14:paraId="508CB857" w14:textId="3464066F" w:rsidR="006054AA" w:rsidRDefault="001F7667">
      <w:pPr>
        <w:pStyle w:val="P68B1DB1-Normal2"/>
        <w:spacing w:before="120" w:after="120"/>
        <w:jc w:val="both"/>
        <w:rPr>
          <w:noProof/>
        </w:rPr>
      </w:pPr>
      <w:r>
        <w:rPr>
          <w:noProof/>
        </w:rPr>
        <w:t>Инвестиция 5.2 — Развитие на международно, промишлено и технологично лидерство в областта на водорода</w:t>
      </w:r>
    </w:p>
    <w:p w14:paraId="0CA1C396" w14:textId="77777777" w:rsidR="006054AA" w:rsidRDefault="001F7667">
      <w:pPr>
        <w:spacing w:before="120" w:after="120"/>
        <w:jc w:val="both"/>
        <w:rPr>
          <w:noProof/>
        </w:rPr>
      </w:pPr>
      <w:r>
        <w:rPr>
          <w:noProof/>
        </w:rPr>
        <w:t>Тази инвестиция се състои в подкрепа на проекти за развитието на верига за създаване на стойност във водорода в Италия, която е подходяща и за участие в потенциални важни проекти от общоевропейски интерес в областта на водорода.</w:t>
      </w:r>
    </w:p>
    <w:p w14:paraId="1EB721FD" w14:textId="77777777" w:rsidR="006054AA" w:rsidRDefault="001F7667">
      <w:pPr>
        <w:pStyle w:val="P68B1DB1-Normal2"/>
        <w:spacing w:before="120" w:after="120"/>
        <w:jc w:val="both"/>
        <w:rPr>
          <w:noProof/>
        </w:rPr>
      </w:pPr>
      <w:r>
        <w:rPr>
          <w:noProof/>
        </w:rPr>
        <w:t>Инвестиция 5.3 — Развитие на международно и промишлено лидерство и лидерство в областта на научноизследователската и развойната дейност в електрическите автобуси</w:t>
      </w:r>
    </w:p>
    <w:p w14:paraId="729FB38F" w14:textId="77777777" w:rsidR="006054AA" w:rsidRDefault="001F7667">
      <w:pPr>
        <w:spacing w:before="120" w:after="120"/>
        <w:jc w:val="both"/>
        <w:rPr>
          <w:noProof/>
        </w:rPr>
      </w:pPr>
      <w:r>
        <w:rPr>
          <w:noProof/>
        </w:rPr>
        <w:t>Тази инвестиция се състои в подкрепа на около 45 проекта, които могат да насърчат цифровата и екологичната трансформация на автобусната промишленост в производство на електрически и свързани автобуси.  Очаква се тези инвестиции също така да подкрепят инвестициите в обновяването на парка от електрически автобуси (без да се обхващат хибридните автобуси).</w:t>
      </w:r>
    </w:p>
    <w:p w14:paraId="73B86E2E" w14:textId="77777777" w:rsidR="006054AA" w:rsidRDefault="001F7667">
      <w:pPr>
        <w:pStyle w:val="P68B1DB1-Normal2"/>
        <w:spacing w:before="120" w:after="120"/>
        <w:jc w:val="both"/>
        <w:rPr>
          <w:noProof/>
        </w:rPr>
      </w:pPr>
      <w:r>
        <w:rPr>
          <w:noProof/>
        </w:rPr>
        <w:t>Инвестиция 5.4 — Подкрепа за стартиращи предприятия и рисков капитал, осъществяващи дейност в екологичния преход</w:t>
      </w:r>
    </w:p>
    <w:p w14:paraId="0567D705" w14:textId="77777777" w:rsidR="006054AA" w:rsidRDefault="001F7667">
      <w:pPr>
        <w:jc w:val="both"/>
        <w:rPr>
          <w:noProof/>
        </w:rPr>
      </w:pPr>
      <w:r>
        <w:rPr>
          <w:noProof/>
        </w:rPr>
        <w:t xml:space="preserve">Тази мярка се състои от публични инвестиции в механизъм — Фонда за екологичен преход, за да се стимулират частните инвестиции, да се подобри достъпът до финансиране в Италия за стартиращи предприятия, участващи в екологичния преход, и да се развие пазарът на рисков капитал в този сектор. Механизмът функционира чрез предоставяне на капиталова или квазикапиталова подкрепа, пряко </w:t>
      </w:r>
      <w:r>
        <w:rPr>
          <w:noProof/>
          <w:color w:val="000000" w:themeColor="text1"/>
        </w:rPr>
        <w:t>или непряко</w:t>
      </w:r>
      <w:r>
        <w:rPr>
          <w:noProof/>
        </w:rPr>
        <w:t xml:space="preserve">. По-специално, в случай на преки инвестиции GTF функционира чрез предоставяне на капиталова или квазикапиталова подкрепа (като конвертируеми облигации) на стартиращи предприятия; в случай на непреки инвестиции SGR функционира чрез финансиране на фондове на трети страни (АИФ — алтернативен инвестиционен фонд), които функционират чрез предоставяне на капиталови или квазикапиталови, дългови или квазидългови инструменти. GTF инвестира в следните области на намеса: възобновяеми енергийни източници, кръгова икономика, мобилност, енергийна ефективност, управление на отпадъците и съхранение на енергия. </w:t>
      </w:r>
    </w:p>
    <w:p w14:paraId="7BB09B7A" w14:textId="77777777" w:rsidR="006054AA" w:rsidRDefault="006054AA">
      <w:pPr>
        <w:jc w:val="both"/>
        <w:rPr>
          <w:noProof/>
        </w:rPr>
      </w:pPr>
    </w:p>
    <w:p w14:paraId="41498E28" w14:textId="50B83844" w:rsidR="006054AA" w:rsidRDefault="001F7667">
      <w:pPr>
        <w:jc w:val="both"/>
        <w:rPr>
          <w:noProof/>
        </w:rPr>
      </w:pPr>
      <w:r>
        <w:rPr>
          <w:noProof/>
        </w:rPr>
        <w:t>Въз основа на инвестициите по МВУ Механизмът има за цел първоначално да предостави финансиране в размер на най-малко 250</w:t>
      </w:r>
      <w:r>
        <w:rPr>
          <w:noProof/>
          <w:color w:val="006100"/>
          <w:sz w:val="20"/>
        </w:rPr>
        <w:t xml:space="preserve">  </w:t>
      </w:r>
      <w:r>
        <w:rPr>
          <w:noProof/>
        </w:rPr>
        <w:t>000 000 EUR.</w:t>
      </w:r>
    </w:p>
    <w:p w14:paraId="3DDF71AB" w14:textId="77777777" w:rsidR="006054AA" w:rsidRDefault="006054AA">
      <w:pPr>
        <w:jc w:val="both"/>
        <w:rPr>
          <w:noProof/>
        </w:rPr>
      </w:pPr>
    </w:p>
    <w:p w14:paraId="40187E7E" w14:textId="77777777" w:rsidR="006054AA" w:rsidRDefault="001F7667">
      <w:pPr>
        <w:jc w:val="both"/>
        <w:rPr>
          <w:noProof/>
        </w:rPr>
      </w:pPr>
      <w:r>
        <w:rPr>
          <w:noProof/>
        </w:rPr>
        <w:t>Механизмът се управлява от CDP Venture Capital SGR като партньор по изпълнението. GTF е с продължителност 15 години, за да съответства на продължителността на инвестираните средства на трети страни, и инвестира в следните продуктови линии:</w:t>
      </w:r>
    </w:p>
    <w:p w14:paraId="06B98BA8" w14:textId="77777777" w:rsidR="006054AA" w:rsidRDefault="001F7667">
      <w:pPr>
        <w:pStyle w:val="ListParagraph"/>
        <w:numPr>
          <w:ilvl w:val="0"/>
          <w:numId w:val="52"/>
        </w:numPr>
        <w:spacing w:before="0" w:after="160"/>
        <w:rPr>
          <w:noProof/>
        </w:rPr>
      </w:pPr>
      <w:r>
        <w:rPr>
          <w:noProof/>
        </w:rPr>
        <w:t>Капиталова или квазикапиталова подкрепа за „зелени“ стартиращи предприятия (пряк начин);</w:t>
      </w:r>
    </w:p>
    <w:p w14:paraId="172F6461" w14:textId="77777777" w:rsidR="006054AA" w:rsidRDefault="001F7667">
      <w:pPr>
        <w:pStyle w:val="ListParagraph"/>
        <w:numPr>
          <w:ilvl w:val="0"/>
          <w:numId w:val="52"/>
        </w:numPr>
        <w:spacing w:before="0" w:after="160"/>
        <w:rPr>
          <w:noProof/>
        </w:rPr>
      </w:pPr>
      <w:r>
        <w:rPr>
          <w:noProof/>
        </w:rPr>
        <w:t>Собствен капитал, квазикапиталова подкрепа за фондове за рисков капитал/дългови фондове (косвен начин);</w:t>
      </w:r>
    </w:p>
    <w:p w14:paraId="102AA77F" w14:textId="77777777" w:rsidR="006054AA" w:rsidRDefault="001F7667">
      <w:pPr>
        <w:pStyle w:val="ListParagraph"/>
        <w:numPr>
          <w:ilvl w:val="0"/>
          <w:numId w:val="52"/>
        </w:numPr>
        <w:spacing w:before="0" w:after="160"/>
        <w:rPr>
          <w:noProof/>
        </w:rPr>
      </w:pPr>
      <w:r>
        <w:rPr>
          <w:noProof/>
        </w:rPr>
        <w:t>Подкрепа под формата на капиталово или квазикапиталово финансиране за програми за инкубация/ускоряване.</w:t>
      </w:r>
    </w:p>
    <w:p w14:paraId="4F6866D6" w14:textId="77777777" w:rsidR="006054AA" w:rsidRDefault="006054AA">
      <w:pPr>
        <w:pStyle w:val="ListParagraph"/>
        <w:rPr>
          <w:noProof/>
        </w:rPr>
      </w:pPr>
    </w:p>
    <w:p w14:paraId="733E0651" w14:textId="77777777" w:rsidR="006054AA" w:rsidRDefault="001F7667">
      <w:pPr>
        <w:jc w:val="both"/>
        <w:rPr>
          <w:noProof/>
        </w:rPr>
      </w:pPr>
      <w:r>
        <w:rPr>
          <w:noProof/>
        </w:rPr>
        <w:t>MIMIT и SGR изменят действащото споразумение за прилагане („</w:t>
      </w:r>
      <w:r>
        <w:rPr>
          <w:i/>
          <w:noProof/>
        </w:rPr>
        <w:t>Accordo Finanziario</w:t>
      </w:r>
      <w:r>
        <w:rPr>
          <w:noProof/>
        </w:rPr>
        <w:t>“) и правилата на GTF, за да включат следните разпоредби:</w:t>
      </w:r>
    </w:p>
    <w:p w14:paraId="2D8544D1" w14:textId="77777777" w:rsidR="006054AA" w:rsidRDefault="001F7667">
      <w:pPr>
        <w:pStyle w:val="LegalNumPar"/>
        <w:jc w:val="both"/>
        <w:rPr>
          <w:rFonts w:ascii="Times New Roman" w:eastAsia="Times New Roman" w:hAnsi="Times New Roman" w:cs="Times New Roman"/>
          <w:noProof/>
          <w:sz w:val="24"/>
        </w:rPr>
      </w:pPr>
      <w:r>
        <w:rPr>
          <w:rFonts w:ascii="Times New Roman" w:hAnsi="Times New Roman"/>
          <w:noProof/>
          <w:sz w:val="24"/>
        </w:rPr>
        <w:t>Описание на процеса на вземане на решения на механизма: окончателното инвестиционно решение на механизма се взема от съвет на директорите или друг съответен равностоен управителен орган и се одобрява с мнозинство от гласовете на членове, които са независими от правителството</w:t>
      </w:r>
      <w:r>
        <w:rPr>
          <w:rStyle w:val="FootnoteReference"/>
          <w:rFonts w:eastAsia="Times New Roman"/>
          <w:noProof/>
        </w:rPr>
        <w:footnoteReference w:id="57"/>
      </w:r>
      <w:r>
        <w:rPr>
          <w:rFonts w:ascii="Times New Roman" w:hAnsi="Times New Roman"/>
          <w:noProof/>
          <w:sz w:val="24"/>
        </w:rPr>
        <w:t>.</w:t>
      </w:r>
    </w:p>
    <w:p w14:paraId="6CADD546" w14:textId="77777777" w:rsidR="006054AA" w:rsidRDefault="001F7667">
      <w:pPr>
        <w:pStyle w:val="P68B1DB1-LegalNumPar27"/>
        <w:jc w:val="both"/>
        <w:rPr>
          <w:rFonts w:eastAsia="Times New Roman" w:cs="Times New Roman"/>
          <w:noProof/>
        </w:rPr>
      </w:pPr>
      <w:r>
        <w:rPr>
          <w:noProof/>
        </w:rPr>
        <w:t>Основни изисквания на свързаната инвестиционна политика,</w:t>
      </w:r>
      <w:r>
        <w:rPr>
          <w:b/>
          <w:noProof/>
        </w:rPr>
        <w:t xml:space="preserve"> </w:t>
      </w:r>
      <w:r>
        <w:rPr>
          <w:noProof/>
        </w:rPr>
        <w:t>които включват:</w:t>
      </w:r>
    </w:p>
    <w:p w14:paraId="63DBC5FB" w14:textId="77777777" w:rsidR="006054AA" w:rsidRDefault="001F7667" w:rsidP="00F31484">
      <w:pPr>
        <w:pStyle w:val="ListParagraph"/>
        <w:numPr>
          <w:ilvl w:val="0"/>
          <w:numId w:val="147"/>
        </w:numPr>
        <w:spacing w:before="0"/>
        <w:ind w:left="1080"/>
        <w:contextualSpacing w:val="0"/>
        <w:rPr>
          <w:noProof/>
        </w:rPr>
      </w:pPr>
      <w:r>
        <w:rPr>
          <w:noProof/>
        </w:rPr>
        <w:t xml:space="preserve">Описанието на финансовите продукти и допустимите крайни бенефициери. </w:t>
      </w:r>
    </w:p>
    <w:p w14:paraId="0147093A" w14:textId="77777777" w:rsidR="006054AA" w:rsidRDefault="001F7667" w:rsidP="00F31484">
      <w:pPr>
        <w:pStyle w:val="ListParagraph"/>
        <w:numPr>
          <w:ilvl w:val="0"/>
          <w:numId w:val="147"/>
        </w:numPr>
        <w:spacing w:before="0"/>
        <w:ind w:left="1080"/>
        <w:contextualSpacing w:val="0"/>
        <w:rPr>
          <w:noProof/>
        </w:rPr>
      </w:pPr>
      <w:r>
        <w:rPr>
          <w:noProof/>
        </w:rPr>
        <w:t>Изискването всички подпомагани инвестиции да са икономически жизнеспособни</w:t>
      </w:r>
      <w:r w:rsidRPr="00F31484">
        <w:rPr>
          <w:noProof/>
        </w:rPr>
        <w:t>.</w:t>
      </w:r>
    </w:p>
    <w:p w14:paraId="1D399DC9" w14:textId="77777777" w:rsidR="006054AA" w:rsidRDefault="001F7667" w:rsidP="00F31484">
      <w:pPr>
        <w:pStyle w:val="ListParagraph"/>
        <w:numPr>
          <w:ilvl w:val="0"/>
          <w:numId w:val="147"/>
        </w:numPr>
        <w:spacing w:before="0"/>
        <w:ind w:left="1080"/>
        <w:contextualSpacing w:val="0"/>
        <w:rPr>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в случай на обща подкрепа за стартиращи предприятия, инвестиционната политика изключва дружества със значителен акцент</w:t>
      </w:r>
      <w:r>
        <w:rPr>
          <w:noProof/>
        </w:rPr>
        <w:footnoteReference w:id="58"/>
      </w:r>
      <w:r>
        <w:rPr>
          <w:noProof/>
        </w:rPr>
        <w:t xml:space="preserve"> в следните сектори: I) производство на енергия от изкопаеми горива и свързани с него дейности</w:t>
      </w:r>
      <w:r>
        <w:rPr>
          <w:noProof/>
        </w:rPr>
        <w:footnoteReference w:id="59"/>
      </w:r>
      <w:r>
        <w:rPr>
          <w:noProof/>
        </w:rPr>
        <w:t>; II) енергоемки и/или промишлени отрасли с високи емисии на CO2</w:t>
      </w:r>
      <w:r>
        <w:rPr>
          <w:noProof/>
        </w:rPr>
        <w:footnoteReference w:id="60"/>
      </w:r>
      <w:r>
        <w:rPr>
          <w:noProof/>
        </w:rPr>
        <w:t>; III) производство, отдаване под наем или продажба на замърсяващи превозни средства</w:t>
      </w:r>
      <w:r>
        <w:rPr>
          <w:noProof/>
        </w:rPr>
        <w:footnoteReference w:id="61"/>
      </w:r>
      <w:r>
        <w:rPr>
          <w:noProof/>
        </w:rPr>
        <w:t>; IV) събиране на отпадъци, третиране и погребване на отпадъци</w:t>
      </w:r>
      <w:r>
        <w:rPr>
          <w:noProof/>
        </w:rPr>
        <w:footnoteReference w:id="62"/>
      </w:r>
      <w:r>
        <w:rPr>
          <w:noProof/>
        </w:rPr>
        <w:t>, v) преработка на ядрено гориво, производство на ядрена енергия. Освен това инвестиционната политика изисква</w:t>
      </w:r>
      <w:r>
        <w:rPr>
          <w:b/>
          <w:noProof/>
        </w:rPr>
        <w:t xml:space="preserve"> </w:t>
      </w:r>
      <w:r>
        <w:rPr>
          <w:noProof/>
        </w:rPr>
        <w:t>спазване на съответното законодателство на ЕС и национално законодателство в областта на околната среда от крайните бенефициери на механизма.</w:t>
      </w:r>
    </w:p>
    <w:p w14:paraId="4666E5D6" w14:textId="77777777" w:rsidR="006054AA" w:rsidRDefault="001F7667">
      <w:pPr>
        <w:pStyle w:val="P68B1DB1-LegalNumPar228"/>
        <w:jc w:val="both"/>
        <w:rPr>
          <w:rFonts w:eastAsia="Times New Roman" w:cs="Times New Roman"/>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748C2276" w14:textId="77777777" w:rsidR="006054AA" w:rsidRDefault="001F7667">
      <w:pPr>
        <w:pStyle w:val="P68B1DB1-LegalNumPar27"/>
        <w:jc w:val="both"/>
        <w:rPr>
          <w:rFonts w:eastAsia="Times New Roman" w:cs="Times New Roman"/>
          <w:noProof/>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w:t>
      </w:r>
    </w:p>
    <w:p w14:paraId="3F12F79D" w14:textId="77777777" w:rsidR="006054AA" w:rsidRDefault="001F7667">
      <w:pPr>
        <w:pStyle w:val="P68B1DB1-LegalNumPar27"/>
        <w:jc w:val="both"/>
        <w:rPr>
          <w:rFonts w:eastAsia="Times New Roman" w:cs="Times New Roman"/>
          <w:noProof/>
        </w:rPr>
      </w:pPr>
      <w:r>
        <w:rPr>
          <w:noProof/>
        </w:rPr>
        <w:t>Изисквания за мониторинг, одит и контрол, включително:</w:t>
      </w:r>
    </w:p>
    <w:p w14:paraId="55B2077E" w14:textId="77777777" w:rsidR="006054AA" w:rsidRDefault="001F7667">
      <w:pPr>
        <w:numPr>
          <w:ilvl w:val="1"/>
          <w:numId w:val="100"/>
        </w:numPr>
        <w:spacing w:after="160"/>
        <w:jc w:val="both"/>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29D6553A" w14:textId="77777777" w:rsidR="006054AA" w:rsidRDefault="001F7667">
      <w:pPr>
        <w:numPr>
          <w:ilvl w:val="1"/>
          <w:numId w:val="100"/>
        </w:numPr>
        <w:spacing w:after="160" w:line="259" w:lineRule="auto"/>
        <w:jc w:val="both"/>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1E904D7E" w14:textId="77777777" w:rsidR="006054AA" w:rsidRDefault="001F7667">
      <w:pPr>
        <w:numPr>
          <w:ilvl w:val="1"/>
          <w:numId w:val="100"/>
        </w:numPr>
        <w:spacing w:after="160" w:line="259" w:lineRule="auto"/>
        <w:jc w:val="both"/>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операция.</w:t>
      </w:r>
    </w:p>
    <w:p w14:paraId="20F98FD3" w14:textId="77777777" w:rsidR="006054AA" w:rsidRDefault="001F7667">
      <w:pPr>
        <w:numPr>
          <w:ilvl w:val="1"/>
          <w:numId w:val="100"/>
        </w:numPr>
        <w:spacing w:after="160"/>
        <w:jc w:val="both"/>
        <w:rPr>
          <w:noProof/>
        </w:rPr>
      </w:pPr>
      <w:r>
        <w:rPr>
          <w:noProof/>
        </w:rPr>
        <w:t xml:space="preserve">Задължението за извършване на последващи одити, основани на риска, в съответствие с плана за одит на SGR. Тези одити проверяват i) дали системите за контрол са ефективни, включително разкриването на измами, корупция и конфликт на интереси; II) спазването на принципа за ненанасяне на значителни вреди, правилата за държавна помощ; и iii) изискването крайните бенефициери на механизма да не са получили подкрепа от други инструменти на Съюза за покриване на същите разходи, е спазено. Одитите проверяват също така законосъобразността на трансакциите и спазването на условията на приложимите споразумение за изпълнение и споразумения за финансиране. </w:t>
      </w:r>
    </w:p>
    <w:p w14:paraId="210F5C35" w14:textId="77777777" w:rsidR="006054AA" w:rsidRDefault="001F7667">
      <w:pPr>
        <w:numPr>
          <w:ilvl w:val="0"/>
          <w:numId w:val="25"/>
        </w:numPr>
        <w:spacing w:after="160"/>
        <w:ind w:left="720" w:hanging="360"/>
        <w:jc w:val="both"/>
        <w:rPr>
          <w:noProof/>
        </w:rPr>
      </w:pPr>
      <w:r>
        <w:rPr>
          <w:b/>
          <w:noProof/>
        </w:rPr>
        <w:t>Изисквания за подбор на капиталови/дългови фондове за рисков капитал</w:t>
      </w:r>
      <w:r>
        <w:rPr>
          <w:noProof/>
        </w:rPr>
        <w:t xml:space="preserve">: Фондът за екологичен преход избира финансовите посредници по открит, прозрачен и недискриминационен начин в съответствие с настоящата практика, наред с другото, чрез публикуване на всички изисквания и формуляри за кандидатстване както на уебсайта на SGR, така и на уебсайта на MIMIT. Контролът за липса на конфликт на интереси по отношение на финансовите посредници се извършва и се извършва </w:t>
      </w:r>
      <w:r>
        <w:rPr>
          <w:i/>
          <w:noProof/>
        </w:rPr>
        <w:t>предварително</w:t>
      </w:r>
      <w:r>
        <w:rPr>
          <w:noProof/>
        </w:rPr>
        <w:t xml:space="preserve"> за всички участващи финансови участници. Липсата на конфликт на интереси винаги се отнася до „крайния бенефициер“ на механизма.</w:t>
      </w:r>
    </w:p>
    <w:p w14:paraId="65512CD3" w14:textId="77777777" w:rsidR="006054AA" w:rsidRDefault="001F7667">
      <w:pPr>
        <w:numPr>
          <w:ilvl w:val="0"/>
          <w:numId w:val="25"/>
        </w:numPr>
        <w:spacing w:after="160"/>
        <w:ind w:left="720" w:hanging="360"/>
        <w:jc w:val="both"/>
        <w:rPr>
          <w:noProof/>
        </w:rPr>
      </w:pPr>
      <w:r>
        <w:rPr>
          <w:b/>
          <w:noProof/>
        </w:rPr>
        <w:t>Изискване за подписване на споразумения за финансиране</w:t>
      </w:r>
      <w:r>
        <w:rPr>
          <w:noProof/>
        </w:rPr>
        <w:t xml:space="preserve">: GTF подписва споразумения за финансиране с финансовите посредници в съответствие с основните изисквания, които включват всички изисквания, съгласно които функционира GTF, включително: </w:t>
      </w:r>
    </w:p>
    <w:p w14:paraId="7631971B" w14:textId="77777777" w:rsidR="006054AA" w:rsidRDefault="001F7667">
      <w:pPr>
        <w:numPr>
          <w:ilvl w:val="0"/>
          <w:numId w:val="51"/>
        </w:numPr>
        <w:spacing w:after="160"/>
        <w:jc w:val="both"/>
        <w:rPr>
          <w:noProof/>
        </w:rPr>
      </w:pPr>
      <w:r>
        <w:rPr>
          <w:noProof/>
        </w:rPr>
        <w:t xml:space="preserve">Задължението на финансовия посредник да взема решенията си в съответствие </w:t>
      </w:r>
      <w:r>
        <w:rPr>
          <w:i/>
          <w:noProof/>
        </w:rPr>
        <w:t>mutatis mutandis</w:t>
      </w:r>
      <w:r>
        <w:rPr>
          <w:noProof/>
        </w:rPr>
        <w:t xml:space="preserve"> с изискванията за вземане на решения и инвестиционната политика, посочени по-горе, включително във връзка със спазването на принципа за ненанасяне на значителни вреди.</w:t>
      </w:r>
    </w:p>
    <w:p w14:paraId="677EDBB2" w14:textId="77777777" w:rsidR="006054AA" w:rsidRDefault="001F7667">
      <w:pPr>
        <w:numPr>
          <w:ilvl w:val="0"/>
          <w:numId w:val="51"/>
        </w:numPr>
        <w:spacing w:after="160"/>
        <w:jc w:val="both"/>
        <w:rPr>
          <w:noProof/>
        </w:rPr>
      </w:pPr>
      <w:r>
        <w:rPr>
          <w:noProof/>
        </w:rPr>
        <w:t xml:space="preserve">Описанието на рамката за мониторинг, одит и контрол, която финансовият посредник въвежда и която </w:t>
      </w:r>
      <w:r>
        <w:rPr>
          <w:i/>
          <w:noProof/>
        </w:rPr>
        <w:t>mutatis mutandis</w:t>
      </w:r>
      <w:r>
        <w:rPr>
          <w:noProof/>
        </w:rPr>
        <w:t xml:space="preserve"> подлежи на всички изисквания за мониторинг, одит и контрол, посочени по-горе. </w:t>
      </w:r>
    </w:p>
    <w:p w14:paraId="4188B381" w14:textId="08BF234B" w:rsidR="006054AA" w:rsidRDefault="001F7667">
      <w:pPr>
        <w:spacing w:before="120" w:after="120"/>
        <w:jc w:val="both"/>
        <w:rPr>
          <w:noProof/>
        </w:rPr>
      </w:pPr>
      <w:r>
        <w:rPr>
          <w:noProof/>
        </w:rPr>
        <w:t xml:space="preserve">Изпълнението на мярката трябва да приключи до 31 август 2026 г. </w:t>
      </w:r>
    </w:p>
    <w:p w14:paraId="345B23CC" w14:textId="77777777" w:rsidR="006054AA" w:rsidRDefault="001F7667">
      <w:pPr>
        <w:pStyle w:val="Heading3"/>
        <w:numPr>
          <w:ilvl w:val="0"/>
          <w:numId w:val="0"/>
        </w:numPr>
        <w:ind w:left="850" w:hanging="850"/>
        <w:rPr>
          <w:b/>
          <w:i w:val="0"/>
          <w:noProof/>
          <w:u w:val="single"/>
        </w:rPr>
      </w:pPr>
      <w:r>
        <w:rPr>
          <w:b/>
          <w:i w:val="0"/>
          <w:noProof/>
          <w:u w:val="single"/>
        </w:rPr>
        <w:t xml:space="preserve">Д.4. </w:t>
      </w:r>
      <w:r>
        <w:rPr>
          <w:noProof/>
        </w:rPr>
        <w:tab/>
      </w:r>
      <w:r>
        <w:rPr>
          <w:b/>
          <w:i w:val="0"/>
          <w:noProof/>
          <w:u w:val="single"/>
        </w:rPr>
        <w:t xml:space="preserve">Ключови етапи, цели, показатели и график за мониторинг и изпълнение на заема </w:t>
      </w:r>
    </w:p>
    <w:p w14:paraId="27790AF9" w14:textId="77777777" w:rsidR="006054AA" w:rsidRDefault="006054AA">
      <w:pPr>
        <w:spacing w:before="120" w:after="120"/>
        <w:ind w:left="709"/>
        <w:contextualSpacing/>
        <w:jc w:val="both"/>
        <w:rPr>
          <w:noProof/>
        </w:rPr>
        <w:sectPr w:rsidR="006054AA" w:rsidSect="001354D1">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p w14:paraId="69A6BF55" w14:textId="77777777" w:rsidR="006054AA" w:rsidRDefault="006054AA">
      <w:pPr>
        <w:spacing w:before="120" w:after="120"/>
        <w:ind w:left="709"/>
        <w:contextualSpacing/>
        <w:jc w:val="both"/>
        <w:rPr>
          <w:noProof/>
        </w:rPr>
      </w:pPr>
    </w:p>
    <w:tbl>
      <w:tblPr>
        <w:tblW w:w="1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710"/>
        <w:gridCol w:w="1559"/>
        <w:gridCol w:w="1687"/>
        <w:gridCol w:w="1843"/>
        <w:gridCol w:w="1417"/>
        <w:gridCol w:w="1134"/>
        <w:gridCol w:w="946"/>
        <w:gridCol w:w="1003"/>
        <w:gridCol w:w="756"/>
        <w:gridCol w:w="2793"/>
      </w:tblGrid>
      <w:tr w:rsidR="006054AA" w:rsidRPr="00F31484" w14:paraId="0BD9B648" w14:textId="77777777">
        <w:trPr>
          <w:trHeight w:val="927"/>
          <w:tblHeader/>
          <w:jc w:val="center"/>
        </w:trPr>
        <w:tc>
          <w:tcPr>
            <w:tcW w:w="1613" w:type="dxa"/>
            <w:vMerge w:val="restart"/>
            <w:shd w:val="clear" w:color="auto" w:fill="BDD7EE"/>
            <w:vAlign w:val="center"/>
            <w:hideMark/>
          </w:tcPr>
          <w:p w14:paraId="3D0707A8" w14:textId="77777777" w:rsidR="006054AA" w:rsidRPr="00F31484" w:rsidRDefault="001F7667">
            <w:pPr>
              <w:pStyle w:val="P68B1DB1-Normal19"/>
              <w:jc w:val="center"/>
              <w:rPr>
                <w:b/>
                <w:noProof/>
                <w:sz w:val="16"/>
                <w:szCs w:val="16"/>
              </w:rPr>
            </w:pPr>
            <w:r w:rsidRPr="00F31484">
              <w:rPr>
                <w:noProof/>
                <w:sz w:val="16"/>
                <w:szCs w:val="16"/>
              </w:rPr>
              <w:t>S</w:t>
            </w:r>
            <w:r w:rsidRPr="00F31484">
              <w:rPr>
                <w:b/>
                <w:noProof/>
                <w:sz w:val="16"/>
                <w:szCs w:val="16"/>
              </w:rPr>
              <w:t>равносметричен номер</w:t>
            </w:r>
          </w:p>
        </w:tc>
        <w:tc>
          <w:tcPr>
            <w:tcW w:w="1643" w:type="dxa"/>
            <w:vMerge w:val="restart"/>
            <w:shd w:val="clear" w:color="auto" w:fill="BDD7EE"/>
            <w:vAlign w:val="center"/>
            <w:hideMark/>
          </w:tcPr>
          <w:p w14:paraId="51BD8176" w14:textId="77777777" w:rsidR="006054AA" w:rsidRPr="00F31484" w:rsidRDefault="001F7667">
            <w:pPr>
              <w:pStyle w:val="P68B1DB1-Normal9"/>
              <w:jc w:val="center"/>
              <w:rPr>
                <w:noProof/>
                <w:sz w:val="16"/>
                <w:szCs w:val="16"/>
              </w:rPr>
            </w:pPr>
            <w:r w:rsidRPr="00F31484">
              <w:rPr>
                <w:noProof/>
                <w:sz w:val="16"/>
                <w:szCs w:val="16"/>
              </w:rPr>
              <w:t>Свързана мярка (реформа или инвестиции)</w:t>
            </w:r>
          </w:p>
        </w:tc>
        <w:tc>
          <w:tcPr>
            <w:tcW w:w="1559" w:type="dxa"/>
            <w:vMerge w:val="restart"/>
            <w:shd w:val="clear" w:color="auto" w:fill="BDD7EE"/>
            <w:vAlign w:val="center"/>
            <w:hideMark/>
          </w:tcPr>
          <w:p w14:paraId="6E1C6601" w14:textId="77777777" w:rsidR="006054AA" w:rsidRPr="00F31484" w:rsidRDefault="001F7667">
            <w:pPr>
              <w:pStyle w:val="P68B1DB1-Normal9"/>
              <w:jc w:val="center"/>
              <w:rPr>
                <w:noProof/>
                <w:sz w:val="16"/>
                <w:szCs w:val="16"/>
              </w:rPr>
            </w:pPr>
            <w:r w:rsidRPr="00F31484">
              <w:rPr>
                <w:noProof/>
                <w:sz w:val="16"/>
                <w:szCs w:val="16"/>
              </w:rPr>
              <w:t>Ключов етап/Цел</w:t>
            </w:r>
          </w:p>
        </w:tc>
        <w:tc>
          <w:tcPr>
            <w:tcW w:w="1559" w:type="dxa"/>
            <w:vMerge w:val="restart"/>
            <w:shd w:val="clear" w:color="auto" w:fill="BDD7EE"/>
            <w:vAlign w:val="center"/>
            <w:hideMark/>
          </w:tcPr>
          <w:p w14:paraId="528221E8" w14:textId="77777777" w:rsidR="006054AA" w:rsidRPr="00F31484" w:rsidRDefault="001F7667">
            <w:pPr>
              <w:pStyle w:val="P68B1DB1-Normal9"/>
              <w:jc w:val="center"/>
              <w:rPr>
                <w:noProof/>
                <w:sz w:val="16"/>
                <w:szCs w:val="16"/>
              </w:rPr>
            </w:pPr>
            <w:r w:rsidRPr="00F31484">
              <w:rPr>
                <w:noProof/>
                <w:sz w:val="16"/>
                <w:szCs w:val="16"/>
              </w:rPr>
              <w:t>Име</w:t>
            </w:r>
          </w:p>
        </w:tc>
        <w:tc>
          <w:tcPr>
            <w:tcW w:w="1843" w:type="dxa"/>
            <w:vMerge w:val="restart"/>
            <w:shd w:val="clear" w:color="auto" w:fill="BDD7EE"/>
            <w:vAlign w:val="center"/>
            <w:hideMark/>
          </w:tcPr>
          <w:p w14:paraId="655BB0B3" w14:textId="07B06850" w:rsidR="006054AA" w:rsidRPr="00F31484" w:rsidRDefault="001F7667">
            <w:pPr>
              <w:pStyle w:val="P68B1DB1-Normal10"/>
              <w:jc w:val="center"/>
              <w:rPr>
                <w:b/>
                <w:noProof/>
                <w:sz w:val="16"/>
                <w:szCs w:val="16"/>
              </w:rPr>
            </w:pPr>
            <w:r w:rsidRPr="00F31484">
              <w:rPr>
                <w:b/>
                <w:noProof/>
                <w:sz w:val="16"/>
                <w:szCs w:val="16"/>
              </w:rPr>
              <w:t>Качествени индикатори</w:t>
            </w:r>
            <w:r w:rsidRPr="00F31484">
              <w:rPr>
                <w:noProof/>
                <w:sz w:val="16"/>
                <w:szCs w:val="16"/>
              </w:rPr>
              <w:t xml:space="preserve"> </w:t>
            </w:r>
            <w:r w:rsidRPr="00F31484">
              <w:rPr>
                <w:noProof/>
                <w:sz w:val="16"/>
                <w:szCs w:val="16"/>
              </w:rPr>
              <w:br/>
            </w:r>
            <w:r w:rsidRPr="00F31484">
              <w:rPr>
                <w:b/>
                <w:noProof/>
                <w:sz w:val="16"/>
                <w:szCs w:val="16"/>
              </w:rPr>
              <w:t>(за ключовите етапи)</w:t>
            </w:r>
          </w:p>
        </w:tc>
        <w:tc>
          <w:tcPr>
            <w:tcW w:w="3497" w:type="dxa"/>
            <w:gridSpan w:val="3"/>
            <w:shd w:val="clear" w:color="auto" w:fill="BDD7EE"/>
            <w:vAlign w:val="center"/>
            <w:hideMark/>
          </w:tcPr>
          <w:p w14:paraId="0996A0B1" w14:textId="77777777" w:rsidR="006054AA" w:rsidRPr="00F31484" w:rsidRDefault="001F7667">
            <w:pPr>
              <w:pStyle w:val="P68B1DB1-Normal10"/>
              <w:jc w:val="center"/>
              <w:rPr>
                <w:b/>
                <w:noProof/>
                <w:sz w:val="16"/>
                <w:szCs w:val="16"/>
              </w:rPr>
            </w:pPr>
            <w:r w:rsidRPr="00F31484">
              <w:rPr>
                <w:b/>
                <w:noProof/>
                <w:sz w:val="16"/>
                <w:szCs w:val="16"/>
              </w:rPr>
              <w:t>Количествени индикатори</w:t>
            </w:r>
            <w:r w:rsidRPr="00F31484">
              <w:rPr>
                <w:noProof/>
                <w:sz w:val="16"/>
                <w:szCs w:val="16"/>
              </w:rPr>
              <w:t xml:space="preserve"> </w:t>
            </w:r>
            <w:r w:rsidRPr="00F31484">
              <w:rPr>
                <w:noProof/>
                <w:sz w:val="16"/>
                <w:szCs w:val="16"/>
              </w:rPr>
              <w:br/>
            </w:r>
            <w:r w:rsidRPr="00F31484">
              <w:rPr>
                <w:b/>
                <w:noProof/>
                <w:sz w:val="16"/>
                <w:szCs w:val="16"/>
              </w:rPr>
              <w:t>(за целите)</w:t>
            </w:r>
          </w:p>
        </w:tc>
        <w:tc>
          <w:tcPr>
            <w:tcW w:w="1748" w:type="dxa"/>
            <w:gridSpan w:val="2"/>
            <w:shd w:val="clear" w:color="auto" w:fill="BDD7EE"/>
            <w:vAlign w:val="center"/>
            <w:hideMark/>
          </w:tcPr>
          <w:p w14:paraId="729F5BB9" w14:textId="77777777" w:rsidR="006054AA" w:rsidRPr="00F31484" w:rsidRDefault="001F7667">
            <w:pPr>
              <w:pStyle w:val="P68B1DB1-Normal9"/>
              <w:jc w:val="center"/>
              <w:rPr>
                <w:noProof/>
                <w:sz w:val="16"/>
                <w:szCs w:val="16"/>
              </w:rPr>
            </w:pPr>
            <w:r w:rsidRPr="00F31484">
              <w:rPr>
                <w:noProof/>
                <w:sz w:val="16"/>
                <w:szCs w:val="16"/>
              </w:rPr>
              <w:t>Примерен график за приключване</w:t>
            </w:r>
          </w:p>
        </w:tc>
        <w:tc>
          <w:tcPr>
            <w:tcW w:w="2793" w:type="dxa"/>
            <w:vMerge w:val="restart"/>
            <w:shd w:val="clear" w:color="auto" w:fill="BDD7EE"/>
            <w:vAlign w:val="center"/>
            <w:hideMark/>
          </w:tcPr>
          <w:p w14:paraId="668EB59A" w14:textId="77777777" w:rsidR="006054AA" w:rsidRPr="00F31484" w:rsidRDefault="001F7667">
            <w:pPr>
              <w:pStyle w:val="P68B1DB1-Normal9"/>
              <w:rPr>
                <w:noProof/>
                <w:sz w:val="16"/>
                <w:szCs w:val="16"/>
              </w:rPr>
            </w:pPr>
            <w:r w:rsidRPr="00F31484">
              <w:rPr>
                <w:noProof/>
                <w:sz w:val="16"/>
                <w:szCs w:val="16"/>
              </w:rPr>
              <w:t>Описание на всеки ключов етап и цел</w:t>
            </w:r>
          </w:p>
        </w:tc>
      </w:tr>
      <w:tr w:rsidR="006054AA" w:rsidRPr="00F31484" w14:paraId="319F06D6" w14:textId="77777777">
        <w:trPr>
          <w:trHeight w:val="771"/>
          <w:tblHeader/>
          <w:jc w:val="center"/>
        </w:trPr>
        <w:tc>
          <w:tcPr>
            <w:tcW w:w="1613" w:type="dxa"/>
            <w:vMerge/>
            <w:vAlign w:val="center"/>
            <w:hideMark/>
          </w:tcPr>
          <w:p w14:paraId="3A3299C2" w14:textId="77777777" w:rsidR="006054AA" w:rsidRPr="00F31484" w:rsidRDefault="006054AA">
            <w:pPr>
              <w:jc w:val="center"/>
              <w:rPr>
                <w:rFonts w:ascii="Arial Narrow" w:hAnsi="Arial Narrow"/>
                <w:b/>
                <w:noProof/>
                <w:sz w:val="16"/>
                <w:szCs w:val="16"/>
              </w:rPr>
            </w:pPr>
          </w:p>
        </w:tc>
        <w:tc>
          <w:tcPr>
            <w:tcW w:w="1643" w:type="dxa"/>
            <w:vMerge/>
            <w:vAlign w:val="center"/>
            <w:hideMark/>
          </w:tcPr>
          <w:p w14:paraId="42418AC2" w14:textId="77777777" w:rsidR="006054AA" w:rsidRPr="00F31484" w:rsidRDefault="006054AA">
            <w:pPr>
              <w:jc w:val="center"/>
              <w:rPr>
                <w:rFonts w:ascii="Arial Narrow" w:hAnsi="Arial Narrow"/>
                <w:b/>
                <w:noProof/>
                <w:sz w:val="16"/>
                <w:szCs w:val="16"/>
              </w:rPr>
            </w:pPr>
          </w:p>
        </w:tc>
        <w:tc>
          <w:tcPr>
            <w:tcW w:w="1559" w:type="dxa"/>
            <w:vMerge/>
            <w:vAlign w:val="center"/>
            <w:hideMark/>
          </w:tcPr>
          <w:p w14:paraId="677501CD" w14:textId="77777777" w:rsidR="006054AA" w:rsidRPr="00F31484" w:rsidRDefault="006054AA">
            <w:pPr>
              <w:jc w:val="center"/>
              <w:rPr>
                <w:rFonts w:ascii="Arial Narrow" w:hAnsi="Arial Narrow"/>
                <w:b/>
                <w:noProof/>
                <w:sz w:val="16"/>
                <w:szCs w:val="16"/>
              </w:rPr>
            </w:pPr>
          </w:p>
        </w:tc>
        <w:tc>
          <w:tcPr>
            <w:tcW w:w="1559" w:type="dxa"/>
            <w:vMerge/>
            <w:vAlign w:val="center"/>
            <w:hideMark/>
          </w:tcPr>
          <w:p w14:paraId="0ED300B3" w14:textId="77777777" w:rsidR="006054AA" w:rsidRPr="00F31484" w:rsidRDefault="006054AA">
            <w:pPr>
              <w:jc w:val="center"/>
              <w:rPr>
                <w:rFonts w:ascii="Arial Narrow" w:hAnsi="Arial Narrow"/>
                <w:b/>
                <w:noProof/>
                <w:sz w:val="16"/>
                <w:szCs w:val="16"/>
              </w:rPr>
            </w:pPr>
          </w:p>
        </w:tc>
        <w:tc>
          <w:tcPr>
            <w:tcW w:w="1843" w:type="dxa"/>
            <w:vMerge/>
            <w:vAlign w:val="center"/>
            <w:hideMark/>
          </w:tcPr>
          <w:p w14:paraId="4FCE83BB" w14:textId="77777777" w:rsidR="006054AA" w:rsidRPr="00F31484" w:rsidRDefault="006054AA">
            <w:pPr>
              <w:jc w:val="center"/>
              <w:rPr>
                <w:rFonts w:ascii="Arial Narrow" w:hAnsi="Arial Narrow"/>
                <w:b/>
                <w:noProof/>
                <w:sz w:val="16"/>
                <w:szCs w:val="16"/>
              </w:rPr>
            </w:pPr>
          </w:p>
        </w:tc>
        <w:tc>
          <w:tcPr>
            <w:tcW w:w="1417" w:type="dxa"/>
            <w:shd w:val="clear" w:color="auto" w:fill="BDD7EE"/>
            <w:vAlign w:val="center"/>
            <w:hideMark/>
          </w:tcPr>
          <w:p w14:paraId="40A07952" w14:textId="77777777" w:rsidR="006054AA" w:rsidRPr="00F31484" w:rsidRDefault="001F7667">
            <w:pPr>
              <w:pStyle w:val="P68B1DB1-Normal9"/>
              <w:jc w:val="center"/>
              <w:rPr>
                <w:noProof/>
                <w:sz w:val="16"/>
                <w:szCs w:val="16"/>
              </w:rPr>
            </w:pPr>
            <w:r w:rsidRPr="00F31484">
              <w:rPr>
                <w:noProof/>
                <w:sz w:val="16"/>
                <w:szCs w:val="16"/>
              </w:rPr>
              <w:t>Единица мярка</w:t>
            </w:r>
          </w:p>
        </w:tc>
        <w:tc>
          <w:tcPr>
            <w:tcW w:w="1134" w:type="dxa"/>
            <w:shd w:val="clear" w:color="auto" w:fill="BDD7EE"/>
            <w:vAlign w:val="center"/>
            <w:hideMark/>
          </w:tcPr>
          <w:p w14:paraId="675B1734" w14:textId="77777777" w:rsidR="006054AA" w:rsidRPr="00F31484" w:rsidRDefault="001F7667">
            <w:pPr>
              <w:pStyle w:val="P68B1DB1-Normal9"/>
              <w:jc w:val="center"/>
              <w:rPr>
                <w:noProof/>
                <w:sz w:val="16"/>
                <w:szCs w:val="16"/>
              </w:rPr>
            </w:pPr>
            <w:r w:rsidRPr="00F31484">
              <w:rPr>
                <w:noProof/>
                <w:sz w:val="16"/>
                <w:szCs w:val="16"/>
              </w:rPr>
              <w:t>Базова линия</w:t>
            </w:r>
          </w:p>
        </w:tc>
        <w:tc>
          <w:tcPr>
            <w:tcW w:w="946" w:type="dxa"/>
            <w:shd w:val="clear" w:color="auto" w:fill="BDD7EE"/>
            <w:vAlign w:val="center"/>
            <w:hideMark/>
          </w:tcPr>
          <w:p w14:paraId="2C960C9E" w14:textId="77777777" w:rsidR="006054AA" w:rsidRPr="00F31484" w:rsidRDefault="001F7667">
            <w:pPr>
              <w:pStyle w:val="P68B1DB1-Normal9"/>
              <w:jc w:val="center"/>
              <w:rPr>
                <w:noProof/>
                <w:sz w:val="16"/>
                <w:szCs w:val="16"/>
              </w:rPr>
            </w:pPr>
            <w:r w:rsidRPr="00F31484">
              <w:rPr>
                <w:noProof/>
                <w:sz w:val="16"/>
                <w:szCs w:val="16"/>
              </w:rPr>
              <w:t>Цел</w:t>
            </w:r>
          </w:p>
        </w:tc>
        <w:tc>
          <w:tcPr>
            <w:tcW w:w="992" w:type="dxa"/>
            <w:shd w:val="clear" w:color="auto" w:fill="BDD7EE"/>
            <w:vAlign w:val="center"/>
            <w:hideMark/>
          </w:tcPr>
          <w:p w14:paraId="136EE45D" w14:textId="77777777" w:rsidR="006054AA" w:rsidRPr="00F31484" w:rsidRDefault="001F7667">
            <w:pPr>
              <w:pStyle w:val="P68B1DB1-Normal9"/>
              <w:jc w:val="center"/>
              <w:rPr>
                <w:noProof/>
                <w:sz w:val="16"/>
                <w:szCs w:val="16"/>
              </w:rPr>
            </w:pPr>
            <w:r w:rsidRPr="00F31484">
              <w:rPr>
                <w:noProof/>
                <w:sz w:val="16"/>
                <w:szCs w:val="16"/>
              </w:rPr>
              <w:t>Тримесечие</w:t>
            </w:r>
          </w:p>
        </w:tc>
        <w:tc>
          <w:tcPr>
            <w:tcW w:w="756" w:type="dxa"/>
            <w:shd w:val="clear" w:color="auto" w:fill="BDD7EE"/>
            <w:vAlign w:val="center"/>
            <w:hideMark/>
          </w:tcPr>
          <w:p w14:paraId="203B8AE5" w14:textId="77777777" w:rsidR="006054AA" w:rsidRPr="00F31484" w:rsidRDefault="001F7667">
            <w:pPr>
              <w:pStyle w:val="P68B1DB1-Normal9"/>
              <w:jc w:val="center"/>
              <w:rPr>
                <w:noProof/>
                <w:sz w:val="16"/>
                <w:szCs w:val="16"/>
              </w:rPr>
            </w:pPr>
            <w:r w:rsidRPr="00F31484">
              <w:rPr>
                <w:noProof/>
                <w:sz w:val="16"/>
                <w:szCs w:val="16"/>
              </w:rPr>
              <w:t>Година</w:t>
            </w:r>
          </w:p>
        </w:tc>
        <w:tc>
          <w:tcPr>
            <w:tcW w:w="2793" w:type="dxa"/>
            <w:vMerge/>
            <w:vAlign w:val="center"/>
            <w:hideMark/>
          </w:tcPr>
          <w:p w14:paraId="274C3521" w14:textId="77777777" w:rsidR="006054AA" w:rsidRPr="00F31484" w:rsidRDefault="006054AA">
            <w:pPr>
              <w:rPr>
                <w:rFonts w:ascii="Arial Narrow" w:hAnsi="Arial Narrow"/>
                <w:b/>
                <w:noProof/>
                <w:sz w:val="16"/>
                <w:szCs w:val="16"/>
              </w:rPr>
            </w:pPr>
          </w:p>
        </w:tc>
      </w:tr>
      <w:tr w:rsidR="006054AA" w:rsidRPr="00F31484" w14:paraId="6DBBD66F" w14:textId="77777777">
        <w:trPr>
          <w:trHeight w:val="309"/>
          <w:jc w:val="center"/>
        </w:trPr>
        <w:tc>
          <w:tcPr>
            <w:tcW w:w="1613" w:type="dxa"/>
            <w:shd w:val="clear" w:color="auto" w:fill="C6EFCE"/>
            <w:noWrap/>
            <w:vAlign w:val="center"/>
          </w:tcPr>
          <w:p w14:paraId="65F44D38" w14:textId="0743C038" w:rsidR="006054AA" w:rsidRPr="00F31484" w:rsidRDefault="001F7667">
            <w:pPr>
              <w:pStyle w:val="P68B1DB1-Normal11"/>
              <w:jc w:val="center"/>
              <w:rPr>
                <w:noProof/>
                <w:sz w:val="16"/>
                <w:szCs w:val="16"/>
              </w:rPr>
            </w:pPr>
            <w:r w:rsidRPr="00F31484">
              <w:rPr>
                <w:noProof/>
                <w:sz w:val="16"/>
                <w:szCs w:val="16"/>
              </w:rPr>
              <w:t>M2C2—3</w:t>
            </w:r>
          </w:p>
        </w:tc>
        <w:tc>
          <w:tcPr>
            <w:tcW w:w="1643" w:type="dxa"/>
            <w:shd w:val="clear" w:color="auto" w:fill="C6EFCE"/>
            <w:noWrap/>
            <w:vAlign w:val="center"/>
          </w:tcPr>
          <w:p w14:paraId="68434B69" w14:textId="4D31E8C1" w:rsidR="006054AA" w:rsidRPr="00F31484" w:rsidRDefault="001F7667">
            <w:pPr>
              <w:pStyle w:val="P68B1DB1-Normal11"/>
              <w:jc w:val="center"/>
              <w:rPr>
                <w:noProof/>
                <w:sz w:val="16"/>
                <w:szCs w:val="16"/>
              </w:rPr>
            </w:pPr>
            <w:r w:rsidRPr="00F31484">
              <w:rPr>
                <w:noProof/>
                <w:sz w:val="16"/>
                <w:szCs w:val="16"/>
              </w:rPr>
              <w:t>Инвестиция 1.4 Развитие на биометан съгласно критериите за насърчаване на кръговата икономика</w:t>
            </w:r>
          </w:p>
        </w:tc>
        <w:tc>
          <w:tcPr>
            <w:tcW w:w="1559" w:type="dxa"/>
            <w:shd w:val="clear" w:color="auto" w:fill="C6EFCE"/>
            <w:noWrap/>
            <w:vAlign w:val="center"/>
          </w:tcPr>
          <w:p w14:paraId="78B0F4D3" w14:textId="0EBB07BD"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37AD4242" w14:textId="3824860C" w:rsidR="006054AA" w:rsidRPr="00F31484" w:rsidRDefault="001F7667">
            <w:pPr>
              <w:pStyle w:val="P68B1DB1-Normal11"/>
              <w:jc w:val="center"/>
              <w:rPr>
                <w:noProof/>
                <w:sz w:val="16"/>
                <w:szCs w:val="16"/>
              </w:rPr>
            </w:pPr>
            <w:r w:rsidRPr="00F31484">
              <w:rPr>
                <w:noProof/>
                <w:sz w:val="16"/>
                <w:szCs w:val="16"/>
              </w:rPr>
              <w:t>Подмяна на селскостопански трактори</w:t>
            </w:r>
          </w:p>
        </w:tc>
        <w:tc>
          <w:tcPr>
            <w:tcW w:w="1843" w:type="dxa"/>
            <w:shd w:val="clear" w:color="auto" w:fill="C6EFCE"/>
            <w:noWrap/>
            <w:vAlign w:val="center"/>
          </w:tcPr>
          <w:p w14:paraId="0CD39E58" w14:textId="6C375086"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2D6E4A92" w14:textId="2119208A"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7B2F8A25" w14:textId="5C020B59"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9D395BD" w14:textId="557A3E88" w:rsidR="006054AA" w:rsidRPr="00F31484" w:rsidRDefault="001F7667">
            <w:pPr>
              <w:pStyle w:val="P68B1DB1-Normal11"/>
              <w:jc w:val="center"/>
              <w:rPr>
                <w:noProof/>
                <w:sz w:val="16"/>
                <w:szCs w:val="16"/>
              </w:rPr>
            </w:pPr>
            <w:r w:rsidRPr="00F31484">
              <w:rPr>
                <w:noProof/>
                <w:sz w:val="16"/>
                <w:szCs w:val="16"/>
              </w:rPr>
              <w:t>300</w:t>
            </w:r>
          </w:p>
        </w:tc>
        <w:tc>
          <w:tcPr>
            <w:tcW w:w="992" w:type="dxa"/>
            <w:shd w:val="clear" w:color="auto" w:fill="C6EFCE"/>
            <w:noWrap/>
            <w:vAlign w:val="center"/>
          </w:tcPr>
          <w:p w14:paraId="75246DDE" w14:textId="4DBDC225"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1197C14E" w14:textId="03CDDE03"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0BCAC108" w14:textId="77777777" w:rsidR="006054AA" w:rsidRPr="00F31484" w:rsidRDefault="001F7667">
            <w:pPr>
              <w:pStyle w:val="P68B1DB1-Normal11"/>
              <w:spacing w:after="120"/>
              <w:rPr>
                <w:noProof/>
                <w:sz w:val="16"/>
                <w:szCs w:val="16"/>
              </w:rPr>
            </w:pPr>
            <w:r w:rsidRPr="00F31484">
              <w:rPr>
                <w:noProof/>
                <w:sz w:val="16"/>
                <w:szCs w:val="16"/>
              </w:rPr>
              <w:t>Подмяна на най-малко 300 селскостопански трактори с механични трактори, задвижвани единствено от биометан и оборудвани с инструменти за прецизно земеделие.</w:t>
            </w:r>
          </w:p>
          <w:p w14:paraId="05DF974B" w14:textId="7C5BFC43" w:rsidR="006054AA" w:rsidRPr="00F31484" w:rsidRDefault="001F7667">
            <w:pPr>
              <w:pStyle w:val="P68B1DB1-Normal11"/>
              <w:rPr>
                <w:noProof/>
                <w:sz w:val="16"/>
                <w:szCs w:val="16"/>
              </w:rPr>
            </w:pPr>
            <w:r w:rsidRPr="00F31484">
              <w:rPr>
                <w:noProof/>
                <w:sz w:val="16"/>
                <w:szCs w:val="16"/>
              </w:rPr>
              <w:t xml:space="preserve">Биометанът трябва да отговаря на критериите, определени в Директива 2018/2001 (Директива RED II), за да отговаря на принципа за ненанасяне на значителни вреди. 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 Операторът закупува сертификати за гаранция за произход, съизмерими с очакваното потребление на гориво.  </w:t>
            </w:r>
          </w:p>
        </w:tc>
      </w:tr>
      <w:tr w:rsidR="006054AA" w:rsidRPr="00F31484" w14:paraId="2570E0C7" w14:textId="77777777">
        <w:trPr>
          <w:trHeight w:val="309"/>
          <w:jc w:val="center"/>
        </w:trPr>
        <w:tc>
          <w:tcPr>
            <w:tcW w:w="1613" w:type="dxa"/>
            <w:shd w:val="clear" w:color="auto" w:fill="C6EFCE"/>
            <w:noWrap/>
            <w:vAlign w:val="center"/>
          </w:tcPr>
          <w:p w14:paraId="7676FE9B" w14:textId="6FE9848F" w:rsidR="006054AA" w:rsidRPr="00F31484" w:rsidRDefault="001F7667">
            <w:pPr>
              <w:pStyle w:val="P68B1DB1-Normal11"/>
              <w:jc w:val="center"/>
              <w:rPr>
                <w:noProof/>
                <w:sz w:val="16"/>
                <w:szCs w:val="16"/>
              </w:rPr>
            </w:pPr>
            <w:r w:rsidRPr="00F31484">
              <w:rPr>
                <w:noProof/>
                <w:sz w:val="16"/>
                <w:szCs w:val="16"/>
              </w:rPr>
              <w:t>M2C2—4</w:t>
            </w:r>
          </w:p>
        </w:tc>
        <w:tc>
          <w:tcPr>
            <w:tcW w:w="1643" w:type="dxa"/>
            <w:shd w:val="clear" w:color="auto" w:fill="C6EFCE"/>
            <w:noWrap/>
            <w:vAlign w:val="center"/>
          </w:tcPr>
          <w:p w14:paraId="4E127772" w14:textId="6C8F4347" w:rsidR="006054AA" w:rsidRPr="00F31484" w:rsidRDefault="001F7667">
            <w:pPr>
              <w:pStyle w:val="P68B1DB1-Normal11"/>
              <w:jc w:val="center"/>
              <w:rPr>
                <w:noProof/>
                <w:sz w:val="16"/>
                <w:szCs w:val="16"/>
              </w:rPr>
            </w:pPr>
            <w:r w:rsidRPr="00F31484">
              <w:rPr>
                <w:noProof/>
                <w:sz w:val="16"/>
                <w:szCs w:val="16"/>
              </w:rPr>
              <w:t>Инвестиция 1.4 Развитие на биометан съгласно критериите за насърчаване на кръговата икономика</w:t>
            </w:r>
          </w:p>
        </w:tc>
        <w:tc>
          <w:tcPr>
            <w:tcW w:w="1559" w:type="dxa"/>
            <w:shd w:val="clear" w:color="auto" w:fill="C6EFCE"/>
            <w:noWrap/>
            <w:vAlign w:val="center"/>
          </w:tcPr>
          <w:p w14:paraId="357D2310" w14:textId="4F14F932"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1CB6DDB4" w14:textId="72A8DD7C" w:rsidR="006054AA" w:rsidRPr="00F31484" w:rsidRDefault="001F7667">
            <w:pPr>
              <w:pStyle w:val="P68B1DB1-Normal11"/>
              <w:jc w:val="center"/>
              <w:rPr>
                <w:noProof/>
                <w:sz w:val="16"/>
                <w:szCs w:val="16"/>
              </w:rPr>
            </w:pPr>
            <w:r w:rsidRPr="00F31484">
              <w:rPr>
                <w:noProof/>
                <w:sz w:val="16"/>
                <w:szCs w:val="16"/>
              </w:rPr>
              <w:t>Допълнителен капацитет за производство на биометан</w:t>
            </w:r>
          </w:p>
        </w:tc>
        <w:tc>
          <w:tcPr>
            <w:tcW w:w="1843" w:type="dxa"/>
            <w:shd w:val="clear" w:color="auto" w:fill="C6EFCE"/>
            <w:noWrap/>
            <w:vAlign w:val="center"/>
          </w:tcPr>
          <w:p w14:paraId="2E640168" w14:textId="5345D495"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4D96C367" w14:textId="2F32C2B4" w:rsidR="006054AA" w:rsidRPr="00F31484" w:rsidRDefault="001F7667">
            <w:pPr>
              <w:pStyle w:val="P68B1DB1-Normal11"/>
              <w:jc w:val="center"/>
              <w:rPr>
                <w:noProof/>
                <w:sz w:val="16"/>
                <w:szCs w:val="16"/>
              </w:rPr>
            </w:pPr>
            <w:r w:rsidRPr="00F31484">
              <w:rPr>
                <w:noProof/>
                <w:sz w:val="16"/>
                <w:szCs w:val="16"/>
              </w:rPr>
              <w:t>1 000 000 000</w:t>
            </w:r>
          </w:p>
        </w:tc>
        <w:tc>
          <w:tcPr>
            <w:tcW w:w="1134" w:type="dxa"/>
            <w:shd w:val="clear" w:color="auto" w:fill="C6EFCE"/>
            <w:noWrap/>
            <w:vAlign w:val="center"/>
          </w:tcPr>
          <w:p w14:paraId="2BD33158" w14:textId="4D0FB0F8"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018B829" w14:textId="6E04FC79" w:rsidR="006054AA" w:rsidRPr="00F31484" w:rsidRDefault="001F7667">
            <w:pPr>
              <w:pStyle w:val="P68B1DB1-Normal11"/>
              <w:jc w:val="center"/>
              <w:rPr>
                <w:noProof/>
                <w:sz w:val="16"/>
                <w:szCs w:val="16"/>
              </w:rPr>
            </w:pPr>
            <w:r w:rsidRPr="00F31484">
              <w:rPr>
                <w:noProof/>
                <w:sz w:val="16"/>
                <w:szCs w:val="16"/>
              </w:rPr>
              <w:t>0.6</w:t>
            </w:r>
          </w:p>
        </w:tc>
        <w:tc>
          <w:tcPr>
            <w:tcW w:w="992" w:type="dxa"/>
            <w:shd w:val="clear" w:color="auto" w:fill="C6EFCE"/>
            <w:noWrap/>
            <w:vAlign w:val="center"/>
          </w:tcPr>
          <w:p w14:paraId="2F5DE9C4" w14:textId="50569AC1"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40DDDB1F" w14:textId="257BAE10" w:rsidR="006054AA" w:rsidRPr="00F31484" w:rsidRDefault="001F7667">
            <w:pPr>
              <w:pStyle w:val="P68B1DB1-Normal11"/>
              <w:jc w:val="center"/>
              <w:rPr>
                <w:noProof/>
                <w:sz w:val="16"/>
                <w:szCs w:val="16"/>
              </w:rPr>
            </w:pPr>
            <w:r w:rsidRPr="00F31484">
              <w:rPr>
                <w:noProof/>
                <w:sz w:val="16"/>
                <w:szCs w:val="16"/>
              </w:rPr>
              <w:t>2025</w:t>
            </w:r>
          </w:p>
        </w:tc>
        <w:tc>
          <w:tcPr>
            <w:tcW w:w="2793" w:type="dxa"/>
            <w:shd w:val="clear" w:color="auto" w:fill="C6EFCE"/>
            <w:noWrap/>
            <w:vAlign w:val="center"/>
          </w:tcPr>
          <w:p w14:paraId="14D16E63" w14:textId="77777777" w:rsidR="006054AA" w:rsidRPr="00F31484" w:rsidRDefault="001F7667">
            <w:pPr>
              <w:pStyle w:val="P68B1DB1-Normal11"/>
              <w:spacing w:after="120"/>
              <w:rPr>
                <w:noProof/>
                <w:sz w:val="16"/>
                <w:szCs w:val="16"/>
              </w:rPr>
            </w:pPr>
            <w:r w:rsidRPr="00F31484">
              <w:rPr>
                <w:noProof/>
                <w:sz w:val="16"/>
                <w:szCs w:val="16"/>
              </w:rPr>
              <w:t>Развиване на производствения капацитет за биометан от преобразуването на съществуващите инсталации (включително органичната фракция на твърди битови отпадъци — OFUSW) и от нови инсталации на най-малко 0.6 милиарда m³ в края на 2023 г.</w:t>
            </w:r>
          </w:p>
          <w:p w14:paraId="418485E2" w14:textId="68B5A143" w:rsidR="006054AA" w:rsidRPr="00F31484" w:rsidRDefault="001F7667">
            <w:pPr>
              <w:pStyle w:val="P68B1DB1-Normal11"/>
              <w:spacing w:after="120"/>
              <w:rPr>
                <w:noProof/>
                <w:sz w:val="16"/>
                <w:szCs w:val="16"/>
              </w:rPr>
            </w:pPr>
            <w:r w:rsidRPr="00F31484">
              <w:rPr>
                <w:noProof/>
                <w:sz w:val="16"/>
                <w:szCs w:val="16"/>
              </w:rPr>
              <w:t>Биометанът трябва да отговаря на критериите, определени в Директива 2018/2001 (Директива RED II), за да може мярката да отговаря на принципа за ненанасяне на значителни вреди и на съответните изисквания на бележка под линия 8 от приложение VI към Регламент (ЕС) 2021/241.</w:t>
            </w:r>
          </w:p>
          <w:p w14:paraId="1A2C02B7" w14:textId="1411189B" w:rsidR="006054AA" w:rsidRPr="00F31484" w:rsidRDefault="001F7667">
            <w:pPr>
              <w:pStyle w:val="P68B1DB1-Normal11"/>
              <w:rPr>
                <w:noProof/>
                <w:sz w:val="16"/>
                <w:szCs w:val="16"/>
              </w:rPr>
            </w:pPr>
            <w:r w:rsidRPr="00F31484">
              <w:rPr>
                <w:noProof/>
                <w:sz w:val="16"/>
                <w:szCs w:val="16"/>
              </w:rPr>
              <w:t xml:space="preserve">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 </w:t>
            </w:r>
          </w:p>
        </w:tc>
      </w:tr>
      <w:tr w:rsidR="006054AA" w:rsidRPr="00F31484" w14:paraId="3340CED1" w14:textId="77777777">
        <w:trPr>
          <w:trHeight w:val="309"/>
          <w:jc w:val="center"/>
        </w:trPr>
        <w:tc>
          <w:tcPr>
            <w:tcW w:w="1613" w:type="dxa"/>
            <w:shd w:val="clear" w:color="auto" w:fill="C6EFCE"/>
            <w:noWrap/>
            <w:vAlign w:val="center"/>
          </w:tcPr>
          <w:p w14:paraId="655F3771" w14:textId="6EE99C31" w:rsidR="006054AA" w:rsidRPr="00F31484" w:rsidRDefault="001F7667">
            <w:pPr>
              <w:pStyle w:val="P68B1DB1-Normal11"/>
              <w:jc w:val="center"/>
              <w:rPr>
                <w:noProof/>
                <w:sz w:val="16"/>
                <w:szCs w:val="16"/>
              </w:rPr>
            </w:pPr>
            <w:r w:rsidRPr="00F31484">
              <w:rPr>
                <w:noProof/>
                <w:sz w:val="16"/>
                <w:szCs w:val="16"/>
              </w:rPr>
              <w:t>M2C2—5</w:t>
            </w:r>
          </w:p>
        </w:tc>
        <w:tc>
          <w:tcPr>
            <w:tcW w:w="1643" w:type="dxa"/>
            <w:shd w:val="clear" w:color="auto" w:fill="C6EFCE"/>
            <w:noWrap/>
            <w:vAlign w:val="center"/>
          </w:tcPr>
          <w:p w14:paraId="10DECADD" w14:textId="1319F240" w:rsidR="006054AA" w:rsidRPr="00F31484" w:rsidRDefault="001F7667">
            <w:pPr>
              <w:pStyle w:val="P68B1DB1-Normal11"/>
              <w:jc w:val="center"/>
              <w:rPr>
                <w:noProof/>
                <w:sz w:val="16"/>
                <w:szCs w:val="16"/>
              </w:rPr>
            </w:pPr>
            <w:r w:rsidRPr="00F31484">
              <w:rPr>
                <w:noProof/>
                <w:sz w:val="16"/>
                <w:szCs w:val="16"/>
              </w:rPr>
              <w:t>Инвестиция 1.4 Развитие на биометан съгласно критериите за насърчаване на кръговата икономика</w:t>
            </w:r>
          </w:p>
        </w:tc>
        <w:tc>
          <w:tcPr>
            <w:tcW w:w="1559" w:type="dxa"/>
            <w:shd w:val="clear" w:color="auto" w:fill="C6EFCE"/>
            <w:noWrap/>
            <w:vAlign w:val="center"/>
          </w:tcPr>
          <w:p w14:paraId="4E192779" w14:textId="656F2AD5"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360C26B9" w14:textId="74CB264F" w:rsidR="006054AA" w:rsidRPr="00F31484" w:rsidRDefault="001F7667">
            <w:pPr>
              <w:pStyle w:val="P68B1DB1-Normal11"/>
              <w:jc w:val="center"/>
              <w:rPr>
                <w:noProof/>
                <w:sz w:val="16"/>
                <w:szCs w:val="16"/>
              </w:rPr>
            </w:pPr>
            <w:r w:rsidRPr="00F31484">
              <w:rPr>
                <w:noProof/>
                <w:sz w:val="16"/>
                <w:szCs w:val="16"/>
              </w:rPr>
              <w:t>Допълнително производство на биометан</w:t>
            </w:r>
          </w:p>
        </w:tc>
        <w:tc>
          <w:tcPr>
            <w:tcW w:w="1843" w:type="dxa"/>
            <w:shd w:val="clear" w:color="auto" w:fill="C6EFCE"/>
            <w:noWrap/>
            <w:vAlign w:val="center"/>
          </w:tcPr>
          <w:p w14:paraId="0B3651EA" w14:textId="3089AB59"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3DF13528" w14:textId="6F64A583" w:rsidR="006054AA" w:rsidRPr="00F31484" w:rsidRDefault="001F7667">
            <w:pPr>
              <w:pStyle w:val="P68B1DB1-Normal11"/>
              <w:jc w:val="center"/>
              <w:rPr>
                <w:noProof/>
                <w:sz w:val="16"/>
                <w:szCs w:val="16"/>
              </w:rPr>
            </w:pPr>
            <w:r w:rsidRPr="00F31484">
              <w:rPr>
                <w:noProof/>
                <w:sz w:val="16"/>
                <w:szCs w:val="16"/>
              </w:rPr>
              <w:t xml:space="preserve">1 000 000 000 </w:t>
            </w:r>
          </w:p>
        </w:tc>
        <w:tc>
          <w:tcPr>
            <w:tcW w:w="1134" w:type="dxa"/>
            <w:shd w:val="clear" w:color="auto" w:fill="C6EFCE"/>
            <w:noWrap/>
            <w:vAlign w:val="center"/>
          </w:tcPr>
          <w:p w14:paraId="69910D61" w14:textId="27A903B7" w:rsidR="006054AA" w:rsidRPr="00F31484" w:rsidRDefault="001F7667">
            <w:pPr>
              <w:pStyle w:val="P68B1DB1-Normal11"/>
              <w:jc w:val="center"/>
              <w:rPr>
                <w:noProof/>
                <w:sz w:val="16"/>
                <w:szCs w:val="16"/>
              </w:rPr>
            </w:pPr>
            <w:r w:rsidRPr="00F31484">
              <w:rPr>
                <w:noProof/>
                <w:sz w:val="16"/>
                <w:szCs w:val="16"/>
              </w:rPr>
              <w:t>0.6</w:t>
            </w:r>
          </w:p>
        </w:tc>
        <w:tc>
          <w:tcPr>
            <w:tcW w:w="946" w:type="dxa"/>
            <w:shd w:val="clear" w:color="auto" w:fill="C6EFCE"/>
            <w:noWrap/>
            <w:vAlign w:val="center"/>
          </w:tcPr>
          <w:p w14:paraId="7CBB37DF" w14:textId="1A004771" w:rsidR="006054AA" w:rsidRPr="00F31484" w:rsidRDefault="001F7667">
            <w:pPr>
              <w:pStyle w:val="P68B1DB1-Normal11"/>
              <w:jc w:val="center"/>
              <w:rPr>
                <w:noProof/>
                <w:sz w:val="16"/>
                <w:szCs w:val="16"/>
              </w:rPr>
            </w:pPr>
            <w:r w:rsidRPr="00F31484">
              <w:rPr>
                <w:noProof/>
                <w:sz w:val="16"/>
                <w:szCs w:val="16"/>
              </w:rPr>
              <w:t>2.3</w:t>
            </w:r>
          </w:p>
        </w:tc>
        <w:tc>
          <w:tcPr>
            <w:tcW w:w="992" w:type="dxa"/>
            <w:shd w:val="clear" w:color="auto" w:fill="C6EFCE"/>
            <w:noWrap/>
            <w:vAlign w:val="center"/>
          </w:tcPr>
          <w:p w14:paraId="355B6CF5" w14:textId="17C18A3A"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0F6FD217" w14:textId="76E0942E"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20A1A2FF" w14:textId="1AF8799C" w:rsidR="006054AA" w:rsidRPr="00F31484" w:rsidRDefault="001F7667">
            <w:pPr>
              <w:pStyle w:val="P68B1DB1-Normal11"/>
              <w:spacing w:after="120"/>
              <w:rPr>
                <w:noProof/>
                <w:sz w:val="16"/>
                <w:szCs w:val="16"/>
              </w:rPr>
            </w:pPr>
            <w:r w:rsidRPr="00F31484">
              <w:rPr>
                <w:noProof/>
                <w:sz w:val="16"/>
                <w:szCs w:val="16"/>
              </w:rPr>
              <w:t>Развиване на производствения капацитет за биометан от преобразуването на съществуващите инсталации (включително органичната фракция на твърди битови отпадъци — OFUSW) и от нови инсталации на най-малко 2.3 милиарда m³ в края на юни 2026 г.</w:t>
            </w:r>
          </w:p>
          <w:p w14:paraId="73F6D4E5" w14:textId="495E0939" w:rsidR="006054AA" w:rsidRPr="00F31484" w:rsidRDefault="001F7667">
            <w:pPr>
              <w:pStyle w:val="P68B1DB1-Normal11"/>
              <w:spacing w:after="120"/>
              <w:rPr>
                <w:noProof/>
                <w:sz w:val="16"/>
                <w:szCs w:val="16"/>
              </w:rPr>
            </w:pPr>
            <w:r w:rsidRPr="00F31484">
              <w:rPr>
                <w:noProof/>
                <w:sz w:val="16"/>
                <w:szCs w:val="16"/>
              </w:rPr>
              <w:t>Биометанът трябва да отговаря на критериите, определени в Директива 2018/2001 (Директива RED II), за да може мярката да отговаря на принципа за ненанасяне на значителни вреди и на съответните изисквания на бележка под линия 8 от приложение VI към Регламент (ЕС) 2021/241.</w:t>
            </w:r>
          </w:p>
          <w:p w14:paraId="4FDB8316" w14:textId="5F52413D" w:rsidR="006054AA" w:rsidRPr="00F31484" w:rsidRDefault="001F7667">
            <w:pPr>
              <w:pStyle w:val="P68B1DB1-Normal11"/>
              <w:rPr>
                <w:noProof/>
                <w:sz w:val="16"/>
                <w:szCs w:val="16"/>
              </w:rPr>
            </w:pPr>
            <w:r w:rsidRPr="00F31484">
              <w:rPr>
                <w:noProof/>
                <w:sz w:val="16"/>
                <w:szCs w:val="16"/>
              </w:rPr>
              <w:t xml:space="preserve">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 </w:t>
            </w:r>
          </w:p>
        </w:tc>
      </w:tr>
      <w:tr w:rsidR="006054AA" w:rsidRPr="00F31484" w14:paraId="38A226B3" w14:textId="77777777">
        <w:trPr>
          <w:trHeight w:val="309"/>
          <w:jc w:val="center"/>
        </w:trPr>
        <w:tc>
          <w:tcPr>
            <w:tcW w:w="1613" w:type="dxa"/>
            <w:shd w:val="clear" w:color="auto" w:fill="C6EFCE"/>
            <w:noWrap/>
            <w:vAlign w:val="center"/>
          </w:tcPr>
          <w:p w14:paraId="365AB7B5" w14:textId="2D3B6C3C" w:rsidR="006054AA" w:rsidRPr="00F31484" w:rsidRDefault="001F7667">
            <w:pPr>
              <w:pStyle w:val="P68B1DB1-Normal11"/>
              <w:jc w:val="center"/>
              <w:rPr>
                <w:noProof/>
                <w:sz w:val="16"/>
                <w:szCs w:val="16"/>
              </w:rPr>
            </w:pPr>
            <w:r w:rsidRPr="00F31484">
              <w:rPr>
                <w:noProof/>
                <w:sz w:val="16"/>
                <w:szCs w:val="16"/>
              </w:rPr>
              <w:t>M2C2—9</w:t>
            </w:r>
          </w:p>
        </w:tc>
        <w:tc>
          <w:tcPr>
            <w:tcW w:w="1643" w:type="dxa"/>
            <w:shd w:val="clear" w:color="auto" w:fill="C6EFCE"/>
            <w:noWrap/>
            <w:vAlign w:val="center"/>
          </w:tcPr>
          <w:p w14:paraId="5146714C" w14:textId="5BB40B18" w:rsidR="006054AA" w:rsidRPr="00F31484" w:rsidRDefault="001F7667">
            <w:pPr>
              <w:pStyle w:val="P68B1DB1-Normal11"/>
              <w:jc w:val="center"/>
              <w:rPr>
                <w:noProof/>
                <w:sz w:val="16"/>
                <w:szCs w:val="16"/>
              </w:rPr>
            </w:pPr>
            <w:r w:rsidRPr="00F31484">
              <w:rPr>
                <w:noProof/>
                <w:sz w:val="16"/>
                <w:szCs w:val="16"/>
              </w:rPr>
              <w:t>Инвестиция 2.1 Укрепване на интелигентните мрежи</w:t>
            </w:r>
          </w:p>
        </w:tc>
        <w:tc>
          <w:tcPr>
            <w:tcW w:w="1559" w:type="dxa"/>
            <w:shd w:val="clear" w:color="auto" w:fill="C6EFCE"/>
            <w:noWrap/>
            <w:vAlign w:val="center"/>
          </w:tcPr>
          <w:p w14:paraId="16754295" w14:textId="251A74A2"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2B881D08" w14:textId="02F92753" w:rsidR="006054AA" w:rsidRPr="00F31484" w:rsidRDefault="001F7667">
            <w:pPr>
              <w:pStyle w:val="P68B1DB1-Normal11"/>
              <w:jc w:val="center"/>
              <w:rPr>
                <w:noProof/>
                <w:sz w:val="16"/>
                <w:szCs w:val="16"/>
              </w:rPr>
            </w:pPr>
            <w:r w:rsidRPr="00F31484">
              <w:rPr>
                <w:noProof/>
                <w:sz w:val="16"/>
                <w:szCs w:val="16"/>
              </w:rPr>
              <w:t>Интелигентни коридори — увеличаване на капацитета на мрежата за разпределение на енергия от възобновяеми източници</w:t>
            </w:r>
          </w:p>
        </w:tc>
        <w:tc>
          <w:tcPr>
            <w:tcW w:w="1843" w:type="dxa"/>
            <w:shd w:val="clear" w:color="auto" w:fill="C6EFCE"/>
            <w:noWrap/>
            <w:vAlign w:val="center"/>
          </w:tcPr>
          <w:p w14:paraId="1FCE79A6" w14:textId="2B663EAC"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4F1DA28E" w14:textId="0C7F03B6"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3EF205D7" w14:textId="7FBE2292"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5D6E44B" w14:textId="5D0B3399" w:rsidR="006054AA" w:rsidRPr="00F31484" w:rsidRDefault="001F7667">
            <w:pPr>
              <w:pStyle w:val="P68B1DB1-Normal12"/>
              <w:jc w:val="center"/>
              <w:rPr>
                <w:rFonts w:ascii="Arial Narrow" w:hAnsi="Arial Narrow"/>
                <w:noProof/>
                <w:sz w:val="16"/>
                <w:szCs w:val="16"/>
              </w:rPr>
            </w:pPr>
            <w:r w:rsidRPr="00F31484">
              <w:rPr>
                <w:rFonts w:ascii="Arial Narrow" w:hAnsi="Arial Narrow"/>
                <w:noProof/>
                <w:sz w:val="16"/>
                <w:szCs w:val="16"/>
              </w:rPr>
              <w:t>1</w:t>
            </w:r>
            <w:r w:rsidRPr="00F31484">
              <w:rPr>
                <w:noProof/>
                <w:sz w:val="16"/>
                <w:szCs w:val="16"/>
              </w:rPr>
              <w:t xml:space="preserve"> </w:t>
            </w:r>
            <w:r w:rsidRPr="00F31484">
              <w:rPr>
                <w:rFonts w:ascii="Arial Narrow" w:hAnsi="Arial Narrow"/>
                <w:noProof/>
                <w:sz w:val="16"/>
                <w:szCs w:val="16"/>
              </w:rPr>
              <w:t>000</w:t>
            </w:r>
          </w:p>
        </w:tc>
        <w:tc>
          <w:tcPr>
            <w:tcW w:w="992" w:type="dxa"/>
            <w:shd w:val="clear" w:color="auto" w:fill="C6EFCE"/>
            <w:noWrap/>
            <w:vAlign w:val="center"/>
          </w:tcPr>
          <w:p w14:paraId="0000ED43" w14:textId="2FBB1221"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tcPr>
          <w:p w14:paraId="3E9AD8EA" w14:textId="36B33EFA"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tcPr>
          <w:p w14:paraId="55805DFA" w14:textId="2A28E818"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Увеличаване на капацитета на мрежата за разпределение на енергия от възобновяеми източници с най-малко 1</w:t>
            </w:r>
            <w:r w:rsidRPr="00F31484">
              <w:rPr>
                <w:noProof/>
                <w:sz w:val="16"/>
                <w:szCs w:val="16"/>
              </w:rPr>
              <w:t xml:space="preserve"> </w:t>
            </w:r>
            <w:r w:rsidRPr="00F31484">
              <w:rPr>
                <w:rFonts w:ascii="Arial Narrow" w:hAnsi="Arial Narrow"/>
                <w:noProof/>
                <w:sz w:val="16"/>
                <w:szCs w:val="16"/>
              </w:rPr>
              <w:t>000 MW</w:t>
            </w:r>
          </w:p>
        </w:tc>
      </w:tr>
      <w:tr w:rsidR="006054AA" w:rsidRPr="00F31484" w14:paraId="1EC3680F" w14:textId="77777777">
        <w:trPr>
          <w:trHeight w:val="309"/>
          <w:jc w:val="center"/>
        </w:trPr>
        <w:tc>
          <w:tcPr>
            <w:tcW w:w="1613" w:type="dxa"/>
            <w:shd w:val="clear" w:color="auto" w:fill="C6EFCE"/>
            <w:noWrap/>
            <w:vAlign w:val="center"/>
          </w:tcPr>
          <w:p w14:paraId="5A57F967" w14:textId="7A484BAC" w:rsidR="006054AA" w:rsidRPr="00F31484" w:rsidRDefault="001F7667">
            <w:pPr>
              <w:pStyle w:val="P68B1DB1-Normal11"/>
              <w:jc w:val="center"/>
              <w:rPr>
                <w:noProof/>
                <w:sz w:val="16"/>
                <w:szCs w:val="16"/>
              </w:rPr>
            </w:pPr>
            <w:r w:rsidRPr="00F31484">
              <w:rPr>
                <w:noProof/>
                <w:sz w:val="16"/>
                <w:szCs w:val="16"/>
              </w:rPr>
              <w:t>M2C2—10</w:t>
            </w:r>
          </w:p>
        </w:tc>
        <w:tc>
          <w:tcPr>
            <w:tcW w:w="1643" w:type="dxa"/>
            <w:shd w:val="clear" w:color="auto" w:fill="C6EFCE"/>
            <w:noWrap/>
            <w:vAlign w:val="center"/>
          </w:tcPr>
          <w:p w14:paraId="7C07DD6C" w14:textId="428BFAE6" w:rsidR="006054AA" w:rsidRPr="00F31484" w:rsidRDefault="001F7667">
            <w:pPr>
              <w:pStyle w:val="P68B1DB1-Normal11"/>
              <w:jc w:val="center"/>
              <w:rPr>
                <w:noProof/>
                <w:sz w:val="16"/>
                <w:szCs w:val="16"/>
              </w:rPr>
            </w:pPr>
            <w:r w:rsidRPr="00F31484">
              <w:rPr>
                <w:noProof/>
                <w:sz w:val="16"/>
                <w:szCs w:val="16"/>
              </w:rPr>
              <w:t>Инвестиция 2.1 Укрепване на интелигентните мрежи</w:t>
            </w:r>
          </w:p>
        </w:tc>
        <w:tc>
          <w:tcPr>
            <w:tcW w:w="1559" w:type="dxa"/>
            <w:shd w:val="clear" w:color="auto" w:fill="C6EFCE"/>
            <w:noWrap/>
            <w:vAlign w:val="center"/>
          </w:tcPr>
          <w:p w14:paraId="54C685D9" w14:textId="0F25154F"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5F09BB5C" w14:textId="1CAF43AE" w:rsidR="006054AA" w:rsidRPr="00F31484" w:rsidRDefault="001F7667">
            <w:pPr>
              <w:pStyle w:val="P68B1DB1-Normal11"/>
              <w:jc w:val="center"/>
              <w:rPr>
                <w:noProof/>
                <w:sz w:val="16"/>
                <w:szCs w:val="16"/>
              </w:rPr>
            </w:pPr>
            <w:r w:rsidRPr="00F31484">
              <w:rPr>
                <w:noProof/>
                <w:sz w:val="16"/>
                <w:szCs w:val="16"/>
              </w:rPr>
              <w:t>Интелигентни коридори — увеличаване на капацитета на мрежата за разпределение на енергия от възобновяеми източници</w:t>
            </w:r>
          </w:p>
        </w:tc>
        <w:tc>
          <w:tcPr>
            <w:tcW w:w="1843" w:type="dxa"/>
            <w:shd w:val="clear" w:color="auto" w:fill="C6EFCE"/>
            <w:noWrap/>
            <w:vAlign w:val="center"/>
          </w:tcPr>
          <w:p w14:paraId="136596FC" w14:textId="0AC424BC"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3B5DFDDD" w14:textId="21C1EE74"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1FE0E998" w14:textId="41438D1C" w:rsidR="006054AA" w:rsidRPr="00F31484" w:rsidRDefault="001F7667">
            <w:pPr>
              <w:pStyle w:val="P68B1DB1-Normal12"/>
              <w:jc w:val="center"/>
              <w:rPr>
                <w:rFonts w:ascii="Arial Narrow" w:hAnsi="Arial Narrow"/>
                <w:noProof/>
                <w:sz w:val="16"/>
                <w:szCs w:val="16"/>
              </w:rPr>
            </w:pPr>
            <w:r w:rsidRPr="00F31484">
              <w:rPr>
                <w:rFonts w:ascii="Arial Narrow" w:hAnsi="Arial Narrow"/>
                <w:noProof/>
                <w:sz w:val="16"/>
                <w:szCs w:val="16"/>
              </w:rPr>
              <w:t>1</w:t>
            </w:r>
            <w:r w:rsidRPr="00F31484">
              <w:rPr>
                <w:noProof/>
                <w:sz w:val="16"/>
                <w:szCs w:val="16"/>
              </w:rPr>
              <w:t xml:space="preserve"> </w:t>
            </w:r>
            <w:r w:rsidRPr="00F31484">
              <w:rPr>
                <w:rFonts w:ascii="Arial Narrow" w:hAnsi="Arial Narrow"/>
                <w:noProof/>
                <w:sz w:val="16"/>
                <w:szCs w:val="16"/>
              </w:rPr>
              <w:t>000</w:t>
            </w:r>
          </w:p>
        </w:tc>
        <w:tc>
          <w:tcPr>
            <w:tcW w:w="946" w:type="dxa"/>
            <w:shd w:val="clear" w:color="auto" w:fill="C6EFCE"/>
            <w:noWrap/>
            <w:vAlign w:val="center"/>
          </w:tcPr>
          <w:p w14:paraId="126E2BB0" w14:textId="4A7F3ADD" w:rsidR="006054AA" w:rsidRPr="00F31484" w:rsidRDefault="001F7667">
            <w:pPr>
              <w:pStyle w:val="P68B1DB1-Normal12"/>
              <w:jc w:val="center"/>
              <w:rPr>
                <w:rFonts w:ascii="Arial Narrow" w:hAnsi="Arial Narrow"/>
                <w:noProof/>
                <w:sz w:val="16"/>
                <w:szCs w:val="16"/>
              </w:rPr>
            </w:pPr>
            <w:r w:rsidRPr="00F31484">
              <w:rPr>
                <w:rFonts w:ascii="Arial Narrow" w:hAnsi="Arial Narrow"/>
                <w:noProof/>
                <w:sz w:val="16"/>
                <w:szCs w:val="16"/>
              </w:rPr>
              <w:t>4</w:t>
            </w:r>
            <w:r w:rsidRPr="00F31484">
              <w:rPr>
                <w:noProof/>
                <w:sz w:val="16"/>
                <w:szCs w:val="16"/>
              </w:rPr>
              <w:t xml:space="preserve"> </w:t>
            </w:r>
            <w:r w:rsidRPr="00F31484">
              <w:rPr>
                <w:rFonts w:ascii="Arial Narrow" w:hAnsi="Arial Narrow"/>
                <w:noProof/>
                <w:sz w:val="16"/>
                <w:szCs w:val="16"/>
              </w:rPr>
              <w:t>000</w:t>
            </w:r>
          </w:p>
        </w:tc>
        <w:tc>
          <w:tcPr>
            <w:tcW w:w="992" w:type="dxa"/>
            <w:shd w:val="clear" w:color="auto" w:fill="C6EFCE"/>
            <w:noWrap/>
            <w:vAlign w:val="center"/>
          </w:tcPr>
          <w:p w14:paraId="278EACA5" w14:textId="4F717012"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27820824" w14:textId="4DE54226"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427F0A85" w14:textId="7D4016D5"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Увеличаване на капацитета на мрежата за разпределение на енергия от възобновяеми източници с най-малко 4</w:t>
            </w:r>
            <w:r w:rsidRPr="00F31484">
              <w:rPr>
                <w:noProof/>
                <w:sz w:val="16"/>
                <w:szCs w:val="16"/>
              </w:rPr>
              <w:t xml:space="preserve"> </w:t>
            </w:r>
            <w:r w:rsidRPr="00F31484">
              <w:rPr>
                <w:rFonts w:ascii="Arial Narrow" w:hAnsi="Arial Narrow"/>
                <w:noProof/>
                <w:sz w:val="16"/>
                <w:szCs w:val="16"/>
              </w:rPr>
              <w:t>000 MW</w:t>
            </w:r>
          </w:p>
        </w:tc>
      </w:tr>
      <w:tr w:rsidR="006054AA" w:rsidRPr="00F31484" w14:paraId="6742D9D6" w14:textId="77777777">
        <w:trPr>
          <w:trHeight w:val="309"/>
          <w:jc w:val="center"/>
        </w:trPr>
        <w:tc>
          <w:tcPr>
            <w:tcW w:w="1613" w:type="dxa"/>
            <w:shd w:val="clear" w:color="auto" w:fill="C6EFCE"/>
            <w:noWrap/>
            <w:vAlign w:val="center"/>
          </w:tcPr>
          <w:p w14:paraId="3DB72409" w14:textId="58F16B9D" w:rsidR="006054AA" w:rsidRPr="00F31484" w:rsidRDefault="001F7667">
            <w:pPr>
              <w:pStyle w:val="P68B1DB1-Normal11"/>
              <w:jc w:val="center"/>
              <w:rPr>
                <w:noProof/>
                <w:sz w:val="16"/>
                <w:szCs w:val="16"/>
              </w:rPr>
            </w:pPr>
            <w:r w:rsidRPr="00F31484">
              <w:rPr>
                <w:noProof/>
                <w:sz w:val="16"/>
                <w:szCs w:val="16"/>
              </w:rPr>
              <w:t>M2C2—11</w:t>
            </w:r>
          </w:p>
        </w:tc>
        <w:tc>
          <w:tcPr>
            <w:tcW w:w="1643" w:type="dxa"/>
            <w:shd w:val="clear" w:color="auto" w:fill="C6EFCE"/>
            <w:noWrap/>
            <w:vAlign w:val="center"/>
          </w:tcPr>
          <w:p w14:paraId="35EE3EA5" w14:textId="40BA5142" w:rsidR="006054AA" w:rsidRPr="00F31484" w:rsidRDefault="001F7667">
            <w:pPr>
              <w:pStyle w:val="P68B1DB1-Normal11"/>
              <w:jc w:val="center"/>
              <w:rPr>
                <w:noProof/>
                <w:sz w:val="16"/>
                <w:szCs w:val="16"/>
              </w:rPr>
            </w:pPr>
            <w:r w:rsidRPr="00F31484">
              <w:rPr>
                <w:noProof/>
                <w:sz w:val="16"/>
                <w:szCs w:val="16"/>
              </w:rPr>
              <w:t>Инвестиция 2.1 Укрепване на интелигентните мрежи</w:t>
            </w:r>
          </w:p>
        </w:tc>
        <w:tc>
          <w:tcPr>
            <w:tcW w:w="1559" w:type="dxa"/>
            <w:shd w:val="clear" w:color="auto" w:fill="C6EFCE"/>
            <w:noWrap/>
            <w:vAlign w:val="center"/>
          </w:tcPr>
          <w:p w14:paraId="0FE5FD76" w14:textId="46CC280B"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05395038" w14:textId="21290A63" w:rsidR="006054AA" w:rsidRPr="00F31484" w:rsidRDefault="001F7667">
            <w:pPr>
              <w:pStyle w:val="P68B1DB1-Normal11"/>
              <w:jc w:val="center"/>
              <w:rPr>
                <w:noProof/>
                <w:sz w:val="16"/>
                <w:szCs w:val="16"/>
              </w:rPr>
            </w:pPr>
            <w:r w:rsidRPr="00F31484">
              <w:rPr>
                <w:noProof/>
                <w:sz w:val="16"/>
                <w:szCs w:val="16"/>
              </w:rPr>
              <w:t>Интелигентни коридори — електрификация на потреблението на енергия</w:t>
            </w:r>
          </w:p>
        </w:tc>
        <w:tc>
          <w:tcPr>
            <w:tcW w:w="1843" w:type="dxa"/>
            <w:shd w:val="clear" w:color="auto" w:fill="C6EFCE"/>
            <w:noWrap/>
            <w:vAlign w:val="center"/>
          </w:tcPr>
          <w:p w14:paraId="02C7183D" w14:textId="3E802A04"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2AF98FDD" w14:textId="55D8C22E"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4310D180" w14:textId="779E39AC"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7741FF87" w14:textId="06434783" w:rsidR="006054AA" w:rsidRPr="00F31484" w:rsidRDefault="001F7667">
            <w:pPr>
              <w:pStyle w:val="P68B1DB1-Normal11"/>
              <w:jc w:val="center"/>
              <w:rPr>
                <w:noProof/>
                <w:sz w:val="16"/>
                <w:szCs w:val="16"/>
              </w:rPr>
            </w:pPr>
            <w:r w:rsidRPr="00F31484">
              <w:rPr>
                <w:noProof/>
                <w:sz w:val="16"/>
                <w:szCs w:val="16"/>
              </w:rPr>
              <w:t>1 500 000</w:t>
            </w:r>
          </w:p>
        </w:tc>
        <w:tc>
          <w:tcPr>
            <w:tcW w:w="992" w:type="dxa"/>
            <w:shd w:val="clear" w:color="auto" w:fill="C6EFCE"/>
            <w:noWrap/>
            <w:vAlign w:val="center"/>
          </w:tcPr>
          <w:p w14:paraId="39F4CAB1" w14:textId="79224103"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7F10AA75" w14:textId="32251144"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3D68599E" w14:textId="4C01AD8C"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Електрификация на потреблението на енергия, достигащо най-малко 1</w:t>
            </w:r>
            <w:r w:rsidRPr="00F31484">
              <w:rPr>
                <w:noProof/>
                <w:sz w:val="16"/>
                <w:szCs w:val="16"/>
              </w:rPr>
              <w:t xml:space="preserve"> </w:t>
            </w:r>
            <w:r w:rsidRPr="00F31484">
              <w:rPr>
                <w:rFonts w:ascii="Arial Narrow" w:hAnsi="Arial Narrow"/>
                <w:noProof/>
                <w:sz w:val="16"/>
                <w:szCs w:val="16"/>
              </w:rPr>
              <w:t>500</w:t>
            </w:r>
            <w:r w:rsidRPr="00F31484">
              <w:rPr>
                <w:noProof/>
                <w:sz w:val="16"/>
                <w:szCs w:val="16"/>
              </w:rPr>
              <w:t xml:space="preserve"> </w:t>
            </w:r>
            <w:r w:rsidRPr="00F31484">
              <w:rPr>
                <w:rFonts w:ascii="Arial Narrow" w:hAnsi="Arial Narrow"/>
                <w:noProof/>
                <w:sz w:val="16"/>
                <w:szCs w:val="16"/>
              </w:rPr>
              <w:t>000 жители</w:t>
            </w:r>
          </w:p>
        </w:tc>
      </w:tr>
      <w:tr w:rsidR="006054AA" w:rsidRPr="00F31484" w14:paraId="62D0B581" w14:textId="77777777">
        <w:trPr>
          <w:trHeight w:val="309"/>
          <w:jc w:val="center"/>
        </w:trPr>
        <w:tc>
          <w:tcPr>
            <w:tcW w:w="1613" w:type="dxa"/>
            <w:shd w:val="clear" w:color="auto" w:fill="C6EFCE"/>
            <w:noWrap/>
            <w:vAlign w:val="center"/>
          </w:tcPr>
          <w:p w14:paraId="742578EB" w14:textId="5AA502E6" w:rsidR="006054AA" w:rsidRPr="00F31484" w:rsidRDefault="001F7667">
            <w:pPr>
              <w:pStyle w:val="P68B1DB1-Normal11"/>
              <w:jc w:val="center"/>
              <w:rPr>
                <w:noProof/>
                <w:sz w:val="16"/>
                <w:szCs w:val="16"/>
              </w:rPr>
            </w:pPr>
            <w:r w:rsidRPr="00F31484">
              <w:rPr>
                <w:noProof/>
                <w:sz w:val="16"/>
                <w:szCs w:val="16"/>
              </w:rPr>
              <w:t>M2C2—13</w:t>
            </w:r>
          </w:p>
        </w:tc>
        <w:tc>
          <w:tcPr>
            <w:tcW w:w="1643" w:type="dxa"/>
            <w:shd w:val="clear" w:color="auto" w:fill="C6EFCE"/>
            <w:noWrap/>
            <w:vAlign w:val="center"/>
          </w:tcPr>
          <w:p w14:paraId="5C9CD7F7" w14:textId="076D1E48" w:rsidR="006054AA" w:rsidRPr="00F31484" w:rsidRDefault="001F7667">
            <w:pPr>
              <w:pStyle w:val="P68B1DB1-Normal11"/>
              <w:jc w:val="center"/>
              <w:rPr>
                <w:noProof/>
                <w:sz w:val="16"/>
                <w:szCs w:val="16"/>
              </w:rPr>
            </w:pPr>
            <w:r w:rsidRPr="00F31484">
              <w:rPr>
                <w:noProof/>
                <w:sz w:val="16"/>
                <w:szCs w:val="16"/>
              </w:rPr>
              <w:t>Инвестиция 2.2 Интервенции за повишаване на устойчивостта на електроенергийната мрежа</w:t>
            </w:r>
          </w:p>
        </w:tc>
        <w:tc>
          <w:tcPr>
            <w:tcW w:w="1559" w:type="dxa"/>
            <w:shd w:val="clear" w:color="auto" w:fill="C6EFCE"/>
            <w:noWrap/>
            <w:vAlign w:val="center"/>
          </w:tcPr>
          <w:p w14:paraId="08160935" w14:textId="002F52C7"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506BEE00" w14:textId="32874C9F" w:rsidR="006054AA" w:rsidRPr="00F31484" w:rsidRDefault="001F7667">
            <w:pPr>
              <w:pStyle w:val="P68B1DB1-Normal11"/>
              <w:jc w:val="center"/>
              <w:rPr>
                <w:noProof/>
                <w:sz w:val="16"/>
                <w:szCs w:val="16"/>
              </w:rPr>
            </w:pPr>
            <w:r w:rsidRPr="00F31484">
              <w:rPr>
                <w:noProof/>
                <w:sz w:val="16"/>
                <w:szCs w:val="16"/>
              </w:rPr>
              <w:t>Повишаване на устойчивостта на мрежата на електроенергийната система</w:t>
            </w:r>
          </w:p>
        </w:tc>
        <w:tc>
          <w:tcPr>
            <w:tcW w:w="1843" w:type="dxa"/>
            <w:shd w:val="clear" w:color="auto" w:fill="C6EFCE"/>
            <w:noWrap/>
            <w:vAlign w:val="center"/>
          </w:tcPr>
          <w:p w14:paraId="5796553C" w14:textId="0B934FAD"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3D50B377" w14:textId="2D644E88"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5C01BFCF" w14:textId="7C257119"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4A285166" w14:textId="53C66589" w:rsidR="006054AA" w:rsidRPr="00F31484" w:rsidRDefault="001F7667">
            <w:pPr>
              <w:pStyle w:val="P68B1DB1-Normal11"/>
              <w:jc w:val="center"/>
              <w:rPr>
                <w:noProof/>
                <w:sz w:val="16"/>
                <w:szCs w:val="16"/>
              </w:rPr>
            </w:pPr>
            <w:r w:rsidRPr="00F31484">
              <w:rPr>
                <w:noProof/>
                <w:sz w:val="16"/>
                <w:szCs w:val="16"/>
              </w:rPr>
              <w:t>4 000</w:t>
            </w:r>
          </w:p>
        </w:tc>
        <w:tc>
          <w:tcPr>
            <w:tcW w:w="992" w:type="dxa"/>
            <w:shd w:val="clear" w:color="auto" w:fill="C6EFCE"/>
            <w:noWrap/>
            <w:vAlign w:val="center"/>
          </w:tcPr>
          <w:p w14:paraId="07C790CC" w14:textId="5890A751"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0E0A9451" w14:textId="406FC2B7"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46E88F5D" w14:textId="7AB9A943"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Повишаване на устойчивостта на поне 4</w:t>
            </w:r>
            <w:r w:rsidRPr="00F31484">
              <w:rPr>
                <w:noProof/>
                <w:sz w:val="16"/>
                <w:szCs w:val="16"/>
              </w:rPr>
              <w:t xml:space="preserve"> </w:t>
            </w:r>
            <w:r w:rsidRPr="00F31484">
              <w:rPr>
                <w:rFonts w:ascii="Arial Narrow" w:hAnsi="Arial Narrow"/>
                <w:noProof/>
                <w:sz w:val="16"/>
                <w:szCs w:val="16"/>
              </w:rPr>
              <w:t>000 km в мрежата на електроенергийната система, така че да се намалят честотата и продължителността на намаленията на енергия, дължащи се на екстремни метеорологични условия.</w:t>
            </w:r>
          </w:p>
        </w:tc>
      </w:tr>
      <w:tr w:rsidR="006054AA" w:rsidRPr="00F31484" w14:paraId="491CFFF7" w14:textId="77777777">
        <w:trPr>
          <w:trHeight w:val="309"/>
          <w:jc w:val="center"/>
        </w:trPr>
        <w:tc>
          <w:tcPr>
            <w:tcW w:w="1613" w:type="dxa"/>
            <w:shd w:val="clear" w:color="auto" w:fill="C6EFCE"/>
            <w:noWrap/>
            <w:vAlign w:val="center"/>
          </w:tcPr>
          <w:p w14:paraId="7A1D3E96" w14:textId="65109C2D" w:rsidR="006054AA" w:rsidRPr="00F31484" w:rsidRDefault="001F7667">
            <w:pPr>
              <w:pStyle w:val="P68B1DB1-Normal11"/>
              <w:jc w:val="center"/>
              <w:rPr>
                <w:noProof/>
                <w:sz w:val="16"/>
                <w:szCs w:val="16"/>
              </w:rPr>
            </w:pPr>
            <w:r w:rsidRPr="00F31484">
              <w:rPr>
                <w:noProof/>
                <w:sz w:val="16"/>
                <w:szCs w:val="16"/>
              </w:rPr>
              <w:t>M2C2—15</w:t>
            </w:r>
          </w:p>
        </w:tc>
        <w:tc>
          <w:tcPr>
            <w:tcW w:w="1643" w:type="dxa"/>
            <w:shd w:val="clear" w:color="auto" w:fill="C6EFCE"/>
            <w:noWrap/>
            <w:vAlign w:val="center"/>
          </w:tcPr>
          <w:p w14:paraId="4EF6FB73" w14:textId="4944460F" w:rsidR="006054AA" w:rsidRPr="00F31484" w:rsidRDefault="001F7667">
            <w:pPr>
              <w:pStyle w:val="P68B1DB1-Normal11"/>
              <w:jc w:val="center"/>
              <w:rPr>
                <w:noProof/>
                <w:sz w:val="16"/>
                <w:szCs w:val="16"/>
              </w:rPr>
            </w:pPr>
            <w:r w:rsidRPr="00F31484">
              <w:rPr>
                <w:noProof/>
                <w:sz w:val="16"/>
                <w:szCs w:val="16"/>
              </w:rPr>
              <w:t>Инвестиция 3.3 Изпитване на водород за автомобилния транспорт</w:t>
            </w:r>
          </w:p>
        </w:tc>
        <w:tc>
          <w:tcPr>
            <w:tcW w:w="1559" w:type="dxa"/>
            <w:shd w:val="clear" w:color="auto" w:fill="C6EFCE"/>
            <w:noWrap/>
            <w:vAlign w:val="center"/>
          </w:tcPr>
          <w:p w14:paraId="74194776" w14:textId="5B4093E0"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08D76E29" w14:textId="5775DDD4" w:rsidR="006054AA" w:rsidRPr="00F31484" w:rsidRDefault="001F7667">
            <w:pPr>
              <w:pStyle w:val="P68B1DB1-Normal11"/>
              <w:jc w:val="center"/>
              <w:rPr>
                <w:noProof/>
                <w:sz w:val="16"/>
                <w:szCs w:val="16"/>
              </w:rPr>
            </w:pPr>
            <w:r w:rsidRPr="00F31484">
              <w:rPr>
                <w:noProof/>
                <w:sz w:val="16"/>
                <w:szCs w:val="16"/>
              </w:rPr>
              <w:t>Разработване на станции за презареждане, основани на водород</w:t>
            </w:r>
          </w:p>
        </w:tc>
        <w:tc>
          <w:tcPr>
            <w:tcW w:w="1843" w:type="dxa"/>
            <w:shd w:val="clear" w:color="auto" w:fill="C6EFCE"/>
            <w:noWrap/>
            <w:vAlign w:val="center"/>
          </w:tcPr>
          <w:p w14:paraId="4BA9CAC6" w14:textId="5FCBE59B"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4BD4EA64" w14:textId="2C34521D"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4230DDB6" w14:textId="6E3EDE1A"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7B671B9" w14:textId="7CDB74CB" w:rsidR="006054AA" w:rsidRPr="00F31484" w:rsidRDefault="001F7667">
            <w:pPr>
              <w:pStyle w:val="P68B1DB1-Normal11"/>
              <w:jc w:val="center"/>
              <w:rPr>
                <w:noProof/>
                <w:sz w:val="16"/>
                <w:szCs w:val="16"/>
              </w:rPr>
            </w:pPr>
            <w:r w:rsidRPr="00F31484">
              <w:rPr>
                <w:noProof/>
                <w:sz w:val="16"/>
                <w:szCs w:val="16"/>
              </w:rPr>
              <w:t>40</w:t>
            </w:r>
          </w:p>
        </w:tc>
        <w:tc>
          <w:tcPr>
            <w:tcW w:w="992" w:type="dxa"/>
            <w:shd w:val="clear" w:color="auto" w:fill="C6EFCE"/>
            <w:noWrap/>
            <w:vAlign w:val="center"/>
          </w:tcPr>
          <w:p w14:paraId="5D35A18B" w14:textId="0A1C7893"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6D833B71" w14:textId="014A5761"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1C06CBA7" w14:textId="77777777" w:rsidR="006054AA" w:rsidRPr="00F31484" w:rsidRDefault="001F7667">
            <w:pPr>
              <w:pStyle w:val="P68B1DB1-Normal11"/>
              <w:spacing w:after="120"/>
              <w:rPr>
                <w:noProof/>
                <w:sz w:val="16"/>
                <w:szCs w:val="16"/>
              </w:rPr>
            </w:pPr>
            <w:r w:rsidRPr="00F31484">
              <w:rPr>
                <w:noProof/>
                <w:sz w:val="16"/>
                <w:szCs w:val="16"/>
              </w:rPr>
              <w:t>Разработване на най-малко 40 станции за презареждане, основани на водород, за леки и тежкотоварни превозни средства в съответствие с Директива 2014/94/ЕС</w:t>
            </w:r>
          </w:p>
          <w:p w14:paraId="5E8C581C" w14:textId="77777777" w:rsidR="006054AA" w:rsidRPr="00F31484" w:rsidRDefault="006054AA">
            <w:pPr>
              <w:rPr>
                <w:rFonts w:ascii="Arial Narrow" w:hAnsi="Arial Narrow"/>
                <w:noProof/>
                <w:sz w:val="16"/>
                <w:szCs w:val="16"/>
              </w:rPr>
            </w:pPr>
          </w:p>
        </w:tc>
      </w:tr>
      <w:tr w:rsidR="006054AA" w:rsidRPr="00F31484" w14:paraId="7EA35CAD" w14:textId="77777777">
        <w:trPr>
          <w:trHeight w:val="309"/>
          <w:jc w:val="center"/>
        </w:trPr>
        <w:tc>
          <w:tcPr>
            <w:tcW w:w="1613" w:type="dxa"/>
            <w:shd w:val="clear" w:color="auto" w:fill="C6EFCE"/>
            <w:noWrap/>
            <w:vAlign w:val="center"/>
          </w:tcPr>
          <w:p w14:paraId="21E19A8D" w14:textId="3B523E6E" w:rsidR="006054AA" w:rsidRPr="00F31484" w:rsidRDefault="001F7667">
            <w:pPr>
              <w:pStyle w:val="P68B1DB1-Normal11"/>
              <w:jc w:val="center"/>
              <w:rPr>
                <w:noProof/>
                <w:sz w:val="16"/>
                <w:szCs w:val="16"/>
              </w:rPr>
            </w:pPr>
            <w:r w:rsidRPr="00F31484">
              <w:rPr>
                <w:noProof/>
                <w:sz w:val="16"/>
                <w:szCs w:val="16"/>
              </w:rPr>
              <w:t>M2C2—17</w:t>
            </w:r>
          </w:p>
        </w:tc>
        <w:tc>
          <w:tcPr>
            <w:tcW w:w="1643" w:type="dxa"/>
            <w:shd w:val="clear" w:color="auto" w:fill="C6EFCE"/>
            <w:noWrap/>
            <w:vAlign w:val="center"/>
          </w:tcPr>
          <w:p w14:paraId="66F2D814" w14:textId="5D31E876" w:rsidR="006054AA" w:rsidRPr="00F31484" w:rsidRDefault="001F7667">
            <w:pPr>
              <w:pStyle w:val="P68B1DB1-Normal11"/>
              <w:jc w:val="center"/>
              <w:rPr>
                <w:noProof/>
                <w:sz w:val="16"/>
                <w:szCs w:val="16"/>
              </w:rPr>
            </w:pPr>
            <w:r w:rsidRPr="00F31484">
              <w:rPr>
                <w:noProof/>
                <w:sz w:val="16"/>
                <w:szCs w:val="16"/>
              </w:rPr>
              <w:t>Инвестиция 3.4 Изпитване на водород за железопътна мобилност</w:t>
            </w:r>
          </w:p>
        </w:tc>
        <w:tc>
          <w:tcPr>
            <w:tcW w:w="1559" w:type="dxa"/>
            <w:shd w:val="clear" w:color="auto" w:fill="C6EFCE"/>
            <w:noWrap/>
            <w:vAlign w:val="center"/>
          </w:tcPr>
          <w:p w14:paraId="0D5874B3" w14:textId="5EAFE349"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1581AD0E" w14:textId="1CAF615B" w:rsidR="006054AA" w:rsidRPr="00F31484" w:rsidRDefault="001F7667">
            <w:pPr>
              <w:pStyle w:val="P68B1DB1-Normal11"/>
              <w:jc w:val="center"/>
              <w:rPr>
                <w:noProof/>
                <w:sz w:val="16"/>
                <w:szCs w:val="16"/>
              </w:rPr>
            </w:pPr>
            <w:r w:rsidRPr="00F31484">
              <w:rPr>
                <w:noProof/>
                <w:sz w:val="16"/>
                <w:szCs w:val="16"/>
              </w:rPr>
              <w:t>Брой станции за презареждане с водород</w:t>
            </w:r>
          </w:p>
        </w:tc>
        <w:tc>
          <w:tcPr>
            <w:tcW w:w="1843" w:type="dxa"/>
            <w:shd w:val="clear" w:color="auto" w:fill="C6EFCE"/>
            <w:noWrap/>
            <w:vAlign w:val="center"/>
          </w:tcPr>
          <w:p w14:paraId="2AD8A424" w14:textId="0F36A0E0"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541DB971" w14:textId="3DC6696C"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135FFF04" w14:textId="7FC728FA"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4C7038F" w14:textId="167BE95F" w:rsidR="006054AA" w:rsidRPr="00F31484" w:rsidRDefault="001F7667">
            <w:pPr>
              <w:pStyle w:val="P68B1DB1-Normal11"/>
              <w:jc w:val="center"/>
              <w:rPr>
                <w:noProof/>
                <w:sz w:val="16"/>
                <w:szCs w:val="16"/>
              </w:rPr>
            </w:pPr>
            <w:r w:rsidRPr="00F31484">
              <w:rPr>
                <w:noProof/>
                <w:sz w:val="16"/>
                <w:szCs w:val="16"/>
              </w:rPr>
              <w:t>10</w:t>
            </w:r>
          </w:p>
        </w:tc>
        <w:tc>
          <w:tcPr>
            <w:tcW w:w="992" w:type="dxa"/>
            <w:shd w:val="clear" w:color="auto" w:fill="C6EFCE"/>
            <w:noWrap/>
            <w:vAlign w:val="center"/>
          </w:tcPr>
          <w:p w14:paraId="41E06D40" w14:textId="2AB4A061"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59CC0418" w14:textId="6E796BEC"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02C5F061" w14:textId="629DF835" w:rsidR="006054AA" w:rsidRPr="00F31484" w:rsidRDefault="001F7667">
            <w:pPr>
              <w:pStyle w:val="P68B1DB1-Normal11"/>
              <w:spacing w:after="120"/>
              <w:rPr>
                <w:noProof/>
                <w:sz w:val="16"/>
                <w:szCs w:val="16"/>
              </w:rPr>
            </w:pPr>
            <w:r w:rsidRPr="00F31484">
              <w:rPr>
                <w:noProof/>
                <w:sz w:val="16"/>
                <w:szCs w:val="16"/>
              </w:rPr>
              <w:t>Изграждане на десет станции за презареждане с гориво на основата на водород по шест железопътни линии, които се определят чрез публични процедури, установени от Министерството на устойчивата мобилност (MIMS) и Министерството на екологичния преход (МИТЕ).</w:t>
            </w:r>
          </w:p>
        </w:tc>
      </w:tr>
      <w:tr w:rsidR="006054AA" w:rsidRPr="00F31484" w14:paraId="182B43DF" w14:textId="77777777">
        <w:trPr>
          <w:trHeight w:val="309"/>
          <w:jc w:val="center"/>
        </w:trPr>
        <w:tc>
          <w:tcPr>
            <w:tcW w:w="1613" w:type="dxa"/>
            <w:shd w:val="clear" w:color="auto" w:fill="C6EFCE"/>
            <w:noWrap/>
            <w:vAlign w:val="center"/>
          </w:tcPr>
          <w:p w14:paraId="0B47D30C" w14:textId="6B701A5C" w:rsidR="006054AA" w:rsidRPr="00F31484" w:rsidRDefault="001F7667">
            <w:pPr>
              <w:pStyle w:val="P68B1DB1-Normal11"/>
              <w:jc w:val="center"/>
              <w:rPr>
                <w:noProof/>
                <w:sz w:val="16"/>
                <w:szCs w:val="16"/>
              </w:rPr>
            </w:pPr>
            <w:r w:rsidRPr="00F31484">
              <w:rPr>
                <w:noProof/>
                <w:sz w:val="16"/>
                <w:szCs w:val="16"/>
              </w:rPr>
              <w:t>M2C2—19</w:t>
            </w:r>
          </w:p>
        </w:tc>
        <w:tc>
          <w:tcPr>
            <w:tcW w:w="1643" w:type="dxa"/>
            <w:shd w:val="clear" w:color="auto" w:fill="C6EFCE"/>
            <w:noWrap/>
            <w:vAlign w:val="center"/>
          </w:tcPr>
          <w:p w14:paraId="5D781946" w14:textId="46B03DDF" w:rsidR="006054AA" w:rsidRPr="00F31484" w:rsidRDefault="001F7667">
            <w:pPr>
              <w:pStyle w:val="P68B1DB1-Normal11"/>
              <w:jc w:val="center"/>
              <w:rPr>
                <w:noProof/>
                <w:sz w:val="16"/>
                <w:szCs w:val="16"/>
              </w:rPr>
            </w:pPr>
            <w:r w:rsidRPr="00F31484">
              <w:rPr>
                <w:noProof/>
                <w:sz w:val="16"/>
                <w:szCs w:val="16"/>
              </w:rPr>
              <w:t>Инвестиция 3.5 Научноизследователска и развойна дейност в областта на водорода</w:t>
            </w:r>
          </w:p>
        </w:tc>
        <w:tc>
          <w:tcPr>
            <w:tcW w:w="1559" w:type="dxa"/>
            <w:shd w:val="clear" w:color="auto" w:fill="C6EFCE"/>
            <w:noWrap/>
            <w:vAlign w:val="center"/>
          </w:tcPr>
          <w:p w14:paraId="636E68D2" w14:textId="724276FD"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1DB82AB1" w14:textId="7ADBC616" w:rsidR="006054AA" w:rsidRPr="00F31484" w:rsidRDefault="001F7667">
            <w:pPr>
              <w:pStyle w:val="P68B1DB1-Normal11"/>
              <w:jc w:val="center"/>
              <w:rPr>
                <w:noProof/>
                <w:sz w:val="16"/>
                <w:szCs w:val="16"/>
              </w:rPr>
            </w:pPr>
            <w:r w:rsidRPr="00F31484">
              <w:rPr>
                <w:noProof/>
                <w:sz w:val="16"/>
                <w:szCs w:val="16"/>
              </w:rPr>
              <w:t>Брой проекти за научноизследователска и развойна дейност в областта на водорода</w:t>
            </w:r>
          </w:p>
        </w:tc>
        <w:tc>
          <w:tcPr>
            <w:tcW w:w="1843" w:type="dxa"/>
            <w:shd w:val="clear" w:color="auto" w:fill="C6EFCE"/>
            <w:noWrap/>
            <w:vAlign w:val="center"/>
          </w:tcPr>
          <w:p w14:paraId="3D4A7914" w14:textId="5C4B35B3"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6D13D79E" w14:textId="4C57E9AC"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2D43C30F" w14:textId="63AC3690"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1B9ED744" w14:textId="60B60C4D" w:rsidR="006054AA" w:rsidRPr="00F31484" w:rsidRDefault="001F7667">
            <w:pPr>
              <w:pStyle w:val="P68B1DB1-Normal11"/>
              <w:jc w:val="center"/>
              <w:rPr>
                <w:noProof/>
                <w:sz w:val="16"/>
                <w:szCs w:val="16"/>
              </w:rPr>
            </w:pPr>
            <w:r w:rsidRPr="00F31484">
              <w:rPr>
                <w:noProof/>
                <w:sz w:val="16"/>
                <w:szCs w:val="16"/>
              </w:rPr>
              <w:t>10</w:t>
            </w:r>
          </w:p>
        </w:tc>
        <w:tc>
          <w:tcPr>
            <w:tcW w:w="992" w:type="dxa"/>
            <w:shd w:val="clear" w:color="auto" w:fill="C6EFCE"/>
            <w:noWrap/>
            <w:vAlign w:val="center"/>
          </w:tcPr>
          <w:p w14:paraId="37B503C0" w14:textId="4302C595"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365DB17F" w14:textId="5C62B646"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51F790C4" w14:textId="77777777" w:rsidR="006054AA" w:rsidRPr="00F31484" w:rsidRDefault="001F7667">
            <w:pPr>
              <w:pStyle w:val="P68B1DB1-Normal11"/>
              <w:spacing w:after="120"/>
              <w:rPr>
                <w:noProof/>
                <w:sz w:val="16"/>
                <w:szCs w:val="16"/>
              </w:rPr>
            </w:pPr>
            <w:r w:rsidRPr="00F31484">
              <w:rPr>
                <w:noProof/>
                <w:sz w:val="16"/>
                <w:szCs w:val="16"/>
              </w:rPr>
              <w:t>Проведени са най-малко 10 проекта R -D (по един за всяко измерение R -D) и са получили сертификат за изпитване или публикация</w:t>
            </w:r>
          </w:p>
          <w:p w14:paraId="21799A47" w14:textId="77777777" w:rsidR="006054AA" w:rsidRPr="00F31484" w:rsidRDefault="001F7667">
            <w:pPr>
              <w:pStyle w:val="P68B1DB1-Normal11"/>
              <w:spacing w:after="120"/>
              <w:rPr>
                <w:noProof/>
                <w:sz w:val="16"/>
                <w:szCs w:val="16"/>
              </w:rPr>
            </w:pPr>
            <w:r w:rsidRPr="00F31484">
              <w:rPr>
                <w:noProof/>
                <w:sz w:val="16"/>
                <w:szCs w:val="16"/>
              </w:rPr>
              <w:t>Разработват се четири линии на научноизследователски и развойни дейности по отношение на:</w:t>
            </w:r>
          </w:p>
          <w:p w14:paraId="51205EEC" w14:textId="77777777" w:rsidR="006054AA" w:rsidRPr="00F31484" w:rsidRDefault="001F7667">
            <w:pPr>
              <w:pStyle w:val="P68B1DB1-Normal11"/>
              <w:spacing w:after="120"/>
              <w:rPr>
                <w:noProof/>
                <w:sz w:val="16"/>
                <w:szCs w:val="16"/>
              </w:rPr>
            </w:pPr>
            <w:r w:rsidRPr="00F31484">
              <w:rPr>
                <w:noProof/>
                <w:sz w:val="16"/>
                <w:szCs w:val="16"/>
              </w:rPr>
              <w:t>а) производство на зелен и чист водород</w:t>
            </w:r>
          </w:p>
          <w:p w14:paraId="61E6685C" w14:textId="77777777" w:rsidR="006054AA" w:rsidRPr="00F31484" w:rsidRDefault="001F7667">
            <w:pPr>
              <w:pStyle w:val="P68B1DB1-Normal11"/>
              <w:spacing w:after="120"/>
              <w:rPr>
                <w:noProof/>
                <w:sz w:val="16"/>
                <w:szCs w:val="16"/>
              </w:rPr>
            </w:pPr>
            <w:r w:rsidRPr="00F31484">
              <w:rPr>
                <w:noProof/>
                <w:sz w:val="16"/>
                <w:szCs w:val="16"/>
              </w:rPr>
              <w:t>иновативни технологии за съхранение, транспортиране и преобразуване на водород в производни и горива на основата на електроенергия</w:t>
            </w:r>
          </w:p>
          <w:p w14:paraId="5F3E8F73" w14:textId="77777777" w:rsidR="006054AA" w:rsidRPr="00F31484" w:rsidRDefault="001F7667">
            <w:pPr>
              <w:pStyle w:val="P68B1DB1-Normal11"/>
              <w:spacing w:after="120"/>
              <w:rPr>
                <w:noProof/>
                <w:sz w:val="16"/>
                <w:szCs w:val="16"/>
              </w:rPr>
            </w:pPr>
            <w:r w:rsidRPr="00F31484">
              <w:rPr>
                <w:noProof/>
                <w:sz w:val="16"/>
                <w:szCs w:val="16"/>
              </w:rPr>
              <w:t>горивни елементи за стационарни инсталации и за приложение за мобилност</w:t>
            </w:r>
          </w:p>
          <w:p w14:paraId="7E121C8B" w14:textId="77777777" w:rsidR="006054AA" w:rsidRPr="00F31484" w:rsidRDefault="001F7667">
            <w:pPr>
              <w:pStyle w:val="P68B1DB1-Normal11"/>
              <w:spacing w:after="120"/>
              <w:rPr>
                <w:noProof/>
                <w:sz w:val="16"/>
                <w:szCs w:val="16"/>
              </w:rPr>
            </w:pPr>
            <w:r w:rsidRPr="00F31484">
              <w:rPr>
                <w:noProof/>
                <w:sz w:val="16"/>
                <w:szCs w:val="16"/>
              </w:rPr>
              <w:t>г) Интегрирани интелигентни системи за управление с цел повишаване на устойчивостта и надеждността на интелигентните инфраструктури, основани на водород</w:t>
            </w:r>
          </w:p>
          <w:p w14:paraId="436F1952" w14:textId="17DE04AC" w:rsidR="006054AA" w:rsidRPr="00F31484" w:rsidRDefault="001F7667">
            <w:pPr>
              <w:pStyle w:val="P68B1DB1-Normal11"/>
              <w:rPr>
                <w:noProof/>
                <w:sz w:val="16"/>
                <w:szCs w:val="16"/>
              </w:rPr>
            </w:pPr>
            <w:r w:rsidRPr="00F31484">
              <w:rPr>
                <w:noProof/>
                <w:sz w:val="16"/>
                <w:szCs w:val="16"/>
              </w:rPr>
              <w:t>Тази мярка подпомага производството на водород въз основа на електролиза чрез използване на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 или водородни дейности, които отговарят на изискването за намаление на емисиите на парникови газове през целия жизнен цикъл от 73,4 % за водорода [което води до емисии на парникови газове през целия жизнен цикъл, по-ниски от 3 tCO2e/tH2] и 70 % за синтетични горива на основата на водород в сравнение с изкопаемо гориво от 94 g CO2e/MJ, по аналогия с подхода, посочен в член 25, параграф 2 от Директива (ЕС) 2018/2001 и приложение V към нея.</w:t>
            </w:r>
          </w:p>
        </w:tc>
      </w:tr>
      <w:tr w:rsidR="006054AA" w:rsidRPr="00F31484" w14:paraId="24E4CE3E" w14:textId="77777777">
        <w:trPr>
          <w:trHeight w:val="309"/>
          <w:jc w:val="center"/>
        </w:trPr>
        <w:tc>
          <w:tcPr>
            <w:tcW w:w="1613" w:type="dxa"/>
            <w:shd w:val="clear" w:color="auto" w:fill="C6EFCE"/>
            <w:noWrap/>
            <w:vAlign w:val="center"/>
          </w:tcPr>
          <w:p w14:paraId="05BF0B1F" w14:textId="3C88F07C" w:rsidR="006054AA" w:rsidRPr="00F31484" w:rsidRDefault="001F7667">
            <w:pPr>
              <w:pStyle w:val="P68B1DB1-Normal11"/>
              <w:jc w:val="center"/>
              <w:rPr>
                <w:noProof/>
                <w:sz w:val="16"/>
                <w:szCs w:val="16"/>
              </w:rPr>
            </w:pPr>
            <w:r w:rsidRPr="00F31484">
              <w:rPr>
                <w:noProof/>
                <w:sz w:val="16"/>
                <w:szCs w:val="16"/>
              </w:rPr>
              <w:t>M2C2—25</w:t>
            </w:r>
          </w:p>
        </w:tc>
        <w:tc>
          <w:tcPr>
            <w:tcW w:w="1643" w:type="dxa"/>
            <w:shd w:val="clear" w:color="auto" w:fill="C6EFCE"/>
            <w:noWrap/>
            <w:vAlign w:val="center"/>
          </w:tcPr>
          <w:p w14:paraId="0D1A60A8" w14:textId="6C7E9345" w:rsidR="006054AA" w:rsidRPr="00F31484" w:rsidRDefault="001F7667">
            <w:pPr>
              <w:pStyle w:val="P68B1DB1-Normal11"/>
              <w:jc w:val="center"/>
              <w:rPr>
                <w:noProof/>
                <w:sz w:val="16"/>
                <w:szCs w:val="16"/>
              </w:rPr>
            </w:pPr>
            <w:r w:rsidRPr="00F31484">
              <w:rPr>
                <w:noProof/>
                <w:sz w:val="16"/>
                <w:szCs w:val="16"/>
              </w:rPr>
              <w:t>Инвестиция 4.2 Разработване на системи за бърз масов транспорт (метро, улици, BRT)</w:t>
            </w:r>
          </w:p>
        </w:tc>
        <w:tc>
          <w:tcPr>
            <w:tcW w:w="1559" w:type="dxa"/>
            <w:shd w:val="clear" w:color="auto" w:fill="C6EFCE"/>
            <w:noWrap/>
            <w:vAlign w:val="center"/>
          </w:tcPr>
          <w:p w14:paraId="47FACFF1" w14:textId="4EE4B02E"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tcPr>
          <w:p w14:paraId="7C083241" w14:textId="3647C721" w:rsidR="006054AA" w:rsidRPr="00F31484" w:rsidRDefault="001F7667">
            <w:pPr>
              <w:pStyle w:val="P68B1DB1-Normal19"/>
              <w:jc w:val="center"/>
              <w:rPr>
                <w:noProof/>
                <w:color w:val="006100"/>
                <w:sz w:val="16"/>
                <w:szCs w:val="16"/>
              </w:rPr>
            </w:pPr>
            <w:r w:rsidRPr="00F31484">
              <w:rPr>
                <w:noProof/>
                <w:color w:val="006100"/>
                <w:sz w:val="16"/>
                <w:szCs w:val="16"/>
              </w:rPr>
              <w:t>Възлагане на</w:t>
            </w:r>
            <w:r w:rsidRPr="00F31484">
              <w:rPr>
                <w:noProof/>
                <w:sz w:val="16"/>
                <w:szCs w:val="16"/>
              </w:rPr>
              <w:t xml:space="preserve"> </w:t>
            </w:r>
            <w:r w:rsidRPr="00F31484">
              <w:rPr>
                <w:noProof/>
                <w:color w:val="006100"/>
                <w:sz w:val="16"/>
                <w:szCs w:val="16"/>
              </w:rPr>
              <w:t>всички обществени поръчки за закупуване на подвижен състав с нулеви емисии и интервенции за модернизиране на инфраструктурата на системите за бърз масов транспорт</w:t>
            </w:r>
          </w:p>
        </w:tc>
        <w:tc>
          <w:tcPr>
            <w:tcW w:w="1843" w:type="dxa"/>
            <w:shd w:val="clear" w:color="auto" w:fill="C6EFCE"/>
            <w:noWrap/>
            <w:vAlign w:val="center"/>
          </w:tcPr>
          <w:p w14:paraId="617CE26B" w14:textId="7AAEFE79" w:rsidR="006054AA" w:rsidRPr="00F31484" w:rsidRDefault="001F7667">
            <w:pPr>
              <w:pStyle w:val="P68B1DB1-Normal11"/>
              <w:jc w:val="center"/>
              <w:rPr>
                <w:noProof/>
                <w:sz w:val="16"/>
                <w:szCs w:val="16"/>
              </w:rPr>
            </w:pPr>
            <w:r w:rsidRPr="00F31484">
              <w:rPr>
                <w:noProof/>
                <w:sz w:val="16"/>
                <w:szCs w:val="16"/>
              </w:rPr>
              <w:t xml:space="preserve">Уведомяване за възлагането на всички обществени поръчки </w:t>
            </w:r>
          </w:p>
        </w:tc>
        <w:tc>
          <w:tcPr>
            <w:tcW w:w="1417" w:type="dxa"/>
            <w:shd w:val="clear" w:color="auto" w:fill="C6EFCE"/>
            <w:noWrap/>
            <w:vAlign w:val="center"/>
          </w:tcPr>
          <w:p w14:paraId="0F0717FD" w14:textId="26655EB8"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tcPr>
          <w:p w14:paraId="1E2FF4B8" w14:textId="19EF8EF0" w:rsidR="006054AA" w:rsidRPr="00F31484" w:rsidRDefault="001F7667">
            <w:pPr>
              <w:pStyle w:val="P68B1DB1-Normal11"/>
              <w:jc w:val="center"/>
              <w:rPr>
                <w:noProof/>
                <w:sz w:val="16"/>
                <w:szCs w:val="16"/>
              </w:rPr>
            </w:pPr>
            <w:r w:rsidRPr="00F31484">
              <w:rPr>
                <w:noProof/>
                <w:sz w:val="16"/>
                <w:szCs w:val="16"/>
              </w:rPr>
              <w:t>НЯМА</w:t>
            </w:r>
          </w:p>
        </w:tc>
        <w:tc>
          <w:tcPr>
            <w:tcW w:w="946" w:type="dxa"/>
            <w:shd w:val="clear" w:color="auto" w:fill="C6EFCE"/>
            <w:noWrap/>
            <w:vAlign w:val="center"/>
          </w:tcPr>
          <w:p w14:paraId="30CBE5FA" w14:textId="164B5BB7" w:rsidR="006054AA" w:rsidRPr="00F31484" w:rsidRDefault="001F7667">
            <w:pPr>
              <w:pStyle w:val="P68B1DB1-Normal11"/>
              <w:jc w:val="center"/>
              <w:rPr>
                <w:noProof/>
                <w:sz w:val="16"/>
                <w:szCs w:val="16"/>
              </w:rPr>
            </w:pPr>
            <w:r w:rsidRPr="00F31484">
              <w:rPr>
                <w:noProof/>
                <w:sz w:val="16"/>
                <w:szCs w:val="16"/>
              </w:rPr>
              <w:t>НЯМА</w:t>
            </w:r>
          </w:p>
        </w:tc>
        <w:tc>
          <w:tcPr>
            <w:tcW w:w="992" w:type="dxa"/>
            <w:shd w:val="clear" w:color="auto" w:fill="C6EFCE"/>
            <w:noWrap/>
            <w:vAlign w:val="center"/>
          </w:tcPr>
          <w:p w14:paraId="194264F7" w14:textId="640A3CBE" w:rsidR="006054AA" w:rsidRPr="00F31484" w:rsidRDefault="001F7667">
            <w:pPr>
              <w:pStyle w:val="P68B1DB1-Normal11"/>
              <w:jc w:val="center"/>
              <w:rPr>
                <w:noProof/>
                <w:sz w:val="16"/>
                <w:szCs w:val="16"/>
              </w:rPr>
            </w:pPr>
            <w:r w:rsidRPr="00F31484">
              <w:rPr>
                <w:noProof/>
                <w:sz w:val="16"/>
                <w:szCs w:val="16"/>
              </w:rPr>
              <w:t>Т3 Г.</w:t>
            </w:r>
          </w:p>
        </w:tc>
        <w:tc>
          <w:tcPr>
            <w:tcW w:w="756" w:type="dxa"/>
            <w:shd w:val="clear" w:color="auto" w:fill="C6EFCE"/>
            <w:noWrap/>
            <w:vAlign w:val="center"/>
          </w:tcPr>
          <w:p w14:paraId="2328139A" w14:textId="77C926E0"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tcPr>
          <w:p w14:paraId="5384B371" w14:textId="7AE5681E" w:rsidR="006054AA" w:rsidRPr="00F31484" w:rsidRDefault="001F7667">
            <w:pPr>
              <w:pStyle w:val="P68B1DB1-Normal19"/>
              <w:rPr>
                <w:noProof/>
                <w:sz w:val="16"/>
                <w:szCs w:val="16"/>
              </w:rPr>
            </w:pPr>
            <w:r w:rsidRPr="00F31484">
              <w:rPr>
                <w:noProof/>
                <w:color w:val="006100"/>
                <w:sz w:val="16"/>
                <w:szCs w:val="16"/>
              </w:rPr>
              <w:t>Уведомление за възлагането на</w:t>
            </w:r>
            <w:r w:rsidRPr="00F31484">
              <w:rPr>
                <w:noProof/>
                <w:sz w:val="16"/>
                <w:szCs w:val="16"/>
              </w:rPr>
              <w:t xml:space="preserve"> </w:t>
            </w:r>
            <w:r w:rsidRPr="00F31484">
              <w:rPr>
                <w:noProof/>
                <w:color w:val="006100"/>
                <w:sz w:val="16"/>
                <w:szCs w:val="16"/>
              </w:rPr>
              <w:t>всички обществени поръчки за закупуване на най-малко 85 единици подвижен състав и най-малко 5 интервенции за модернизиране на инфраструктурата на системите за бърз масов транспорт, както е определено в описанието на мярката.</w:t>
            </w:r>
          </w:p>
        </w:tc>
      </w:tr>
      <w:tr w:rsidR="006054AA" w:rsidRPr="00F31484" w14:paraId="5BACA9E8" w14:textId="77777777">
        <w:trPr>
          <w:trHeight w:val="309"/>
          <w:jc w:val="center"/>
        </w:trPr>
        <w:tc>
          <w:tcPr>
            <w:tcW w:w="1613" w:type="dxa"/>
            <w:shd w:val="clear" w:color="auto" w:fill="C6EFCE"/>
            <w:noWrap/>
            <w:vAlign w:val="center"/>
          </w:tcPr>
          <w:p w14:paraId="11FF148F" w14:textId="4DD833C5" w:rsidR="006054AA" w:rsidRPr="00F31484" w:rsidRDefault="001F7667">
            <w:pPr>
              <w:pStyle w:val="P68B1DB1-Normal11"/>
              <w:jc w:val="center"/>
              <w:rPr>
                <w:noProof/>
                <w:sz w:val="16"/>
                <w:szCs w:val="16"/>
              </w:rPr>
            </w:pPr>
            <w:r w:rsidRPr="00F31484">
              <w:rPr>
                <w:noProof/>
                <w:sz w:val="16"/>
                <w:szCs w:val="16"/>
              </w:rPr>
              <w:t>M2C2—25bis</w:t>
            </w:r>
          </w:p>
        </w:tc>
        <w:tc>
          <w:tcPr>
            <w:tcW w:w="1643" w:type="dxa"/>
            <w:shd w:val="clear" w:color="auto" w:fill="C6EFCE"/>
            <w:noWrap/>
            <w:vAlign w:val="center"/>
          </w:tcPr>
          <w:p w14:paraId="01C47145" w14:textId="7A46E38E" w:rsidR="006054AA" w:rsidRPr="00F31484" w:rsidRDefault="001F7667">
            <w:pPr>
              <w:pStyle w:val="P68B1DB1-Normal11"/>
              <w:jc w:val="center"/>
              <w:rPr>
                <w:noProof/>
                <w:sz w:val="16"/>
                <w:szCs w:val="16"/>
              </w:rPr>
            </w:pPr>
            <w:r w:rsidRPr="00F31484">
              <w:rPr>
                <w:noProof/>
                <w:sz w:val="16"/>
                <w:szCs w:val="16"/>
              </w:rPr>
              <w:t>Инвестиция 4.2 Разработване на системи за бърз масов транспорт (метро, улици, BRT)</w:t>
            </w:r>
          </w:p>
        </w:tc>
        <w:tc>
          <w:tcPr>
            <w:tcW w:w="1559" w:type="dxa"/>
            <w:shd w:val="clear" w:color="auto" w:fill="C6EFCE"/>
            <w:noWrap/>
            <w:vAlign w:val="center"/>
          </w:tcPr>
          <w:p w14:paraId="683A03D5" w14:textId="0C94BA5F"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14B20330" w14:textId="40BE84AF" w:rsidR="006054AA" w:rsidRPr="00F31484" w:rsidRDefault="001F7667">
            <w:pPr>
              <w:pStyle w:val="P68B1DB1-Normal11"/>
              <w:jc w:val="center"/>
              <w:rPr>
                <w:noProof/>
                <w:sz w:val="16"/>
                <w:szCs w:val="16"/>
              </w:rPr>
            </w:pPr>
            <w:r w:rsidRPr="00F31484">
              <w:rPr>
                <w:noProof/>
                <w:sz w:val="16"/>
                <w:szCs w:val="16"/>
              </w:rPr>
              <w:t>Най-малко 5 интервенции за модернизиране на инфраструктурата на системите за бърз масов транспорт</w:t>
            </w:r>
          </w:p>
        </w:tc>
        <w:tc>
          <w:tcPr>
            <w:tcW w:w="1843" w:type="dxa"/>
            <w:shd w:val="clear" w:color="auto" w:fill="C6EFCE"/>
            <w:noWrap/>
            <w:vAlign w:val="center"/>
          </w:tcPr>
          <w:p w14:paraId="0C30F5C6" w14:textId="77777777" w:rsidR="006054AA" w:rsidRPr="00F31484" w:rsidRDefault="006054AA">
            <w:pPr>
              <w:jc w:val="center"/>
              <w:rPr>
                <w:rFonts w:ascii="Arial Narrow" w:hAnsi="Arial Narrow"/>
                <w:noProof/>
                <w:color w:val="006100"/>
                <w:sz w:val="16"/>
                <w:szCs w:val="16"/>
              </w:rPr>
            </w:pPr>
          </w:p>
        </w:tc>
        <w:tc>
          <w:tcPr>
            <w:tcW w:w="1417" w:type="dxa"/>
            <w:shd w:val="clear" w:color="auto" w:fill="C6EFCE"/>
            <w:noWrap/>
            <w:vAlign w:val="center"/>
          </w:tcPr>
          <w:p w14:paraId="4D515C49" w14:textId="67F513ED"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454E2E91" w14:textId="400A4995"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35D468B" w14:textId="65B5B4D7" w:rsidR="006054AA" w:rsidRPr="00F31484" w:rsidRDefault="001F7667">
            <w:pPr>
              <w:pStyle w:val="P68B1DB1-Normal11"/>
              <w:jc w:val="center"/>
              <w:rPr>
                <w:noProof/>
                <w:sz w:val="16"/>
                <w:szCs w:val="16"/>
              </w:rPr>
            </w:pPr>
            <w:r w:rsidRPr="00F31484">
              <w:rPr>
                <w:noProof/>
                <w:sz w:val="16"/>
                <w:szCs w:val="16"/>
              </w:rPr>
              <w:t>5</w:t>
            </w:r>
          </w:p>
        </w:tc>
        <w:tc>
          <w:tcPr>
            <w:tcW w:w="992" w:type="dxa"/>
            <w:shd w:val="clear" w:color="auto" w:fill="C6EFCE"/>
            <w:noWrap/>
            <w:vAlign w:val="center"/>
          </w:tcPr>
          <w:p w14:paraId="0C68227C" w14:textId="06E78289"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11FF9650" w14:textId="7A8780DB"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3B674F83" w14:textId="77777777" w:rsidR="006054AA" w:rsidRPr="00F31484" w:rsidRDefault="001F7667">
            <w:pPr>
              <w:pStyle w:val="P68B1DB1-Normal11"/>
              <w:spacing w:after="120"/>
              <w:rPr>
                <w:noProof/>
                <w:sz w:val="16"/>
                <w:szCs w:val="16"/>
              </w:rPr>
            </w:pPr>
            <w:r w:rsidRPr="00F31484">
              <w:rPr>
                <w:noProof/>
                <w:sz w:val="16"/>
                <w:szCs w:val="16"/>
              </w:rPr>
              <w:t>Приключване на най-малко 5 интервенции за модернизиране на инфраструктурата (както е определено в описанието на мярката) на системите за бърз масов транспорт.</w:t>
            </w:r>
          </w:p>
          <w:p w14:paraId="1536356F" w14:textId="05623B78" w:rsidR="006054AA" w:rsidRPr="00F31484" w:rsidRDefault="001F7667">
            <w:pPr>
              <w:pStyle w:val="P68B1DB1-Normal11"/>
              <w:rPr>
                <w:noProof/>
                <w:sz w:val="16"/>
                <w:szCs w:val="16"/>
              </w:rPr>
            </w:pPr>
            <w:r w:rsidRPr="00F31484">
              <w:rPr>
                <w:noProof/>
                <w:sz w:val="16"/>
                <w:szCs w:val="16"/>
              </w:rPr>
              <w:t>След приключване на строителните работи целевата инфраструктура е оперативна или достъпна (в зависимост от вида на инфраструктурата).</w:t>
            </w:r>
          </w:p>
        </w:tc>
      </w:tr>
      <w:tr w:rsidR="006054AA" w:rsidRPr="00F31484" w14:paraId="32DA3167" w14:textId="77777777">
        <w:trPr>
          <w:trHeight w:val="309"/>
          <w:jc w:val="center"/>
        </w:trPr>
        <w:tc>
          <w:tcPr>
            <w:tcW w:w="1613" w:type="dxa"/>
            <w:shd w:val="clear" w:color="auto" w:fill="C6EFCE"/>
            <w:noWrap/>
            <w:vAlign w:val="center"/>
          </w:tcPr>
          <w:p w14:paraId="13C259FA" w14:textId="24902D22" w:rsidR="006054AA" w:rsidRPr="00F31484" w:rsidRDefault="001F7667">
            <w:pPr>
              <w:pStyle w:val="P68B1DB1-Normal11"/>
              <w:jc w:val="center"/>
              <w:rPr>
                <w:noProof/>
                <w:sz w:val="16"/>
                <w:szCs w:val="16"/>
              </w:rPr>
            </w:pPr>
            <w:r w:rsidRPr="00F31484">
              <w:rPr>
                <w:noProof/>
                <w:sz w:val="16"/>
                <w:szCs w:val="16"/>
              </w:rPr>
              <w:t>M2C2—25ter</w:t>
            </w:r>
          </w:p>
        </w:tc>
        <w:tc>
          <w:tcPr>
            <w:tcW w:w="1643" w:type="dxa"/>
            <w:shd w:val="clear" w:color="auto" w:fill="C6EFCE"/>
            <w:noWrap/>
            <w:vAlign w:val="center"/>
          </w:tcPr>
          <w:p w14:paraId="220293E7" w14:textId="4A203037" w:rsidR="006054AA" w:rsidRPr="00F31484" w:rsidRDefault="001F7667">
            <w:pPr>
              <w:pStyle w:val="P68B1DB1-Normal11"/>
              <w:jc w:val="center"/>
              <w:rPr>
                <w:noProof/>
                <w:sz w:val="16"/>
                <w:szCs w:val="16"/>
              </w:rPr>
            </w:pPr>
            <w:r w:rsidRPr="00F31484">
              <w:rPr>
                <w:noProof/>
                <w:sz w:val="16"/>
                <w:szCs w:val="16"/>
              </w:rPr>
              <w:t>Инвестиция 4.2 Разработване на системи за бърз масов транспорт (метро, улици, BRT)</w:t>
            </w:r>
          </w:p>
        </w:tc>
        <w:tc>
          <w:tcPr>
            <w:tcW w:w="1559" w:type="dxa"/>
            <w:shd w:val="clear" w:color="auto" w:fill="C6EFCE"/>
            <w:noWrap/>
            <w:vAlign w:val="center"/>
          </w:tcPr>
          <w:p w14:paraId="57F0D4B7" w14:textId="4FE69707"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4D1D5B7A" w14:textId="5C3CDAB5" w:rsidR="006054AA" w:rsidRPr="00F31484" w:rsidRDefault="001F7667">
            <w:pPr>
              <w:pStyle w:val="P68B1DB1-Normal11"/>
              <w:jc w:val="center"/>
              <w:rPr>
                <w:noProof/>
                <w:sz w:val="16"/>
                <w:szCs w:val="16"/>
              </w:rPr>
            </w:pPr>
            <w:r w:rsidRPr="00F31484">
              <w:rPr>
                <w:noProof/>
                <w:sz w:val="16"/>
                <w:szCs w:val="16"/>
              </w:rPr>
              <w:t>Закупуване на най-малко 85 единици подвижен състав за масов бърз транспорт</w:t>
            </w:r>
          </w:p>
        </w:tc>
        <w:tc>
          <w:tcPr>
            <w:tcW w:w="1843" w:type="dxa"/>
            <w:shd w:val="clear" w:color="auto" w:fill="C6EFCE"/>
            <w:noWrap/>
            <w:vAlign w:val="center"/>
          </w:tcPr>
          <w:p w14:paraId="7A4B3FD8" w14:textId="77777777" w:rsidR="006054AA" w:rsidRPr="00F31484" w:rsidRDefault="006054AA">
            <w:pPr>
              <w:jc w:val="center"/>
              <w:rPr>
                <w:rFonts w:ascii="Arial Narrow" w:hAnsi="Arial Narrow"/>
                <w:noProof/>
                <w:color w:val="006100"/>
                <w:sz w:val="16"/>
                <w:szCs w:val="16"/>
              </w:rPr>
            </w:pPr>
          </w:p>
        </w:tc>
        <w:tc>
          <w:tcPr>
            <w:tcW w:w="1417" w:type="dxa"/>
            <w:shd w:val="clear" w:color="auto" w:fill="C6EFCE"/>
            <w:noWrap/>
            <w:vAlign w:val="center"/>
          </w:tcPr>
          <w:p w14:paraId="33DD2A38" w14:textId="259F3290"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46A97DC9" w14:textId="67638BDC"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F4B60E2" w14:textId="70F9770C" w:rsidR="006054AA" w:rsidRPr="00F31484" w:rsidRDefault="001F7667">
            <w:pPr>
              <w:pStyle w:val="P68B1DB1-Normal11"/>
              <w:jc w:val="center"/>
              <w:rPr>
                <w:noProof/>
                <w:sz w:val="16"/>
                <w:szCs w:val="16"/>
              </w:rPr>
            </w:pPr>
            <w:r w:rsidRPr="00F31484">
              <w:rPr>
                <w:noProof/>
                <w:sz w:val="16"/>
                <w:szCs w:val="16"/>
              </w:rPr>
              <w:t>85</w:t>
            </w:r>
          </w:p>
        </w:tc>
        <w:tc>
          <w:tcPr>
            <w:tcW w:w="992" w:type="dxa"/>
            <w:shd w:val="clear" w:color="auto" w:fill="C6EFCE"/>
            <w:noWrap/>
            <w:vAlign w:val="center"/>
          </w:tcPr>
          <w:p w14:paraId="39D0A847" w14:textId="2D58F86D"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14D46E1C" w14:textId="493F4B2F"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3490D222" w14:textId="1C341EE5" w:rsidR="006054AA" w:rsidRPr="00F31484" w:rsidRDefault="001F7667">
            <w:pPr>
              <w:pStyle w:val="P68B1DB1-Normal11"/>
              <w:rPr>
                <w:noProof/>
                <w:sz w:val="16"/>
                <w:szCs w:val="16"/>
              </w:rPr>
            </w:pPr>
            <w:r w:rsidRPr="00F31484">
              <w:rPr>
                <w:noProof/>
                <w:sz w:val="16"/>
                <w:szCs w:val="16"/>
              </w:rPr>
              <w:t>Закупуване на най-малко 85 единици подвижен състав с нулеви емисии за масов бърз транспорт в метрополните области, както е определено в описанието на мярката.</w:t>
            </w:r>
          </w:p>
        </w:tc>
      </w:tr>
      <w:tr w:rsidR="006054AA" w:rsidRPr="00F31484" w14:paraId="556DF3EA" w14:textId="77777777">
        <w:trPr>
          <w:trHeight w:val="309"/>
          <w:jc w:val="center"/>
        </w:trPr>
        <w:tc>
          <w:tcPr>
            <w:tcW w:w="1613" w:type="dxa"/>
            <w:shd w:val="clear" w:color="auto" w:fill="C6EFCE"/>
            <w:noWrap/>
            <w:vAlign w:val="center"/>
          </w:tcPr>
          <w:p w14:paraId="039F680F" w14:textId="16920259" w:rsidR="006054AA" w:rsidRPr="00F31484" w:rsidRDefault="001F7667">
            <w:pPr>
              <w:pStyle w:val="P68B1DB1-Normal11"/>
              <w:jc w:val="center"/>
              <w:rPr>
                <w:noProof/>
                <w:sz w:val="16"/>
                <w:szCs w:val="16"/>
              </w:rPr>
            </w:pPr>
            <w:r w:rsidRPr="00F31484">
              <w:rPr>
                <w:noProof/>
                <w:sz w:val="16"/>
                <w:szCs w:val="16"/>
              </w:rPr>
              <w:t>M2C2—26</w:t>
            </w:r>
          </w:p>
        </w:tc>
        <w:tc>
          <w:tcPr>
            <w:tcW w:w="1643" w:type="dxa"/>
            <w:shd w:val="clear" w:color="auto" w:fill="C6EFCE"/>
            <w:noWrap/>
            <w:vAlign w:val="center"/>
          </w:tcPr>
          <w:p w14:paraId="1567AD24" w14:textId="7A70CAEC" w:rsidR="006054AA" w:rsidRPr="00F31484" w:rsidRDefault="001F7667">
            <w:pPr>
              <w:pStyle w:val="P68B1DB1-Normal11"/>
              <w:jc w:val="center"/>
              <w:rPr>
                <w:noProof/>
                <w:sz w:val="16"/>
                <w:szCs w:val="16"/>
              </w:rPr>
            </w:pPr>
            <w:r w:rsidRPr="00F31484">
              <w:rPr>
                <w:noProof/>
                <w:sz w:val="16"/>
                <w:szCs w:val="16"/>
              </w:rPr>
              <w:t>Инвестиция 4.2 Развитие на системи за бърз масов транспорт (метро, уличен автомобил, автобусен бърз транзит)</w:t>
            </w:r>
          </w:p>
        </w:tc>
        <w:tc>
          <w:tcPr>
            <w:tcW w:w="1559" w:type="dxa"/>
            <w:shd w:val="clear" w:color="auto" w:fill="C6EFCE"/>
            <w:noWrap/>
            <w:vAlign w:val="center"/>
          </w:tcPr>
          <w:p w14:paraId="4569FF91" w14:textId="5425C196"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0E7E2E14" w14:textId="47806917" w:rsidR="006054AA" w:rsidRPr="00F31484" w:rsidRDefault="001F7667">
            <w:pPr>
              <w:pStyle w:val="P68B1DB1-Normal11"/>
              <w:jc w:val="center"/>
              <w:rPr>
                <w:noProof/>
                <w:sz w:val="16"/>
                <w:szCs w:val="16"/>
              </w:rPr>
            </w:pPr>
            <w:r w:rsidRPr="00F31484">
              <w:rPr>
                <w:noProof/>
                <w:sz w:val="16"/>
                <w:szCs w:val="16"/>
              </w:rPr>
              <w:t>Брой километри инфраструктура за обществен транспорт</w:t>
            </w:r>
          </w:p>
        </w:tc>
        <w:tc>
          <w:tcPr>
            <w:tcW w:w="1843" w:type="dxa"/>
            <w:shd w:val="clear" w:color="auto" w:fill="C6EFCE"/>
            <w:noWrap/>
            <w:vAlign w:val="center"/>
          </w:tcPr>
          <w:p w14:paraId="19BA64EC" w14:textId="244C69C7"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1EBE794B" w14:textId="2282C9A4" w:rsidR="006054AA" w:rsidRPr="00F31484" w:rsidRDefault="001F7667">
            <w:pPr>
              <w:pStyle w:val="P68B1DB1-Normal11"/>
              <w:jc w:val="center"/>
              <w:rPr>
                <w:noProof/>
                <w:sz w:val="16"/>
                <w:szCs w:val="16"/>
              </w:rPr>
            </w:pPr>
            <w:r w:rsidRPr="00F31484">
              <w:rPr>
                <w:noProof/>
                <w:sz w:val="16"/>
                <w:szCs w:val="16"/>
              </w:rPr>
              <w:t>километър</w:t>
            </w:r>
          </w:p>
        </w:tc>
        <w:tc>
          <w:tcPr>
            <w:tcW w:w="1134" w:type="dxa"/>
            <w:shd w:val="clear" w:color="auto" w:fill="C6EFCE"/>
            <w:noWrap/>
            <w:vAlign w:val="center"/>
          </w:tcPr>
          <w:p w14:paraId="0C3FF7A2" w14:textId="0E7E63F6"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0D0BBCF9" w14:textId="21CD7D81" w:rsidR="006054AA" w:rsidRPr="00F31484" w:rsidRDefault="001F7667">
            <w:pPr>
              <w:pStyle w:val="P68B1DB1-Normal11"/>
              <w:jc w:val="center"/>
              <w:rPr>
                <w:noProof/>
                <w:sz w:val="16"/>
                <w:szCs w:val="16"/>
              </w:rPr>
            </w:pPr>
            <w:r w:rsidRPr="00F31484">
              <w:rPr>
                <w:noProof/>
                <w:sz w:val="16"/>
                <w:szCs w:val="16"/>
              </w:rPr>
              <w:t>231</w:t>
            </w:r>
          </w:p>
        </w:tc>
        <w:tc>
          <w:tcPr>
            <w:tcW w:w="992" w:type="dxa"/>
            <w:shd w:val="clear" w:color="auto" w:fill="C6EFCE"/>
            <w:noWrap/>
            <w:vAlign w:val="center"/>
          </w:tcPr>
          <w:p w14:paraId="165D5C00" w14:textId="63548CFC"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169F20AD" w14:textId="3DB1988E"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71B55AEC" w14:textId="613666D6" w:rsidR="006054AA" w:rsidRPr="00F31484" w:rsidRDefault="001F7667">
            <w:pPr>
              <w:pStyle w:val="P68B1DB1-Normal11"/>
              <w:rPr>
                <w:noProof/>
                <w:sz w:val="16"/>
                <w:szCs w:val="16"/>
              </w:rPr>
            </w:pPr>
            <w:r w:rsidRPr="00F31484">
              <w:rPr>
                <w:noProof/>
                <w:sz w:val="16"/>
                <w:szCs w:val="16"/>
              </w:rPr>
              <w:t xml:space="preserve">Изграждане на най-малко 231 km инфраструктура за обществен транспорт във функционални градски райони, както е определено в описанието на мярката. </w:t>
            </w:r>
          </w:p>
        </w:tc>
      </w:tr>
      <w:tr w:rsidR="006054AA" w:rsidRPr="00F31484" w14:paraId="36490252" w14:textId="77777777">
        <w:trPr>
          <w:trHeight w:val="309"/>
          <w:jc w:val="center"/>
        </w:trPr>
        <w:tc>
          <w:tcPr>
            <w:tcW w:w="1613" w:type="dxa"/>
            <w:shd w:val="clear" w:color="auto" w:fill="C6EFCE"/>
            <w:noWrap/>
            <w:vAlign w:val="center"/>
          </w:tcPr>
          <w:p w14:paraId="5215CD32" w14:textId="3A4C3C64" w:rsidR="006054AA" w:rsidRPr="00F31484" w:rsidRDefault="001F7667">
            <w:pPr>
              <w:pStyle w:val="P68B1DB1-Normal11"/>
              <w:jc w:val="center"/>
              <w:rPr>
                <w:noProof/>
                <w:sz w:val="16"/>
                <w:szCs w:val="16"/>
              </w:rPr>
            </w:pPr>
            <w:r w:rsidRPr="00F31484">
              <w:rPr>
                <w:noProof/>
                <w:sz w:val="16"/>
                <w:szCs w:val="16"/>
              </w:rPr>
              <w:t>M2C2—31</w:t>
            </w:r>
          </w:p>
        </w:tc>
        <w:tc>
          <w:tcPr>
            <w:tcW w:w="1643" w:type="dxa"/>
            <w:shd w:val="clear" w:color="auto" w:fill="C6EFCE"/>
            <w:noWrap/>
            <w:vAlign w:val="center"/>
          </w:tcPr>
          <w:p w14:paraId="296DE649" w14:textId="19B59E46" w:rsidR="006054AA" w:rsidRPr="00F31484" w:rsidRDefault="001F7667">
            <w:pPr>
              <w:pStyle w:val="P68B1DB1-Normal11"/>
              <w:jc w:val="center"/>
              <w:rPr>
                <w:noProof/>
                <w:sz w:val="16"/>
                <w:szCs w:val="16"/>
              </w:rPr>
            </w:pPr>
            <w:r w:rsidRPr="00F31484">
              <w:rPr>
                <w:noProof/>
                <w:sz w:val="16"/>
                <w:szCs w:val="16"/>
              </w:rPr>
              <w:t>Инвестиция 4.4.3: Обновителен парк за командването на националната противопожарна служба</w:t>
            </w:r>
          </w:p>
        </w:tc>
        <w:tc>
          <w:tcPr>
            <w:tcW w:w="1559" w:type="dxa"/>
            <w:shd w:val="clear" w:color="auto" w:fill="C6EFCE"/>
            <w:noWrap/>
            <w:vAlign w:val="center"/>
          </w:tcPr>
          <w:p w14:paraId="7828404E" w14:textId="6785A404"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tcPr>
          <w:p w14:paraId="3B37DC9C" w14:textId="0CF21D53" w:rsidR="006054AA" w:rsidRPr="00F31484" w:rsidRDefault="001F7667">
            <w:pPr>
              <w:pStyle w:val="P68B1DB1-Normal11"/>
              <w:jc w:val="center"/>
              <w:rPr>
                <w:noProof/>
                <w:sz w:val="16"/>
                <w:szCs w:val="16"/>
              </w:rPr>
            </w:pPr>
            <w:r w:rsidRPr="00F31484">
              <w:rPr>
                <w:noProof/>
                <w:sz w:val="16"/>
                <w:szCs w:val="16"/>
              </w:rPr>
              <w:t>Възлагане на всички обществени поръчки за обновяване на флота за командването на националната противопожарна служба</w:t>
            </w:r>
          </w:p>
        </w:tc>
        <w:tc>
          <w:tcPr>
            <w:tcW w:w="1843" w:type="dxa"/>
            <w:shd w:val="clear" w:color="auto" w:fill="C6EFCE"/>
            <w:noWrap/>
            <w:vAlign w:val="center"/>
          </w:tcPr>
          <w:p w14:paraId="69171247" w14:textId="3F5BB3E6" w:rsidR="006054AA" w:rsidRPr="00F31484" w:rsidRDefault="001F7667">
            <w:pPr>
              <w:pStyle w:val="P68B1DB1-Normal11"/>
              <w:jc w:val="center"/>
              <w:rPr>
                <w:noProof/>
                <w:sz w:val="16"/>
                <w:szCs w:val="16"/>
              </w:rPr>
            </w:pPr>
            <w:r w:rsidRPr="00F31484">
              <w:rPr>
                <w:noProof/>
                <w:sz w:val="16"/>
                <w:szCs w:val="16"/>
              </w:rPr>
              <w:t>Уведомление за възлагането на всички договори за обновяване на флота за командването на националната противопожарна служба</w:t>
            </w:r>
          </w:p>
        </w:tc>
        <w:tc>
          <w:tcPr>
            <w:tcW w:w="1417" w:type="dxa"/>
            <w:shd w:val="clear" w:color="auto" w:fill="C6EFCE"/>
            <w:noWrap/>
            <w:vAlign w:val="center"/>
          </w:tcPr>
          <w:p w14:paraId="3525242E" w14:textId="3C11419E"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tcPr>
          <w:p w14:paraId="6CE9D23F" w14:textId="7D0F13AD" w:rsidR="006054AA" w:rsidRPr="00F31484" w:rsidRDefault="001F7667">
            <w:pPr>
              <w:pStyle w:val="P68B1DB1-Normal11"/>
              <w:jc w:val="center"/>
              <w:rPr>
                <w:noProof/>
                <w:sz w:val="16"/>
                <w:szCs w:val="16"/>
              </w:rPr>
            </w:pPr>
            <w:r w:rsidRPr="00F31484">
              <w:rPr>
                <w:noProof/>
                <w:sz w:val="16"/>
                <w:szCs w:val="16"/>
              </w:rPr>
              <w:t>НЯМА</w:t>
            </w:r>
          </w:p>
        </w:tc>
        <w:tc>
          <w:tcPr>
            <w:tcW w:w="946" w:type="dxa"/>
            <w:shd w:val="clear" w:color="auto" w:fill="C6EFCE"/>
            <w:noWrap/>
            <w:vAlign w:val="center"/>
          </w:tcPr>
          <w:p w14:paraId="6133BD69" w14:textId="4672C66A" w:rsidR="006054AA" w:rsidRPr="00F31484" w:rsidRDefault="001F7667">
            <w:pPr>
              <w:pStyle w:val="P68B1DB1-Normal11"/>
              <w:jc w:val="center"/>
              <w:rPr>
                <w:noProof/>
                <w:sz w:val="16"/>
                <w:szCs w:val="16"/>
              </w:rPr>
            </w:pPr>
            <w:r w:rsidRPr="00F31484">
              <w:rPr>
                <w:noProof/>
                <w:sz w:val="16"/>
                <w:szCs w:val="16"/>
              </w:rPr>
              <w:t>Н.А.</w:t>
            </w:r>
          </w:p>
        </w:tc>
        <w:tc>
          <w:tcPr>
            <w:tcW w:w="992" w:type="dxa"/>
            <w:shd w:val="clear" w:color="auto" w:fill="C6EFCE"/>
            <w:noWrap/>
            <w:vAlign w:val="center"/>
          </w:tcPr>
          <w:p w14:paraId="18F64F2C" w14:textId="3C32A002"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3C47FF49" w14:textId="7D313BD9"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tcPr>
          <w:p w14:paraId="3119651E" w14:textId="6147EF01" w:rsidR="006054AA" w:rsidRPr="00F31484" w:rsidRDefault="001F7667">
            <w:pPr>
              <w:pStyle w:val="P68B1DB1-Normal11"/>
              <w:rPr>
                <w:noProof/>
                <w:sz w:val="16"/>
                <w:szCs w:val="16"/>
              </w:rPr>
            </w:pPr>
            <w:r w:rsidRPr="00F31484">
              <w:rPr>
                <w:noProof/>
                <w:sz w:val="16"/>
                <w:szCs w:val="16"/>
              </w:rPr>
              <w:t>Уведомление за възлагането на всички обществени поръчки за придобиване на превозни средства на националната противопожарна служба.</w:t>
            </w:r>
          </w:p>
        </w:tc>
      </w:tr>
      <w:tr w:rsidR="006054AA" w:rsidRPr="00F31484" w14:paraId="607DBD31" w14:textId="77777777">
        <w:trPr>
          <w:trHeight w:val="309"/>
          <w:jc w:val="center"/>
        </w:trPr>
        <w:tc>
          <w:tcPr>
            <w:tcW w:w="1613" w:type="dxa"/>
            <w:shd w:val="clear" w:color="auto" w:fill="C6EFCE"/>
            <w:noWrap/>
            <w:vAlign w:val="center"/>
          </w:tcPr>
          <w:p w14:paraId="5E2E0FBE" w14:textId="6477DB6E" w:rsidR="006054AA" w:rsidRPr="00F31484" w:rsidRDefault="001F7667">
            <w:pPr>
              <w:pStyle w:val="P68B1DB1-Normal11"/>
              <w:jc w:val="center"/>
              <w:rPr>
                <w:noProof/>
                <w:sz w:val="16"/>
                <w:szCs w:val="16"/>
              </w:rPr>
            </w:pPr>
            <w:r w:rsidRPr="00F31484">
              <w:rPr>
                <w:noProof/>
                <w:sz w:val="16"/>
                <w:szCs w:val="16"/>
              </w:rPr>
              <w:t>M2C2—32</w:t>
            </w:r>
          </w:p>
        </w:tc>
        <w:tc>
          <w:tcPr>
            <w:tcW w:w="1643" w:type="dxa"/>
            <w:shd w:val="clear" w:color="auto" w:fill="C6EFCE"/>
            <w:noWrap/>
            <w:vAlign w:val="center"/>
          </w:tcPr>
          <w:p w14:paraId="281EE316" w14:textId="6529F74E" w:rsidR="006054AA" w:rsidRPr="00F31484" w:rsidRDefault="001F7667">
            <w:pPr>
              <w:pStyle w:val="P68B1DB1-Normal11"/>
              <w:jc w:val="center"/>
              <w:rPr>
                <w:noProof/>
                <w:sz w:val="16"/>
                <w:szCs w:val="16"/>
              </w:rPr>
            </w:pPr>
            <w:r w:rsidRPr="00F31484">
              <w:rPr>
                <w:noProof/>
                <w:sz w:val="16"/>
                <w:szCs w:val="16"/>
              </w:rPr>
              <w:t>Инвестиция 4.4.1: Укрепване на регионалния автобусен парк на обществения транспорт с нискоетажни автобуси с нулеви емисии</w:t>
            </w:r>
          </w:p>
        </w:tc>
        <w:tc>
          <w:tcPr>
            <w:tcW w:w="1559" w:type="dxa"/>
            <w:shd w:val="clear" w:color="auto" w:fill="C6EFCE"/>
            <w:noWrap/>
            <w:vAlign w:val="center"/>
          </w:tcPr>
          <w:p w14:paraId="43FA8E85" w14:textId="16015E34"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tcPr>
          <w:p w14:paraId="7E3A61C0" w14:textId="4D87B5D3" w:rsidR="006054AA" w:rsidRPr="00F31484" w:rsidRDefault="001F7667">
            <w:pPr>
              <w:pStyle w:val="P68B1DB1-Normal11"/>
              <w:jc w:val="center"/>
              <w:rPr>
                <w:noProof/>
                <w:sz w:val="16"/>
                <w:szCs w:val="16"/>
              </w:rPr>
            </w:pPr>
            <w:r w:rsidRPr="00F31484">
              <w:rPr>
                <w:noProof/>
                <w:sz w:val="16"/>
                <w:szCs w:val="16"/>
              </w:rPr>
              <w:t>Възлагане на всички обществени поръчки за укрепване на регионалния парк за обществен транспорт с нискоетажни автобуси с нулеви емисии</w:t>
            </w:r>
          </w:p>
        </w:tc>
        <w:tc>
          <w:tcPr>
            <w:tcW w:w="1843" w:type="dxa"/>
            <w:shd w:val="clear" w:color="auto" w:fill="C6EFCE"/>
            <w:noWrap/>
            <w:vAlign w:val="center"/>
          </w:tcPr>
          <w:p w14:paraId="20C4EFFF" w14:textId="6A573DAF" w:rsidR="006054AA" w:rsidRPr="00F31484" w:rsidRDefault="001F7667">
            <w:pPr>
              <w:pStyle w:val="P68B1DB1-Normal11"/>
              <w:jc w:val="center"/>
              <w:rPr>
                <w:noProof/>
                <w:sz w:val="16"/>
                <w:szCs w:val="16"/>
              </w:rPr>
            </w:pPr>
            <w:r w:rsidRPr="00F31484">
              <w:rPr>
                <w:noProof/>
                <w:sz w:val="16"/>
                <w:szCs w:val="16"/>
              </w:rPr>
              <w:t xml:space="preserve">Уведомяване за възлагането на всички поръчки </w:t>
            </w:r>
          </w:p>
        </w:tc>
        <w:tc>
          <w:tcPr>
            <w:tcW w:w="1417" w:type="dxa"/>
            <w:shd w:val="clear" w:color="auto" w:fill="C6EFCE"/>
            <w:noWrap/>
            <w:vAlign w:val="center"/>
          </w:tcPr>
          <w:p w14:paraId="3E37DD2F" w14:textId="2FE66134"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tcPr>
          <w:p w14:paraId="002D1BDC" w14:textId="342BE0AF" w:rsidR="006054AA" w:rsidRPr="00F31484" w:rsidRDefault="001F7667">
            <w:pPr>
              <w:pStyle w:val="P68B1DB1-Normal11"/>
              <w:jc w:val="center"/>
              <w:rPr>
                <w:noProof/>
                <w:sz w:val="16"/>
                <w:szCs w:val="16"/>
              </w:rPr>
            </w:pPr>
            <w:r w:rsidRPr="00F31484">
              <w:rPr>
                <w:noProof/>
                <w:sz w:val="16"/>
                <w:szCs w:val="16"/>
              </w:rPr>
              <w:t>НЯМА</w:t>
            </w:r>
          </w:p>
        </w:tc>
        <w:tc>
          <w:tcPr>
            <w:tcW w:w="946" w:type="dxa"/>
            <w:shd w:val="clear" w:color="auto" w:fill="C6EFCE"/>
            <w:noWrap/>
            <w:vAlign w:val="center"/>
          </w:tcPr>
          <w:p w14:paraId="5D927AD9" w14:textId="1257566B" w:rsidR="006054AA" w:rsidRPr="00F31484" w:rsidRDefault="001F7667">
            <w:pPr>
              <w:pStyle w:val="P68B1DB1-Normal11"/>
              <w:jc w:val="center"/>
              <w:rPr>
                <w:noProof/>
                <w:sz w:val="16"/>
                <w:szCs w:val="16"/>
              </w:rPr>
            </w:pPr>
            <w:r w:rsidRPr="00F31484">
              <w:rPr>
                <w:noProof/>
                <w:sz w:val="16"/>
                <w:szCs w:val="16"/>
              </w:rPr>
              <w:t>НЯМА</w:t>
            </w:r>
          </w:p>
        </w:tc>
        <w:tc>
          <w:tcPr>
            <w:tcW w:w="992" w:type="dxa"/>
            <w:shd w:val="clear" w:color="auto" w:fill="C6EFCE"/>
            <w:noWrap/>
            <w:vAlign w:val="center"/>
          </w:tcPr>
          <w:p w14:paraId="577FABF3" w14:textId="3B9B0D3B"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tcPr>
          <w:p w14:paraId="57F47EB0" w14:textId="4657596A" w:rsidR="006054AA" w:rsidRPr="00F31484" w:rsidRDefault="001F7667">
            <w:pPr>
              <w:pStyle w:val="P68B1DB1-Normal11"/>
              <w:jc w:val="center"/>
              <w:rPr>
                <w:noProof/>
                <w:sz w:val="16"/>
                <w:szCs w:val="16"/>
              </w:rPr>
            </w:pPr>
            <w:r w:rsidRPr="00F31484">
              <w:rPr>
                <w:noProof/>
                <w:sz w:val="16"/>
                <w:szCs w:val="16"/>
              </w:rPr>
              <w:t>2023</w:t>
            </w:r>
          </w:p>
        </w:tc>
        <w:tc>
          <w:tcPr>
            <w:tcW w:w="2793" w:type="dxa"/>
            <w:shd w:val="clear" w:color="auto" w:fill="C6EFCE"/>
            <w:noWrap/>
            <w:vAlign w:val="center"/>
          </w:tcPr>
          <w:p w14:paraId="59AD17FA" w14:textId="2E925756"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Уведомление за възлагане на обществени поръчки за придобиването на най-малко 3</w:t>
            </w:r>
            <w:r w:rsidRPr="00F31484">
              <w:rPr>
                <w:noProof/>
                <w:sz w:val="16"/>
                <w:szCs w:val="16"/>
              </w:rPr>
              <w:t xml:space="preserve"> </w:t>
            </w:r>
            <w:r w:rsidRPr="00F31484">
              <w:rPr>
                <w:rFonts w:ascii="Arial Narrow" w:hAnsi="Arial Narrow"/>
                <w:noProof/>
                <w:sz w:val="16"/>
                <w:szCs w:val="16"/>
              </w:rPr>
              <w:t>автобуса с нисък под с нулеви емисии.</w:t>
            </w:r>
          </w:p>
        </w:tc>
      </w:tr>
      <w:tr w:rsidR="006054AA" w:rsidRPr="00F31484" w14:paraId="3145F41B" w14:textId="77777777">
        <w:trPr>
          <w:trHeight w:val="309"/>
          <w:jc w:val="center"/>
        </w:trPr>
        <w:tc>
          <w:tcPr>
            <w:tcW w:w="1613" w:type="dxa"/>
            <w:shd w:val="clear" w:color="auto" w:fill="C6EFCE"/>
            <w:noWrap/>
            <w:vAlign w:val="center"/>
          </w:tcPr>
          <w:p w14:paraId="28A11FF2" w14:textId="590494B3" w:rsidR="006054AA" w:rsidRPr="00F31484" w:rsidRDefault="001F7667">
            <w:pPr>
              <w:pStyle w:val="P68B1DB1-Normal11"/>
              <w:jc w:val="center"/>
              <w:rPr>
                <w:noProof/>
                <w:sz w:val="16"/>
                <w:szCs w:val="16"/>
              </w:rPr>
            </w:pPr>
            <w:r w:rsidRPr="00F31484">
              <w:rPr>
                <w:noProof/>
                <w:sz w:val="16"/>
                <w:szCs w:val="16"/>
              </w:rPr>
              <w:t>M2C2—34</w:t>
            </w:r>
          </w:p>
        </w:tc>
        <w:tc>
          <w:tcPr>
            <w:tcW w:w="1643" w:type="dxa"/>
            <w:shd w:val="clear" w:color="auto" w:fill="C6EFCE"/>
            <w:noWrap/>
            <w:vAlign w:val="center"/>
          </w:tcPr>
          <w:p w14:paraId="48533CB6" w14:textId="1FC97417" w:rsidR="006054AA" w:rsidRPr="00F31484" w:rsidRDefault="001F7667">
            <w:pPr>
              <w:pStyle w:val="P68B1DB1-Normal11"/>
              <w:jc w:val="center"/>
              <w:rPr>
                <w:noProof/>
                <w:sz w:val="16"/>
                <w:szCs w:val="16"/>
              </w:rPr>
            </w:pPr>
            <w:r w:rsidRPr="00F31484">
              <w:rPr>
                <w:noProof/>
                <w:sz w:val="16"/>
                <w:szCs w:val="16"/>
              </w:rPr>
              <w:t>Инвестиция 4.4.1: Укрепване на регионалния автобусен парк на обществения транспорт с нискоетажни автобуси с нулеви емисии</w:t>
            </w:r>
          </w:p>
        </w:tc>
        <w:tc>
          <w:tcPr>
            <w:tcW w:w="1559" w:type="dxa"/>
            <w:shd w:val="clear" w:color="auto" w:fill="C6EFCE"/>
            <w:noWrap/>
            <w:vAlign w:val="center"/>
          </w:tcPr>
          <w:p w14:paraId="3C4CFBFE" w14:textId="0E7760C3"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706C0BFF" w14:textId="14C7DA7B" w:rsidR="006054AA" w:rsidRPr="00F31484" w:rsidRDefault="001F7667">
            <w:pPr>
              <w:pStyle w:val="P68B1DB1-Normal11"/>
              <w:jc w:val="center"/>
              <w:rPr>
                <w:noProof/>
                <w:sz w:val="16"/>
                <w:szCs w:val="16"/>
              </w:rPr>
            </w:pPr>
            <w:r w:rsidRPr="00F31484">
              <w:rPr>
                <w:noProof/>
                <w:sz w:val="16"/>
                <w:szCs w:val="16"/>
              </w:rPr>
              <w:t>Брой закупени автобуси с нисък под с нулеви емисии T1</w:t>
            </w:r>
          </w:p>
        </w:tc>
        <w:tc>
          <w:tcPr>
            <w:tcW w:w="1843" w:type="dxa"/>
            <w:shd w:val="clear" w:color="auto" w:fill="C6EFCE"/>
            <w:noWrap/>
            <w:vAlign w:val="center"/>
          </w:tcPr>
          <w:p w14:paraId="7C1535D6" w14:textId="521558A7"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54BF4ADA" w14:textId="17F6F2CF"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49A76DA1" w14:textId="77CDB780"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37258A90" w14:textId="2A05B492" w:rsidR="006054AA" w:rsidRPr="00F31484" w:rsidRDefault="001F7667">
            <w:pPr>
              <w:pStyle w:val="P68B1DB1-Normal11"/>
              <w:jc w:val="center"/>
              <w:rPr>
                <w:noProof/>
                <w:sz w:val="16"/>
                <w:szCs w:val="16"/>
              </w:rPr>
            </w:pPr>
            <w:r w:rsidRPr="00F31484">
              <w:rPr>
                <w:noProof/>
                <w:sz w:val="16"/>
                <w:szCs w:val="16"/>
              </w:rPr>
              <w:t>800</w:t>
            </w:r>
          </w:p>
        </w:tc>
        <w:tc>
          <w:tcPr>
            <w:tcW w:w="992" w:type="dxa"/>
            <w:shd w:val="clear" w:color="auto" w:fill="C6EFCE"/>
            <w:noWrap/>
            <w:vAlign w:val="center"/>
          </w:tcPr>
          <w:p w14:paraId="36417E52" w14:textId="37ECFD50"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tcPr>
          <w:p w14:paraId="0997D89F" w14:textId="19BEA95A"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tcPr>
          <w:p w14:paraId="215E1485" w14:textId="42739984" w:rsidR="006054AA" w:rsidRPr="00F31484" w:rsidRDefault="001F7667">
            <w:pPr>
              <w:pStyle w:val="P68B1DB1-Normal11"/>
              <w:rPr>
                <w:noProof/>
                <w:sz w:val="16"/>
                <w:szCs w:val="16"/>
              </w:rPr>
            </w:pPr>
            <w:r w:rsidRPr="00F31484">
              <w:rPr>
                <w:noProof/>
                <w:sz w:val="16"/>
                <w:szCs w:val="16"/>
              </w:rPr>
              <w:t>Закупуване на най-малко 800 нискоетажни автобуса с нулеви емисии, закупени по M2C2—32 за укрепване на съответния автомобилен парк.</w:t>
            </w:r>
          </w:p>
        </w:tc>
      </w:tr>
      <w:tr w:rsidR="006054AA" w:rsidRPr="00F31484" w14:paraId="688DD9EF" w14:textId="77777777">
        <w:trPr>
          <w:trHeight w:val="309"/>
          <w:jc w:val="center"/>
        </w:trPr>
        <w:tc>
          <w:tcPr>
            <w:tcW w:w="1613" w:type="dxa"/>
            <w:shd w:val="clear" w:color="auto" w:fill="C6EFCE"/>
            <w:noWrap/>
            <w:vAlign w:val="center"/>
          </w:tcPr>
          <w:p w14:paraId="6D7FB5A8" w14:textId="67D54327" w:rsidR="006054AA" w:rsidRPr="00F31484" w:rsidRDefault="001F7667">
            <w:pPr>
              <w:pStyle w:val="P68B1DB1-Normal11"/>
              <w:jc w:val="center"/>
              <w:rPr>
                <w:noProof/>
                <w:sz w:val="16"/>
                <w:szCs w:val="16"/>
              </w:rPr>
            </w:pPr>
            <w:r w:rsidRPr="00F31484">
              <w:rPr>
                <w:noProof/>
                <w:sz w:val="16"/>
                <w:szCs w:val="16"/>
              </w:rPr>
              <w:t>M2C2—34 Bis</w:t>
            </w:r>
          </w:p>
        </w:tc>
        <w:tc>
          <w:tcPr>
            <w:tcW w:w="1643" w:type="dxa"/>
            <w:shd w:val="clear" w:color="auto" w:fill="C6EFCE"/>
            <w:noWrap/>
            <w:vAlign w:val="center"/>
          </w:tcPr>
          <w:p w14:paraId="5768DE46" w14:textId="7B7E2613" w:rsidR="006054AA" w:rsidRPr="00F31484" w:rsidRDefault="001F7667">
            <w:pPr>
              <w:pStyle w:val="P68B1DB1-Normal11"/>
              <w:jc w:val="center"/>
              <w:rPr>
                <w:noProof/>
                <w:sz w:val="16"/>
                <w:szCs w:val="16"/>
              </w:rPr>
            </w:pPr>
            <w:r w:rsidRPr="00F31484">
              <w:rPr>
                <w:noProof/>
                <w:sz w:val="16"/>
                <w:szCs w:val="16"/>
              </w:rPr>
              <w:t>Инвестиция 4.4.2:  Укрепване на регионалния железопътен парк от обществен транспорт с влакове с нулеви емисии и универсална услуга</w:t>
            </w:r>
          </w:p>
        </w:tc>
        <w:tc>
          <w:tcPr>
            <w:tcW w:w="1559" w:type="dxa"/>
            <w:shd w:val="clear" w:color="auto" w:fill="C6EFCE"/>
            <w:noWrap/>
            <w:vAlign w:val="center"/>
          </w:tcPr>
          <w:p w14:paraId="6D24012A" w14:textId="3187B139"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194D8B04" w14:textId="3DA6972C" w:rsidR="006054AA" w:rsidRPr="00F31484" w:rsidRDefault="001F7667">
            <w:pPr>
              <w:pStyle w:val="P68B1DB1-Normal11"/>
              <w:jc w:val="center"/>
              <w:rPr>
                <w:noProof/>
                <w:sz w:val="16"/>
                <w:szCs w:val="16"/>
              </w:rPr>
            </w:pPr>
            <w:r w:rsidRPr="00F31484">
              <w:rPr>
                <w:noProof/>
                <w:sz w:val="16"/>
                <w:szCs w:val="16"/>
              </w:rPr>
              <w:t>Брой влакове с нулеви емисии T1</w:t>
            </w:r>
          </w:p>
        </w:tc>
        <w:tc>
          <w:tcPr>
            <w:tcW w:w="1843" w:type="dxa"/>
            <w:shd w:val="clear" w:color="auto" w:fill="C6EFCE"/>
            <w:noWrap/>
            <w:vAlign w:val="center"/>
          </w:tcPr>
          <w:p w14:paraId="4EDADB83" w14:textId="3B02470E"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3D24203C" w14:textId="616CB648"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2DF56A00" w14:textId="2299CBF6"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3AF0516D" w14:textId="0132741D" w:rsidR="006054AA" w:rsidRPr="00F31484" w:rsidRDefault="001F7667">
            <w:pPr>
              <w:pStyle w:val="P68B1DB1-Normal11"/>
              <w:jc w:val="center"/>
              <w:rPr>
                <w:noProof/>
                <w:sz w:val="16"/>
                <w:szCs w:val="16"/>
              </w:rPr>
            </w:pPr>
            <w:r w:rsidRPr="00F31484">
              <w:rPr>
                <w:noProof/>
                <w:sz w:val="16"/>
                <w:szCs w:val="16"/>
              </w:rPr>
              <w:t>25</w:t>
            </w:r>
          </w:p>
        </w:tc>
        <w:tc>
          <w:tcPr>
            <w:tcW w:w="992" w:type="dxa"/>
            <w:shd w:val="clear" w:color="auto" w:fill="C6EFCE"/>
            <w:noWrap/>
            <w:vAlign w:val="center"/>
          </w:tcPr>
          <w:p w14:paraId="30708AC1" w14:textId="079D248D"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tcPr>
          <w:p w14:paraId="6887E4E1" w14:textId="328FE88D"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tcPr>
          <w:p w14:paraId="4064729D" w14:textId="55D93875" w:rsidR="006054AA" w:rsidRPr="00F31484" w:rsidRDefault="001F7667">
            <w:pPr>
              <w:pStyle w:val="P68B1DB1-Normal11"/>
              <w:rPr>
                <w:noProof/>
                <w:sz w:val="16"/>
                <w:szCs w:val="16"/>
              </w:rPr>
            </w:pPr>
            <w:r w:rsidRPr="00F31484">
              <w:rPr>
                <w:noProof/>
                <w:sz w:val="16"/>
                <w:szCs w:val="16"/>
              </w:rPr>
              <w:t>Придобиване на ЕО декларация за проверка на съответствието съгласно член 15 от Законодателен декрет № 57/2019 (т.е. Dichiarazione di verifica di conformità CE di cui all’art 15 del D.Lgs 57/2019) за най-малко 25 влака с нулеви емисии за укрепване на съответния флот.</w:t>
            </w:r>
          </w:p>
        </w:tc>
      </w:tr>
      <w:tr w:rsidR="006054AA" w:rsidRPr="00F31484" w14:paraId="7D822BE4" w14:textId="77777777">
        <w:trPr>
          <w:trHeight w:val="309"/>
          <w:jc w:val="center"/>
        </w:trPr>
        <w:tc>
          <w:tcPr>
            <w:tcW w:w="1613" w:type="dxa"/>
            <w:shd w:val="clear" w:color="auto" w:fill="C6EFCE"/>
            <w:noWrap/>
            <w:vAlign w:val="center"/>
          </w:tcPr>
          <w:p w14:paraId="644AD3AC" w14:textId="0957D0CA" w:rsidR="006054AA" w:rsidRPr="00F31484" w:rsidRDefault="001F7667">
            <w:pPr>
              <w:pStyle w:val="P68B1DB1-Normal11"/>
              <w:jc w:val="center"/>
              <w:rPr>
                <w:noProof/>
                <w:sz w:val="16"/>
                <w:szCs w:val="16"/>
              </w:rPr>
            </w:pPr>
            <w:r w:rsidRPr="00F31484">
              <w:rPr>
                <w:noProof/>
                <w:sz w:val="16"/>
                <w:szCs w:val="16"/>
              </w:rPr>
              <w:t>M2C2—35</w:t>
            </w:r>
          </w:p>
        </w:tc>
        <w:tc>
          <w:tcPr>
            <w:tcW w:w="1643" w:type="dxa"/>
            <w:shd w:val="clear" w:color="auto" w:fill="C6EFCE"/>
            <w:noWrap/>
            <w:vAlign w:val="center"/>
          </w:tcPr>
          <w:p w14:paraId="25A765E5" w14:textId="08F17CF3" w:rsidR="006054AA" w:rsidRPr="00F31484" w:rsidRDefault="001F7667">
            <w:pPr>
              <w:pStyle w:val="P68B1DB1-Normal19"/>
              <w:jc w:val="center"/>
              <w:rPr>
                <w:noProof/>
                <w:color w:val="006100"/>
                <w:sz w:val="16"/>
                <w:szCs w:val="16"/>
              </w:rPr>
            </w:pPr>
            <w:r w:rsidRPr="00F31484">
              <w:rPr>
                <w:noProof/>
                <w:color w:val="006100"/>
                <w:sz w:val="16"/>
                <w:szCs w:val="16"/>
              </w:rPr>
              <w:t>Инвестиция 4.4.1: Укрепване на регионалния автобусен парк на обществения транспорт с нискоетажни автобуси с нулеви емисии —</w:t>
            </w:r>
          </w:p>
        </w:tc>
        <w:tc>
          <w:tcPr>
            <w:tcW w:w="1559" w:type="dxa"/>
            <w:shd w:val="clear" w:color="auto" w:fill="C6EFCE"/>
            <w:noWrap/>
            <w:vAlign w:val="center"/>
          </w:tcPr>
          <w:p w14:paraId="21FCD810" w14:textId="33532628"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7BF9976E" w14:textId="17EBA8FF" w:rsidR="006054AA" w:rsidRPr="00F31484" w:rsidRDefault="001F7667">
            <w:pPr>
              <w:pStyle w:val="P68B1DB1-Normal11"/>
              <w:jc w:val="center"/>
              <w:rPr>
                <w:noProof/>
                <w:sz w:val="16"/>
                <w:szCs w:val="16"/>
              </w:rPr>
            </w:pPr>
            <w:r w:rsidRPr="00F31484">
              <w:rPr>
                <w:noProof/>
                <w:sz w:val="16"/>
                <w:szCs w:val="16"/>
              </w:rPr>
              <w:t>Брой на нискоетажните автобуси с нулеви емисии, влезли в сила T2</w:t>
            </w:r>
          </w:p>
        </w:tc>
        <w:tc>
          <w:tcPr>
            <w:tcW w:w="1843" w:type="dxa"/>
            <w:shd w:val="clear" w:color="auto" w:fill="C6EFCE"/>
            <w:noWrap/>
            <w:vAlign w:val="center"/>
          </w:tcPr>
          <w:p w14:paraId="31334AF3" w14:textId="46BEF7A8"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17CF2D03" w14:textId="272FCAA4"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01FE92AD" w14:textId="6F7DAA8D"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1E4DAE5F" w14:textId="21B70E26" w:rsidR="006054AA" w:rsidRPr="00F31484" w:rsidRDefault="001F7667">
            <w:pPr>
              <w:pStyle w:val="P68B1DB1-Normal12"/>
              <w:jc w:val="center"/>
              <w:rPr>
                <w:rFonts w:ascii="Arial Narrow" w:hAnsi="Arial Narrow"/>
                <w:noProof/>
                <w:sz w:val="16"/>
                <w:szCs w:val="16"/>
              </w:rPr>
            </w:pPr>
            <w:r w:rsidRPr="00F31484">
              <w:rPr>
                <w:rFonts w:ascii="Arial Narrow" w:hAnsi="Arial Narrow"/>
                <w:noProof/>
                <w:sz w:val="16"/>
                <w:szCs w:val="16"/>
              </w:rPr>
              <w:t>3</w:t>
            </w:r>
            <w:r w:rsidRPr="00F31484">
              <w:rPr>
                <w:noProof/>
                <w:sz w:val="16"/>
                <w:szCs w:val="16"/>
              </w:rPr>
              <w:t xml:space="preserve"> </w:t>
            </w:r>
            <w:r w:rsidRPr="00F31484">
              <w:rPr>
                <w:rFonts w:ascii="Arial Narrow" w:hAnsi="Arial Narrow"/>
                <w:noProof/>
                <w:sz w:val="16"/>
                <w:szCs w:val="16"/>
              </w:rPr>
              <w:t>000</w:t>
            </w:r>
          </w:p>
        </w:tc>
        <w:tc>
          <w:tcPr>
            <w:tcW w:w="992" w:type="dxa"/>
            <w:shd w:val="clear" w:color="auto" w:fill="C6EFCE"/>
            <w:noWrap/>
            <w:vAlign w:val="center"/>
          </w:tcPr>
          <w:p w14:paraId="25273CD8" w14:textId="2A3FE4D5"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6D55FC23" w14:textId="703A7CAB"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16B6CA78" w14:textId="454920F6"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Въвеждане в експлоатация на най-малко 3 000 нискоетажниавтобуса с нулеви емисии, поръчани по M2C2—32 за укрепване на съответния автомобилен парк.</w:t>
            </w:r>
          </w:p>
        </w:tc>
      </w:tr>
      <w:tr w:rsidR="006054AA" w:rsidRPr="00F31484" w14:paraId="57131C8F" w14:textId="77777777">
        <w:trPr>
          <w:trHeight w:val="309"/>
          <w:jc w:val="center"/>
        </w:trPr>
        <w:tc>
          <w:tcPr>
            <w:tcW w:w="1613" w:type="dxa"/>
            <w:shd w:val="clear" w:color="auto" w:fill="C6EFCE"/>
            <w:noWrap/>
            <w:vAlign w:val="center"/>
          </w:tcPr>
          <w:p w14:paraId="65D8EC3C" w14:textId="00F19994" w:rsidR="006054AA" w:rsidRPr="00F31484" w:rsidRDefault="001F7667">
            <w:pPr>
              <w:pStyle w:val="P68B1DB1-Normal11"/>
              <w:jc w:val="center"/>
              <w:rPr>
                <w:noProof/>
                <w:sz w:val="16"/>
                <w:szCs w:val="16"/>
              </w:rPr>
            </w:pPr>
            <w:r w:rsidRPr="00F31484">
              <w:rPr>
                <w:noProof/>
                <w:sz w:val="16"/>
                <w:szCs w:val="16"/>
              </w:rPr>
              <w:t>M2C2—35 ter</w:t>
            </w:r>
          </w:p>
        </w:tc>
        <w:tc>
          <w:tcPr>
            <w:tcW w:w="1643" w:type="dxa"/>
            <w:shd w:val="clear" w:color="auto" w:fill="C6EFCE"/>
            <w:noWrap/>
            <w:vAlign w:val="center"/>
          </w:tcPr>
          <w:p w14:paraId="4DEBB833" w14:textId="4F9D7C4F" w:rsidR="006054AA" w:rsidRPr="00F31484" w:rsidRDefault="001F7667">
            <w:pPr>
              <w:pStyle w:val="P68B1DB1-Normal11"/>
              <w:jc w:val="center"/>
              <w:rPr>
                <w:noProof/>
                <w:sz w:val="16"/>
                <w:szCs w:val="16"/>
              </w:rPr>
            </w:pPr>
            <w:r w:rsidRPr="00F31484">
              <w:rPr>
                <w:noProof/>
                <w:sz w:val="16"/>
                <w:szCs w:val="16"/>
              </w:rPr>
              <w:t>Инвестиция 4.4.1: Укрепване на регионалния автобусен парк на обществения транспорт с превозни средства, използващи чисти горива</w:t>
            </w:r>
          </w:p>
        </w:tc>
        <w:tc>
          <w:tcPr>
            <w:tcW w:w="1559" w:type="dxa"/>
            <w:shd w:val="clear" w:color="auto" w:fill="C6EFCE"/>
            <w:noWrap/>
            <w:vAlign w:val="center"/>
          </w:tcPr>
          <w:p w14:paraId="670666C6" w14:textId="67B6CFB8"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7BA1A97F" w14:textId="6B4BB629" w:rsidR="006054AA" w:rsidRPr="00F31484" w:rsidRDefault="001F7667">
            <w:pPr>
              <w:pStyle w:val="P68B1DB1-Normal11"/>
              <w:jc w:val="center"/>
              <w:rPr>
                <w:noProof/>
                <w:sz w:val="16"/>
                <w:szCs w:val="16"/>
              </w:rPr>
            </w:pPr>
            <w:r w:rsidRPr="00F31484">
              <w:rPr>
                <w:noProof/>
                <w:sz w:val="16"/>
                <w:szCs w:val="16"/>
              </w:rPr>
              <w:t>Брой станции за зареждане на нискоетажни автобуси с нулеви и ниски емисии</w:t>
            </w:r>
          </w:p>
        </w:tc>
        <w:tc>
          <w:tcPr>
            <w:tcW w:w="1843" w:type="dxa"/>
            <w:shd w:val="clear" w:color="auto" w:fill="C6EFCE"/>
            <w:noWrap/>
            <w:vAlign w:val="center"/>
          </w:tcPr>
          <w:p w14:paraId="03F058BD" w14:textId="77777777" w:rsidR="006054AA" w:rsidRPr="00F31484" w:rsidRDefault="006054AA">
            <w:pPr>
              <w:jc w:val="center"/>
              <w:rPr>
                <w:rFonts w:ascii="Arial Narrow" w:hAnsi="Arial Narrow"/>
                <w:noProof/>
                <w:color w:val="006100"/>
                <w:sz w:val="16"/>
                <w:szCs w:val="16"/>
              </w:rPr>
            </w:pPr>
          </w:p>
        </w:tc>
        <w:tc>
          <w:tcPr>
            <w:tcW w:w="1417" w:type="dxa"/>
            <w:shd w:val="clear" w:color="auto" w:fill="C6EFCE"/>
            <w:noWrap/>
            <w:vAlign w:val="center"/>
          </w:tcPr>
          <w:p w14:paraId="3688F7D8" w14:textId="52982773"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3F98E140" w14:textId="322E37A0"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7062E89" w14:textId="06A69D27" w:rsidR="006054AA" w:rsidRPr="00F31484" w:rsidRDefault="001F7667">
            <w:pPr>
              <w:pStyle w:val="P68B1DB1-Normal12"/>
              <w:jc w:val="center"/>
              <w:rPr>
                <w:rFonts w:ascii="Arial Narrow" w:hAnsi="Arial Narrow"/>
                <w:noProof/>
                <w:sz w:val="16"/>
                <w:szCs w:val="16"/>
              </w:rPr>
            </w:pPr>
            <w:r w:rsidRPr="00F31484">
              <w:rPr>
                <w:rFonts w:ascii="Arial Narrow" w:hAnsi="Arial Narrow"/>
                <w:noProof/>
                <w:sz w:val="16"/>
                <w:szCs w:val="16"/>
              </w:rPr>
              <w:t>1</w:t>
            </w:r>
            <w:r w:rsidRPr="00F31484">
              <w:rPr>
                <w:noProof/>
                <w:sz w:val="16"/>
                <w:szCs w:val="16"/>
              </w:rPr>
              <w:t xml:space="preserve"> </w:t>
            </w:r>
            <w:r w:rsidRPr="00F31484">
              <w:rPr>
                <w:rFonts w:ascii="Arial Narrow" w:hAnsi="Arial Narrow"/>
                <w:noProof/>
                <w:sz w:val="16"/>
                <w:szCs w:val="16"/>
              </w:rPr>
              <w:t>000</w:t>
            </w:r>
          </w:p>
        </w:tc>
        <w:tc>
          <w:tcPr>
            <w:tcW w:w="992" w:type="dxa"/>
            <w:shd w:val="clear" w:color="auto" w:fill="C6EFCE"/>
            <w:noWrap/>
            <w:vAlign w:val="center"/>
          </w:tcPr>
          <w:p w14:paraId="73343940" w14:textId="7CBA4C0C"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35853347" w14:textId="1204565B"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520CFB57" w14:textId="40E79060"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Въвеждане в експлоатация на най-малко 1</w:t>
            </w:r>
            <w:r w:rsidRPr="00F31484">
              <w:rPr>
                <w:noProof/>
                <w:sz w:val="16"/>
                <w:szCs w:val="16"/>
              </w:rPr>
              <w:t xml:space="preserve"> </w:t>
            </w:r>
            <w:r w:rsidRPr="00F31484">
              <w:rPr>
                <w:rFonts w:ascii="Arial Narrow" w:hAnsi="Arial Narrow"/>
                <w:noProof/>
                <w:sz w:val="16"/>
                <w:szCs w:val="16"/>
              </w:rPr>
              <w:t>000 зарядни станции за автобуси с ниски или нулеви емисии.</w:t>
            </w:r>
          </w:p>
        </w:tc>
      </w:tr>
      <w:tr w:rsidR="006054AA" w:rsidRPr="00F31484" w14:paraId="3B3A3368" w14:textId="77777777">
        <w:trPr>
          <w:trHeight w:val="309"/>
          <w:jc w:val="center"/>
        </w:trPr>
        <w:tc>
          <w:tcPr>
            <w:tcW w:w="1613" w:type="dxa"/>
            <w:shd w:val="clear" w:color="auto" w:fill="C6EFCE"/>
            <w:noWrap/>
            <w:vAlign w:val="center"/>
          </w:tcPr>
          <w:p w14:paraId="0FC13E9E" w14:textId="63167281" w:rsidR="006054AA" w:rsidRPr="00F31484" w:rsidRDefault="001F7667">
            <w:pPr>
              <w:pStyle w:val="P68B1DB1-Normal11"/>
              <w:jc w:val="center"/>
              <w:rPr>
                <w:noProof/>
                <w:sz w:val="16"/>
                <w:szCs w:val="16"/>
              </w:rPr>
            </w:pPr>
            <w:r w:rsidRPr="00F31484">
              <w:rPr>
                <w:noProof/>
                <w:sz w:val="16"/>
                <w:szCs w:val="16"/>
              </w:rPr>
              <w:t xml:space="preserve">M2C2—35 bis </w:t>
            </w:r>
          </w:p>
        </w:tc>
        <w:tc>
          <w:tcPr>
            <w:tcW w:w="1643" w:type="dxa"/>
            <w:shd w:val="clear" w:color="auto" w:fill="C6EFCE"/>
            <w:noWrap/>
            <w:vAlign w:val="center"/>
          </w:tcPr>
          <w:p w14:paraId="038BF8F0" w14:textId="6F33A523" w:rsidR="006054AA" w:rsidRPr="00F31484" w:rsidRDefault="001F7667">
            <w:pPr>
              <w:pStyle w:val="P68B1DB1-Normal11"/>
              <w:jc w:val="center"/>
              <w:rPr>
                <w:noProof/>
                <w:sz w:val="16"/>
                <w:szCs w:val="16"/>
              </w:rPr>
            </w:pPr>
            <w:r w:rsidRPr="00F31484">
              <w:rPr>
                <w:noProof/>
                <w:sz w:val="16"/>
                <w:szCs w:val="16"/>
              </w:rPr>
              <w:t>Инвестиция 4.4.2:  Укрепване на регионалния железопътен парк от обществен транспорт с влакове с нулеви емисии и универсална услуга</w:t>
            </w:r>
          </w:p>
        </w:tc>
        <w:tc>
          <w:tcPr>
            <w:tcW w:w="1559" w:type="dxa"/>
            <w:shd w:val="clear" w:color="auto" w:fill="C6EFCE"/>
            <w:noWrap/>
            <w:vAlign w:val="center"/>
          </w:tcPr>
          <w:p w14:paraId="2BD9B1E2" w14:textId="2B532D99"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5989E266" w14:textId="3109000E" w:rsidR="006054AA" w:rsidRPr="00F31484" w:rsidRDefault="001F7667">
            <w:pPr>
              <w:pStyle w:val="P68B1DB1-Normal11"/>
              <w:jc w:val="center"/>
              <w:rPr>
                <w:noProof/>
                <w:sz w:val="16"/>
                <w:szCs w:val="16"/>
              </w:rPr>
            </w:pPr>
            <w:r w:rsidRPr="00F31484">
              <w:rPr>
                <w:noProof/>
                <w:sz w:val="16"/>
                <w:szCs w:val="16"/>
              </w:rPr>
              <w:t xml:space="preserve">Брой влакове с нулеви емисии и брой на превозите за универсалната услуга </w:t>
            </w:r>
          </w:p>
        </w:tc>
        <w:tc>
          <w:tcPr>
            <w:tcW w:w="1843" w:type="dxa"/>
            <w:shd w:val="clear" w:color="auto" w:fill="C6EFCE"/>
            <w:noWrap/>
            <w:vAlign w:val="center"/>
          </w:tcPr>
          <w:p w14:paraId="19BF3ED8" w14:textId="4153D8C6"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58DAAB80" w14:textId="48B00CE7"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57F22ED5" w14:textId="24EBE61E" w:rsidR="006054AA" w:rsidRPr="00F31484" w:rsidRDefault="001F7667">
            <w:pPr>
              <w:pStyle w:val="P68B1DB1-Normal11"/>
              <w:jc w:val="center"/>
              <w:rPr>
                <w:noProof/>
                <w:sz w:val="16"/>
                <w:szCs w:val="16"/>
              </w:rPr>
            </w:pPr>
            <w:r w:rsidRPr="00F31484">
              <w:rPr>
                <w:noProof/>
                <w:sz w:val="16"/>
                <w:szCs w:val="16"/>
              </w:rPr>
              <w:t>25</w:t>
            </w:r>
          </w:p>
        </w:tc>
        <w:tc>
          <w:tcPr>
            <w:tcW w:w="946" w:type="dxa"/>
            <w:shd w:val="clear" w:color="auto" w:fill="C6EFCE"/>
            <w:noWrap/>
            <w:vAlign w:val="center"/>
          </w:tcPr>
          <w:p w14:paraId="00FB7959" w14:textId="08E7CB78" w:rsidR="006054AA" w:rsidRPr="00F31484" w:rsidRDefault="001F7667">
            <w:pPr>
              <w:pStyle w:val="P68B1DB1-Normal11"/>
              <w:jc w:val="center"/>
              <w:rPr>
                <w:noProof/>
                <w:sz w:val="16"/>
                <w:szCs w:val="16"/>
              </w:rPr>
            </w:pPr>
            <w:r w:rsidRPr="00F31484">
              <w:rPr>
                <w:noProof/>
                <w:sz w:val="16"/>
                <w:szCs w:val="16"/>
              </w:rPr>
              <w:t>66</w:t>
            </w:r>
          </w:p>
        </w:tc>
        <w:tc>
          <w:tcPr>
            <w:tcW w:w="992" w:type="dxa"/>
            <w:shd w:val="clear" w:color="auto" w:fill="C6EFCE"/>
            <w:noWrap/>
            <w:vAlign w:val="center"/>
          </w:tcPr>
          <w:p w14:paraId="4A6B0840" w14:textId="3F756168"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07284C95" w14:textId="1526B012"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083D5B7D" w14:textId="77777777" w:rsidR="006054AA" w:rsidRPr="00F31484" w:rsidRDefault="001F7667">
            <w:pPr>
              <w:pStyle w:val="P68B1DB1-Normal11"/>
              <w:spacing w:after="120"/>
              <w:rPr>
                <w:noProof/>
                <w:sz w:val="16"/>
                <w:szCs w:val="16"/>
              </w:rPr>
            </w:pPr>
            <w:r w:rsidRPr="00F31484">
              <w:rPr>
                <w:noProof/>
                <w:sz w:val="16"/>
                <w:szCs w:val="16"/>
              </w:rPr>
              <w:t xml:space="preserve">Въвеждане в експлоатация и придобиване на ЕО декларация за проверка на съответствието съгласно член 15 от Законодателен декрет № 57/2019 (т.е. Dichiarazione di verifica di conformità CE di cui all’art 15 del D.Lgs 57/2019) на най-малко 53 влака с нулеви емисии за регионалния железопътен парк, най-малко 13 двумодални влака и 100 вагона за универсалната услуга. </w:t>
            </w:r>
          </w:p>
          <w:p w14:paraId="300E9A17" w14:textId="34EB7FAF" w:rsidR="006054AA" w:rsidRPr="00F31484" w:rsidRDefault="001F7667">
            <w:pPr>
              <w:pStyle w:val="P68B1DB1-Normal11"/>
              <w:rPr>
                <w:noProof/>
                <w:sz w:val="16"/>
                <w:szCs w:val="16"/>
              </w:rPr>
            </w:pPr>
            <w:r w:rsidRPr="00F31484">
              <w:rPr>
                <w:noProof/>
                <w:sz w:val="16"/>
                <w:szCs w:val="16"/>
              </w:rPr>
              <w:t>Що се отнася до универсалната услуга/междуградската услуга, подвижният състав, закупен с ресурси по МВУ, ще бъде собственост на държавата. Следователно след изтичането на срока на договора за услуги на заварените доставчици този подвижен състав ще бъде предоставен на новия възложен субект по договора за услуги в пълно съответствие с Регламент (ЕС) № 1370/2007.</w:t>
            </w:r>
          </w:p>
        </w:tc>
      </w:tr>
      <w:tr w:rsidR="006054AA" w:rsidRPr="00F31484" w14:paraId="289F8605" w14:textId="77777777">
        <w:trPr>
          <w:trHeight w:val="309"/>
          <w:jc w:val="center"/>
        </w:trPr>
        <w:tc>
          <w:tcPr>
            <w:tcW w:w="1613" w:type="dxa"/>
            <w:shd w:val="clear" w:color="auto" w:fill="C6EFCE"/>
            <w:noWrap/>
            <w:vAlign w:val="center"/>
          </w:tcPr>
          <w:p w14:paraId="69D571FD" w14:textId="498E3C08" w:rsidR="006054AA" w:rsidRPr="00F31484" w:rsidRDefault="001F7667">
            <w:pPr>
              <w:pStyle w:val="P68B1DB1-Normal11"/>
              <w:jc w:val="center"/>
              <w:rPr>
                <w:noProof/>
                <w:sz w:val="16"/>
                <w:szCs w:val="16"/>
              </w:rPr>
            </w:pPr>
            <w:r w:rsidRPr="00F31484">
              <w:rPr>
                <w:noProof/>
                <w:sz w:val="16"/>
                <w:szCs w:val="16"/>
              </w:rPr>
              <w:t>M2C2—36</w:t>
            </w:r>
          </w:p>
        </w:tc>
        <w:tc>
          <w:tcPr>
            <w:tcW w:w="1643" w:type="dxa"/>
            <w:shd w:val="clear" w:color="auto" w:fill="C6EFCE"/>
            <w:noWrap/>
            <w:vAlign w:val="center"/>
          </w:tcPr>
          <w:p w14:paraId="3C82E55B" w14:textId="70A1E87A" w:rsidR="006054AA" w:rsidRPr="00F31484" w:rsidRDefault="001F7667">
            <w:pPr>
              <w:pStyle w:val="P68B1DB1-Normal11"/>
              <w:jc w:val="center"/>
              <w:rPr>
                <w:noProof/>
                <w:sz w:val="16"/>
                <w:szCs w:val="16"/>
              </w:rPr>
            </w:pPr>
            <w:r w:rsidRPr="00F31484">
              <w:rPr>
                <w:noProof/>
                <w:sz w:val="16"/>
                <w:szCs w:val="16"/>
              </w:rPr>
              <w:t>Инвестиция 4.4.3: Обновителен парк за командването на националната противопожарна служба</w:t>
            </w:r>
          </w:p>
        </w:tc>
        <w:tc>
          <w:tcPr>
            <w:tcW w:w="1559" w:type="dxa"/>
            <w:shd w:val="clear" w:color="auto" w:fill="C6EFCE"/>
            <w:noWrap/>
            <w:vAlign w:val="center"/>
          </w:tcPr>
          <w:p w14:paraId="04A5A3DC" w14:textId="0E608DE7"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618BF38E" w14:textId="29309AE1" w:rsidR="006054AA" w:rsidRPr="00F31484" w:rsidRDefault="001F7667">
            <w:pPr>
              <w:pStyle w:val="P68B1DB1-Normal11"/>
              <w:jc w:val="center"/>
              <w:rPr>
                <w:noProof/>
                <w:sz w:val="16"/>
                <w:szCs w:val="16"/>
              </w:rPr>
            </w:pPr>
            <w:r w:rsidRPr="00F31484">
              <w:rPr>
                <w:noProof/>
                <w:sz w:val="16"/>
                <w:szCs w:val="16"/>
              </w:rPr>
              <w:t>Брой чисти превозни средства за обновителния парк за командването на националната противопожарна служба</w:t>
            </w:r>
          </w:p>
        </w:tc>
        <w:tc>
          <w:tcPr>
            <w:tcW w:w="1843" w:type="dxa"/>
            <w:shd w:val="clear" w:color="auto" w:fill="C6EFCE"/>
            <w:noWrap/>
            <w:vAlign w:val="center"/>
          </w:tcPr>
          <w:p w14:paraId="510B771C" w14:textId="48B279E9"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3FE555EC" w14:textId="01FBC720"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5C1E1606" w14:textId="3312C42F"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093FD57A" w14:textId="0C4401BE" w:rsidR="006054AA" w:rsidRPr="00F31484" w:rsidRDefault="001F7667">
            <w:pPr>
              <w:pStyle w:val="P68B1DB1-Normal12"/>
              <w:jc w:val="center"/>
              <w:rPr>
                <w:rFonts w:ascii="Arial Narrow" w:hAnsi="Arial Narrow"/>
                <w:noProof/>
                <w:sz w:val="16"/>
                <w:szCs w:val="16"/>
              </w:rPr>
            </w:pPr>
            <w:r w:rsidRPr="00F31484">
              <w:rPr>
                <w:rFonts w:ascii="Arial Narrow" w:hAnsi="Arial Narrow"/>
                <w:noProof/>
                <w:sz w:val="16"/>
                <w:szCs w:val="16"/>
              </w:rPr>
              <w:t>3</w:t>
            </w:r>
            <w:r w:rsidRPr="00F31484">
              <w:rPr>
                <w:noProof/>
                <w:sz w:val="16"/>
                <w:szCs w:val="16"/>
              </w:rPr>
              <w:t xml:space="preserve"> </w:t>
            </w:r>
            <w:r w:rsidRPr="00F31484">
              <w:rPr>
                <w:rFonts w:ascii="Arial Narrow" w:hAnsi="Arial Narrow"/>
                <w:noProof/>
                <w:sz w:val="16"/>
                <w:szCs w:val="16"/>
              </w:rPr>
              <w:t>800</w:t>
            </w:r>
          </w:p>
        </w:tc>
        <w:tc>
          <w:tcPr>
            <w:tcW w:w="992" w:type="dxa"/>
            <w:shd w:val="clear" w:color="auto" w:fill="C6EFCE"/>
            <w:noWrap/>
            <w:vAlign w:val="center"/>
          </w:tcPr>
          <w:p w14:paraId="70ED4F02" w14:textId="1275D6EE"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5AFCE793" w14:textId="4DC33676"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550D2A14" w14:textId="3520004A" w:rsidR="006054AA" w:rsidRPr="00F31484" w:rsidRDefault="001F7667">
            <w:pPr>
              <w:pStyle w:val="P68B1DB1-Normal12"/>
              <w:spacing w:after="120"/>
              <w:rPr>
                <w:rFonts w:ascii="Arial Narrow" w:hAnsi="Arial Narrow"/>
                <w:noProof/>
                <w:sz w:val="16"/>
                <w:szCs w:val="16"/>
              </w:rPr>
            </w:pPr>
            <w:r w:rsidRPr="00F31484">
              <w:rPr>
                <w:rFonts w:ascii="Arial Narrow" w:hAnsi="Arial Narrow"/>
                <w:noProof/>
                <w:sz w:val="16"/>
                <w:szCs w:val="16"/>
              </w:rPr>
              <w:t>Въвеждане в експлоатация на най-малко 3</w:t>
            </w:r>
            <w:r w:rsidRPr="00F31484">
              <w:rPr>
                <w:noProof/>
                <w:sz w:val="16"/>
                <w:szCs w:val="16"/>
              </w:rPr>
              <w:t xml:space="preserve"> </w:t>
            </w:r>
            <w:r w:rsidRPr="00F31484">
              <w:rPr>
                <w:rFonts w:ascii="Arial Narrow" w:hAnsi="Arial Narrow"/>
                <w:noProof/>
                <w:sz w:val="16"/>
                <w:szCs w:val="16"/>
              </w:rPr>
              <w:t>800 чисти превозни средства за обновителния парк за командването на националната противопожарна служба.</w:t>
            </w:r>
          </w:p>
          <w:p w14:paraId="334CE951" w14:textId="564D1E5F"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3</w:t>
            </w:r>
            <w:r w:rsidRPr="00F31484">
              <w:rPr>
                <w:noProof/>
                <w:sz w:val="16"/>
                <w:szCs w:val="16"/>
              </w:rPr>
              <w:t xml:space="preserve"> </w:t>
            </w:r>
            <w:r w:rsidRPr="00F31484">
              <w:rPr>
                <w:rFonts w:ascii="Arial Narrow" w:hAnsi="Arial Narrow"/>
                <w:noProof/>
                <w:sz w:val="16"/>
                <w:szCs w:val="16"/>
              </w:rPr>
              <w:t xml:space="preserve">500 превозните средства могат да се ползват от 100 % екологично етикетиране, тъй като те са 100 % електрически, а зарядните станции се захранват от фотоволтаични панели. 300-те тежкотоварни превозни средства, 200 за летищата и 100 за градски спасителни операции, се движат само с биометан и отговарят на критериите, определени в Директива 2018/2001 относно възобновяемите енергийни източници (Директива RED II). Производителите на биогорива и биометан на газ и биогорива трябва да представят сертификати (доказателство за устойчивост), издадени от независими оценители, както е предвидено в Директива 2018/2001. Операторът закупува сертификати за гаранция за произход, съизмерими с очакваното потребление на гориво.  </w:t>
            </w:r>
          </w:p>
        </w:tc>
      </w:tr>
      <w:tr w:rsidR="006054AA" w:rsidRPr="00F31484" w14:paraId="3D934462" w14:textId="77777777">
        <w:trPr>
          <w:trHeight w:val="309"/>
          <w:jc w:val="center"/>
        </w:trPr>
        <w:tc>
          <w:tcPr>
            <w:tcW w:w="1613" w:type="dxa"/>
            <w:shd w:val="clear" w:color="auto" w:fill="C6EFCE"/>
            <w:noWrap/>
            <w:vAlign w:val="center"/>
          </w:tcPr>
          <w:p w14:paraId="4F3644F2" w14:textId="71FD8371" w:rsidR="006054AA" w:rsidRPr="00F31484" w:rsidRDefault="001F7667">
            <w:pPr>
              <w:pStyle w:val="P68B1DB1-Normal11"/>
              <w:jc w:val="center"/>
              <w:rPr>
                <w:noProof/>
                <w:sz w:val="16"/>
                <w:szCs w:val="16"/>
              </w:rPr>
            </w:pPr>
            <w:r w:rsidRPr="00F31484">
              <w:rPr>
                <w:noProof/>
                <w:sz w:val="16"/>
                <w:szCs w:val="16"/>
              </w:rPr>
              <w:t>M2C2—38bis</w:t>
            </w:r>
          </w:p>
        </w:tc>
        <w:tc>
          <w:tcPr>
            <w:tcW w:w="1643" w:type="dxa"/>
            <w:shd w:val="clear" w:color="auto" w:fill="C6EFCE"/>
            <w:noWrap/>
            <w:vAlign w:val="center"/>
          </w:tcPr>
          <w:p w14:paraId="6FFFD400" w14:textId="25A87519" w:rsidR="006054AA" w:rsidRPr="00F31484" w:rsidRDefault="001F7667">
            <w:pPr>
              <w:pStyle w:val="P68B1DB1-Normal11"/>
              <w:jc w:val="center"/>
              <w:rPr>
                <w:noProof/>
                <w:sz w:val="16"/>
                <w:szCs w:val="16"/>
              </w:rPr>
            </w:pPr>
            <w:r w:rsidRPr="00F31484">
              <w:rPr>
                <w:noProof/>
                <w:sz w:val="16"/>
                <w:szCs w:val="16"/>
              </w:rPr>
              <w:t>Инвестиция 5.1: Възобновяеми енергийни източници и акумулаторни батерии</w:t>
            </w:r>
          </w:p>
        </w:tc>
        <w:tc>
          <w:tcPr>
            <w:tcW w:w="1559" w:type="dxa"/>
            <w:shd w:val="clear" w:color="auto" w:fill="C6EFCE"/>
            <w:noWrap/>
            <w:vAlign w:val="center"/>
          </w:tcPr>
          <w:p w14:paraId="4474E6E8" w14:textId="4AA0FB0D"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tcPr>
          <w:p w14:paraId="53CB2321" w14:textId="1CCBF9B1" w:rsidR="006054AA" w:rsidRPr="00F31484" w:rsidRDefault="001F7667">
            <w:pPr>
              <w:pStyle w:val="P68B1DB1-Normal11"/>
              <w:jc w:val="center"/>
              <w:rPr>
                <w:noProof/>
                <w:sz w:val="16"/>
                <w:szCs w:val="16"/>
              </w:rPr>
            </w:pPr>
            <w:r w:rsidRPr="00F31484">
              <w:rPr>
                <w:noProof/>
                <w:sz w:val="16"/>
                <w:szCs w:val="16"/>
              </w:rPr>
              <w:t>Споразумение за изпълнение</w:t>
            </w:r>
          </w:p>
        </w:tc>
        <w:tc>
          <w:tcPr>
            <w:tcW w:w="1843" w:type="dxa"/>
            <w:shd w:val="clear" w:color="auto" w:fill="C6EFCE"/>
            <w:noWrap/>
            <w:vAlign w:val="center"/>
          </w:tcPr>
          <w:p w14:paraId="330F8274" w14:textId="5836B837" w:rsidR="006054AA" w:rsidRPr="00F31484" w:rsidRDefault="001F7667">
            <w:pPr>
              <w:pStyle w:val="P68B1DB1-Normal11"/>
              <w:jc w:val="center"/>
              <w:rPr>
                <w:noProof/>
                <w:sz w:val="16"/>
                <w:szCs w:val="16"/>
              </w:rPr>
            </w:pPr>
            <w:r w:rsidRPr="00F31484">
              <w:rPr>
                <w:noProof/>
                <w:sz w:val="16"/>
                <w:szCs w:val="16"/>
              </w:rPr>
              <w:t>Влизане в сила на споразумението за прилагане</w:t>
            </w:r>
          </w:p>
        </w:tc>
        <w:tc>
          <w:tcPr>
            <w:tcW w:w="1417" w:type="dxa"/>
            <w:shd w:val="clear" w:color="auto" w:fill="C6EFCE"/>
            <w:noWrap/>
          </w:tcPr>
          <w:p w14:paraId="750C7155" w14:textId="77777777" w:rsidR="006054AA" w:rsidRPr="00F31484" w:rsidRDefault="006054AA">
            <w:pPr>
              <w:jc w:val="center"/>
              <w:rPr>
                <w:rFonts w:ascii="Arial Narrow" w:hAnsi="Arial Narrow"/>
                <w:noProof/>
                <w:color w:val="006100"/>
                <w:sz w:val="16"/>
                <w:szCs w:val="16"/>
              </w:rPr>
            </w:pPr>
          </w:p>
        </w:tc>
        <w:tc>
          <w:tcPr>
            <w:tcW w:w="1134" w:type="dxa"/>
            <w:shd w:val="clear" w:color="auto" w:fill="C6EFCE"/>
            <w:noWrap/>
            <w:vAlign w:val="center"/>
          </w:tcPr>
          <w:p w14:paraId="7964B7DF" w14:textId="77777777" w:rsidR="006054AA" w:rsidRPr="00F31484" w:rsidRDefault="006054AA">
            <w:pPr>
              <w:jc w:val="center"/>
              <w:rPr>
                <w:rFonts w:ascii="Arial Narrow" w:hAnsi="Arial Narrow"/>
                <w:noProof/>
                <w:color w:val="006100"/>
                <w:sz w:val="16"/>
                <w:szCs w:val="16"/>
              </w:rPr>
            </w:pPr>
          </w:p>
        </w:tc>
        <w:tc>
          <w:tcPr>
            <w:tcW w:w="946" w:type="dxa"/>
            <w:shd w:val="clear" w:color="auto" w:fill="C6EFCE"/>
            <w:noWrap/>
            <w:vAlign w:val="center"/>
          </w:tcPr>
          <w:p w14:paraId="27EED8BB" w14:textId="77777777" w:rsidR="006054AA" w:rsidRPr="00F31484" w:rsidRDefault="006054AA">
            <w:pPr>
              <w:jc w:val="center"/>
              <w:rPr>
                <w:rFonts w:ascii="Arial Narrow" w:hAnsi="Arial Narrow"/>
                <w:noProof/>
                <w:color w:val="006100"/>
                <w:sz w:val="16"/>
                <w:szCs w:val="16"/>
              </w:rPr>
            </w:pPr>
          </w:p>
        </w:tc>
        <w:tc>
          <w:tcPr>
            <w:tcW w:w="992" w:type="dxa"/>
            <w:shd w:val="clear" w:color="auto" w:fill="C6EFCE"/>
            <w:noWrap/>
            <w:vAlign w:val="center"/>
          </w:tcPr>
          <w:p w14:paraId="10FD3502" w14:textId="464609AB"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tcPr>
          <w:p w14:paraId="5CE7549B" w14:textId="07EDD059"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tcPr>
          <w:p w14:paraId="31A5B811" w14:textId="495E9709" w:rsidR="006054AA" w:rsidRPr="00F31484" w:rsidRDefault="001F7667">
            <w:pPr>
              <w:pStyle w:val="P68B1DB1-Normal11"/>
              <w:rPr>
                <w:noProof/>
                <w:sz w:val="16"/>
                <w:szCs w:val="16"/>
              </w:rPr>
            </w:pPr>
            <w:r w:rsidRPr="00F31484">
              <w:rPr>
                <w:noProof/>
                <w:sz w:val="16"/>
                <w:szCs w:val="16"/>
              </w:rPr>
              <w:t>Влизане в сила на споразумението за изпълнение.</w:t>
            </w:r>
          </w:p>
        </w:tc>
      </w:tr>
      <w:tr w:rsidR="006054AA" w:rsidRPr="00F31484" w14:paraId="38BA111C" w14:textId="77777777">
        <w:trPr>
          <w:trHeight w:val="309"/>
          <w:jc w:val="center"/>
        </w:trPr>
        <w:tc>
          <w:tcPr>
            <w:tcW w:w="1613" w:type="dxa"/>
            <w:shd w:val="clear" w:color="auto" w:fill="C6EFCE"/>
            <w:noWrap/>
            <w:vAlign w:val="center"/>
          </w:tcPr>
          <w:p w14:paraId="38A2A77C" w14:textId="5141008F" w:rsidR="006054AA" w:rsidRPr="00F31484" w:rsidRDefault="001F7667">
            <w:pPr>
              <w:pStyle w:val="P68B1DB1-Normal11"/>
              <w:jc w:val="center"/>
              <w:rPr>
                <w:noProof/>
                <w:sz w:val="16"/>
                <w:szCs w:val="16"/>
              </w:rPr>
            </w:pPr>
            <w:r w:rsidRPr="00F31484">
              <w:rPr>
                <w:noProof/>
                <w:sz w:val="16"/>
                <w:szCs w:val="16"/>
              </w:rPr>
              <w:t>M2C2—39</w:t>
            </w:r>
          </w:p>
        </w:tc>
        <w:tc>
          <w:tcPr>
            <w:tcW w:w="1643" w:type="dxa"/>
            <w:shd w:val="clear" w:color="auto" w:fill="C6EFCE"/>
            <w:noWrap/>
            <w:vAlign w:val="center"/>
          </w:tcPr>
          <w:p w14:paraId="53001829" w14:textId="45BF4CBC" w:rsidR="006054AA" w:rsidRPr="00F31484" w:rsidRDefault="001F7667">
            <w:pPr>
              <w:pStyle w:val="P68B1DB1-Normal11"/>
              <w:jc w:val="center"/>
              <w:rPr>
                <w:noProof/>
                <w:sz w:val="16"/>
                <w:szCs w:val="16"/>
              </w:rPr>
            </w:pPr>
            <w:r w:rsidRPr="00F31484">
              <w:rPr>
                <w:noProof/>
                <w:sz w:val="16"/>
                <w:szCs w:val="16"/>
              </w:rPr>
              <w:t>Инвестиция 5.1.Възобновяеми енергийни източници и акумулаторни батерии</w:t>
            </w:r>
          </w:p>
        </w:tc>
        <w:tc>
          <w:tcPr>
            <w:tcW w:w="1559" w:type="dxa"/>
            <w:shd w:val="clear" w:color="auto" w:fill="C6EFCE"/>
            <w:noWrap/>
            <w:vAlign w:val="center"/>
          </w:tcPr>
          <w:p w14:paraId="45ABCE1C" w14:textId="56EF9985"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tcPr>
          <w:p w14:paraId="6B0EF39E" w14:textId="40E15942" w:rsidR="006054AA" w:rsidRPr="00F31484" w:rsidRDefault="001F7667">
            <w:pPr>
              <w:pStyle w:val="P68B1DB1-Normal11"/>
              <w:jc w:val="center"/>
              <w:rPr>
                <w:noProof/>
                <w:sz w:val="16"/>
                <w:szCs w:val="16"/>
              </w:rPr>
            </w:pPr>
            <w:r w:rsidRPr="00F31484">
              <w:rPr>
                <w:noProof/>
                <w:sz w:val="16"/>
                <w:szCs w:val="16"/>
              </w:rPr>
              <w:t>Министерството на предприятията и производителите в Италия е приключило прехвърлянето на средства към Invitalia S.p.A</w:t>
            </w:r>
          </w:p>
        </w:tc>
        <w:tc>
          <w:tcPr>
            <w:tcW w:w="1843" w:type="dxa"/>
            <w:shd w:val="clear" w:color="auto" w:fill="C6EFCE"/>
            <w:noWrap/>
            <w:vAlign w:val="center"/>
          </w:tcPr>
          <w:p w14:paraId="37A4E05F" w14:textId="202A1FEE" w:rsidR="006054AA" w:rsidRPr="00F31484" w:rsidRDefault="001F7667">
            <w:pPr>
              <w:pStyle w:val="P68B1DB1-Normal11"/>
              <w:jc w:val="center"/>
              <w:rPr>
                <w:noProof/>
                <w:sz w:val="16"/>
                <w:szCs w:val="16"/>
              </w:rPr>
            </w:pPr>
            <w:r w:rsidRPr="00F31484">
              <w:rPr>
                <w:noProof/>
                <w:sz w:val="16"/>
                <w:szCs w:val="16"/>
              </w:rPr>
              <w:t>Удостоверение за прехвърляне</w:t>
            </w:r>
          </w:p>
        </w:tc>
        <w:tc>
          <w:tcPr>
            <w:tcW w:w="1417" w:type="dxa"/>
            <w:shd w:val="clear" w:color="auto" w:fill="C6EFCE"/>
            <w:noWrap/>
          </w:tcPr>
          <w:p w14:paraId="4B406C9C" w14:textId="77777777" w:rsidR="006054AA" w:rsidRPr="00F31484" w:rsidRDefault="006054AA">
            <w:pPr>
              <w:jc w:val="center"/>
              <w:rPr>
                <w:rFonts w:ascii="Arial Narrow" w:hAnsi="Arial Narrow"/>
                <w:noProof/>
                <w:color w:val="006100"/>
                <w:sz w:val="16"/>
                <w:szCs w:val="16"/>
              </w:rPr>
            </w:pPr>
          </w:p>
        </w:tc>
        <w:tc>
          <w:tcPr>
            <w:tcW w:w="1134" w:type="dxa"/>
            <w:shd w:val="clear" w:color="auto" w:fill="C6EFCE"/>
            <w:noWrap/>
            <w:vAlign w:val="center"/>
          </w:tcPr>
          <w:p w14:paraId="01937D2F" w14:textId="77777777" w:rsidR="006054AA" w:rsidRPr="00F31484" w:rsidRDefault="006054AA">
            <w:pPr>
              <w:jc w:val="center"/>
              <w:rPr>
                <w:rFonts w:ascii="Arial Narrow" w:hAnsi="Arial Narrow"/>
                <w:noProof/>
                <w:color w:val="006100"/>
                <w:sz w:val="16"/>
                <w:szCs w:val="16"/>
              </w:rPr>
            </w:pPr>
          </w:p>
        </w:tc>
        <w:tc>
          <w:tcPr>
            <w:tcW w:w="946" w:type="dxa"/>
            <w:shd w:val="clear" w:color="auto" w:fill="C6EFCE"/>
            <w:noWrap/>
            <w:vAlign w:val="center"/>
          </w:tcPr>
          <w:p w14:paraId="123625C1" w14:textId="77777777" w:rsidR="006054AA" w:rsidRPr="00F31484" w:rsidRDefault="006054AA">
            <w:pPr>
              <w:jc w:val="center"/>
              <w:rPr>
                <w:rFonts w:ascii="Arial Narrow" w:hAnsi="Arial Narrow"/>
                <w:noProof/>
                <w:color w:val="006100"/>
                <w:sz w:val="16"/>
                <w:szCs w:val="16"/>
              </w:rPr>
            </w:pPr>
          </w:p>
        </w:tc>
        <w:tc>
          <w:tcPr>
            <w:tcW w:w="992" w:type="dxa"/>
            <w:shd w:val="clear" w:color="auto" w:fill="C6EFCE"/>
            <w:noWrap/>
            <w:vAlign w:val="center"/>
          </w:tcPr>
          <w:p w14:paraId="42532100" w14:textId="0B17B6F8"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tcPr>
          <w:p w14:paraId="0A25D1B6" w14:textId="27D302D7"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tcPr>
          <w:p w14:paraId="67EAE0AC" w14:textId="156131B7"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Италия ще прехвърли 1</w:t>
            </w:r>
            <w:r w:rsidRPr="00F31484">
              <w:rPr>
                <w:noProof/>
                <w:sz w:val="16"/>
                <w:szCs w:val="16"/>
              </w:rPr>
              <w:t xml:space="preserve"> </w:t>
            </w:r>
            <w:r w:rsidRPr="00F31484">
              <w:rPr>
                <w:rFonts w:ascii="Arial Narrow" w:hAnsi="Arial Narrow"/>
                <w:noProof/>
                <w:sz w:val="16"/>
                <w:szCs w:val="16"/>
              </w:rPr>
              <w:t>000 000</w:t>
            </w:r>
            <w:r w:rsidRPr="00F31484">
              <w:rPr>
                <w:noProof/>
                <w:sz w:val="16"/>
                <w:szCs w:val="16"/>
              </w:rPr>
              <w:t xml:space="preserve"> </w:t>
            </w:r>
            <w:r w:rsidRPr="00F31484">
              <w:rPr>
                <w:rFonts w:ascii="Arial Narrow" w:hAnsi="Arial Narrow"/>
                <w:noProof/>
                <w:sz w:val="16"/>
                <w:szCs w:val="16"/>
              </w:rPr>
              <w:t>EUR</w:t>
            </w:r>
            <w:r w:rsidRPr="00F31484">
              <w:rPr>
                <w:noProof/>
                <w:sz w:val="16"/>
                <w:szCs w:val="16"/>
              </w:rPr>
              <w:t xml:space="preserve"> </w:t>
            </w:r>
            <w:r w:rsidRPr="00F31484">
              <w:rPr>
                <w:rFonts w:ascii="Arial Narrow" w:hAnsi="Arial Narrow"/>
                <w:noProof/>
                <w:sz w:val="16"/>
                <w:szCs w:val="16"/>
              </w:rPr>
              <w:t>000 на Invitalia S.p.A. за механизма.</w:t>
            </w:r>
          </w:p>
        </w:tc>
      </w:tr>
      <w:tr w:rsidR="006054AA" w:rsidRPr="00F31484" w14:paraId="268061FF" w14:textId="77777777">
        <w:trPr>
          <w:trHeight w:val="309"/>
          <w:jc w:val="center"/>
        </w:trPr>
        <w:tc>
          <w:tcPr>
            <w:tcW w:w="1613" w:type="dxa"/>
            <w:shd w:val="clear" w:color="auto" w:fill="C6EFCE"/>
            <w:noWrap/>
            <w:vAlign w:val="center"/>
          </w:tcPr>
          <w:p w14:paraId="66557E2F" w14:textId="32D2FBE7" w:rsidR="006054AA" w:rsidRPr="00F31484" w:rsidRDefault="001F7667">
            <w:pPr>
              <w:pStyle w:val="P68B1DB1-Normal11"/>
              <w:jc w:val="center"/>
              <w:rPr>
                <w:noProof/>
                <w:sz w:val="16"/>
                <w:szCs w:val="16"/>
              </w:rPr>
            </w:pPr>
            <w:r w:rsidRPr="00F31484">
              <w:rPr>
                <w:noProof/>
                <w:sz w:val="16"/>
                <w:szCs w:val="16"/>
              </w:rPr>
              <w:t>M2C2—40</w:t>
            </w:r>
          </w:p>
        </w:tc>
        <w:tc>
          <w:tcPr>
            <w:tcW w:w="1643" w:type="dxa"/>
            <w:shd w:val="clear" w:color="auto" w:fill="C6EFCE"/>
            <w:noWrap/>
            <w:vAlign w:val="center"/>
          </w:tcPr>
          <w:p w14:paraId="78D6B58D" w14:textId="6316991E" w:rsidR="006054AA" w:rsidRPr="00F31484" w:rsidRDefault="001F7667">
            <w:pPr>
              <w:pStyle w:val="P68B1DB1-Normal11"/>
              <w:jc w:val="center"/>
              <w:rPr>
                <w:noProof/>
                <w:sz w:val="16"/>
                <w:szCs w:val="16"/>
              </w:rPr>
            </w:pPr>
            <w:r w:rsidRPr="00F31484">
              <w:rPr>
                <w:noProof/>
                <w:sz w:val="16"/>
                <w:szCs w:val="16"/>
              </w:rPr>
              <w:t>Инвестиция 5.1.1:  Възобновяеми енергийни източници и акумулаторни батерии</w:t>
            </w:r>
          </w:p>
        </w:tc>
        <w:tc>
          <w:tcPr>
            <w:tcW w:w="1559" w:type="dxa"/>
            <w:shd w:val="clear" w:color="auto" w:fill="C6EFCE"/>
            <w:noWrap/>
            <w:vAlign w:val="center"/>
          </w:tcPr>
          <w:p w14:paraId="5FFFD250" w14:textId="74FD09AF"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74343D12" w14:textId="2A696D18" w:rsidR="006054AA" w:rsidRPr="00F31484" w:rsidRDefault="001F7667">
            <w:pPr>
              <w:pStyle w:val="P68B1DB1-Normal11"/>
              <w:jc w:val="center"/>
              <w:rPr>
                <w:noProof/>
                <w:sz w:val="16"/>
                <w:szCs w:val="16"/>
              </w:rPr>
            </w:pPr>
            <w:r w:rsidRPr="00F31484">
              <w:rPr>
                <w:noProof/>
                <w:sz w:val="16"/>
                <w:szCs w:val="16"/>
              </w:rPr>
              <w:t>Правни споразумения, подписани с крайни бенефициери, съответстващи на капацитета за производство на енергия от фотоволтаични или вятърни технологии</w:t>
            </w:r>
          </w:p>
        </w:tc>
        <w:tc>
          <w:tcPr>
            <w:tcW w:w="1843" w:type="dxa"/>
            <w:shd w:val="clear" w:color="auto" w:fill="C6EFCE"/>
            <w:noWrap/>
            <w:vAlign w:val="center"/>
          </w:tcPr>
          <w:p w14:paraId="1317DEF7" w14:textId="77777777" w:rsidR="006054AA" w:rsidRPr="00F31484" w:rsidRDefault="006054AA">
            <w:pPr>
              <w:jc w:val="center"/>
              <w:rPr>
                <w:rFonts w:ascii="Arial Narrow" w:hAnsi="Arial Narrow"/>
                <w:noProof/>
                <w:color w:val="006100"/>
                <w:sz w:val="16"/>
                <w:szCs w:val="16"/>
              </w:rPr>
            </w:pPr>
          </w:p>
        </w:tc>
        <w:tc>
          <w:tcPr>
            <w:tcW w:w="1417" w:type="dxa"/>
            <w:shd w:val="clear" w:color="auto" w:fill="C6EFCE"/>
            <w:noWrap/>
            <w:vAlign w:val="center"/>
          </w:tcPr>
          <w:p w14:paraId="15D17449" w14:textId="298B0890" w:rsidR="006054AA" w:rsidRPr="00F31484" w:rsidRDefault="001F7667">
            <w:pPr>
              <w:pStyle w:val="P68B1DB1-Normal11"/>
              <w:jc w:val="center"/>
              <w:rPr>
                <w:noProof/>
                <w:sz w:val="16"/>
                <w:szCs w:val="16"/>
              </w:rPr>
            </w:pPr>
            <w:r w:rsidRPr="00F31484">
              <w:rPr>
                <w:noProof/>
                <w:sz w:val="16"/>
                <w:szCs w:val="16"/>
              </w:rPr>
              <w:t>Процент (%)</w:t>
            </w:r>
          </w:p>
        </w:tc>
        <w:tc>
          <w:tcPr>
            <w:tcW w:w="1134" w:type="dxa"/>
            <w:shd w:val="clear" w:color="auto" w:fill="C6EFCE"/>
            <w:noWrap/>
            <w:vAlign w:val="center"/>
          </w:tcPr>
          <w:p w14:paraId="1F66E418" w14:textId="55D443CB"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494942D0" w14:textId="4B39A786" w:rsidR="006054AA" w:rsidRPr="00F31484" w:rsidRDefault="001F7667">
            <w:pPr>
              <w:pStyle w:val="P68B1DB1-Normal11"/>
              <w:jc w:val="center"/>
              <w:rPr>
                <w:noProof/>
                <w:sz w:val="16"/>
                <w:szCs w:val="16"/>
              </w:rPr>
            </w:pPr>
            <w:r w:rsidRPr="00F31484">
              <w:rPr>
                <w:noProof/>
                <w:sz w:val="16"/>
                <w:szCs w:val="16"/>
              </w:rPr>
              <w:t>100 %</w:t>
            </w:r>
          </w:p>
        </w:tc>
        <w:tc>
          <w:tcPr>
            <w:tcW w:w="992" w:type="dxa"/>
            <w:shd w:val="clear" w:color="auto" w:fill="C6EFCE"/>
            <w:noWrap/>
            <w:vAlign w:val="center"/>
          </w:tcPr>
          <w:p w14:paraId="1A94F417" w14:textId="7DDCA547"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tcPr>
          <w:p w14:paraId="5F64D79E" w14:textId="14BDA0B0" w:rsidR="006054AA" w:rsidRPr="00F31484" w:rsidRDefault="001F7667">
            <w:pPr>
              <w:pStyle w:val="P68B1DB1-Normal11"/>
              <w:jc w:val="center"/>
              <w:rPr>
                <w:noProof/>
                <w:sz w:val="16"/>
                <w:szCs w:val="16"/>
              </w:rPr>
            </w:pPr>
            <w:r w:rsidRPr="00F31484">
              <w:rPr>
                <w:noProof/>
                <w:sz w:val="16"/>
                <w:szCs w:val="16"/>
              </w:rPr>
              <w:t>2025</w:t>
            </w:r>
          </w:p>
        </w:tc>
        <w:tc>
          <w:tcPr>
            <w:tcW w:w="2793" w:type="dxa"/>
            <w:shd w:val="clear" w:color="auto" w:fill="C6EFCE"/>
            <w:noWrap/>
            <w:vAlign w:val="center"/>
          </w:tcPr>
          <w:p w14:paraId="3AB0AA41" w14:textId="49CA3835" w:rsidR="006054AA" w:rsidRPr="00F31484" w:rsidRDefault="001F7667">
            <w:pPr>
              <w:pStyle w:val="P68B1DB1-Normal11"/>
              <w:rPr>
                <w:noProof/>
                <w:sz w:val="16"/>
                <w:szCs w:val="16"/>
              </w:rPr>
            </w:pPr>
            <w:r w:rsidRPr="00F31484">
              <w:rPr>
                <w:noProof/>
                <w:sz w:val="16"/>
                <w:szCs w:val="16"/>
              </w:rPr>
              <w:t>Invitalia S.p.A. е сключило правни споразумения за финансиране с крайни бенефициери за сума, необходима за използване на 100 % от инвестицията по МВУ в механизма (като се вземат предвид таксите за управление).</w:t>
            </w:r>
          </w:p>
        </w:tc>
      </w:tr>
      <w:tr w:rsidR="006054AA" w:rsidRPr="00F31484" w14:paraId="52E39CE5" w14:textId="77777777">
        <w:trPr>
          <w:trHeight w:val="309"/>
          <w:jc w:val="center"/>
        </w:trPr>
        <w:tc>
          <w:tcPr>
            <w:tcW w:w="1613" w:type="dxa"/>
            <w:shd w:val="clear" w:color="auto" w:fill="C6EFCE"/>
            <w:noWrap/>
            <w:vAlign w:val="center"/>
          </w:tcPr>
          <w:p w14:paraId="7C92CB11" w14:textId="624438C6" w:rsidR="006054AA" w:rsidRPr="00F31484" w:rsidRDefault="001F7667">
            <w:pPr>
              <w:pStyle w:val="P68B1DB1-Normal11"/>
              <w:jc w:val="both"/>
              <w:rPr>
                <w:noProof/>
                <w:sz w:val="16"/>
                <w:szCs w:val="16"/>
              </w:rPr>
            </w:pPr>
            <w:r w:rsidRPr="00F31484">
              <w:rPr>
                <w:noProof/>
                <w:sz w:val="16"/>
                <w:szCs w:val="16"/>
              </w:rPr>
              <w:t>M2C2—42 BIS</w:t>
            </w:r>
          </w:p>
        </w:tc>
        <w:tc>
          <w:tcPr>
            <w:tcW w:w="1643" w:type="dxa"/>
            <w:shd w:val="clear" w:color="auto" w:fill="C6EFCE"/>
            <w:noWrap/>
            <w:vAlign w:val="center"/>
          </w:tcPr>
          <w:p w14:paraId="268556FE" w14:textId="50CB54F5" w:rsidR="006054AA" w:rsidRPr="00F31484" w:rsidRDefault="001F7667">
            <w:pPr>
              <w:pStyle w:val="P68B1DB1-Normal11"/>
              <w:jc w:val="both"/>
              <w:rPr>
                <w:noProof/>
                <w:sz w:val="16"/>
                <w:szCs w:val="16"/>
              </w:rPr>
            </w:pPr>
            <w:r w:rsidRPr="00F31484">
              <w:rPr>
                <w:noProof/>
                <w:sz w:val="16"/>
                <w:szCs w:val="16"/>
              </w:rPr>
              <w:t>Инвестиция 5.4 — Подкрепа за стартиращи предприятия и рисков капитал, активен в екологичния преход.</w:t>
            </w:r>
          </w:p>
        </w:tc>
        <w:tc>
          <w:tcPr>
            <w:tcW w:w="1559" w:type="dxa"/>
            <w:shd w:val="clear" w:color="auto" w:fill="C6EFCE"/>
            <w:noWrap/>
            <w:vAlign w:val="center"/>
          </w:tcPr>
          <w:p w14:paraId="64672603" w14:textId="7756D228" w:rsidR="006054AA" w:rsidRPr="00F31484" w:rsidRDefault="001F7667">
            <w:pPr>
              <w:pStyle w:val="P68B1DB1-Normal11"/>
              <w:jc w:val="both"/>
              <w:rPr>
                <w:noProof/>
                <w:sz w:val="16"/>
                <w:szCs w:val="16"/>
              </w:rPr>
            </w:pPr>
            <w:r w:rsidRPr="00F31484">
              <w:rPr>
                <w:noProof/>
                <w:sz w:val="16"/>
                <w:szCs w:val="16"/>
              </w:rPr>
              <w:t>Ключов етап</w:t>
            </w:r>
          </w:p>
        </w:tc>
        <w:tc>
          <w:tcPr>
            <w:tcW w:w="1559" w:type="dxa"/>
            <w:shd w:val="clear" w:color="auto" w:fill="C6EFCE"/>
            <w:noWrap/>
            <w:vAlign w:val="center"/>
          </w:tcPr>
          <w:p w14:paraId="642A35D4" w14:textId="14AF6B7A" w:rsidR="006054AA" w:rsidRPr="00F31484" w:rsidRDefault="001F7667">
            <w:pPr>
              <w:pStyle w:val="P68B1DB1-Normal11"/>
              <w:jc w:val="both"/>
              <w:rPr>
                <w:noProof/>
                <w:sz w:val="16"/>
                <w:szCs w:val="16"/>
              </w:rPr>
            </w:pPr>
            <w:r w:rsidRPr="00F31484">
              <w:rPr>
                <w:noProof/>
                <w:sz w:val="16"/>
                <w:szCs w:val="16"/>
              </w:rPr>
              <w:t>Министерството приключи прехвърлянето на средства към CDP Venture Capital SGR</w:t>
            </w:r>
          </w:p>
        </w:tc>
        <w:tc>
          <w:tcPr>
            <w:tcW w:w="1843" w:type="dxa"/>
            <w:shd w:val="clear" w:color="auto" w:fill="C6EFCE"/>
            <w:noWrap/>
            <w:vAlign w:val="center"/>
          </w:tcPr>
          <w:p w14:paraId="425FDFB4" w14:textId="75E4BDDC" w:rsidR="006054AA" w:rsidRPr="00F31484" w:rsidRDefault="001F7667">
            <w:pPr>
              <w:pStyle w:val="P68B1DB1-Normal11"/>
              <w:jc w:val="center"/>
              <w:rPr>
                <w:noProof/>
                <w:sz w:val="16"/>
                <w:szCs w:val="16"/>
              </w:rPr>
            </w:pPr>
            <w:r w:rsidRPr="00F31484">
              <w:rPr>
                <w:noProof/>
                <w:sz w:val="16"/>
                <w:szCs w:val="16"/>
              </w:rPr>
              <w:t>Удостоверение за прехвърляне</w:t>
            </w:r>
          </w:p>
        </w:tc>
        <w:tc>
          <w:tcPr>
            <w:tcW w:w="1417" w:type="dxa"/>
            <w:shd w:val="clear" w:color="auto" w:fill="C6EFCE"/>
            <w:noWrap/>
            <w:vAlign w:val="center"/>
          </w:tcPr>
          <w:p w14:paraId="7315E67C" w14:textId="0EA73ACB"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tcPr>
          <w:p w14:paraId="2A382B0B" w14:textId="408748C0" w:rsidR="006054AA" w:rsidRPr="00F31484" w:rsidRDefault="001F7667">
            <w:pPr>
              <w:pStyle w:val="P68B1DB1-Normal11"/>
              <w:jc w:val="center"/>
              <w:rPr>
                <w:noProof/>
                <w:sz w:val="16"/>
                <w:szCs w:val="16"/>
              </w:rPr>
            </w:pPr>
            <w:r w:rsidRPr="00F31484">
              <w:rPr>
                <w:noProof/>
                <w:sz w:val="16"/>
                <w:szCs w:val="16"/>
              </w:rPr>
              <w:t xml:space="preserve"> НЯМА</w:t>
            </w:r>
          </w:p>
        </w:tc>
        <w:tc>
          <w:tcPr>
            <w:tcW w:w="946" w:type="dxa"/>
            <w:shd w:val="clear" w:color="auto" w:fill="C6EFCE"/>
            <w:noWrap/>
            <w:vAlign w:val="center"/>
          </w:tcPr>
          <w:p w14:paraId="47D8128C" w14:textId="0D8E4148" w:rsidR="006054AA" w:rsidRPr="00F31484" w:rsidRDefault="001F7667">
            <w:pPr>
              <w:pStyle w:val="P68B1DB1-Normal11"/>
              <w:jc w:val="center"/>
              <w:rPr>
                <w:noProof/>
                <w:sz w:val="16"/>
                <w:szCs w:val="16"/>
              </w:rPr>
            </w:pPr>
            <w:r w:rsidRPr="00F31484">
              <w:rPr>
                <w:noProof/>
                <w:sz w:val="16"/>
                <w:szCs w:val="16"/>
              </w:rPr>
              <w:t>НЯМА</w:t>
            </w:r>
          </w:p>
        </w:tc>
        <w:tc>
          <w:tcPr>
            <w:tcW w:w="992" w:type="dxa"/>
            <w:shd w:val="clear" w:color="auto" w:fill="C6EFCE"/>
            <w:noWrap/>
            <w:vAlign w:val="center"/>
          </w:tcPr>
          <w:p w14:paraId="474C5EA0" w14:textId="69EF6568"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tcPr>
          <w:p w14:paraId="57D6EAD4" w14:textId="201227AA"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tcPr>
          <w:p w14:paraId="73887946" w14:textId="52AE8E19" w:rsidR="006054AA" w:rsidRPr="00F31484" w:rsidRDefault="001F7667">
            <w:pPr>
              <w:pStyle w:val="P68B1DB1-Normal12"/>
              <w:spacing w:after="120"/>
              <w:jc w:val="both"/>
              <w:rPr>
                <w:rFonts w:ascii="Arial Narrow" w:hAnsi="Arial Narrow"/>
                <w:noProof/>
                <w:sz w:val="16"/>
                <w:szCs w:val="16"/>
              </w:rPr>
            </w:pPr>
            <w:r w:rsidRPr="00F31484">
              <w:rPr>
                <w:rFonts w:ascii="Arial Narrow" w:hAnsi="Arial Narrow"/>
                <w:noProof/>
                <w:sz w:val="16"/>
                <w:szCs w:val="16"/>
              </w:rPr>
              <w:t>Италия прехвърля 250 000 EUR</w:t>
            </w:r>
            <w:r w:rsidRPr="00F31484">
              <w:rPr>
                <w:noProof/>
                <w:sz w:val="16"/>
                <w:szCs w:val="16"/>
              </w:rPr>
              <w:t xml:space="preserve"> </w:t>
            </w:r>
            <w:r w:rsidRPr="00F31484">
              <w:rPr>
                <w:rFonts w:ascii="Arial Narrow" w:hAnsi="Arial Narrow"/>
                <w:noProof/>
                <w:sz w:val="16"/>
                <w:szCs w:val="16"/>
              </w:rPr>
              <w:t>000 към CDP Venture Capital SGR за механизма.</w:t>
            </w:r>
          </w:p>
          <w:p w14:paraId="6AFBA486" w14:textId="55A16E6F" w:rsidR="006054AA" w:rsidRPr="00F31484" w:rsidRDefault="001F7667">
            <w:pPr>
              <w:pStyle w:val="P68B1DB1-Normal11"/>
              <w:rPr>
                <w:noProof/>
                <w:sz w:val="16"/>
                <w:szCs w:val="16"/>
              </w:rPr>
            </w:pPr>
            <w:r w:rsidRPr="00F31484">
              <w:rPr>
                <w:noProof/>
                <w:sz w:val="16"/>
                <w:szCs w:val="16"/>
              </w:rPr>
              <w:t>Задоволителното изпълнение на целта изисква също така изменение на споразумението за изпълнение между Италия и CDP Venture Capital SGR и на уставите на механизма в съответствие с условията, определени в решението за изпълнение на Съвета.</w:t>
            </w:r>
          </w:p>
        </w:tc>
      </w:tr>
      <w:tr w:rsidR="006054AA" w:rsidRPr="00F31484" w14:paraId="1B8DFD43" w14:textId="77777777">
        <w:trPr>
          <w:trHeight w:val="309"/>
          <w:jc w:val="center"/>
        </w:trPr>
        <w:tc>
          <w:tcPr>
            <w:tcW w:w="1613" w:type="dxa"/>
            <w:shd w:val="clear" w:color="auto" w:fill="C6EFCE"/>
            <w:noWrap/>
            <w:vAlign w:val="center"/>
          </w:tcPr>
          <w:p w14:paraId="11CF808C" w14:textId="2D1689D8" w:rsidR="006054AA" w:rsidRPr="00F31484" w:rsidRDefault="001F7667">
            <w:pPr>
              <w:pStyle w:val="P68B1DB1-Normal11"/>
              <w:jc w:val="center"/>
              <w:rPr>
                <w:noProof/>
                <w:sz w:val="16"/>
                <w:szCs w:val="16"/>
              </w:rPr>
            </w:pPr>
            <w:r w:rsidRPr="00F31484">
              <w:rPr>
                <w:noProof/>
                <w:sz w:val="16"/>
                <w:szCs w:val="16"/>
              </w:rPr>
              <w:t>M2C2—43</w:t>
            </w:r>
          </w:p>
        </w:tc>
        <w:tc>
          <w:tcPr>
            <w:tcW w:w="1643" w:type="dxa"/>
            <w:shd w:val="clear" w:color="auto" w:fill="C6EFCE"/>
            <w:noWrap/>
            <w:vAlign w:val="center"/>
          </w:tcPr>
          <w:p w14:paraId="60832C76" w14:textId="03732F65" w:rsidR="006054AA" w:rsidRPr="00F31484" w:rsidRDefault="001F7667">
            <w:pPr>
              <w:pStyle w:val="P68B1DB1-Normal11"/>
              <w:jc w:val="center"/>
              <w:rPr>
                <w:noProof/>
                <w:sz w:val="16"/>
                <w:szCs w:val="16"/>
              </w:rPr>
            </w:pPr>
            <w:r w:rsidRPr="00F31484">
              <w:rPr>
                <w:noProof/>
                <w:sz w:val="16"/>
                <w:szCs w:val="16"/>
              </w:rPr>
              <w:t>Инвестиция 5.4 — Подкрепа за стартиращи предприятия и рисков капитал, активен в екологичния преход.</w:t>
            </w:r>
          </w:p>
        </w:tc>
        <w:tc>
          <w:tcPr>
            <w:tcW w:w="1559" w:type="dxa"/>
            <w:shd w:val="clear" w:color="auto" w:fill="C6EFCE"/>
            <w:noWrap/>
            <w:vAlign w:val="center"/>
          </w:tcPr>
          <w:p w14:paraId="234D8E26" w14:textId="6CFDE74C"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71531521" w14:textId="639F467E" w:rsidR="006054AA" w:rsidRPr="00F31484" w:rsidRDefault="001F7667">
            <w:pPr>
              <w:pStyle w:val="P68B1DB1-Normal11"/>
              <w:jc w:val="center"/>
              <w:rPr>
                <w:noProof/>
                <w:sz w:val="16"/>
                <w:szCs w:val="16"/>
              </w:rPr>
            </w:pPr>
            <w:r w:rsidRPr="00F31484">
              <w:rPr>
                <w:noProof/>
                <w:sz w:val="16"/>
                <w:szCs w:val="16"/>
              </w:rPr>
              <w:t>Правни споразумения, подписани с фондове за рисков капитал и стартиращи предприятия</w:t>
            </w:r>
          </w:p>
        </w:tc>
        <w:tc>
          <w:tcPr>
            <w:tcW w:w="1843" w:type="dxa"/>
            <w:shd w:val="clear" w:color="auto" w:fill="C6EFCE"/>
            <w:noWrap/>
            <w:vAlign w:val="center"/>
          </w:tcPr>
          <w:p w14:paraId="1B5E7E37" w14:textId="77777777" w:rsidR="006054AA" w:rsidRPr="00F31484" w:rsidRDefault="006054AA">
            <w:pPr>
              <w:jc w:val="center"/>
              <w:rPr>
                <w:rFonts w:ascii="Arial Narrow" w:hAnsi="Arial Narrow"/>
                <w:noProof/>
                <w:color w:val="006100"/>
                <w:sz w:val="16"/>
                <w:szCs w:val="16"/>
              </w:rPr>
            </w:pPr>
          </w:p>
        </w:tc>
        <w:tc>
          <w:tcPr>
            <w:tcW w:w="1417" w:type="dxa"/>
            <w:shd w:val="clear" w:color="auto" w:fill="C6EFCE"/>
            <w:noWrap/>
            <w:vAlign w:val="center"/>
          </w:tcPr>
          <w:p w14:paraId="131CB4C3" w14:textId="70604196" w:rsidR="006054AA" w:rsidRPr="00F31484" w:rsidRDefault="001F7667">
            <w:pPr>
              <w:pStyle w:val="P68B1DB1-Normal11"/>
              <w:jc w:val="center"/>
              <w:rPr>
                <w:noProof/>
                <w:sz w:val="16"/>
                <w:szCs w:val="16"/>
              </w:rPr>
            </w:pPr>
            <w:r w:rsidRPr="00F31484">
              <w:rPr>
                <w:noProof/>
                <w:sz w:val="16"/>
                <w:szCs w:val="16"/>
              </w:rPr>
              <w:t>ЕВРО</w:t>
            </w:r>
          </w:p>
        </w:tc>
        <w:tc>
          <w:tcPr>
            <w:tcW w:w="1134" w:type="dxa"/>
            <w:shd w:val="clear" w:color="auto" w:fill="C6EFCE"/>
            <w:noWrap/>
            <w:vAlign w:val="center"/>
          </w:tcPr>
          <w:p w14:paraId="4F4F59D5" w14:textId="37C11453"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323614AD" w14:textId="05357F4F" w:rsidR="006054AA" w:rsidRPr="00F31484" w:rsidRDefault="001F7667">
            <w:pPr>
              <w:pStyle w:val="P68B1DB1-Normal11"/>
              <w:jc w:val="center"/>
              <w:rPr>
                <w:noProof/>
                <w:sz w:val="16"/>
                <w:szCs w:val="16"/>
              </w:rPr>
            </w:pPr>
            <w:r w:rsidRPr="00F31484">
              <w:rPr>
                <w:noProof/>
                <w:sz w:val="16"/>
                <w:szCs w:val="16"/>
              </w:rPr>
              <w:t>100 %</w:t>
            </w:r>
          </w:p>
        </w:tc>
        <w:tc>
          <w:tcPr>
            <w:tcW w:w="992" w:type="dxa"/>
            <w:shd w:val="clear" w:color="auto" w:fill="C6EFCE"/>
            <w:noWrap/>
            <w:vAlign w:val="center"/>
          </w:tcPr>
          <w:p w14:paraId="5FC3F196" w14:textId="7061B44A"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7B17DEEE" w14:textId="6F4E7CBB"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tcPr>
          <w:p w14:paraId="311409E5" w14:textId="77777777" w:rsidR="006054AA" w:rsidRPr="00F31484" w:rsidRDefault="001F7667">
            <w:pPr>
              <w:pStyle w:val="P68B1DB1-Normal11"/>
              <w:jc w:val="both"/>
              <w:rPr>
                <w:noProof/>
                <w:sz w:val="16"/>
                <w:szCs w:val="16"/>
              </w:rPr>
            </w:pPr>
            <w:r w:rsidRPr="00F31484">
              <w:rPr>
                <w:noProof/>
                <w:sz w:val="16"/>
                <w:szCs w:val="16"/>
              </w:rPr>
              <w:t>Cassa Depositi e Prestiti Venture Capital е сключило правни споразумения за финансиране със стартиращи предприятия, програми за инкубация/ускоряване или фондове за рисков капитал в размер, необходим за използване на 100 % от инвестицията по МВУ (250 милиона евро) в механизма (включително средния максимален таван от 13 % от таксите за управление и разходите за GTF през жизнения цикъл на фонда, както и предварителните условия за следващите инвестиционни кръгове, с изключение на пренесените заинтересовани страни, таксите за постигнати резултати и всички разходи и такси за управление, свързани с фондове на трети страни).</w:t>
            </w:r>
          </w:p>
          <w:p w14:paraId="68CC68AF" w14:textId="77777777" w:rsidR="006054AA" w:rsidRPr="00F31484" w:rsidRDefault="006054AA">
            <w:pPr>
              <w:jc w:val="both"/>
              <w:rPr>
                <w:rFonts w:ascii="Arial Narrow" w:hAnsi="Arial Narrow"/>
                <w:noProof/>
                <w:color w:val="006100"/>
                <w:sz w:val="16"/>
                <w:szCs w:val="16"/>
              </w:rPr>
            </w:pPr>
          </w:p>
          <w:p w14:paraId="04D90142" w14:textId="77777777" w:rsidR="006054AA" w:rsidRPr="00F31484" w:rsidRDefault="001F7667">
            <w:pPr>
              <w:pStyle w:val="P68B1DB1-Normal11"/>
              <w:jc w:val="both"/>
              <w:rPr>
                <w:noProof/>
                <w:sz w:val="16"/>
                <w:szCs w:val="16"/>
              </w:rPr>
            </w:pPr>
            <w:r w:rsidRPr="00F31484">
              <w:rPr>
                <w:noProof/>
                <w:sz w:val="16"/>
                <w:szCs w:val="16"/>
              </w:rPr>
              <w:t>Инвестицията се разделя на следните два реда на намеса:</w:t>
            </w:r>
          </w:p>
          <w:p w14:paraId="1411E1E0" w14:textId="77777777" w:rsidR="006054AA" w:rsidRPr="00F31484" w:rsidRDefault="006054AA">
            <w:pPr>
              <w:jc w:val="both"/>
              <w:rPr>
                <w:rFonts w:ascii="Arial Narrow" w:hAnsi="Arial Narrow"/>
                <w:noProof/>
                <w:color w:val="006100"/>
                <w:sz w:val="16"/>
                <w:szCs w:val="16"/>
              </w:rPr>
            </w:pPr>
          </w:p>
          <w:p w14:paraId="0D12F7E4" w14:textId="77777777" w:rsidR="006054AA" w:rsidRPr="00F31484" w:rsidRDefault="001F7667">
            <w:pPr>
              <w:pStyle w:val="P68B1DB1-Normal11"/>
              <w:jc w:val="both"/>
              <w:rPr>
                <w:noProof/>
                <w:sz w:val="16"/>
                <w:szCs w:val="16"/>
              </w:rPr>
            </w:pPr>
            <w:r w:rsidRPr="00F31484">
              <w:rPr>
                <w:noProof/>
                <w:sz w:val="16"/>
                <w:szCs w:val="16"/>
              </w:rPr>
              <w:t>Преки инвестиции.</w:t>
            </w:r>
          </w:p>
          <w:p w14:paraId="2BBC8B12" w14:textId="77777777" w:rsidR="006054AA" w:rsidRPr="00F31484" w:rsidRDefault="006054AA">
            <w:pPr>
              <w:jc w:val="both"/>
              <w:rPr>
                <w:rFonts w:ascii="Arial Narrow" w:hAnsi="Arial Narrow"/>
                <w:noProof/>
                <w:color w:val="006100"/>
                <w:sz w:val="16"/>
                <w:szCs w:val="16"/>
              </w:rPr>
            </w:pPr>
          </w:p>
          <w:p w14:paraId="7B2FEF94" w14:textId="77777777" w:rsidR="006054AA" w:rsidRPr="00F31484" w:rsidRDefault="001F7667">
            <w:pPr>
              <w:pStyle w:val="P68B1DB1-Normal11"/>
              <w:jc w:val="both"/>
              <w:rPr>
                <w:noProof/>
                <w:sz w:val="16"/>
                <w:szCs w:val="16"/>
              </w:rPr>
            </w:pPr>
            <w:r w:rsidRPr="00F31484">
              <w:rPr>
                <w:noProof/>
                <w:sz w:val="16"/>
                <w:szCs w:val="16"/>
              </w:rPr>
              <w:t>Непреки инвестиции.</w:t>
            </w:r>
          </w:p>
          <w:p w14:paraId="7906E9E3" w14:textId="77777777" w:rsidR="006054AA" w:rsidRPr="00F31484" w:rsidRDefault="006054AA">
            <w:pPr>
              <w:jc w:val="both"/>
              <w:rPr>
                <w:rFonts w:ascii="Arial Narrow" w:hAnsi="Arial Narrow"/>
                <w:noProof/>
                <w:color w:val="006100"/>
                <w:sz w:val="16"/>
                <w:szCs w:val="16"/>
              </w:rPr>
            </w:pPr>
          </w:p>
          <w:p w14:paraId="1947A3AD" w14:textId="77777777" w:rsidR="006054AA" w:rsidRPr="00F31484" w:rsidRDefault="001F7667">
            <w:pPr>
              <w:pStyle w:val="P68B1DB1-Normal11"/>
              <w:jc w:val="both"/>
              <w:rPr>
                <w:noProof/>
                <w:sz w:val="16"/>
                <w:szCs w:val="16"/>
              </w:rPr>
            </w:pPr>
            <w:r w:rsidRPr="00F31484">
              <w:rPr>
                <w:noProof/>
                <w:sz w:val="16"/>
                <w:szCs w:val="16"/>
              </w:rPr>
              <w:t xml:space="preserve">Що се отнася до непреките инвестиции във фондове за рисков капитал, Cassa Depositi e Prestiti Venture Capital е сключило правни споразумения за финансиране с фондове за рисков капитал в размер, необходим за индикативно използване на около 60 % от инвестициите по МВУ в механизма (с изключение на таксите за управление и разходите за GTF през жизнения цикъл на фонда). </w:t>
            </w:r>
          </w:p>
          <w:p w14:paraId="6C5EE136" w14:textId="77777777" w:rsidR="006054AA" w:rsidRPr="00F31484" w:rsidRDefault="006054AA">
            <w:pPr>
              <w:jc w:val="both"/>
              <w:rPr>
                <w:rFonts w:ascii="Arial Narrow" w:hAnsi="Arial Narrow"/>
                <w:noProof/>
                <w:color w:val="006100"/>
                <w:sz w:val="16"/>
                <w:szCs w:val="16"/>
              </w:rPr>
            </w:pPr>
          </w:p>
          <w:p w14:paraId="0EF2CBC2" w14:textId="77777777" w:rsidR="006054AA" w:rsidRPr="00F31484" w:rsidRDefault="001F7667">
            <w:pPr>
              <w:pStyle w:val="P68B1DB1-Normal11"/>
              <w:jc w:val="both"/>
              <w:rPr>
                <w:noProof/>
                <w:sz w:val="16"/>
                <w:szCs w:val="16"/>
              </w:rPr>
            </w:pPr>
            <w:r w:rsidRPr="00F31484">
              <w:rPr>
                <w:noProof/>
                <w:sz w:val="16"/>
                <w:szCs w:val="16"/>
              </w:rPr>
              <w:t>По отношение на непреките инвестиции в стартиращи предприятия правните споразумения за финансиране с фондове за рисков капитал включват обвързващ ангажимент за постигане на кумулативен лостов ефект на вложения капитал както на равнището на фондовете, така и на равнището на стартиращите предприятия от най-малко 1x1 за целия жизнен цикъл на фонда.</w:t>
            </w:r>
          </w:p>
          <w:p w14:paraId="137F7DC3" w14:textId="77777777" w:rsidR="006054AA" w:rsidRPr="00F31484" w:rsidRDefault="006054AA">
            <w:pPr>
              <w:jc w:val="both"/>
              <w:rPr>
                <w:rFonts w:ascii="Arial Narrow" w:hAnsi="Arial Narrow"/>
                <w:noProof/>
                <w:color w:val="006100"/>
                <w:sz w:val="16"/>
                <w:szCs w:val="16"/>
              </w:rPr>
            </w:pPr>
          </w:p>
          <w:p w14:paraId="1D0862BB" w14:textId="77777777" w:rsidR="006054AA" w:rsidRPr="00F31484" w:rsidRDefault="001F7667">
            <w:pPr>
              <w:pStyle w:val="P68B1DB1-Normal11"/>
              <w:jc w:val="both"/>
              <w:rPr>
                <w:noProof/>
                <w:sz w:val="16"/>
                <w:szCs w:val="16"/>
              </w:rPr>
            </w:pPr>
            <w:r w:rsidRPr="00F31484">
              <w:rPr>
                <w:noProof/>
                <w:sz w:val="16"/>
                <w:szCs w:val="16"/>
              </w:rPr>
              <w:t>Що се отнася до преките инвестиции, рисковият капитал на CDP трябва да е сключил правни споразумения за финансиране със стартиращи предприятия/програми за инкубация/ускоряване за сума, необходима за индикативно използване на около 40 % от инвестициите по МВУ (250 милиона евро) в механизма (включително такси за управление и разходи за GTF през жизнения цикъл на фонда).</w:t>
            </w:r>
          </w:p>
          <w:p w14:paraId="65C05EF2" w14:textId="31B7AEC6" w:rsidR="006054AA" w:rsidRPr="00F31484" w:rsidRDefault="001F7667">
            <w:pPr>
              <w:pStyle w:val="P68B1DB1-Normal11"/>
              <w:jc w:val="both"/>
              <w:rPr>
                <w:noProof/>
                <w:sz w:val="16"/>
                <w:szCs w:val="16"/>
              </w:rPr>
            </w:pPr>
            <w:r w:rsidRPr="00F31484">
              <w:rPr>
                <w:noProof/>
                <w:sz w:val="16"/>
                <w:szCs w:val="16"/>
              </w:rPr>
              <w:t>Също така, що се отнася до преките инвестиции, правното споразумение за финансиране със стартиращи предприятия може да включва предварителни условия за следващите инвестиционни кръгове (т.е. условията за отключване на финансирането от Serie B или Serie C).</w:t>
            </w:r>
          </w:p>
          <w:p w14:paraId="200760E7" w14:textId="77777777" w:rsidR="006054AA" w:rsidRPr="00F31484" w:rsidRDefault="006054AA">
            <w:pPr>
              <w:jc w:val="both"/>
              <w:rPr>
                <w:rFonts w:ascii="Arial Narrow" w:hAnsi="Arial Narrow"/>
                <w:noProof/>
                <w:color w:val="006100"/>
                <w:sz w:val="16"/>
                <w:szCs w:val="16"/>
              </w:rPr>
            </w:pPr>
          </w:p>
          <w:p w14:paraId="561D427A" w14:textId="77777777" w:rsidR="006054AA" w:rsidRPr="00F31484" w:rsidRDefault="001F7667">
            <w:pPr>
              <w:pStyle w:val="P68B1DB1-Normal11"/>
              <w:jc w:val="both"/>
              <w:rPr>
                <w:noProof/>
                <w:sz w:val="16"/>
                <w:szCs w:val="16"/>
              </w:rPr>
            </w:pPr>
            <w:r w:rsidRPr="00F31484">
              <w:rPr>
                <w:noProof/>
                <w:sz w:val="16"/>
                <w:szCs w:val="16"/>
              </w:rPr>
              <w:t xml:space="preserve">Ангажиментите по тази мярка, сключени преди влизането в сила на измененията на инвестиционната политика на споразумението за изпълнение и в съответствие със споразумението по ключов етап M2C2—42 от предходната инвестиционна политика, също се отчитат за постигането на целта. </w:t>
            </w:r>
          </w:p>
          <w:p w14:paraId="3B8C23E1" w14:textId="77777777" w:rsidR="006054AA" w:rsidRPr="00F31484" w:rsidRDefault="001F7667">
            <w:pPr>
              <w:pStyle w:val="P68B1DB1-Normal11"/>
              <w:jc w:val="both"/>
              <w:rPr>
                <w:noProof/>
                <w:sz w:val="16"/>
                <w:szCs w:val="16"/>
              </w:rPr>
            </w:pPr>
            <w:r w:rsidRPr="00F31484">
              <w:rPr>
                <w:noProof/>
                <w:sz w:val="16"/>
                <w:szCs w:val="16"/>
              </w:rPr>
              <w:t xml:space="preserve">От датата на влизане в сила на решението за изпълнение на Съвета новите ангажименти следва да започнат да следват новата инвестиционна политика съгласно новото решение за изпълнение на Съвета. </w:t>
            </w:r>
          </w:p>
          <w:p w14:paraId="5DD04FB0" w14:textId="77777777" w:rsidR="006054AA" w:rsidRPr="00F31484" w:rsidRDefault="006054AA">
            <w:pPr>
              <w:rPr>
                <w:rFonts w:ascii="Arial Narrow" w:hAnsi="Arial Narrow"/>
                <w:noProof/>
                <w:sz w:val="16"/>
                <w:szCs w:val="16"/>
              </w:rPr>
            </w:pPr>
          </w:p>
        </w:tc>
      </w:tr>
      <w:tr w:rsidR="006054AA" w:rsidRPr="00F31484" w14:paraId="1810176D" w14:textId="77777777">
        <w:trPr>
          <w:trHeight w:val="309"/>
          <w:jc w:val="center"/>
        </w:trPr>
        <w:tc>
          <w:tcPr>
            <w:tcW w:w="1613" w:type="dxa"/>
            <w:shd w:val="clear" w:color="auto" w:fill="C6EFCE"/>
            <w:noWrap/>
            <w:vAlign w:val="center"/>
            <w:hideMark/>
          </w:tcPr>
          <w:p w14:paraId="3CD5FD09" w14:textId="77777777" w:rsidR="006054AA" w:rsidRPr="00F31484" w:rsidRDefault="001F7667">
            <w:pPr>
              <w:pStyle w:val="P68B1DB1-Normal11"/>
              <w:jc w:val="center"/>
              <w:rPr>
                <w:noProof/>
                <w:sz w:val="16"/>
                <w:szCs w:val="16"/>
              </w:rPr>
            </w:pPr>
            <w:r w:rsidRPr="00F31484">
              <w:rPr>
                <w:noProof/>
                <w:sz w:val="16"/>
                <w:szCs w:val="16"/>
              </w:rPr>
              <w:t>M2C2—44</w:t>
            </w:r>
          </w:p>
        </w:tc>
        <w:tc>
          <w:tcPr>
            <w:tcW w:w="1643" w:type="dxa"/>
            <w:shd w:val="clear" w:color="auto" w:fill="C6EFCE"/>
            <w:noWrap/>
            <w:vAlign w:val="center"/>
            <w:hideMark/>
          </w:tcPr>
          <w:p w14:paraId="78590C12" w14:textId="77777777" w:rsidR="006054AA" w:rsidRPr="00F31484" w:rsidRDefault="001F7667">
            <w:pPr>
              <w:pStyle w:val="P68B1DB1-Normal11"/>
              <w:jc w:val="center"/>
              <w:rPr>
                <w:noProof/>
                <w:sz w:val="16"/>
                <w:szCs w:val="16"/>
              </w:rPr>
            </w:pPr>
            <w:r w:rsidRPr="00F31484">
              <w:rPr>
                <w:noProof/>
                <w:sz w:val="16"/>
                <w:szCs w:val="16"/>
              </w:rPr>
              <w:t>Инвестиция 1.1 Развитие на агроволтаични системи</w:t>
            </w:r>
          </w:p>
        </w:tc>
        <w:tc>
          <w:tcPr>
            <w:tcW w:w="1559" w:type="dxa"/>
            <w:shd w:val="clear" w:color="auto" w:fill="C6EFCE"/>
            <w:noWrap/>
            <w:vAlign w:val="center"/>
            <w:hideMark/>
          </w:tcPr>
          <w:p w14:paraId="0B310B86" w14:textId="77777777"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hideMark/>
          </w:tcPr>
          <w:p w14:paraId="7393C641" w14:textId="77777777" w:rsidR="006054AA" w:rsidRPr="00F31484" w:rsidRDefault="001F7667">
            <w:pPr>
              <w:pStyle w:val="P68B1DB1-Normal11"/>
              <w:jc w:val="center"/>
              <w:rPr>
                <w:noProof/>
                <w:sz w:val="16"/>
                <w:szCs w:val="16"/>
              </w:rPr>
            </w:pPr>
            <w:r w:rsidRPr="00F31484">
              <w:rPr>
                <w:noProof/>
                <w:sz w:val="16"/>
                <w:szCs w:val="16"/>
              </w:rPr>
              <w:t>Възлагане на всички обществени поръчки за инсталиране на фотоволтаични слънчеви панели в агрофотоволтаични системи</w:t>
            </w:r>
          </w:p>
        </w:tc>
        <w:tc>
          <w:tcPr>
            <w:tcW w:w="1843" w:type="dxa"/>
            <w:shd w:val="clear" w:color="auto" w:fill="C6EFCE"/>
            <w:noWrap/>
            <w:vAlign w:val="center"/>
            <w:hideMark/>
          </w:tcPr>
          <w:p w14:paraId="07299CC2" w14:textId="77777777" w:rsidR="006054AA" w:rsidRPr="00F31484" w:rsidRDefault="001F7667">
            <w:pPr>
              <w:pStyle w:val="P68B1DB1-Normal11"/>
              <w:jc w:val="center"/>
              <w:rPr>
                <w:noProof/>
                <w:sz w:val="16"/>
                <w:szCs w:val="16"/>
              </w:rPr>
            </w:pPr>
            <w:r w:rsidRPr="00F31484">
              <w:rPr>
                <w:noProof/>
                <w:sz w:val="16"/>
                <w:szCs w:val="16"/>
              </w:rPr>
              <w:t xml:space="preserve">Уведомление за възлагане на всички обществени поръчки за инсталиране на фотоволтаични слънчеви панели в агрофотоволтаични системи </w:t>
            </w:r>
          </w:p>
        </w:tc>
        <w:tc>
          <w:tcPr>
            <w:tcW w:w="1417" w:type="dxa"/>
            <w:shd w:val="clear" w:color="auto" w:fill="C6EFCE"/>
            <w:noWrap/>
            <w:vAlign w:val="center"/>
            <w:hideMark/>
          </w:tcPr>
          <w:p w14:paraId="626F7CBD" w14:textId="77777777"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hideMark/>
          </w:tcPr>
          <w:p w14:paraId="6A115CB0" w14:textId="77777777" w:rsidR="006054AA" w:rsidRPr="00F31484" w:rsidRDefault="001F7667">
            <w:pPr>
              <w:pStyle w:val="P68B1DB1-Normal11"/>
              <w:jc w:val="center"/>
              <w:rPr>
                <w:noProof/>
                <w:sz w:val="16"/>
                <w:szCs w:val="16"/>
              </w:rPr>
            </w:pPr>
            <w:r w:rsidRPr="00F31484">
              <w:rPr>
                <w:noProof/>
                <w:sz w:val="16"/>
                <w:szCs w:val="16"/>
              </w:rPr>
              <w:t>НЯМА</w:t>
            </w:r>
          </w:p>
        </w:tc>
        <w:tc>
          <w:tcPr>
            <w:tcW w:w="946" w:type="dxa"/>
            <w:shd w:val="clear" w:color="auto" w:fill="C6EFCE"/>
            <w:noWrap/>
            <w:vAlign w:val="center"/>
            <w:hideMark/>
          </w:tcPr>
          <w:p w14:paraId="371DB9B5" w14:textId="77777777" w:rsidR="006054AA" w:rsidRPr="00F31484" w:rsidRDefault="001F7667">
            <w:pPr>
              <w:pStyle w:val="P68B1DB1-Normal11"/>
              <w:jc w:val="center"/>
              <w:rPr>
                <w:noProof/>
                <w:sz w:val="16"/>
                <w:szCs w:val="16"/>
              </w:rPr>
            </w:pPr>
            <w:r w:rsidRPr="00F31484">
              <w:rPr>
                <w:noProof/>
                <w:sz w:val="16"/>
                <w:szCs w:val="16"/>
              </w:rPr>
              <w:t>НЯМА</w:t>
            </w:r>
          </w:p>
        </w:tc>
        <w:tc>
          <w:tcPr>
            <w:tcW w:w="992" w:type="dxa"/>
            <w:shd w:val="clear" w:color="auto" w:fill="C6EFCE"/>
            <w:noWrap/>
            <w:vAlign w:val="center"/>
            <w:hideMark/>
          </w:tcPr>
          <w:p w14:paraId="0A6A3291" w14:textId="77777777"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hideMark/>
          </w:tcPr>
          <w:p w14:paraId="2722A80A" w14:textId="77777777" w:rsidR="006054AA" w:rsidRPr="00F31484" w:rsidRDefault="001F7667">
            <w:pPr>
              <w:pStyle w:val="P68B1DB1-Normal11"/>
              <w:jc w:val="center"/>
              <w:rPr>
                <w:noProof/>
                <w:sz w:val="16"/>
                <w:szCs w:val="16"/>
              </w:rPr>
            </w:pPr>
            <w:r w:rsidRPr="00F31484">
              <w:rPr>
                <w:noProof/>
                <w:sz w:val="16"/>
                <w:szCs w:val="16"/>
              </w:rPr>
              <w:t>2024</w:t>
            </w:r>
          </w:p>
        </w:tc>
        <w:tc>
          <w:tcPr>
            <w:tcW w:w="2793" w:type="dxa"/>
            <w:shd w:val="clear" w:color="auto" w:fill="C6EFCE"/>
            <w:noWrap/>
            <w:vAlign w:val="center"/>
            <w:hideMark/>
          </w:tcPr>
          <w:p w14:paraId="7795466B" w14:textId="6F155913" w:rsidR="006054AA" w:rsidRPr="00F31484" w:rsidRDefault="001F7667">
            <w:pPr>
              <w:pStyle w:val="P68B1DB1-Normal11"/>
              <w:rPr>
                <w:noProof/>
                <w:sz w:val="16"/>
                <w:szCs w:val="16"/>
              </w:rPr>
            </w:pPr>
            <w:r w:rsidRPr="00F31484">
              <w:rPr>
                <w:noProof/>
                <w:sz w:val="16"/>
                <w:szCs w:val="16"/>
              </w:rPr>
              <w:t>Уведомление за възлагане на всички обществени поръчки за инсталиране на фотоволтаични слънчеви панели и измервателни уреди в агрофотоволтаични системи.</w:t>
            </w:r>
          </w:p>
          <w:p w14:paraId="34BB7F51" w14:textId="2107130F" w:rsidR="006054AA" w:rsidRPr="00F31484" w:rsidRDefault="001F7667">
            <w:pPr>
              <w:pStyle w:val="P68B1DB1-Normal11"/>
              <w:rPr>
                <w:noProof/>
                <w:sz w:val="16"/>
                <w:szCs w:val="16"/>
              </w:rPr>
            </w:pPr>
            <w:r w:rsidRPr="00F31484">
              <w:rPr>
                <w:noProof/>
                <w:sz w:val="16"/>
                <w:szCs w:val="16"/>
              </w:rPr>
              <w:t>Очаква се инсталираната мощност на агроволтаични системи с експериментален характер да насърчи разработването на иновативни решения за наземни инсталации, в които могат да съществуват едновременно множество видове земеползване, като по този начин се генерират конкурентни ползи. Въвеждането в експлоатация на растенията се вписва в националната система Gaudì (регистър на производствените предприятия), която предоставя убедителни доказателства за постигането на целите.</w:t>
            </w:r>
          </w:p>
        </w:tc>
      </w:tr>
      <w:tr w:rsidR="006054AA" w:rsidRPr="00F31484" w14:paraId="274E4186" w14:textId="77777777">
        <w:trPr>
          <w:trHeight w:val="309"/>
          <w:jc w:val="center"/>
        </w:trPr>
        <w:tc>
          <w:tcPr>
            <w:tcW w:w="1613" w:type="dxa"/>
            <w:shd w:val="clear" w:color="auto" w:fill="C6EFCE"/>
            <w:noWrap/>
            <w:vAlign w:val="center"/>
            <w:hideMark/>
          </w:tcPr>
          <w:p w14:paraId="3C5F71A3" w14:textId="77777777" w:rsidR="006054AA" w:rsidRPr="00F31484" w:rsidRDefault="001F7667">
            <w:pPr>
              <w:pStyle w:val="P68B1DB1-Normal11"/>
              <w:jc w:val="center"/>
              <w:rPr>
                <w:noProof/>
                <w:sz w:val="16"/>
                <w:szCs w:val="16"/>
              </w:rPr>
            </w:pPr>
            <w:r w:rsidRPr="00F31484">
              <w:rPr>
                <w:noProof/>
                <w:sz w:val="16"/>
                <w:szCs w:val="16"/>
              </w:rPr>
              <w:t>M2C2—45</w:t>
            </w:r>
          </w:p>
        </w:tc>
        <w:tc>
          <w:tcPr>
            <w:tcW w:w="1643" w:type="dxa"/>
            <w:shd w:val="clear" w:color="auto" w:fill="C6EFCE"/>
            <w:noWrap/>
            <w:vAlign w:val="center"/>
            <w:hideMark/>
          </w:tcPr>
          <w:p w14:paraId="3497472B" w14:textId="77777777" w:rsidR="006054AA" w:rsidRPr="00F31484" w:rsidRDefault="001F7667">
            <w:pPr>
              <w:pStyle w:val="P68B1DB1-Normal11"/>
              <w:jc w:val="center"/>
              <w:rPr>
                <w:noProof/>
                <w:sz w:val="16"/>
                <w:szCs w:val="16"/>
              </w:rPr>
            </w:pPr>
            <w:r w:rsidRPr="00F31484">
              <w:rPr>
                <w:noProof/>
                <w:sz w:val="16"/>
                <w:szCs w:val="16"/>
              </w:rPr>
              <w:t>Инвестиция 1.1 Развитие на агроволтаични системи</w:t>
            </w:r>
          </w:p>
        </w:tc>
        <w:tc>
          <w:tcPr>
            <w:tcW w:w="1559" w:type="dxa"/>
            <w:shd w:val="clear" w:color="auto" w:fill="C6EFCE"/>
            <w:noWrap/>
            <w:vAlign w:val="center"/>
            <w:hideMark/>
          </w:tcPr>
          <w:p w14:paraId="2A920501" w14:textId="77777777"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hideMark/>
          </w:tcPr>
          <w:p w14:paraId="3ED6BCAC" w14:textId="77777777" w:rsidR="006054AA" w:rsidRPr="00F31484" w:rsidRDefault="001F7667">
            <w:pPr>
              <w:pStyle w:val="P68B1DB1-Normal11"/>
              <w:jc w:val="center"/>
              <w:rPr>
                <w:noProof/>
                <w:sz w:val="16"/>
                <w:szCs w:val="16"/>
              </w:rPr>
            </w:pPr>
            <w:r w:rsidRPr="00F31484">
              <w:rPr>
                <w:noProof/>
                <w:sz w:val="16"/>
                <w:szCs w:val="16"/>
              </w:rPr>
              <w:t xml:space="preserve">Инсталиране на фотоволтаични слънчеви панели в агрофотоволтаични системи </w:t>
            </w:r>
          </w:p>
        </w:tc>
        <w:tc>
          <w:tcPr>
            <w:tcW w:w="1843" w:type="dxa"/>
            <w:shd w:val="clear" w:color="auto" w:fill="C6EFCE"/>
            <w:noWrap/>
            <w:vAlign w:val="center"/>
            <w:hideMark/>
          </w:tcPr>
          <w:p w14:paraId="4F10ECFF" w14:textId="77777777"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hideMark/>
          </w:tcPr>
          <w:p w14:paraId="5760DCA9" w14:textId="77777777" w:rsidR="006054AA" w:rsidRPr="00F31484" w:rsidRDefault="001F7667">
            <w:pPr>
              <w:pStyle w:val="P68B1DB1-Normal11"/>
              <w:jc w:val="center"/>
              <w:rPr>
                <w:noProof/>
                <w:sz w:val="16"/>
                <w:szCs w:val="16"/>
              </w:rPr>
            </w:pPr>
            <w:r w:rsidRPr="00F31484">
              <w:rPr>
                <w:noProof/>
                <w:sz w:val="16"/>
                <w:szCs w:val="16"/>
              </w:rPr>
              <w:t>MW</w:t>
            </w:r>
          </w:p>
        </w:tc>
        <w:tc>
          <w:tcPr>
            <w:tcW w:w="1134" w:type="dxa"/>
            <w:shd w:val="clear" w:color="auto" w:fill="C6EFCE"/>
            <w:noWrap/>
            <w:vAlign w:val="center"/>
            <w:hideMark/>
          </w:tcPr>
          <w:p w14:paraId="39FE1A0F" w14:textId="77777777"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hideMark/>
          </w:tcPr>
          <w:p w14:paraId="643A830B" w14:textId="77777777" w:rsidR="006054AA" w:rsidRPr="00F31484" w:rsidRDefault="001F7667">
            <w:pPr>
              <w:pStyle w:val="P68B1DB1-Normal11"/>
              <w:jc w:val="center"/>
              <w:rPr>
                <w:noProof/>
                <w:sz w:val="16"/>
                <w:szCs w:val="16"/>
              </w:rPr>
            </w:pPr>
            <w:r w:rsidRPr="00F31484">
              <w:rPr>
                <w:noProof/>
                <w:sz w:val="16"/>
                <w:szCs w:val="16"/>
              </w:rPr>
              <w:t>900</w:t>
            </w:r>
          </w:p>
        </w:tc>
        <w:tc>
          <w:tcPr>
            <w:tcW w:w="992" w:type="dxa"/>
            <w:shd w:val="clear" w:color="auto" w:fill="C6EFCE"/>
            <w:noWrap/>
            <w:vAlign w:val="center"/>
            <w:hideMark/>
          </w:tcPr>
          <w:p w14:paraId="33C235C8" w14:textId="77777777"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hideMark/>
          </w:tcPr>
          <w:p w14:paraId="3C960C01" w14:textId="77777777"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hideMark/>
          </w:tcPr>
          <w:p w14:paraId="63574DBD" w14:textId="77777777" w:rsidR="006054AA" w:rsidRPr="00F31484" w:rsidRDefault="001F7667">
            <w:pPr>
              <w:pStyle w:val="P68B1DB1-Normal11"/>
              <w:rPr>
                <w:noProof/>
                <w:sz w:val="16"/>
                <w:szCs w:val="16"/>
              </w:rPr>
            </w:pPr>
            <w:r w:rsidRPr="00F31484">
              <w:rPr>
                <w:noProof/>
                <w:sz w:val="16"/>
                <w:szCs w:val="16"/>
              </w:rPr>
              <w:t xml:space="preserve">Инсталиране на фотоволтаични слънчеви панели в агрофотоволтаични системи с мощност най-малко 900 MW. </w:t>
            </w:r>
          </w:p>
        </w:tc>
      </w:tr>
      <w:tr w:rsidR="006054AA" w:rsidRPr="00F31484" w14:paraId="4559D083" w14:textId="77777777">
        <w:trPr>
          <w:trHeight w:val="309"/>
          <w:jc w:val="center"/>
        </w:trPr>
        <w:tc>
          <w:tcPr>
            <w:tcW w:w="1613" w:type="dxa"/>
            <w:shd w:val="clear" w:color="auto" w:fill="C6EFCE"/>
            <w:noWrap/>
            <w:vAlign w:val="center"/>
            <w:hideMark/>
          </w:tcPr>
          <w:p w14:paraId="003480CF" w14:textId="77777777" w:rsidR="006054AA" w:rsidRPr="00F31484" w:rsidRDefault="001F7667">
            <w:pPr>
              <w:pStyle w:val="P68B1DB1-Normal11"/>
              <w:jc w:val="center"/>
              <w:rPr>
                <w:noProof/>
                <w:sz w:val="16"/>
                <w:szCs w:val="16"/>
              </w:rPr>
            </w:pPr>
            <w:r w:rsidRPr="00F31484">
              <w:rPr>
                <w:noProof/>
                <w:sz w:val="16"/>
                <w:szCs w:val="16"/>
              </w:rPr>
              <w:t>M2C2—46</w:t>
            </w:r>
          </w:p>
        </w:tc>
        <w:tc>
          <w:tcPr>
            <w:tcW w:w="1643" w:type="dxa"/>
            <w:shd w:val="clear" w:color="auto" w:fill="C6EFCE"/>
            <w:noWrap/>
            <w:vAlign w:val="center"/>
            <w:hideMark/>
          </w:tcPr>
          <w:p w14:paraId="793E317B" w14:textId="77777777" w:rsidR="006054AA" w:rsidRPr="00F31484" w:rsidRDefault="001F7667">
            <w:pPr>
              <w:pStyle w:val="P68B1DB1-Normal11"/>
              <w:jc w:val="center"/>
              <w:rPr>
                <w:noProof/>
                <w:sz w:val="16"/>
                <w:szCs w:val="16"/>
              </w:rPr>
            </w:pPr>
            <w:r w:rsidRPr="00F31484">
              <w:rPr>
                <w:noProof/>
                <w:sz w:val="16"/>
                <w:szCs w:val="16"/>
              </w:rPr>
              <w:t>Инвестиция 1.2 Насърчаване на възобновяемите енергийни източници за енергийните общности и съвместно действащите потребители на собствена електроенергия от възобновяеми източници</w:t>
            </w:r>
          </w:p>
        </w:tc>
        <w:tc>
          <w:tcPr>
            <w:tcW w:w="1559" w:type="dxa"/>
            <w:shd w:val="clear" w:color="auto" w:fill="C6EFCE"/>
            <w:noWrap/>
            <w:vAlign w:val="center"/>
            <w:hideMark/>
          </w:tcPr>
          <w:p w14:paraId="61FD22EF" w14:textId="77777777"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hideMark/>
          </w:tcPr>
          <w:p w14:paraId="47321E97" w14:textId="77777777" w:rsidR="006054AA" w:rsidRPr="00F31484" w:rsidRDefault="001F7667">
            <w:pPr>
              <w:pStyle w:val="P68B1DB1-Normal11"/>
              <w:jc w:val="center"/>
              <w:rPr>
                <w:noProof/>
                <w:sz w:val="16"/>
                <w:szCs w:val="16"/>
              </w:rPr>
            </w:pPr>
            <w:r w:rsidRPr="00F31484">
              <w:rPr>
                <w:noProof/>
                <w:sz w:val="16"/>
                <w:szCs w:val="16"/>
              </w:rPr>
              <w:t>Възлагане на всички обществени поръчки за предоставяне на безвъзмездни средства за изпълнение на интервенциите за енергийни общности</w:t>
            </w:r>
          </w:p>
        </w:tc>
        <w:tc>
          <w:tcPr>
            <w:tcW w:w="1843" w:type="dxa"/>
            <w:shd w:val="clear" w:color="auto" w:fill="C6EFCE"/>
            <w:noWrap/>
            <w:vAlign w:val="center"/>
            <w:hideMark/>
          </w:tcPr>
          <w:p w14:paraId="68CC52AE" w14:textId="77777777" w:rsidR="006054AA" w:rsidRPr="00F31484" w:rsidRDefault="001F7667">
            <w:pPr>
              <w:pStyle w:val="P68B1DB1-Normal11"/>
              <w:jc w:val="center"/>
              <w:rPr>
                <w:noProof/>
                <w:sz w:val="16"/>
                <w:szCs w:val="16"/>
              </w:rPr>
            </w:pPr>
            <w:r w:rsidRPr="00F31484">
              <w:rPr>
                <w:noProof/>
                <w:sz w:val="16"/>
                <w:szCs w:val="16"/>
              </w:rPr>
              <w:t xml:space="preserve">Уведомяване за възлагането на всички обществени поръчки за изпълнение на интервенциите за енергийни общности </w:t>
            </w:r>
          </w:p>
        </w:tc>
        <w:tc>
          <w:tcPr>
            <w:tcW w:w="1417" w:type="dxa"/>
            <w:shd w:val="clear" w:color="auto" w:fill="C6EFCE"/>
            <w:noWrap/>
            <w:vAlign w:val="center"/>
            <w:hideMark/>
          </w:tcPr>
          <w:p w14:paraId="018CD686" w14:textId="77777777"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hideMark/>
          </w:tcPr>
          <w:p w14:paraId="130E8915" w14:textId="77777777" w:rsidR="006054AA" w:rsidRPr="00F31484" w:rsidRDefault="001F7667">
            <w:pPr>
              <w:pStyle w:val="P68B1DB1-Normal11"/>
              <w:jc w:val="center"/>
              <w:rPr>
                <w:noProof/>
                <w:sz w:val="16"/>
                <w:szCs w:val="16"/>
              </w:rPr>
            </w:pPr>
            <w:r w:rsidRPr="00F31484">
              <w:rPr>
                <w:noProof/>
                <w:sz w:val="16"/>
                <w:szCs w:val="16"/>
              </w:rPr>
              <w:t>НЯМА</w:t>
            </w:r>
          </w:p>
        </w:tc>
        <w:tc>
          <w:tcPr>
            <w:tcW w:w="946" w:type="dxa"/>
            <w:shd w:val="clear" w:color="auto" w:fill="C6EFCE"/>
            <w:noWrap/>
            <w:vAlign w:val="center"/>
            <w:hideMark/>
          </w:tcPr>
          <w:p w14:paraId="2FAD9929" w14:textId="77777777" w:rsidR="006054AA" w:rsidRPr="00F31484" w:rsidRDefault="001F7667">
            <w:pPr>
              <w:pStyle w:val="P68B1DB1-Normal11"/>
              <w:jc w:val="center"/>
              <w:rPr>
                <w:noProof/>
                <w:sz w:val="16"/>
                <w:szCs w:val="16"/>
              </w:rPr>
            </w:pPr>
            <w:r w:rsidRPr="00F31484">
              <w:rPr>
                <w:noProof/>
                <w:sz w:val="16"/>
                <w:szCs w:val="16"/>
              </w:rPr>
              <w:t>НЯМА</w:t>
            </w:r>
          </w:p>
        </w:tc>
        <w:tc>
          <w:tcPr>
            <w:tcW w:w="992" w:type="dxa"/>
            <w:shd w:val="clear" w:color="auto" w:fill="C6EFCE"/>
            <w:noWrap/>
            <w:vAlign w:val="center"/>
            <w:hideMark/>
          </w:tcPr>
          <w:p w14:paraId="31D99785" w14:textId="77777777" w:rsidR="006054AA" w:rsidRPr="00F31484" w:rsidRDefault="001F7667">
            <w:pPr>
              <w:pStyle w:val="P68B1DB1-Normal11"/>
              <w:jc w:val="center"/>
              <w:rPr>
                <w:noProof/>
                <w:sz w:val="16"/>
                <w:szCs w:val="16"/>
              </w:rPr>
            </w:pPr>
            <w:r w:rsidRPr="00F31484">
              <w:rPr>
                <w:noProof/>
                <w:sz w:val="16"/>
                <w:szCs w:val="16"/>
              </w:rPr>
              <w:t>Т4 Г.</w:t>
            </w:r>
          </w:p>
        </w:tc>
        <w:tc>
          <w:tcPr>
            <w:tcW w:w="756" w:type="dxa"/>
            <w:shd w:val="clear" w:color="auto" w:fill="C6EFCE"/>
            <w:noWrap/>
            <w:vAlign w:val="center"/>
            <w:hideMark/>
          </w:tcPr>
          <w:p w14:paraId="03968E71" w14:textId="77777777" w:rsidR="006054AA" w:rsidRPr="00F31484" w:rsidRDefault="001F7667">
            <w:pPr>
              <w:pStyle w:val="P68B1DB1-Normal11"/>
              <w:jc w:val="center"/>
              <w:rPr>
                <w:noProof/>
                <w:sz w:val="16"/>
                <w:szCs w:val="16"/>
              </w:rPr>
            </w:pPr>
            <w:r w:rsidRPr="00F31484">
              <w:rPr>
                <w:noProof/>
                <w:sz w:val="16"/>
                <w:szCs w:val="16"/>
              </w:rPr>
              <w:t xml:space="preserve">2025 </w:t>
            </w:r>
          </w:p>
        </w:tc>
        <w:tc>
          <w:tcPr>
            <w:tcW w:w="2793" w:type="dxa"/>
            <w:shd w:val="clear" w:color="auto" w:fill="C6EFCE"/>
            <w:noWrap/>
            <w:vAlign w:val="center"/>
            <w:hideMark/>
          </w:tcPr>
          <w:p w14:paraId="41E33AF6" w14:textId="2772E252" w:rsidR="006054AA" w:rsidRPr="00F31484" w:rsidRDefault="001F7667">
            <w:pPr>
              <w:pStyle w:val="P68B1DB1-Normal11"/>
              <w:rPr>
                <w:noProof/>
                <w:sz w:val="16"/>
                <w:szCs w:val="16"/>
              </w:rPr>
            </w:pPr>
            <w:r w:rsidRPr="00F31484">
              <w:rPr>
                <w:noProof/>
                <w:sz w:val="16"/>
                <w:szCs w:val="16"/>
              </w:rPr>
              <w:t>Подписване на договорите за отпускане на безвъзмездни средства за изпълнение на интервенциите за енергийни общности.</w:t>
            </w:r>
          </w:p>
        </w:tc>
      </w:tr>
      <w:tr w:rsidR="006054AA" w:rsidRPr="00F31484" w14:paraId="2BCE8323" w14:textId="77777777">
        <w:trPr>
          <w:trHeight w:val="309"/>
          <w:jc w:val="center"/>
        </w:trPr>
        <w:tc>
          <w:tcPr>
            <w:tcW w:w="1613" w:type="dxa"/>
            <w:shd w:val="clear" w:color="auto" w:fill="C6EFCE"/>
            <w:noWrap/>
            <w:vAlign w:val="center"/>
            <w:hideMark/>
          </w:tcPr>
          <w:p w14:paraId="21A10B5B" w14:textId="77777777" w:rsidR="006054AA" w:rsidRPr="00F31484" w:rsidRDefault="001F7667">
            <w:pPr>
              <w:pStyle w:val="P68B1DB1-Normal11"/>
              <w:jc w:val="center"/>
              <w:rPr>
                <w:noProof/>
                <w:sz w:val="16"/>
                <w:szCs w:val="16"/>
              </w:rPr>
            </w:pPr>
            <w:r w:rsidRPr="00F31484">
              <w:rPr>
                <w:noProof/>
                <w:sz w:val="16"/>
                <w:szCs w:val="16"/>
              </w:rPr>
              <w:t>M2C2—47</w:t>
            </w:r>
          </w:p>
        </w:tc>
        <w:tc>
          <w:tcPr>
            <w:tcW w:w="1643" w:type="dxa"/>
            <w:shd w:val="clear" w:color="auto" w:fill="C6EFCE"/>
            <w:noWrap/>
            <w:vAlign w:val="center"/>
            <w:hideMark/>
          </w:tcPr>
          <w:p w14:paraId="3A3D6CC3" w14:textId="77777777" w:rsidR="006054AA" w:rsidRPr="00F31484" w:rsidRDefault="001F7667">
            <w:pPr>
              <w:pStyle w:val="P68B1DB1-Normal11"/>
              <w:jc w:val="center"/>
              <w:rPr>
                <w:noProof/>
                <w:sz w:val="16"/>
                <w:szCs w:val="16"/>
              </w:rPr>
            </w:pPr>
            <w:r w:rsidRPr="00F31484">
              <w:rPr>
                <w:noProof/>
                <w:sz w:val="16"/>
                <w:szCs w:val="16"/>
              </w:rPr>
              <w:t>Инвестиция 1.2 Насърчаване на ВЕИ за енергийните общности и съвместно действащите потребители на собствена електроенергия от възобновяеми източници</w:t>
            </w:r>
          </w:p>
        </w:tc>
        <w:tc>
          <w:tcPr>
            <w:tcW w:w="1559" w:type="dxa"/>
            <w:shd w:val="clear" w:color="auto" w:fill="C6EFCE"/>
            <w:noWrap/>
            <w:vAlign w:val="center"/>
            <w:hideMark/>
          </w:tcPr>
          <w:p w14:paraId="61825259" w14:textId="77777777"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hideMark/>
          </w:tcPr>
          <w:p w14:paraId="5F9E148B" w14:textId="77777777" w:rsidR="006054AA" w:rsidRPr="00F31484" w:rsidRDefault="001F7667">
            <w:pPr>
              <w:pStyle w:val="P68B1DB1-Normal11"/>
              <w:jc w:val="center"/>
              <w:rPr>
                <w:noProof/>
                <w:sz w:val="16"/>
                <w:szCs w:val="16"/>
              </w:rPr>
            </w:pPr>
            <w:r w:rsidRPr="00F31484">
              <w:rPr>
                <w:noProof/>
                <w:sz w:val="16"/>
                <w:szCs w:val="16"/>
              </w:rPr>
              <w:t>Производство на енергия от възобновяеми източници на енергийни общности и съвместно действащи потребители на собствена електроенергия от възобновяеми източници</w:t>
            </w:r>
          </w:p>
        </w:tc>
        <w:tc>
          <w:tcPr>
            <w:tcW w:w="1843" w:type="dxa"/>
            <w:shd w:val="clear" w:color="auto" w:fill="C6EFCE"/>
            <w:noWrap/>
            <w:vAlign w:val="center"/>
            <w:hideMark/>
          </w:tcPr>
          <w:p w14:paraId="4E870E22" w14:textId="77777777"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hideMark/>
          </w:tcPr>
          <w:p w14:paraId="2E360EEF" w14:textId="77777777"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hideMark/>
          </w:tcPr>
          <w:p w14:paraId="6AE7C5D5" w14:textId="77777777"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hideMark/>
          </w:tcPr>
          <w:p w14:paraId="589D6281" w14:textId="1186F4B7" w:rsidR="006054AA" w:rsidRPr="00F31484" w:rsidRDefault="001F7667">
            <w:pPr>
              <w:pStyle w:val="P68B1DB1-Normal12"/>
              <w:jc w:val="center"/>
              <w:rPr>
                <w:rFonts w:ascii="Arial Narrow" w:hAnsi="Arial Narrow"/>
                <w:noProof/>
                <w:sz w:val="16"/>
                <w:szCs w:val="16"/>
              </w:rPr>
            </w:pPr>
            <w:r w:rsidRPr="00F31484">
              <w:rPr>
                <w:rFonts w:ascii="Arial Narrow" w:hAnsi="Arial Narrow"/>
                <w:noProof/>
                <w:sz w:val="16"/>
                <w:szCs w:val="16"/>
              </w:rPr>
              <w:t>1</w:t>
            </w:r>
            <w:r w:rsidRPr="00F31484">
              <w:rPr>
                <w:noProof/>
                <w:sz w:val="16"/>
                <w:szCs w:val="16"/>
              </w:rPr>
              <w:t xml:space="preserve"> </w:t>
            </w:r>
            <w:r w:rsidRPr="00F31484">
              <w:rPr>
                <w:rFonts w:ascii="Arial Narrow" w:hAnsi="Arial Narrow"/>
                <w:noProof/>
                <w:sz w:val="16"/>
                <w:szCs w:val="16"/>
              </w:rPr>
              <w:t>730</w:t>
            </w:r>
          </w:p>
        </w:tc>
        <w:tc>
          <w:tcPr>
            <w:tcW w:w="992" w:type="dxa"/>
            <w:shd w:val="clear" w:color="auto" w:fill="C6EFCE"/>
            <w:noWrap/>
            <w:vAlign w:val="center"/>
            <w:hideMark/>
          </w:tcPr>
          <w:p w14:paraId="28D8DEE2" w14:textId="77777777"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hideMark/>
          </w:tcPr>
          <w:p w14:paraId="22EB4CC9" w14:textId="77777777"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hideMark/>
          </w:tcPr>
          <w:p w14:paraId="37ED75D7" w14:textId="479C4D5B" w:rsidR="006054AA" w:rsidRPr="00F31484" w:rsidRDefault="001F7667">
            <w:pPr>
              <w:pStyle w:val="P68B1DB1-Normal12"/>
              <w:rPr>
                <w:rFonts w:ascii="Arial Narrow" w:hAnsi="Arial Narrow"/>
                <w:noProof/>
                <w:sz w:val="16"/>
                <w:szCs w:val="16"/>
              </w:rPr>
            </w:pPr>
            <w:r w:rsidRPr="00F31484">
              <w:rPr>
                <w:rFonts w:ascii="Arial Narrow" w:hAnsi="Arial Narrow"/>
                <w:noProof/>
                <w:sz w:val="16"/>
                <w:szCs w:val="16"/>
              </w:rPr>
              <w:t>Подкрепа за енергийните общности в общини с по-малко от 5</w:t>
            </w:r>
            <w:r w:rsidRPr="00F31484">
              <w:rPr>
                <w:noProof/>
                <w:sz w:val="16"/>
                <w:szCs w:val="16"/>
              </w:rPr>
              <w:t xml:space="preserve"> </w:t>
            </w:r>
            <w:r w:rsidRPr="00F31484">
              <w:rPr>
                <w:rFonts w:ascii="Arial Narrow" w:hAnsi="Arial Narrow"/>
                <w:noProof/>
                <w:sz w:val="16"/>
                <w:szCs w:val="16"/>
              </w:rPr>
              <w:t>000 жители за осигуряване на инсталацията от възобновяеми източници с мощност най-малко 1</w:t>
            </w:r>
            <w:r w:rsidRPr="00F31484">
              <w:rPr>
                <w:noProof/>
                <w:sz w:val="16"/>
                <w:szCs w:val="16"/>
              </w:rPr>
              <w:t xml:space="preserve"> </w:t>
            </w:r>
            <w:r w:rsidRPr="00F31484">
              <w:rPr>
                <w:rFonts w:ascii="Arial Narrow" w:hAnsi="Arial Narrow"/>
                <w:noProof/>
                <w:sz w:val="16"/>
                <w:szCs w:val="16"/>
              </w:rPr>
              <w:t>730 MW. Тази мярка не подпомага дейности, свързани с водород, които водят до емисии на парникови газове над 3 tCO2eq/tH2.</w:t>
            </w:r>
          </w:p>
        </w:tc>
      </w:tr>
      <w:tr w:rsidR="006054AA" w:rsidRPr="00F31484" w14:paraId="124B3150" w14:textId="77777777">
        <w:trPr>
          <w:trHeight w:val="309"/>
          <w:jc w:val="center"/>
        </w:trPr>
        <w:tc>
          <w:tcPr>
            <w:tcW w:w="1613" w:type="dxa"/>
            <w:shd w:val="clear" w:color="auto" w:fill="C6EFCE"/>
            <w:noWrap/>
            <w:vAlign w:val="center"/>
          </w:tcPr>
          <w:p w14:paraId="2C899AE0" w14:textId="77777777" w:rsidR="006054AA" w:rsidRPr="00F31484" w:rsidRDefault="001F7667">
            <w:pPr>
              <w:pStyle w:val="P68B1DB1-Normal11"/>
              <w:jc w:val="center"/>
              <w:rPr>
                <w:noProof/>
                <w:sz w:val="16"/>
                <w:szCs w:val="16"/>
              </w:rPr>
            </w:pPr>
            <w:r w:rsidRPr="00F31484">
              <w:rPr>
                <w:noProof/>
                <w:sz w:val="16"/>
                <w:szCs w:val="16"/>
              </w:rPr>
              <w:t>M2C2—48</w:t>
            </w:r>
          </w:p>
        </w:tc>
        <w:tc>
          <w:tcPr>
            <w:tcW w:w="1643" w:type="dxa"/>
            <w:shd w:val="clear" w:color="auto" w:fill="C6EFCE"/>
            <w:noWrap/>
            <w:vAlign w:val="center"/>
          </w:tcPr>
          <w:p w14:paraId="36074FF4" w14:textId="77777777" w:rsidR="006054AA" w:rsidRPr="00F31484" w:rsidRDefault="001F7667">
            <w:pPr>
              <w:pStyle w:val="P68B1DB1-Normal11"/>
              <w:jc w:val="center"/>
              <w:rPr>
                <w:noProof/>
                <w:sz w:val="16"/>
                <w:szCs w:val="16"/>
              </w:rPr>
            </w:pPr>
            <w:r w:rsidRPr="00F31484">
              <w:rPr>
                <w:noProof/>
                <w:sz w:val="16"/>
                <w:szCs w:val="16"/>
              </w:rPr>
              <w:t>Инвестиция 3.1 Производство на водород в изоставени промишлени терени (водородни долини)</w:t>
            </w:r>
          </w:p>
        </w:tc>
        <w:tc>
          <w:tcPr>
            <w:tcW w:w="1559" w:type="dxa"/>
            <w:shd w:val="clear" w:color="auto" w:fill="C6EFCE"/>
            <w:noWrap/>
            <w:vAlign w:val="center"/>
          </w:tcPr>
          <w:p w14:paraId="51930F8B" w14:textId="77777777"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tcPr>
          <w:p w14:paraId="11C8216A" w14:textId="77777777" w:rsidR="006054AA" w:rsidRPr="00F31484" w:rsidRDefault="001F7667">
            <w:pPr>
              <w:pStyle w:val="P68B1DB1-Normal11"/>
              <w:jc w:val="center"/>
              <w:rPr>
                <w:noProof/>
                <w:sz w:val="16"/>
                <w:szCs w:val="16"/>
              </w:rPr>
            </w:pPr>
            <w:r w:rsidRPr="00F31484">
              <w:rPr>
                <w:noProof/>
                <w:sz w:val="16"/>
                <w:szCs w:val="16"/>
              </w:rPr>
              <w:t>Възлагане на всички обществени поръчки за проекти за производство на водород в центрове на изоставени промишлени зони</w:t>
            </w:r>
          </w:p>
        </w:tc>
        <w:tc>
          <w:tcPr>
            <w:tcW w:w="1843" w:type="dxa"/>
            <w:shd w:val="clear" w:color="auto" w:fill="C6EFCE"/>
            <w:noWrap/>
            <w:vAlign w:val="center"/>
          </w:tcPr>
          <w:p w14:paraId="45B691C9" w14:textId="77777777" w:rsidR="006054AA" w:rsidRPr="00F31484" w:rsidRDefault="001F7667">
            <w:pPr>
              <w:pStyle w:val="P68B1DB1-Normal11"/>
              <w:jc w:val="center"/>
              <w:rPr>
                <w:noProof/>
                <w:sz w:val="16"/>
                <w:szCs w:val="16"/>
              </w:rPr>
            </w:pPr>
            <w:r w:rsidRPr="00F31484">
              <w:rPr>
                <w:noProof/>
                <w:sz w:val="16"/>
                <w:szCs w:val="16"/>
              </w:rPr>
              <w:t>Уведомление за възлагането на всички обществени поръчки за производство на водород в центрове на изоставени промишлени зони</w:t>
            </w:r>
          </w:p>
        </w:tc>
        <w:tc>
          <w:tcPr>
            <w:tcW w:w="1417" w:type="dxa"/>
            <w:shd w:val="clear" w:color="auto" w:fill="C6EFCE"/>
            <w:noWrap/>
            <w:vAlign w:val="center"/>
          </w:tcPr>
          <w:p w14:paraId="0803A14B" w14:textId="77777777"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tcPr>
          <w:p w14:paraId="0E4F627C" w14:textId="77777777" w:rsidR="006054AA" w:rsidRPr="00F31484" w:rsidRDefault="001F7667">
            <w:pPr>
              <w:pStyle w:val="P68B1DB1-Normal11"/>
              <w:jc w:val="center"/>
              <w:rPr>
                <w:noProof/>
                <w:sz w:val="16"/>
                <w:szCs w:val="16"/>
              </w:rPr>
            </w:pPr>
            <w:r w:rsidRPr="00F31484">
              <w:rPr>
                <w:noProof/>
                <w:sz w:val="16"/>
                <w:szCs w:val="16"/>
              </w:rPr>
              <w:t>НЯМА</w:t>
            </w:r>
          </w:p>
        </w:tc>
        <w:tc>
          <w:tcPr>
            <w:tcW w:w="946" w:type="dxa"/>
            <w:shd w:val="clear" w:color="auto" w:fill="C6EFCE"/>
            <w:noWrap/>
            <w:vAlign w:val="center"/>
          </w:tcPr>
          <w:p w14:paraId="1681F748" w14:textId="77777777" w:rsidR="006054AA" w:rsidRPr="00F31484" w:rsidRDefault="001F7667">
            <w:pPr>
              <w:pStyle w:val="P68B1DB1-Normal11"/>
              <w:jc w:val="center"/>
              <w:rPr>
                <w:noProof/>
                <w:sz w:val="16"/>
                <w:szCs w:val="16"/>
              </w:rPr>
            </w:pPr>
            <w:r w:rsidRPr="00F31484">
              <w:rPr>
                <w:noProof/>
                <w:sz w:val="16"/>
                <w:szCs w:val="16"/>
              </w:rPr>
              <w:t>НЯМА</w:t>
            </w:r>
          </w:p>
        </w:tc>
        <w:tc>
          <w:tcPr>
            <w:tcW w:w="992" w:type="dxa"/>
            <w:shd w:val="clear" w:color="auto" w:fill="C6EFCE"/>
            <w:noWrap/>
            <w:vAlign w:val="center"/>
          </w:tcPr>
          <w:p w14:paraId="12F83C88" w14:textId="77777777" w:rsidR="006054AA" w:rsidRPr="00F31484" w:rsidRDefault="001F7667">
            <w:pPr>
              <w:pStyle w:val="P68B1DB1-Normal11"/>
              <w:jc w:val="center"/>
              <w:rPr>
                <w:noProof/>
                <w:sz w:val="16"/>
                <w:szCs w:val="16"/>
              </w:rPr>
            </w:pPr>
            <w:r w:rsidRPr="00F31484">
              <w:rPr>
                <w:noProof/>
                <w:sz w:val="16"/>
                <w:szCs w:val="16"/>
              </w:rPr>
              <w:t>Т1 Г.</w:t>
            </w:r>
          </w:p>
        </w:tc>
        <w:tc>
          <w:tcPr>
            <w:tcW w:w="756" w:type="dxa"/>
            <w:shd w:val="clear" w:color="auto" w:fill="C6EFCE"/>
            <w:noWrap/>
            <w:vAlign w:val="center"/>
          </w:tcPr>
          <w:p w14:paraId="5836E9CC" w14:textId="77777777" w:rsidR="006054AA" w:rsidRPr="00F31484" w:rsidRDefault="001F7667">
            <w:pPr>
              <w:pStyle w:val="P68B1DB1-Normal11"/>
              <w:jc w:val="center"/>
              <w:rPr>
                <w:noProof/>
                <w:sz w:val="16"/>
                <w:szCs w:val="16"/>
              </w:rPr>
            </w:pPr>
            <w:r w:rsidRPr="00F31484">
              <w:rPr>
                <w:noProof/>
                <w:sz w:val="16"/>
                <w:szCs w:val="16"/>
              </w:rPr>
              <w:t>2023</w:t>
            </w:r>
          </w:p>
        </w:tc>
        <w:tc>
          <w:tcPr>
            <w:tcW w:w="2793" w:type="dxa"/>
            <w:shd w:val="clear" w:color="auto" w:fill="C6EFCE"/>
            <w:noWrap/>
            <w:vAlign w:val="center"/>
          </w:tcPr>
          <w:p w14:paraId="4DB42062" w14:textId="77777777" w:rsidR="006054AA" w:rsidRPr="00F31484" w:rsidRDefault="001F7667">
            <w:pPr>
              <w:pStyle w:val="P68B1DB1-Normal19"/>
              <w:rPr>
                <w:noProof/>
                <w:color w:val="006100"/>
                <w:sz w:val="16"/>
                <w:szCs w:val="16"/>
              </w:rPr>
            </w:pPr>
            <w:r w:rsidRPr="00F31484">
              <w:rPr>
                <w:noProof/>
                <w:color w:val="006100"/>
                <w:sz w:val="16"/>
                <w:szCs w:val="16"/>
              </w:rPr>
              <w:t>Възлагане на проекти за производство на водород в центрове на изоставени промишлени зони. Предоставя се финансиране за производството на зелен водород с по-малко от 3 tCO2eq/tH2, за да се постигне най-добрият резултат по отношение на декарбонизацията.</w:t>
            </w:r>
            <w:r w:rsidRPr="00F31484">
              <w:rPr>
                <w:noProof/>
                <w:sz w:val="16"/>
                <w:szCs w:val="16"/>
              </w:rPr>
              <w:t xml:space="preserve"> </w:t>
            </w:r>
            <w:r w:rsidRPr="00F31484">
              <w:rPr>
                <w:noProof/>
                <w:color w:val="006100"/>
                <w:sz w:val="16"/>
                <w:szCs w:val="16"/>
              </w:rPr>
              <w:t>Тази мярка подпомага производството на водород въз основа на електролиза с използване на възобновяеми енергийни източници, както е определено в Директива (ЕС) 2018/2001 (Директивата за възобновяемите енергийни източници), или електроенергия от мрежата</w:t>
            </w:r>
            <w:r w:rsidRPr="00F31484">
              <w:rPr>
                <w:noProof/>
                <w:sz w:val="16"/>
                <w:szCs w:val="16"/>
              </w:rPr>
              <w:t>.</w:t>
            </w:r>
          </w:p>
        </w:tc>
      </w:tr>
      <w:tr w:rsidR="006054AA" w:rsidRPr="00F31484" w14:paraId="41646CBA" w14:textId="77777777">
        <w:trPr>
          <w:trHeight w:val="309"/>
          <w:jc w:val="center"/>
        </w:trPr>
        <w:tc>
          <w:tcPr>
            <w:tcW w:w="1613" w:type="dxa"/>
            <w:shd w:val="clear" w:color="auto" w:fill="C6EFCE"/>
            <w:noWrap/>
            <w:vAlign w:val="center"/>
          </w:tcPr>
          <w:p w14:paraId="69AF7824" w14:textId="77777777" w:rsidR="006054AA" w:rsidRPr="00F31484" w:rsidRDefault="001F7667">
            <w:pPr>
              <w:pStyle w:val="P68B1DB1-Normal11"/>
              <w:jc w:val="center"/>
              <w:rPr>
                <w:noProof/>
                <w:sz w:val="16"/>
                <w:szCs w:val="16"/>
              </w:rPr>
            </w:pPr>
            <w:r w:rsidRPr="00F31484">
              <w:rPr>
                <w:noProof/>
                <w:sz w:val="16"/>
                <w:szCs w:val="16"/>
              </w:rPr>
              <w:t>M2C2—49</w:t>
            </w:r>
          </w:p>
        </w:tc>
        <w:tc>
          <w:tcPr>
            <w:tcW w:w="1643" w:type="dxa"/>
            <w:shd w:val="clear" w:color="auto" w:fill="C6EFCE"/>
            <w:noWrap/>
            <w:vAlign w:val="center"/>
          </w:tcPr>
          <w:p w14:paraId="0BA0F21F" w14:textId="77777777" w:rsidR="006054AA" w:rsidRPr="00F31484" w:rsidRDefault="001F7667">
            <w:pPr>
              <w:pStyle w:val="P68B1DB1-Normal11"/>
              <w:jc w:val="center"/>
              <w:rPr>
                <w:noProof/>
                <w:sz w:val="16"/>
                <w:szCs w:val="16"/>
              </w:rPr>
            </w:pPr>
            <w:r w:rsidRPr="00F31484">
              <w:rPr>
                <w:noProof/>
                <w:sz w:val="16"/>
                <w:szCs w:val="16"/>
              </w:rPr>
              <w:t>Инвестиция 3.1 Производство на водород в изоставени промишлени терени (водородни долини)</w:t>
            </w:r>
          </w:p>
        </w:tc>
        <w:tc>
          <w:tcPr>
            <w:tcW w:w="1559" w:type="dxa"/>
            <w:shd w:val="clear" w:color="auto" w:fill="C6EFCE"/>
            <w:noWrap/>
            <w:vAlign w:val="center"/>
          </w:tcPr>
          <w:p w14:paraId="38753819" w14:textId="77777777"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03F5F0B3" w14:textId="77777777" w:rsidR="006054AA" w:rsidRPr="00F31484" w:rsidRDefault="001F7667">
            <w:pPr>
              <w:pStyle w:val="P68B1DB1-Normal11"/>
              <w:jc w:val="center"/>
              <w:rPr>
                <w:noProof/>
                <w:sz w:val="16"/>
                <w:szCs w:val="16"/>
              </w:rPr>
            </w:pPr>
            <w:r w:rsidRPr="00F31484">
              <w:rPr>
                <w:noProof/>
                <w:sz w:val="16"/>
                <w:szCs w:val="16"/>
              </w:rPr>
              <w:t>Приключване на проекта за производство на водород в промишлени райони</w:t>
            </w:r>
          </w:p>
        </w:tc>
        <w:tc>
          <w:tcPr>
            <w:tcW w:w="1843" w:type="dxa"/>
            <w:shd w:val="clear" w:color="auto" w:fill="C6EFCE"/>
            <w:noWrap/>
            <w:vAlign w:val="center"/>
          </w:tcPr>
          <w:p w14:paraId="0D1FBFCC" w14:textId="77777777"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160DB480" w14:textId="77777777"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26D25F9A" w14:textId="77777777"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6FAA6D43" w14:textId="77777777" w:rsidR="006054AA" w:rsidRPr="00F31484" w:rsidRDefault="001F7667">
            <w:pPr>
              <w:pStyle w:val="P68B1DB1-Normal11"/>
              <w:jc w:val="center"/>
              <w:rPr>
                <w:noProof/>
                <w:sz w:val="16"/>
                <w:szCs w:val="16"/>
              </w:rPr>
            </w:pPr>
            <w:r w:rsidRPr="00F31484">
              <w:rPr>
                <w:noProof/>
                <w:sz w:val="16"/>
                <w:szCs w:val="16"/>
              </w:rPr>
              <w:t>10</w:t>
            </w:r>
          </w:p>
        </w:tc>
        <w:tc>
          <w:tcPr>
            <w:tcW w:w="992" w:type="dxa"/>
            <w:shd w:val="clear" w:color="auto" w:fill="C6EFCE"/>
            <w:noWrap/>
            <w:vAlign w:val="center"/>
          </w:tcPr>
          <w:p w14:paraId="782E86C4" w14:textId="77777777"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2BF50EE8" w14:textId="77777777"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73499DF0" w14:textId="77777777" w:rsidR="006054AA" w:rsidRPr="00F31484" w:rsidRDefault="001F7667">
            <w:pPr>
              <w:pStyle w:val="P68B1DB1-Normal11"/>
              <w:spacing w:after="120"/>
              <w:rPr>
                <w:noProof/>
                <w:sz w:val="16"/>
                <w:szCs w:val="16"/>
              </w:rPr>
            </w:pPr>
            <w:r w:rsidRPr="00F31484">
              <w:rPr>
                <w:noProof/>
                <w:sz w:val="16"/>
                <w:szCs w:val="16"/>
              </w:rPr>
              <w:t>Да завършат най-малко 10 проекта за производство на водород в изоставени промишлени райони със среден капацитет от най-малко 1—5 MW всеки.</w:t>
            </w:r>
          </w:p>
          <w:p w14:paraId="6A3D0136" w14:textId="77777777" w:rsidR="006054AA" w:rsidRPr="00F31484" w:rsidRDefault="001F7667">
            <w:pPr>
              <w:pStyle w:val="P68B1DB1-Normal11"/>
              <w:spacing w:after="120"/>
              <w:rPr>
                <w:noProof/>
                <w:sz w:val="16"/>
                <w:szCs w:val="16"/>
              </w:rPr>
            </w:pPr>
            <w:r w:rsidRPr="00F31484">
              <w:rPr>
                <w:noProof/>
                <w:sz w:val="16"/>
                <w:szCs w:val="16"/>
              </w:rPr>
              <w:t>Тази мярка подпомага производството на водород въз основа на електролиза чрез използване на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w:t>
            </w:r>
          </w:p>
        </w:tc>
      </w:tr>
      <w:tr w:rsidR="006054AA" w:rsidRPr="00F31484" w14:paraId="7883E920" w14:textId="77777777">
        <w:trPr>
          <w:trHeight w:val="309"/>
          <w:jc w:val="center"/>
        </w:trPr>
        <w:tc>
          <w:tcPr>
            <w:tcW w:w="1613" w:type="dxa"/>
            <w:shd w:val="clear" w:color="auto" w:fill="C6EFCE"/>
            <w:noWrap/>
            <w:vAlign w:val="center"/>
          </w:tcPr>
          <w:p w14:paraId="44ABFBEE" w14:textId="77777777" w:rsidR="006054AA" w:rsidRPr="00F31484" w:rsidRDefault="001F7667">
            <w:pPr>
              <w:pStyle w:val="P68B1DB1-Normal11"/>
              <w:jc w:val="center"/>
              <w:rPr>
                <w:noProof/>
                <w:sz w:val="16"/>
                <w:szCs w:val="16"/>
              </w:rPr>
            </w:pPr>
            <w:r w:rsidRPr="00F31484">
              <w:rPr>
                <w:noProof/>
                <w:sz w:val="16"/>
                <w:szCs w:val="16"/>
              </w:rPr>
              <w:t>M2C2—50</w:t>
            </w:r>
          </w:p>
        </w:tc>
        <w:tc>
          <w:tcPr>
            <w:tcW w:w="1643" w:type="dxa"/>
            <w:shd w:val="clear" w:color="auto" w:fill="C6EFCE"/>
            <w:noWrap/>
            <w:vAlign w:val="center"/>
          </w:tcPr>
          <w:p w14:paraId="14ECA391" w14:textId="77777777" w:rsidR="006054AA" w:rsidRPr="00F31484" w:rsidRDefault="001F7667">
            <w:pPr>
              <w:pStyle w:val="P68B1DB1-Normal11"/>
              <w:jc w:val="center"/>
              <w:rPr>
                <w:noProof/>
                <w:sz w:val="16"/>
                <w:szCs w:val="16"/>
              </w:rPr>
            </w:pPr>
            <w:r w:rsidRPr="00F31484">
              <w:rPr>
                <w:noProof/>
                <w:sz w:val="16"/>
                <w:szCs w:val="16"/>
              </w:rPr>
              <w:t>Инвестиция 3.2 — Използване на водород в трудна за намаляване на емисиите промишленост</w:t>
            </w:r>
          </w:p>
        </w:tc>
        <w:tc>
          <w:tcPr>
            <w:tcW w:w="1559" w:type="dxa"/>
            <w:shd w:val="clear" w:color="auto" w:fill="C6EFCE"/>
            <w:noWrap/>
            <w:vAlign w:val="center"/>
          </w:tcPr>
          <w:p w14:paraId="554BBDCD" w14:textId="77777777"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tcPr>
          <w:p w14:paraId="55BD504A" w14:textId="77777777" w:rsidR="006054AA" w:rsidRPr="00F31484" w:rsidRDefault="001F7667">
            <w:pPr>
              <w:pStyle w:val="P68B1DB1-Normal11"/>
              <w:jc w:val="center"/>
              <w:rPr>
                <w:noProof/>
                <w:sz w:val="16"/>
                <w:szCs w:val="16"/>
              </w:rPr>
            </w:pPr>
            <w:r w:rsidRPr="00F31484">
              <w:rPr>
                <w:noProof/>
                <w:sz w:val="16"/>
                <w:szCs w:val="16"/>
              </w:rPr>
              <w:t>Споразумение за насърчаване на прехода от метан към зелен водород</w:t>
            </w:r>
          </w:p>
        </w:tc>
        <w:tc>
          <w:tcPr>
            <w:tcW w:w="1843" w:type="dxa"/>
            <w:shd w:val="clear" w:color="auto" w:fill="C6EFCE"/>
            <w:noWrap/>
            <w:vAlign w:val="center"/>
          </w:tcPr>
          <w:p w14:paraId="5ABE1986" w14:textId="77777777" w:rsidR="006054AA" w:rsidRPr="00F31484" w:rsidRDefault="001F7667">
            <w:pPr>
              <w:pStyle w:val="P68B1DB1-Normal11"/>
              <w:jc w:val="center"/>
              <w:rPr>
                <w:noProof/>
                <w:sz w:val="16"/>
                <w:szCs w:val="16"/>
              </w:rPr>
            </w:pPr>
            <w:r w:rsidRPr="00F31484">
              <w:rPr>
                <w:noProof/>
                <w:sz w:val="16"/>
                <w:szCs w:val="16"/>
              </w:rPr>
              <w:t>Подписване на споразумението</w:t>
            </w:r>
          </w:p>
        </w:tc>
        <w:tc>
          <w:tcPr>
            <w:tcW w:w="1417" w:type="dxa"/>
            <w:shd w:val="clear" w:color="auto" w:fill="C6EFCE"/>
            <w:noWrap/>
            <w:vAlign w:val="center"/>
          </w:tcPr>
          <w:p w14:paraId="49E60012" w14:textId="77777777"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tcPr>
          <w:p w14:paraId="179D9CF1" w14:textId="77777777" w:rsidR="006054AA" w:rsidRPr="00F31484" w:rsidRDefault="001F7667">
            <w:pPr>
              <w:pStyle w:val="P68B1DB1-Normal11"/>
              <w:jc w:val="center"/>
              <w:rPr>
                <w:noProof/>
                <w:sz w:val="16"/>
                <w:szCs w:val="16"/>
              </w:rPr>
            </w:pPr>
            <w:r w:rsidRPr="00F31484">
              <w:rPr>
                <w:noProof/>
                <w:sz w:val="16"/>
                <w:szCs w:val="16"/>
              </w:rPr>
              <w:t>НЯМА</w:t>
            </w:r>
          </w:p>
        </w:tc>
        <w:tc>
          <w:tcPr>
            <w:tcW w:w="946" w:type="dxa"/>
            <w:shd w:val="clear" w:color="auto" w:fill="C6EFCE"/>
            <w:noWrap/>
            <w:vAlign w:val="center"/>
          </w:tcPr>
          <w:p w14:paraId="149A7A55" w14:textId="77777777" w:rsidR="006054AA" w:rsidRPr="00F31484" w:rsidRDefault="001F7667">
            <w:pPr>
              <w:pStyle w:val="P68B1DB1-Normal11"/>
              <w:jc w:val="center"/>
              <w:rPr>
                <w:noProof/>
                <w:sz w:val="16"/>
                <w:szCs w:val="16"/>
              </w:rPr>
            </w:pPr>
            <w:r w:rsidRPr="00F31484">
              <w:rPr>
                <w:noProof/>
                <w:sz w:val="16"/>
                <w:szCs w:val="16"/>
              </w:rPr>
              <w:t>НЯМА</w:t>
            </w:r>
          </w:p>
        </w:tc>
        <w:tc>
          <w:tcPr>
            <w:tcW w:w="992" w:type="dxa"/>
            <w:shd w:val="clear" w:color="auto" w:fill="C6EFCE"/>
            <w:noWrap/>
            <w:vAlign w:val="center"/>
          </w:tcPr>
          <w:p w14:paraId="0553CBE0" w14:textId="77777777" w:rsidR="006054AA" w:rsidRPr="00F31484" w:rsidRDefault="001F7667">
            <w:pPr>
              <w:pStyle w:val="P68B1DB1-Normal11"/>
              <w:jc w:val="center"/>
              <w:rPr>
                <w:noProof/>
                <w:sz w:val="16"/>
                <w:szCs w:val="16"/>
              </w:rPr>
            </w:pPr>
            <w:r w:rsidRPr="00F31484">
              <w:rPr>
                <w:noProof/>
                <w:sz w:val="16"/>
                <w:szCs w:val="16"/>
              </w:rPr>
              <w:t>Т1 Г.</w:t>
            </w:r>
          </w:p>
        </w:tc>
        <w:tc>
          <w:tcPr>
            <w:tcW w:w="756" w:type="dxa"/>
            <w:shd w:val="clear" w:color="auto" w:fill="C6EFCE"/>
            <w:noWrap/>
            <w:vAlign w:val="center"/>
          </w:tcPr>
          <w:p w14:paraId="7AC0FE4E" w14:textId="77777777" w:rsidR="006054AA" w:rsidRPr="00F31484" w:rsidRDefault="001F7667">
            <w:pPr>
              <w:pStyle w:val="P68B1DB1-Normal11"/>
              <w:jc w:val="center"/>
              <w:rPr>
                <w:noProof/>
                <w:sz w:val="16"/>
                <w:szCs w:val="16"/>
              </w:rPr>
            </w:pPr>
            <w:r w:rsidRPr="00F31484">
              <w:rPr>
                <w:noProof/>
                <w:sz w:val="16"/>
                <w:szCs w:val="16"/>
              </w:rPr>
              <w:t>2023</w:t>
            </w:r>
          </w:p>
        </w:tc>
        <w:tc>
          <w:tcPr>
            <w:tcW w:w="2793" w:type="dxa"/>
            <w:shd w:val="clear" w:color="auto" w:fill="C6EFCE"/>
            <w:noWrap/>
            <w:vAlign w:val="center"/>
          </w:tcPr>
          <w:p w14:paraId="58E8DD70" w14:textId="77777777" w:rsidR="006054AA" w:rsidRPr="00F31484" w:rsidRDefault="001F7667">
            <w:pPr>
              <w:pStyle w:val="P68B1DB1-Normal19"/>
              <w:rPr>
                <w:noProof/>
                <w:color w:val="006100"/>
                <w:sz w:val="16"/>
                <w:szCs w:val="16"/>
              </w:rPr>
            </w:pPr>
            <w:r w:rsidRPr="00F31484">
              <w:rPr>
                <w:noProof/>
                <w:color w:val="006100"/>
                <w:sz w:val="16"/>
                <w:szCs w:val="16"/>
              </w:rPr>
              <w:t>Подписване на споразумението с избраните собственици на проекти за насърчаване на прехода от метан към зелен водород. Част от проектите трябва да са посветени на процеса за разработване на R), а част от тях са посветени на реализацията и изпитването на промишлен прототип с използване на водород.</w:t>
            </w:r>
            <w:r w:rsidRPr="00F31484">
              <w:rPr>
                <w:noProof/>
                <w:sz w:val="16"/>
                <w:szCs w:val="16"/>
              </w:rPr>
              <w:t xml:space="preserve"> </w:t>
            </w:r>
            <w:r w:rsidRPr="00F31484">
              <w:rPr>
                <w:noProof/>
                <w:color w:val="006100"/>
                <w:sz w:val="16"/>
                <w:szCs w:val="16"/>
              </w:rPr>
              <w:t>Тази мярка подпомага производството на водород въз основа на електролиза чрез използване на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w:t>
            </w:r>
          </w:p>
        </w:tc>
      </w:tr>
      <w:tr w:rsidR="006054AA" w:rsidRPr="00F31484" w14:paraId="0DCF4886" w14:textId="77777777">
        <w:trPr>
          <w:trHeight w:val="309"/>
          <w:jc w:val="center"/>
        </w:trPr>
        <w:tc>
          <w:tcPr>
            <w:tcW w:w="1613" w:type="dxa"/>
            <w:shd w:val="clear" w:color="auto" w:fill="C6EFCE"/>
            <w:noWrap/>
            <w:vAlign w:val="center"/>
          </w:tcPr>
          <w:p w14:paraId="77936FDA" w14:textId="77777777" w:rsidR="006054AA" w:rsidRPr="00F31484" w:rsidRDefault="001F7667">
            <w:pPr>
              <w:pStyle w:val="P68B1DB1-Normal11"/>
              <w:jc w:val="center"/>
              <w:rPr>
                <w:noProof/>
                <w:sz w:val="16"/>
                <w:szCs w:val="16"/>
              </w:rPr>
            </w:pPr>
            <w:r w:rsidRPr="00F31484">
              <w:rPr>
                <w:noProof/>
                <w:sz w:val="16"/>
                <w:szCs w:val="16"/>
              </w:rPr>
              <w:t>M2C2—51</w:t>
            </w:r>
          </w:p>
        </w:tc>
        <w:tc>
          <w:tcPr>
            <w:tcW w:w="1643" w:type="dxa"/>
            <w:shd w:val="clear" w:color="auto" w:fill="C6EFCE"/>
            <w:noWrap/>
            <w:vAlign w:val="center"/>
          </w:tcPr>
          <w:p w14:paraId="6E36E884" w14:textId="77777777" w:rsidR="006054AA" w:rsidRPr="00F31484" w:rsidRDefault="001F7667">
            <w:pPr>
              <w:pStyle w:val="P68B1DB1-Normal11"/>
              <w:jc w:val="center"/>
              <w:rPr>
                <w:noProof/>
                <w:sz w:val="16"/>
                <w:szCs w:val="16"/>
              </w:rPr>
            </w:pPr>
            <w:r w:rsidRPr="00F31484">
              <w:rPr>
                <w:noProof/>
                <w:sz w:val="16"/>
                <w:szCs w:val="16"/>
              </w:rPr>
              <w:t>Инвестиция 3.2 — Използване на водород в трудна за намаляване на емисиите промишленост</w:t>
            </w:r>
          </w:p>
        </w:tc>
        <w:tc>
          <w:tcPr>
            <w:tcW w:w="1559" w:type="dxa"/>
            <w:shd w:val="clear" w:color="auto" w:fill="C6EFCE"/>
            <w:noWrap/>
            <w:vAlign w:val="center"/>
          </w:tcPr>
          <w:p w14:paraId="4B830690" w14:textId="77777777"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7C9FB0D4" w14:textId="77777777" w:rsidR="006054AA" w:rsidRPr="00F31484" w:rsidRDefault="001F7667">
            <w:pPr>
              <w:pStyle w:val="P68B1DB1-Normal11"/>
              <w:jc w:val="center"/>
              <w:rPr>
                <w:noProof/>
                <w:sz w:val="16"/>
                <w:szCs w:val="16"/>
              </w:rPr>
            </w:pPr>
            <w:r w:rsidRPr="00F31484">
              <w:rPr>
                <w:noProof/>
                <w:sz w:val="16"/>
                <w:szCs w:val="16"/>
              </w:rPr>
              <w:t>Въвеждане на водорода в промишления процес</w:t>
            </w:r>
          </w:p>
        </w:tc>
        <w:tc>
          <w:tcPr>
            <w:tcW w:w="1843" w:type="dxa"/>
            <w:shd w:val="clear" w:color="auto" w:fill="C6EFCE"/>
            <w:noWrap/>
            <w:vAlign w:val="center"/>
          </w:tcPr>
          <w:p w14:paraId="154FB226" w14:textId="77777777"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2D721C78" w14:textId="77777777" w:rsidR="006054AA" w:rsidRPr="00F31484" w:rsidRDefault="001F7667">
            <w:pPr>
              <w:pStyle w:val="P68B1DB1-Normal11"/>
              <w:jc w:val="center"/>
              <w:rPr>
                <w:noProof/>
                <w:sz w:val="16"/>
                <w:szCs w:val="16"/>
              </w:rPr>
            </w:pPr>
            <w:r w:rsidRPr="00F31484">
              <w:rPr>
                <w:noProof/>
                <w:sz w:val="16"/>
                <w:szCs w:val="16"/>
              </w:rPr>
              <w:t xml:space="preserve">Брой </w:t>
            </w:r>
          </w:p>
        </w:tc>
        <w:tc>
          <w:tcPr>
            <w:tcW w:w="1134" w:type="dxa"/>
            <w:shd w:val="clear" w:color="auto" w:fill="C6EFCE"/>
            <w:noWrap/>
            <w:vAlign w:val="center"/>
          </w:tcPr>
          <w:p w14:paraId="0DBAF812" w14:textId="77777777"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58CB8129" w14:textId="77777777" w:rsidR="006054AA" w:rsidRPr="00F31484" w:rsidRDefault="001F7667">
            <w:pPr>
              <w:pStyle w:val="P68B1DB1-Normal11"/>
              <w:jc w:val="center"/>
              <w:rPr>
                <w:noProof/>
                <w:sz w:val="16"/>
                <w:szCs w:val="16"/>
              </w:rPr>
            </w:pPr>
            <w:r w:rsidRPr="00F31484">
              <w:rPr>
                <w:noProof/>
                <w:sz w:val="16"/>
                <w:szCs w:val="16"/>
              </w:rPr>
              <w:t>1</w:t>
            </w:r>
          </w:p>
        </w:tc>
        <w:tc>
          <w:tcPr>
            <w:tcW w:w="992" w:type="dxa"/>
            <w:shd w:val="clear" w:color="auto" w:fill="C6EFCE"/>
            <w:noWrap/>
            <w:vAlign w:val="center"/>
          </w:tcPr>
          <w:p w14:paraId="1226EBB2" w14:textId="77777777"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7A2CD16B" w14:textId="77777777"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246AFA32" w14:textId="20F4276F" w:rsidR="006054AA" w:rsidRPr="00F31484" w:rsidRDefault="001F7667">
            <w:pPr>
              <w:pStyle w:val="P68B1DB1-Normal11"/>
              <w:spacing w:after="120"/>
              <w:rPr>
                <w:noProof/>
                <w:sz w:val="16"/>
                <w:szCs w:val="16"/>
              </w:rPr>
            </w:pPr>
            <w:r w:rsidRPr="00F31484">
              <w:rPr>
                <w:noProof/>
                <w:sz w:val="16"/>
                <w:szCs w:val="16"/>
              </w:rPr>
              <w:t>Въвеждане на водород в поне 1 промишлени инсталации за декарбонизация на сектори, които са трудни за намаляване на емисиите. Тази мярка подпомага производството на водород въз основа на електролиза, като се използват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w:t>
            </w:r>
          </w:p>
          <w:p w14:paraId="370D219D" w14:textId="7ED68F9E" w:rsidR="006054AA" w:rsidRPr="00F31484" w:rsidRDefault="001F7667">
            <w:pPr>
              <w:pStyle w:val="P68B1DB1-Normal12"/>
              <w:spacing w:after="120"/>
              <w:rPr>
                <w:rFonts w:ascii="Arial Narrow" w:hAnsi="Arial Narrow"/>
                <w:noProof/>
                <w:sz w:val="16"/>
                <w:szCs w:val="16"/>
              </w:rPr>
            </w:pPr>
            <w:r w:rsidRPr="00F31484">
              <w:rPr>
                <w:rFonts w:ascii="Arial Narrow" w:hAnsi="Arial Narrow"/>
                <w:noProof/>
                <w:sz w:val="16"/>
                <w:szCs w:val="16"/>
              </w:rPr>
              <w:t>Най-малко 400 000 EUR 000</w:t>
            </w:r>
            <w:r w:rsidRPr="00F31484">
              <w:rPr>
                <w:noProof/>
                <w:sz w:val="16"/>
                <w:szCs w:val="16"/>
              </w:rPr>
              <w:t xml:space="preserve"> </w:t>
            </w:r>
            <w:r w:rsidRPr="00F31484">
              <w:rPr>
                <w:rFonts w:ascii="Arial Narrow" w:hAnsi="Arial Narrow"/>
                <w:noProof/>
                <w:sz w:val="16"/>
                <w:szCs w:val="16"/>
              </w:rPr>
              <w:t>подкрепят промишлени разработки, които заменят 90 % от използването на метан и изкопаеми горива в промишлен процес с водород на основата на електролиза, като се използват възобновяеми енергийни източници, както е определено в Директива (ЕС) 2018/2001 (Директива за възобновяемите енергийни източници), или електроенергия от мрежата</w:t>
            </w:r>
            <w:r w:rsidRPr="00F31484">
              <w:rPr>
                <w:noProof/>
                <w:sz w:val="16"/>
                <w:szCs w:val="16"/>
              </w:rPr>
              <w:t>.</w:t>
            </w:r>
          </w:p>
        </w:tc>
      </w:tr>
      <w:tr w:rsidR="006054AA" w:rsidRPr="00F31484" w14:paraId="76739419" w14:textId="77777777">
        <w:trPr>
          <w:trHeight w:val="309"/>
          <w:jc w:val="center"/>
        </w:trPr>
        <w:tc>
          <w:tcPr>
            <w:tcW w:w="1613" w:type="dxa"/>
            <w:shd w:val="clear" w:color="auto" w:fill="C6EFCE"/>
            <w:noWrap/>
            <w:vAlign w:val="center"/>
          </w:tcPr>
          <w:p w14:paraId="641DF0E7" w14:textId="77777777" w:rsidR="006054AA" w:rsidRPr="00F31484" w:rsidRDefault="001F7667">
            <w:pPr>
              <w:pStyle w:val="P68B1DB1-Normal11"/>
              <w:jc w:val="center"/>
              <w:rPr>
                <w:noProof/>
                <w:sz w:val="16"/>
                <w:szCs w:val="16"/>
              </w:rPr>
            </w:pPr>
            <w:r w:rsidRPr="00F31484">
              <w:rPr>
                <w:noProof/>
                <w:sz w:val="16"/>
                <w:szCs w:val="16"/>
              </w:rPr>
              <w:t>M2C2—52</w:t>
            </w:r>
          </w:p>
        </w:tc>
        <w:tc>
          <w:tcPr>
            <w:tcW w:w="1643" w:type="dxa"/>
            <w:shd w:val="clear" w:color="auto" w:fill="C6EFCE"/>
            <w:noWrap/>
            <w:vAlign w:val="center"/>
          </w:tcPr>
          <w:p w14:paraId="6BAFBEE8" w14:textId="77777777" w:rsidR="006054AA" w:rsidRPr="00F31484" w:rsidRDefault="001F7667">
            <w:pPr>
              <w:pStyle w:val="P68B1DB1-Normal11"/>
              <w:jc w:val="center"/>
              <w:rPr>
                <w:noProof/>
                <w:sz w:val="16"/>
                <w:szCs w:val="16"/>
              </w:rPr>
            </w:pPr>
            <w:r w:rsidRPr="00F31484">
              <w:rPr>
                <w:noProof/>
                <w:sz w:val="16"/>
                <w:szCs w:val="16"/>
              </w:rPr>
              <w:t>Инвестиция 5.2 Водород</w:t>
            </w:r>
          </w:p>
        </w:tc>
        <w:tc>
          <w:tcPr>
            <w:tcW w:w="1559" w:type="dxa"/>
            <w:shd w:val="clear" w:color="auto" w:fill="C6EFCE"/>
            <w:noWrap/>
            <w:vAlign w:val="center"/>
          </w:tcPr>
          <w:p w14:paraId="503BC730" w14:textId="77777777" w:rsidR="006054AA" w:rsidRPr="00F31484" w:rsidRDefault="001F7667">
            <w:pPr>
              <w:pStyle w:val="P68B1DB1-Normal11"/>
              <w:jc w:val="center"/>
              <w:rPr>
                <w:noProof/>
                <w:sz w:val="16"/>
                <w:szCs w:val="16"/>
              </w:rPr>
            </w:pPr>
            <w:r w:rsidRPr="00F31484">
              <w:rPr>
                <w:noProof/>
                <w:sz w:val="16"/>
                <w:szCs w:val="16"/>
              </w:rPr>
              <w:t>Ключов етап</w:t>
            </w:r>
          </w:p>
        </w:tc>
        <w:tc>
          <w:tcPr>
            <w:tcW w:w="1559" w:type="dxa"/>
            <w:shd w:val="clear" w:color="auto" w:fill="C6EFCE"/>
            <w:noWrap/>
            <w:vAlign w:val="center"/>
          </w:tcPr>
          <w:p w14:paraId="20554E7C" w14:textId="77777777" w:rsidR="006054AA" w:rsidRPr="00F31484" w:rsidRDefault="001F7667">
            <w:pPr>
              <w:pStyle w:val="P68B1DB1-Normal11"/>
              <w:jc w:val="center"/>
              <w:rPr>
                <w:noProof/>
                <w:sz w:val="16"/>
                <w:szCs w:val="16"/>
              </w:rPr>
            </w:pPr>
            <w:r w:rsidRPr="00F31484">
              <w:rPr>
                <w:noProof/>
                <w:sz w:val="16"/>
                <w:szCs w:val="16"/>
              </w:rPr>
              <w:t>Производство на електролизьори</w:t>
            </w:r>
          </w:p>
        </w:tc>
        <w:tc>
          <w:tcPr>
            <w:tcW w:w="1843" w:type="dxa"/>
            <w:shd w:val="clear" w:color="auto" w:fill="C6EFCE"/>
            <w:noWrap/>
            <w:vAlign w:val="center"/>
          </w:tcPr>
          <w:p w14:paraId="03B0C0EB" w14:textId="77777777" w:rsidR="006054AA" w:rsidRPr="00F31484" w:rsidRDefault="001F7667">
            <w:pPr>
              <w:pStyle w:val="P68B1DB1-Normal11"/>
              <w:jc w:val="center"/>
              <w:rPr>
                <w:noProof/>
                <w:sz w:val="16"/>
                <w:szCs w:val="16"/>
              </w:rPr>
            </w:pPr>
            <w:r w:rsidRPr="00F31484">
              <w:rPr>
                <w:noProof/>
                <w:sz w:val="16"/>
                <w:szCs w:val="16"/>
              </w:rPr>
              <w:t>Уведомяване за публикуването на всички обществени поръчки</w:t>
            </w:r>
          </w:p>
        </w:tc>
        <w:tc>
          <w:tcPr>
            <w:tcW w:w="1417" w:type="dxa"/>
            <w:shd w:val="clear" w:color="auto" w:fill="C6EFCE"/>
            <w:noWrap/>
            <w:vAlign w:val="center"/>
          </w:tcPr>
          <w:p w14:paraId="2EE5B0FE" w14:textId="77777777" w:rsidR="006054AA" w:rsidRPr="00F31484" w:rsidRDefault="001F7667">
            <w:pPr>
              <w:pStyle w:val="P68B1DB1-Normal11"/>
              <w:jc w:val="center"/>
              <w:rPr>
                <w:noProof/>
                <w:sz w:val="16"/>
                <w:szCs w:val="16"/>
              </w:rPr>
            </w:pPr>
            <w:r w:rsidRPr="00F31484">
              <w:rPr>
                <w:noProof/>
                <w:sz w:val="16"/>
                <w:szCs w:val="16"/>
              </w:rPr>
              <w:t>НЯМА</w:t>
            </w:r>
          </w:p>
        </w:tc>
        <w:tc>
          <w:tcPr>
            <w:tcW w:w="1134" w:type="dxa"/>
            <w:shd w:val="clear" w:color="auto" w:fill="C6EFCE"/>
            <w:noWrap/>
            <w:vAlign w:val="center"/>
          </w:tcPr>
          <w:p w14:paraId="3CC3CDE6" w14:textId="77777777" w:rsidR="006054AA" w:rsidRPr="00F31484" w:rsidRDefault="001F7667">
            <w:pPr>
              <w:pStyle w:val="P68B1DB1-Normal11"/>
              <w:jc w:val="center"/>
              <w:rPr>
                <w:noProof/>
                <w:sz w:val="16"/>
                <w:szCs w:val="16"/>
              </w:rPr>
            </w:pPr>
            <w:r w:rsidRPr="00F31484">
              <w:rPr>
                <w:noProof/>
                <w:sz w:val="16"/>
                <w:szCs w:val="16"/>
              </w:rPr>
              <w:t>НЯМА</w:t>
            </w:r>
          </w:p>
        </w:tc>
        <w:tc>
          <w:tcPr>
            <w:tcW w:w="946" w:type="dxa"/>
            <w:shd w:val="clear" w:color="auto" w:fill="C6EFCE"/>
            <w:noWrap/>
            <w:vAlign w:val="center"/>
          </w:tcPr>
          <w:p w14:paraId="3EBED14A" w14:textId="77777777" w:rsidR="006054AA" w:rsidRPr="00F31484" w:rsidRDefault="001F7667">
            <w:pPr>
              <w:pStyle w:val="P68B1DB1-Normal11"/>
              <w:jc w:val="center"/>
              <w:rPr>
                <w:noProof/>
                <w:sz w:val="16"/>
                <w:szCs w:val="16"/>
              </w:rPr>
            </w:pPr>
            <w:r w:rsidRPr="00F31484">
              <w:rPr>
                <w:noProof/>
                <w:sz w:val="16"/>
                <w:szCs w:val="16"/>
              </w:rPr>
              <w:t>НЯМА</w:t>
            </w:r>
          </w:p>
        </w:tc>
        <w:tc>
          <w:tcPr>
            <w:tcW w:w="992" w:type="dxa"/>
            <w:shd w:val="clear" w:color="auto" w:fill="C6EFCE"/>
            <w:noWrap/>
            <w:vAlign w:val="center"/>
          </w:tcPr>
          <w:p w14:paraId="396FCA77" w14:textId="77777777"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10B7151E" w14:textId="77777777" w:rsidR="006054AA" w:rsidRPr="00F31484" w:rsidRDefault="001F7667">
            <w:pPr>
              <w:pStyle w:val="P68B1DB1-Normal11"/>
              <w:jc w:val="center"/>
              <w:rPr>
                <w:noProof/>
                <w:sz w:val="16"/>
                <w:szCs w:val="16"/>
              </w:rPr>
            </w:pPr>
            <w:r w:rsidRPr="00F31484">
              <w:rPr>
                <w:noProof/>
                <w:sz w:val="16"/>
                <w:szCs w:val="16"/>
              </w:rPr>
              <w:t>2022</w:t>
            </w:r>
          </w:p>
        </w:tc>
        <w:tc>
          <w:tcPr>
            <w:tcW w:w="2793" w:type="dxa"/>
            <w:shd w:val="clear" w:color="auto" w:fill="C6EFCE"/>
            <w:noWrap/>
            <w:vAlign w:val="center"/>
          </w:tcPr>
          <w:p w14:paraId="5AB1EA3A" w14:textId="50C04F95" w:rsidR="006054AA" w:rsidRPr="00F31484" w:rsidRDefault="001F7667">
            <w:pPr>
              <w:pStyle w:val="P68B1DB1-Normal11"/>
              <w:rPr>
                <w:noProof/>
                <w:sz w:val="16"/>
                <w:szCs w:val="16"/>
              </w:rPr>
            </w:pPr>
            <w:r w:rsidRPr="00F31484">
              <w:rPr>
                <w:noProof/>
                <w:sz w:val="16"/>
                <w:szCs w:val="16"/>
              </w:rPr>
              <w:t xml:space="preserve">Възлагане на поръчката за изграждане на промишлен завод за производство на електролизьори. </w:t>
            </w:r>
          </w:p>
        </w:tc>
      </w:tr>
      <w:tr w:rsidR="006054AA" w:rsidRPr="00F31484" w14:paraId="14E7E44F" w14:textId="77777777">
        <w:trPr>
          <w:trHeight w:val="309"/>
          <w:jc w:val="center"/>
        </w:trPr>
        <w:tc>
          <w:tcPr>
            <w:tcW w:w="1613" w:type="dxa"/>
            <w:shd w:val="clear" w:color="auto" w:fill="C6EFCE"/>
            <w:noWrap/>
            <w:vAlign w:val="center"/>
          </w:tcPr>
          <w:p w14:paraId="4B058BE7" w14:textId="77777777" w:rsidR="006054AA" w:rsidRPr="00F31484" w:rsidRDefault="001F7667">
            <w:pPr>
              <w:pStyle w:val="P68B1DB1-Normal11"/>
              <w:jc w:val="center"/>
              <w:rPr>
                <w:noProof/>
                <w:sz w:val="16"/>
                <w:szCs w:val="16"/>
              </w:rPr>
            </w:pPr>
            <w:r w:rsidRPr="00F31484">
              <w:rPr>
                <w:noProof/>
                <w:sz w:val="16"/>
                <w:szCs w:val="16"/>
              </w:rPr>
              <w:t>M2C2—53</w:t>
            </w:r>
          </w:p>
        </w:tc>
        <w:tc>
          <w:tcPr>
            <w:tcW w:w="1643" w:type="dxa"/>
            <w:shd w:val="clear" w:color="auto" w:fill="C6EFCE"/>
            <w:noWrap/>
            <w:vAlign w:val="center"/>
          </w:tcPr>
          <w:p w14:paraId="2ED4EA78" w14:textId="77777777" w:rsidR="006054AA" w:rsidRPr="00F31484" w:rsidRDefault="001F7667">
            <w:pPr>
              <w:pStyle w:val="P68B1DB1-Normal11"/>
              <w:jc w:val="center"/>
              <w:rPr>
                <w:noProof/>
                <w:sz w:val="16"/>
                <w:szCs w:val="16"/>
              </w:rPr>
            </w:pPr>
            <w:r w:rsidRPr="00F31484">
              <w:rPr>
                <w:noProof/>
                <w:sz w:val="16"/>
                <w:szCs w:val="16"/>
              </w:rPr>
              <w:t>Инвестиция 5.2 Водород</w:t>
            </w:r>
          </w:p>
        </w:tc>
        <w:tc>
          <w:tcPr>
            <w:tcW w:w="1559" w:type="dxa"/>
            <w:shd w:val="clear" w:color="auto" w:fill="C6EFCE"/>
            <w:noWrap/>
            <w:vAlign w:val="center"/>
          </w:tcPr>
          <w:p w14:paraId="3933D75C" w14:textId="77777777" w:rsidR="006054AA" w:rsidRPr="00F31484" w:rsidRDefault="001F7667">
            <w:pPr>
              <w:pStyle w:val="P68B1DB1-Normal11"/>
              <w:jc w:val="center"/>
              <w:rPr>
                <w:noProof/>
                <w:sz w:val="16"/>
                <w:szCs w:val="16"/>
              </w:rPr>
            </w:pPr>
            <w:r w:rsidRPr="00F31484">
              <w:rPr>
                <w:noProof/>
                <w:sz w:val="16"/>
                <w:szCs w:val="16"/>
              </w:rPr>
              <w:t>Целеви</w:t>
            </w:r>
          </w:p>
        </w:tc>
        <w:tc>
          <w:tcPr>
            <w:tcW w:w="1559" w:type="dxa"/>
            <w:shd w:val="clear" w:color="auto" w:fill="C6EFCE"/>
            <w:noWrap/>
            <w:vAlign w:val="center"/>
          </w:tcPr>
          <w:p w14:paraId="14D9AF21" w14:textId="77777777" w:rsidR="006054AA" w:rsidRPr="00F31484" w:rsidRDefault="001F7667">
            <w:pPr>
              <w:pStyle w:val="P68B1DB1-Normal11"/>
              <w:jc w:val="center"/>
              <w:rPr>
                <w:noProof/>
                <w:sz w:val="16"/>
                <w:szCs w:val="16"/>
              </w:rPr>
            </w:pPr>
            <w:r w:rsidRPr="00F31484">
              <w:rPr>
                <w:noProof/>
                <w:sz w:val="16"/>
                <w:szCs w:val="16"/>
              </w:rPr>
              <w:t xml:space="preserve">Възлагане на всички обществени поръчки за завършване на промишлено предприятие за производство на електролизьори </w:t>
            </w:r>
          </w:p>
        </w:tc>
        <w:tc>
          <w:tcPr>
            <w:tcW w:w="1843" w:type="dxa"/>
            <w:shd w:val="clear" w:color="auto" w:fill="C6EFCE"/>
            <w:noWrap/>
            <w:vAlign w:val="center"/>
          </w:tcPr>
          <w:p w14:paraId="7E203C22" w14:textId="77777777" w:rsidR="006054AA" w:rsidRPr="00F31484" w:rsidRDefault="001F7667">
            <w:pPr>
              <w:pStyle w:val="P68B1DB1-Normal11"/>
              <w:jc w:val="center"/>
              <w:rPr>
                <w:noProof/>
                <w:sz w:val="16"/>
                <w:szCs w:val="16"/>
              </w:rPr>
            </w:pPr>
            <w:r w:rsidRPr="00F31484">
              <w:rPr>
                <w:noProof/>
                <w:sz w:val="16"/>
                <w:szCs w:val="16"/>
              </w:rPr>
              <w:t>НЯМА</w:t>
            </w:r>
          </w:p>
        </w:tc>
        <w:tc>
          <w:tcPr>
            <w:tcW w:w="1417" w:type="dxa"/>
            <w:shd w:val="clear" w:color="auto" w:fill="C6EFCE"/>
            <w:noWrap/>
            <w:vAlign w:val="center"/>
          </w:tcPr>
          <w:p w14:paraId="35AFD891" w14:textId="77777777" w:rsidR="006054AA" w:rsidRPr="00F31484" w:rsidRDefault="001F7667">
            <w:pPr>
              <w:pStyle w:val="P68B1DB1-Normal11"/>
              <w:jc w:val="center"/>
              <w:rPr>
                <w:noProof/>
                <w:sz w:val="16"/>
                <w:szCs w:val="16"/>
              </w:rPr>
            </w:pPr>
            <w:r w:rsidRPr="00F31484">
              <w:rPr>
                <w:noProof/>
                <w:sz w:val="16"/>
                <w:szCs w:val="16"/>
              </w:rPr>
              <w:t>Брой</w:t>
            </w:r>
          </w:p>
        </w:tc>
        <w:tc>
          <w:tcPr>
            <w:tcW w:w="1134" w:type="dxa"/>
            <w:shd w:val="clear" w:color="auto" w:fill="C6EFCE"/>
            <w:noWrap/>
            <w:vAlign w:val="center"/>
          </w:tcPr>
          <w:p w14:paraId="36140207" w14:textId="77777777" w:rsidR="006054AA" w:rsidRPr="00F31484" w:rsidRDefault="001F7667">
            <w:pPr>
              <w:pStyle w:val="P68B1DB1-Normal11"/>
              <w:jc w:val="center"/>
              <w:rPr>
                <w:noProof/>
                <w:sz w:val="16"/>
                <w:szCs w:val="16"/>
              </w:rPr>
            </w:pPr>
            <w:r w:rsidRPr="00F31484">
              <w:rPr>
                <w:noProof/>
                <w:sz w:val="16"/>
                <w:szCs w:val="16"/>
              </w:rPr>
              <w:t>0</w:t>
            </w:r>
          </w:p>
        </w:tc>
        <w:tc>
          <w:tcPr>
            <w:tcW w:w="946" w:type="dxa"/>
            <w:shd w:val="clear" w:color="auto" w:fill="C6EFCE"/>
            <w:noWrap/>
            <w:vAlign w:val="center"/>
          </w:tcPr>
          <w:p w14:paraId="389E87BB" w14:textId="77777777" w:rsidR="006054AA" w:rsidRPr="00F31484" w:rsidRDefault="001F7667">
            <w:pPr>
              <w:pStyle w:val="P68B1DB1-Normal11"/>
              <w:jc w:val="center"/>
              <w:rPr>
                <w:noProof/>
                <w:sz w:val="16"/>
                <w:szCs w:val="16"/>
              </w:rPr>
            </w:pPr>
            <w:r w:rsidRPr="00F31484">
              <w:rPr>
                <w:noProof/>
                <w:sz w:val="16"/>
                <w:szCs w:val="16"/>
              </w:rPr>
              <w:t>1</w:t>
            </w:r>
          </w:p>
        </w:tc>
        <w:tc>
          <w:tcPr>
            <w:tcW w:w="992" w:type="dxa"/>
            <w:shd w:val="clear" w:color="auto" w:fill="C6EFCE"/>
            <w:noWrap/>
            <w:vAlign w:val="center"/>
          </w:tcPr>
          <w:p w14:paraId="34C9EBD3" w14:textId="77777777" w:rsidR="006054AA" w:rsidRPr="00F31484" w:rsidRDefault="001F7667">
            <w:pPr>
              <w:pStyle w:val="P68B1DB1-Normal11"/>
              <w:jc w:val="center"/>
              <w:rPr>
                <w:noProof/>
                <w:sz w:val="16"/>
                <w:szCs w:val="16"/>
              </w:rPr>
            </w:pPr>
            <w:r w:rsidRPr="00F31484">
              <w:rPr>
                <w:noProof/>
                <w:sz w:val="16"/>
                <w:szCs w:val="16"/>
              </w:rPr>
              <w:t>Т2 Г.</w:t>
            </w:r>
          </w:p>
        </w:tc>
        <w:tc>
          <w:tcPr>
            <w:tcW w:w="756" w:type="dxa"/>
            <w:shd w:val="clear" w:color="auto" w:fill="C6EFCE"/>
            <w:noWrap/>
            <w:vAlign w:val="center"/>
          </w:tcPr>
          <w:p w14:paraId="4168BDCB" w14:textId="77777777" w:rsidR="006054AA" w:rsidRPr="00F31484" w:rsidRDefault="001F7667">
            <w:pPr>
              <w:pStyle w:val="P68B1DB1-Normal11"/>
              <w:jc w:val="center"/>
              <w:rPr>
                <w:noProof/>
                <w:sz w:val="16"/>
                <w:szCs w:val="16"/>
              </w:rPr>
            </w:pPr>
            <w:r w:rsidRPr="00F31484">
              <w:rPr>
                <w:noProof/>
                <w:sz w:val="16"/>
                <w:szCs w:val="16"/>
              </w:rPr>
              <w:t>2026</w:t>
            </w:r>
          </w:p>
        </w:tc>
        <w:tc>
          <w:tcPr>
            <w:tcW w:w="2793" w:type="dxa"/>
            <w:shd w:val="clear" w:color="auto" w:fill="C6EFCE"/>
            <w:noWrap/>
            <w:vAlign w:val="center"/>
          </w:tcPr>
          <w:p w14:paraId="6A45DACD" w14:textId="77777777" w:rsidR="006054AA" w:rsidRPr="00F31484" w:rsidRDefault="001F7667">
            <w:pPr>
              <w:pStyle w:val="P68B1DB1-Normal11"/>
              <w:rPr>
                <w:noProof/>
                <w:sz w:val="16"/>
                <w:szCs w:val="16"/>
              </w:rPr>
            </w:pPr>
            <w:r w:rsidRPr="00F31484">
              <w:rPr>
                <w:noProof/>
                <w:sz w:val="16"/>
                <w:szCs w:val="16"/>
              </w:rPr>
              <w:t>Изграждане на поне едно промишлено предприятие за производство на електролизьори с общ капацитет за цялата инвестиция от най-малко 1 GW/година.</w:t>
            </w:r>
          </w:p>
        </w:tc>
      </w:tr>
    </w:tbl>
    <w:p w14:paraId="1F2E6B84" w14:textId="77777777" w:rsidR="006054AA" w:rsidRDefault="006054AA">
      <w:pPr>
        <w:tabs>
          <w:tab w:val="left" w:pos="1860"/>
        </w:tabs>
        <w:spacing w:before="120" w:after="120"/>
        <w:jc w:val="both"/>
        <w:rPr>
          <w:noProof/>
        </w:rPr>
      </w:pPr>
    </w:p>
    <w:p w14:paraId="52DF5F00" w14:textId="77777777" w:rsidR="006054AA" w:rsidRDefault="006054AA">
      <w:pPr>
        <w:tabs>
          <w:tab w:val="left" w:pos="1860"/>
        </w:tabs>
        <w:spacing w:before="120" w:after="120"/>
        <w:jc w:val="both"/>
        <w:rPr>
          <w:noProof/>
        </w:rPr>
        <w:sectPr w:rsidR="006054AA" w:rsidSect="001354D1">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CBE028E" w14:textId="0F8179C3" w:rsidR="006054AA" w:rsidRDefault="001F7667">
      <w:pPr>
        <w:pStyle w:val="Heading2"/>
        <w:numPr>
          <w:ilvl w:val="0"/>
          <w:numId w:val="0"/>
        </w:numPr>
        <w:rPr>
          <w:noProof/>
        </w:rPr>
      </w:pPr>
      <w:r>
        <w:rPr>
          <w:noProof/>
        </w:rPr>
        <w:t xml:space="preserve">Е. </w:t>
      </w:r>
      <w:r w:rsidR="00F31484">
        <w:rPr>
          <w:noProof/>
          <w:lang w:val="bg-BG"/>
        </w:rPr>
        <w:t>МИСИЯ</w:t>
      </w:r>
      <w:r>
        <w:rPr>
          <w:noProof/>
        </w:rPr>
        <w:t xml:space="preserve"> 2 </w:t>
      </w:r>
      <w:r w:rsidR="00F31484">
        <w:rPr>
          <w:noProof/>
          <w:lang w:val="bg-BG"/>
        </w:rPr>
        <w:t>КОМПОНЕНТ</w:t>
      </w:r>
      <w:r>
        <w:rPr>
          <w:noProof/>
        </w:rPr>
        <w:t xml:space="preserve"> 3 — Енергийна ефективност и преквалификация на сградите</w:t>
      </w:r>
    </w:p>
    <w:p w14:paraId="1074CDF1" w14:textId="77777777" w:rsidR="006054AA" w:rsidRDefault="001F7667">
      <w:pPr>
        <w:spacing w:before="120" w:after="120"/>
        <w:jc w:val="both"/>
        <w:rPr>
          <w:noProof/>
        </w:rPr>
      </w:pPr>
      <w:r>
        <w:rPr>
          <w:noProof/>
        </w:rPr>
        <w:t xml:space="preserve">Енергийната ефективност е крайъгълният камък на този компонент, който е организиран в три основни стълба. </w:t>
      </w:r>
    </w:p>
    <w:p w14:paraId="6C0D4D8C" w14:textId="77777777" w:rsidR="006054AA" w:rsidRDefault="001F7667">
      <w:pPr>
        <w:numPr>
          <w:ilvl w:val="0"/>
          <w:numId w:val="70"/>
        </w:numPr>
        <w:spacing w:before="120" w:after="120"/>
        <w:ind w:left="360"/>
        <w:contextualSpacing/>
        <w:jc w:val="both"/>
        <w:rPr>
          <w:noProof/>
        </w:rPr>
      </w:pPr>
      <w:r>
        <w:rPr>
          <w:noProof/>
        </w:rPr>
        <w:t xml:space="preserve">Първият стълб е въвеждането на временен стимул за енергийно и противосеизмично саниране на частни недвижими имоти чрез данъчно приспадане на разходите, направени за интервенциите. Допустимите интервенции са тези, които повишават енергийните характеристики на жилището най-малко с две категории на енергийния сертификат, като постигат средно подобрение на потреблението на енергия над 30 %. </w:t>
      </w:r>
    </w:p>
    <w:p w14:paraId="5564DA23" w14:textId="77777777" w:rsidR="006054AA" w:rsidRDefault="001F7667">
      <w:pPr>
        <w:numPr>
          <w:ilvl w:val="0"/>
          <w:numId w:val="70"/>
        </w:numPr>
        <w:spacing w:before="120" w:after="120"/>
        <w:ind w:left="360"/>
        <w:contextualSpacing/>
        <w:jc w:val="both"/>
        <w:rPr>
          <w:noProof/>
        </w:rPr>
      </w:pPr>
      <w:r>
        <w:rPr>
          <w:noProof/>
        </w:rPr>
        <w:t>Вторият стълб на този компонент е подобряването на ефективността и безопасността на обществените училища и съдебните цитади.</w:t>
      </w:r>
    </w:p>
    <w:p w14:paraId="1911484F" w14:textId="77777777" w:rsidR="006054AA" w:rsidRDefault="001F7667">
      <w:pPr>
        <w:numPr>
          <w:ilvl w:val="0"/>
          <w:numId w:val="70"/>
        </w:numPr>
        <w:spacing w:before="120" w:after="120"/>
        <w:ind w:left="360"/>
        <w:contextualSpacing/>
        <w:jc w:val="both"/>
        <w:rPr>
          <w:noProof/>
        </w:rPr>
      </w:pPr>
      <w:r>
        <w:rPr>
          <w:noProof/>
        </w:rPr>
        <w:t xml:space="preserve">Третият стълб е насочен към стимулиране на изграждането и разширяването на ефективни районни отоплителни мрежи в градските райони. </w:t>
      </w:r>
    </w:p>
    <w:p w14:paraId="470FBF23" w14:textId="77777777" w:rsidR="006054AA" w:rsidRDefault="001F7667">
      <w:pPr>
        <w:spacing w:before="120" w:after="120"/>
        <w:jc w:val="both"/>
        <w:rPr>
          <w:noProof/>
        </w:rPr>
      </w:pPr>
      <w:r>
        <w:rPr>
          <w:noProof/>
        </w:rPr>
        <w:t xml:space="preserve">Освен това има редица реформи за опростяване и ускоряване на изпълнението на проекти, насочени към подобряване на енергийната ефективност на сградите. </w:t>
      </w:r>
    </w:p>
    <w:p w14:paraId="422483A5" w14:textId="77777777" w:rsidR="006054AA" w:rsidRDefault="001F7667">
      <w:pPr>
        <w:spacing w:before="120" w:after="120"/>
        <w:jc w:val="both"/>
        <w:rPr>
          <w:noProof/>
        </w:rPr>
      </w:pPr>
      <w:r>
        <w:rPr>
          <w:noProof/>
        </w:rPr>
        <w:t xml:space="preserve">Очаква се този компонент да допринесе значително за постигането на целите на Италия в областта на климата и енергетиката за 2030 г., тъй като на гражданския сектор се дължи почти половината от общото потребление на енергия в Италия. Повечето сгради са построени преди приемането на критериите за енергоспестяване и влизането в сила на съответното законодателство, така че нуждите по отношение на енергийната ефективност и приспособяването към сеизмичните рискове са значителни.  </w:t>
      </w:r>
    </w:p>
    <w:p w14:paraId="0DDB3A4B" w14:textId="77777777" w:rsidR="006054AA" w:rsidRDefault="001F7667">
      <w:pPr>
        <w:spacing w:before="120" w:after="120"/>
        <w:jc w:val="both"/>
        <w:rPr>
          <w:noProof/>
        </w:rPr>
      </w:pPr>
      <w:r>
        <w:rPr>
          <w:noProof/>
        </w:rPr>
        <w:t>Този компонент се отнася до част от специфичната за държавата препоръка 2020 от 3 г., с която Съветът препоръча на Италия да предприеме действия за „съсредоточаване на инвестициите върху екологичния и цифровия преход, по-специално върху [...] управлението на водите, както и укрепената цифрова инфраструктура, за да се гарантира предоставянето на основни услуги“. В него се разглеждат и части от специфичните за всяка държава препоръки за 2019 г. за 3 г. („Фокус икономическа политика, свързана с инвестициите, върху качеството на инфраструктурата, като се вземат предвид регионалните различия. [...] и подобряване на ефективността на публичната администрация [...] чрез ускоряване на цифровизацията и чрез повишаване на ефикасността и качеството на местните обществени услуги“).</w:t>
      </w:r>
    </w:p>
    <w:p w14:paraId="2E58118F" w14:textId="77777777" w:rsidR="006054AA" w:rsidRDefault="001F7667">
      <w:pPr>
        <w:spacing w:before="120" w:after="120"/>
        <w:jc w:val="both"/>
        <w:rPr>
          <w:noProof/>
        </w:rPr>
      </w:pPr>
      <w:r>
        <w:rPr>
          <w:noProof/>
        </w:rPr>
        <w:t xml:space="preserve">Очаква се, че нито една мярка в този компонент не нанася значителни вреди на екологичните цели по смисъла на член 17 от Регламент (ЕС) 2020/852, като се вземе предвид описанието на мерките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w:t>
      </w:r>
    </w:p>
    <w:p w14:paraId="03A66B47"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Е.1. </w:t>
      </w:r>
      <w:r>
        <w:rPr>
          <w:noProof/>
        </w:rPr>
        <w:tab/>
      </w:r>
      <w:r w:rsidRPr="00F31484">
        <w:rPr>
          <w:b/>
          <w:i w:val="0"/>
          <w:noProof/>
          <w:spacing w:val="-4"/>
          <w:u w:val="single"/>
        </w:rPr>
        <w:t>Описание на реформите и инвестициите за безвъзмездна финансова подкрепа</w:t>
      </w:r>
    </w:p>
    <w:p w14:paraId="226E2B7B" w14:textId="38D634AC" w:rsidR="006054AA" w:rsidRDefault="001F7667">
      <w:pPr>
        <w:pStyle w:val="P68B1DB1-Normal2"/>
        <w:spacing w:before="120" w:after="120" w:line="257" w:lineRule="auto"/>
        <w:jc w:val="both"/>
        <w:rPr>
          <w:noProof/>
        </w:rPr>
      </w:pPr>
      <w:r>
        <w:rPr>
          <w:noProof/>
        </w:rPr>
        <w:t>Инвестиция 2.1: Укрепване на Ecobonus за енергийна ефективност</w:t>
      </w:r>
    </w:p>
    <w:p w14:paraId="7786D95C" w14:textId="77777777" w:rsidR="006054AA" w:rsidRDefault="001F7667">
      <w:pPr>
        <w:spacing w:before="120" w:after="120"/>
        <w:jc w:val="both"/>
        <w:rPr>
          <w:noProof/>
        </w:rPr>
      </w:pPr>
      <w:r>
        <w:rPr>
          <w:noProof/>
        </w:rPr>
        <w:t xml:space="preserve">Със свръхбонус се финансира енергийното саниране на жилищни сгради, включително социални жилища, както е посочено в член 119 от т.нар. „Decreto Rilancio“, приет за справяне с неблагоприятните икономически и социални последици от пандемията. Преследват се две цели: 1) да допринесе значително за постигането на целите за икономия на енергия и намаляване на емисиите, определени в Интегрирания национален план за енергетиката и климата на Италия (PNIEC) за 2030 г., и 2) за осигуряване на антициклична подкрепа за строителния сектор и за частното търсене, за да се компенсират последиците от икономическия спад. </w:t>
      </w:r>
    </w:p>
    <w:p w14:paraId="0B4D89CC" w14:textId="34762B21" w:rsidR="006054AA" w:rsidRDefault="001F7667">
      <w:pPr>
        <w:spacing w:before="120" w:after="120"/>
        <w:jc w:val="both"/>
        <w:rPr>
          <w:noProof/>
        </w:rPr>
      </w:pPr>
      <w:r>
        <w:rPr>
          <w:noProof/>
        </w:rPr>
        <w:t xml:space="preserve">Подкрепата се предоставя под формата на данъчно приспадане за период от пет години. До 16 февруари 2023 г. се предвижда получателите, като алтернатива на инструмента за данъчно приспадане, да могат вместо прякото използване на приспадането да изберат да използват финансови инструменти (т.нар. „кредитен превод „и „отстъпка от фактурата“), за да решат проблема с високите първоначални инвестиционни разходи. Тези алтернативни инструменти предвиждат, че данъчното облекчение, начислено от бенефициера, се извършва в размер, равен на: </w:t>
      </w:r>
    </w:p>
    <w:p w14:paraId="38AC15D3" w14:textId="77777777" w:rsidR="006054AA" w:rsidRDefault="001F7667">
      <w:pPr>
        <w:spacing w:before="120" w:after="120"/>
        <w:jc w:val="both"/>
        <w:rPr>
          <w:noProof/>
        </w:rPr>
      </w:pPr>
      <w:r>
        <w:rPr>
          <w:noProof/>
        </w:rPr>
        <w:t xml:space="preserve">1. вноска под формата на отстъпка от предплатената цена от доставчика (т.е. строителни дружества, проектанти или по-общо от главния изпълнител), който я приспада пряко от фактурата и се възстановява под формата на данъчен кредит, намаляващ разходите за първоначалната инвестиция; </w:t>
      </w:r>
    </w:p>
    <w:p w14:paraId="3CCE1AC4" w14:textId="79A6106B" w:rsidR="006054AA" w:rsidRDefault="001F7667">
      <w:pPr>
        <w:spacing w:before="120" w:after="120"/>
        <w:jc w:val="both"/>
        <w:rPr>
          <w:noProof/>
        </w:rPr>
      </w:pPr>
      <w:r>
        <w:rPr>
          <w:noProof/>
        </w:rPr>
        <w:t>2. данъчен кредит, който се прехвърля на финансова институция, която плаща предварително необходимия капитал. Този механизъм компенсира евентуалния възпиращ фактор за извършване на санирането поради високите първоначални инвестиционни разходи. Изборът на главния изпълнител или финансовата институция се оставя на бенефициера.</w:t>
      </w:r>
    </w:p>
    <w:p w14:paraId="49E5A63F" w14:textId="77777777" w:rsidR="006054AA" w:rsidRDefault="001F7667">
      <w:pPr>
        <w:spacing w:before="120" w:after="120"/>
        <w:jc w:val="both"/>
        <w:rPr>
          <w:noProof/>
        </w:rPr>
      </w:pPr>
      <w:r>
        <w:rPr>
          <w:noProof/>
        </w:rPr>
        <w:t xml:space="preserve">Етажната собственост, еднофамилните жилищни кооперации, неразделените жилищни кооперации, организациите с нестопанска цел и доброволческите сдружения, аматьорските спортни асоциации и клубове и социалните жилища могат да се възползват от този данъчен стимул. За да бъде допустимо, санирането трябва да бъде класифицирано като „основно саниране“ (т.е. средно саниране съгласно Препоръка (ЕС) 2019/786 на Комисията), което води до подобрение с поне два енергийни класа (съответстващи средно на 40 % икономии на първична енергия). Обхватът на допустимите интервенции, обхванати от тази мярка, е широк, включително например интервенции за шофиране, интервенции чрез теглене, топлинна изолация на непрозрачни повърхности и интервенции в климатични системи (кондензационни котли; топлинни помпи; свързване към ефективни районни отоплителни мрежи при определени условия; слънчева топлинна енергия; котли на биомаса при специфични условия), фотоволтаични системи със съответни системи за съхранение или инфраструктура за зареждане на електрически превозни средства. В две министерски постановления от 6 август 2020 г. вече са определени техническите изисквания за интервенциите и процедурите за удостоверяване на спазването на специфичните максимални изисквания и разходи. </w:t>
      </w:r>
    </w:p>
    <w:p w14:paraId="0A279EF3" w14:textId="77777777" w:rsidR="006054AA" w:rsidRDefault="001F7667">
      <w:pPr>
        <w:spacing w:before="120" w:after="120"/>
        <w:jc w:val="both"/>
        <w:rPr>
          <w:noProof/>
        </w:rPr>
      </w:pPr>
      <w:r>
        <w:rPr>
          <w:noProof/>
        </w:rPr>
        <w:t xml:space="preserve">Superbonus вече действа от 1 юли 2020 г. и остава в сила до 30 юни 2022 г. (за социални жилища до 31 декември 2022 г.). Достъп до обезщетението може да се изисква за допълнителен период от шест месеца в случай на строителни работи в етажна собственост или социални жилища, когато най-малко 60 % от строителните работи са извършени преди посочените по-горе дати. За да се даде повече време за по-сложни интервенции, се предвижда удължаване на срока на прилагане на мярката за етажната собственост до 31 декември 2022 г. и за социалните жилища до 30 юни 2023 г., независимо от завършването на поне 60 % от строителните работи. </w:t>
      </w:r>
    </w:p>
    <w:p w14:paraId="2D097E82" w14:textId="77777777" w:rsidR="006054AA" w:rsidRDefault="001F7667">
      <w:pPr>
        <w:spacing w:before="120" w:after="120"/>
        <w:jc w:val="both"/>
        <w:rPr>
          <w:noProof/>
        </w:rPr>
      </w:pPr>
      <w:r>
        <w:rPr>
          <w:noProof/>
        </w:rPr>
        <w:t>Очаква се тази мярка да не нанася значителни вреди на екологичните цели по смисъла на член 17 от Регламент (ЕС) 2020/852, като се вземе предвид описанието на мярката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По-специално разходите за инсталиране на газови кондензационни котли представляват най-много 20 % от общите разходи по програмата за саниране. В случаите, когато газовите кондензационни котли са монтирани като избрана замяна на съществуващи неефективни газови, въглищни и нефтени котли, те трябва да имат показатели А. Освен това инсталирането на котли, работещи с природен газ, трябва да отговаря на условията, определени в Техническите насоки за НЗВ (2021/C58/01).</w:t>
      </w:r>
    </w:p>
    <w:p w14:paraId="60471DD6" w14:textId="77777777" w:rsidR="006054AA" w:rsidRDefault="001F7667">
      <w:pPr>
        <w:pStyle w:val="P68B1DB1-Normal2"/>
        <w:spacing w:before="120" w:after="120" w:line="257" w:lineRule="auto"/>
        <w:jc w:val="both"/>
        <w:rPr>
          <w:noProof/>
        </w:rPr>
      </w:pPr>
      <w:r>
        <w:rPr>
          <w:noProof/>
        </w:rPr>
        <w:t>Реформа 1.1 — Опростяване и ускоряване на процедурите за интервенции в областта на енергийната ефективност</w:t>
      </w:r>
    </w:p>
    <w:p w14:paraId="23508811" w14:textId="77777777" w:rsidR="006054AA" w:rsidRPr="00F31484" w:rsidRDefault="001F7667">
      <w:pPr>
        <w:spacing w:before="120" w:after="120"/>
        <w:jc w:val="both"/>
        <w:rPr>
          <w:noProof/>
          <w:spacing w:val="-4"/>
        </w:rPr>
      </w:pPr>
      <w:r w:rsidRPr="00F31484">
        <w:rPr>
          <w:noProof/>
          <w:spacing w:val="-4"/>
        </w:rPr>
        <w:t>Тази реформа има за цел да опрости и ускори процедурите за изпълнение на интервенциите, свързани с енергийната ефективност. Тя се състои от четири основни действия:</w:t>
      </w:r>
    </w:p>
    <w:p w14:paraId="6380A82D" w14:textId="77777777" w:rsidR="006054AA" w:rsidRDefault="001F7667">
      <w:pPr>
        <w:numPr>
          <w:ilvl w:val="0"/>
          <w:numId w:val="71"/>
        </w:numPr>
        <w:spacing w:before="120" w:after="120"/>
        <w:ind w:left="357" w:hanging="357"/>
        <w:contextualSpacing/>
        <w:jc w:val="both"/>
        <w:rPr>
          <w:noProof/>
        </w:rPr>
      </w:pPr>
      <w:r>
        <w:rPr>
          <w:b/>
          <w:noProof/>
        </w:rPr>
        <w:t>Стартиране на националния портал за енергийна ефективност на сградите: Порталът</w:t>
      </w:r>
      <w:r>
        <w:rPr>
          <w:noProof/>
        </w:rPr>
        <w:t xml:space="preserve">подпомага гражданите и операторите при управлението на проекти за енергийна ефективност и е лесен източник за достъп до информация за лицата, отговорни за вземането на решения. Той съдържа информация за енергийните характеристики на националния сграден фонд, който се очаква да помогне на предприятията и гражданите при вземането на решения за подобряване на енергийните характеристики на техните имоти. Създава се обслужване на едно гише, което да предоставя помощ и цялата полезна информация на гражданите и предприятията във връзка с енергийното картографиране на сградите, спазването на секторните разпоредби, оценката на потенциала за ефективност и избора на приоритети за действие, включително поетапните планове за повторно разработване, избора на най-подходящите инструменти за популяризиране за тази цел и обучението на професионални умения. </w:t>
      </w:r>
    </w:p>
    <w:p w14:paraId="59C0A26F" w14:textId="77777777" w:rsidR="006054AA" w:rsidRDefault="001F7667">
      <w:pPr>
        <w:numPr>
          <w:ilvl w:val="0"/>
          <w:numId w:val="71"/>
        </w:numPr>
        <w:spacing w:before="120" w:after="120"/>
        <w:ind w:left="357" w:hanging="357"/>
        <w:contextualSpacing/>
        <w:jc w:val="both"/>
        <w:rPr>
          <w:b/>
          <w:noProof/>
        </w:rPr>
      </w:pPr>
      <w:r>
        <w:rPr>
          <w:b/>
          <w:noProof/>
        </w:rPr>
        <w:t xml:space="preserve">Засилване на дейностите по плана за информиране и обучение, насочен към гражданския сектор — </w:t>
      </w:r>
      <w:r>
        <w:rPr>
          <w:noProof/>
        </w:rPr>
        <w:t>Планът за информация и обучение отчита необходимостта от разработване както на конкретни инициативи, насочени към запълване на недостига на информация за крайните потребители в жилищния сектор, така и на подходящи дейности за обучение относно стимулите и най-ефективните интервенции за дружествата, предлагащи енергийни услуги, които извършват интервенции, и за администраторите на етажна собственост. Планът се разработва, като се вземат предвид нуждите, произтичащи от мярката Superbonus, за да се увеличи максимално нейната ефективност и да се положат основите за трайна култура на ефикасност в строителството.</w:t>
      </w:r>
      <w:r>
        <w:rPr>
          <w:b/>
          <w:noProof/>
        </w:rPr>
        <w:t xml:space="preserve"> </w:t>
      </w:r>
    </w:p>
    <w:p w14:paraId="4E245F3B" w14:textId="77777777" w:rsidR="006054AA" w:rsidRDefault="001F7667">
      <w:pPr>
        <w:numPr>
          <w:ilvl w:val="0"/>
          <w:numId w:val="71"/>
        </w:numPr>
        <w:spacing w:before="120" w:after="120"/>
        <w:ind w:left="357" w:hanging="357"/>
        <w:contextualSpacing/>
        <w:jc w:val="both"/>
        <w:rPr>
          <w:noProof/>
        </w:rPr>
      </w:pPr>
      <w:r>
        <w:rPr>
          <w:b/>
          <w:noProof/>
        </w:rPr>
        <w:t xml:space="preserve">Актуализиране и укрепване на Националния фонд за енергийна ефективност: </w:t>
      </w:r>
      <w:r>
        <w:rPr>
          <w:noProof/>
        </w:rPr>
        <w:t xml:space="preserve">С преразглеждането на наредбите за създаване и управление на Националния фонд за енергийна ефективност (член 15 от Законодателен декрет 102/2014 и междуведомствен указ от 22 декември 2017 г.) влизат в сила изменения, за да се насърчи увеличаването и по-широкото използване на наличните ресурси. </w:t>
      </w:r>
    </w:p>
    <w:p w14:paraId="64662B48" w14:textId="77777777" w:rsidR="006054AA" w:rsidRDefault="001F7667">
      <w:pPr>
        <w:numPr>
          <w:ilvl w:val="0"/>
          <w:numId w:val="71"/>
        </w:numPr>
        <w:spacing w:before="120" w:after="120"/>
        <w:ind w:left="357" w:hanging="357"/>
        <w:contextualSpacing/>
        <w:jc w:val="both"/>
        <w:rPr>
          <w:noProof/>
        </w:rPr>
      </w:pPr>
      <w:r>
        <w:rPr>
          <w:b/>
          <w:noProof/>
        </w:rPr>
        <w:t>Ускоряване на фазата на изпълнение на проекти, финансирани по програмата EPAC за централно публично развитие: Извършва се</w:t>
      </w:r>
      <w:r>
        <w:rPr>
          <w:noProof/>
        </w:rPr>
        <w:t>регулаторен преглед, насочен към насърчаване на по-ефикасно управление на ресурсите, специално разпределени за Програмата за искания за изграждане на централната публична администрация (PREPAC).</w:t>
      </w:r>
    </w:p>
    <w:p w14:paraId="3E97429F" w14:textId="77777777" w:rsidR="006054AA" w:rsidRDefault="001F7667">
      <w:pPr>
        <w:pStyle w:val="Heading3"/>
        <w:numPr>
          <w:ilvl w:val="0"/>
          <w:numId w:val="0"/>
        </w:numPr>
        <w:ind w:left="850" w:hanging="850"/>
        <w:rPr>
          <w:b/>
          <w:i w:val="0"/>
          <w:noProof/>
          <w:u w:val="single"/>
        </w:rPr>
      </w:pPr>
      <w:r>
        <w:rPr>
          <w:b/>
          <w:i w:val="0"/>
          <w:noProof/>
          <w:u w:val="single"/>
        </w:rPr>
        <w:t xml:space="preserve">Е.2.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4BE3A2F4" w14:textId="77777777" w:rsidR="006054AA" w:rsidRDefault="006054AA">
      <w:pPr>
        <w:spacing w:before="120" w:after="120"/>
        <w:ind w:left="709"/>
        <w:jc w:val="both"/>
        <w:rPr>
          <w:noProof/>
        </w:rPr>
        <w:sectPr w:rsidR="006054AA">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pPr w:leftFromText="180" w:rightFromText="180" w:horzAnchor="margin" w:tblpXSpec="center" w:tblpY="-720"/>
        <w:tblW w:w="5122" w:type="pct"/>
        <w:tblLook w:val="04A0" w:firstRow="1" w:lastRow="0" w:firstColumn="1" w:lastColumn="0" w:noHBand="0" w:noVBand="1"/>
      </w:tblPr>
      <w:tblGrid>
        <w:gridCol w:w="1130"/>
        <w:gridCol w:w="1559"/>
        <w:gridCol w:w="1134"/>
        <w:gridCol w:w="1559"/>
        <w:gridCol w:w="1609"/>
        <w:gridCol w:w="1084"/>
        <w:gridCol w:w="1276"/>
        <w:gridCol w:w="1219"/>
        <w:gridCol w:w="1200"/>
        <w:gridCol w:w="811"/>
        <w:gridCol w:w="2647"/>
      </w:tblGrid>
      <w:tr w:rsidR="006054AA" w14:paraId="64C1D58C" w14:textId="77777777">
        <w:trPr>
          <w:trHeight w:val="927"/>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EF58A2" w14:textId="77777777" w:rsidR="006054AA" w:rsidRDefault="001F7667">
            <w:pPr>
              <w:pStyle w:val="P68B1DB1-Normal9"/>
              <w:jc w:val="center"/>
              <w:rPr>
                <w:noProof/>
              </w:rPr>
            </w:pPr>
            <w:r>
              <w:rPr>
                <w:noProof/>
              </w:rPr>
              <w:t>Пореден номер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283191" w14:textId="77777777" w:rsidR="006054AA" w:rsidRDefault="001F7667">
            <w:pPr>
              <w:pStyle w:val="P68B1DB1-Normal9"/>
              <w:jc w:val="center"/>
              <w:rPr>
                <w:noProof/>
              </w:rPr>
            </w:pPr>
            <w:r>
              <w:rPr>
                <w:noProof/>
              </w:rPr>
              <w:t>Свързана мярка (реформа или инвестиции)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02651D" w14:textId="77777777" w:rsidR="006054AA" w:rsidRDefault="001F7667">
            <w:pPr>
              <w:pStyle w:val="P68B1DB1-Normal9"/>
              <w:jc w:val="center"/>
              <w:rPr>
                <w:noProof/>
              </w:rPr>
            </w:pPr>
            <w:r>
              <w:rPr>
                <w:noProof/>
              </w:rPr>
              <w:t>Ключов етап/Цел</w:t>
            </w:r>
          </w:p>
        </w:tc>
        <w:tc>
          <w:tcPr>
            <w:tcW w:w="1559" w:type="dxa"/>
            <w:vMerge w:val="restart"/>
            <w:tcBorders>
              <w:top w:val="single" w:sz="4" w:space="0" w:color="auto"/>
              <w:left w:val="nil"/>
              <w:bottom w:val="single" w:sz="4" w:space="0" w:color="auto"/>
              <w:right w:val="single" w:sz="4" w:space="0" w:color="auto"/>
            </w:tcBorders>
            <w:shd w:val="clear" w:color="auto" w:fill="BDD7EE"/>
            <w:vAlign w:val="center"/>
            <w:hideMark/>
          </w:tcPr>
          <w:p w14:paraId="42EDD06B" w14:textId="77777777" w:rsidR="006054AA" w:rsidRDefault="001F7667">
            <w:pPr>
              <w:pStyle w:val="P68B1DB1-Normal9"/>
              <w:jc w:val="center"/>
              <w:rPr>
                <w:noProof/>
              </w:rPr>
            </w:pPr>
            <w:r>
              <w:rPr>
                <w:noProof/>
              </w:rPr>
              <w:t>Име</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8616C44"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579" w:type="dxa"/>
            <w:gridSpan w:val="3"/>
            <w:tcBorders>
              <w:top w:val="single" w:sz="4" w:space="0" w:color="auto"/>
              <w:left w:val="nil"/>
              <w:bottom w:val="single" w:sz="4" w:space="0" w:color="auto"/>
              <w:right w:val="single" w:sz="4" w:space="0" w:color="auto"/>
            </w:tcBorders>
            <w:shd w:val="clear" w:color="auto" w:fill="BDD7EE"/>
            <w:vAlign w:val="center"/>
            <w:hideMark/>
          </w:tcPr>
          <w:p w14:paraId="0C834CEA"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242A692D" w14:textId="77777777" w:rsidR="006054AA" w:rsidRDefault="001F7667">
            <w:pPr>
              <w:pStyle w:val="P68B1DB1-Normal9"/>
              <w:jc w:val="center"/>
              <w:rPr>
                <w:noProof/>
              </w:rPr>
            </w:pPr>
            <w:r>
              <w:rPr>
                <w:noProof/>
              </w:rPr>
              <w:t xml:space="preserve">Примерен график за приключване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11B7B8" w14:textId="77777777" w:rsidR="006054AA" w:rsidRDefault="001F7667">
            <w:pPr>
              <w:pStyle w:val="P68B1DB1-Normal9"/>
              <w:rPr>
                <w:noProof/>
              </w:rPr>
            </w:pPr>
            <w:r>
              <w:rPr>
                <w:noProof/>
              </w:rPr>
              <w:t>Описание на всеки ключов етап и цел</w:t>
            </w:r>
          </w:p>
        </w:tc>
      </w:tr>
      <w:tr w:rsidR="006054AA" w14:paraId="435DBB89" w14:textId="77777777">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7B2A558A" w14:textId="77777777" w:rsidR="006054AA" w:rsidRDefault="006054AA">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208EBD" w14:textId="77777777" w:rsidR="006054AA" w:rsidRDefault="006054AA">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10A906" w14:textId="77777777" w:rsidR="006054AA" w:rsidRDefault="006054AA">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312624" w14:textId="77777777" w:rsidR="006054AA" w:rsidRDefault="006054AA">
            <w:pPr>
              <w:rPr>
                <w:rFonts w:ascii="Arial Narrow" w:hAnsi="Arial Narrow"/>
                <w:b/>
                <w:noProof/>
                <w:sz w:val="20"/>
              </w:rPr>
            </w:pPr>
          </w:p>
        </w:tc>
        <w:tc>
          <w:tcPr>
            <w:tcW w:w="1609" w:type="dxa"/>
            <w:vMerge/>
            <w:tcBorders>
              <w:top w:val="single" w:sz="4" w:space="0" w:color="auto"/>
              <w:left w:val="single" w:sz="4" w:space="0" w:color="auto"/>
              <w:bottom w:val="single" w:sz="4" w:space="0" w:color="auto"/>
            </w:tcBorders>
            <w:vAlign w:val="center"/>
            <w:hideMark/>
          </w:tcPr>
          <w:p w14:paraId="7091208C" w14:textId="77777777" w:rsidR="006054AA" w:rsidRDefault="006054AA">
            <w:pPr>
              <w:rPr>
                <w:rFonts w:ascii="Arial Narrow" w:hAnsi="Arial Narrow"/>
                <w:b/>
                <w:noProof/>
                <w:sz w:val="20"/>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0A9A832A" w14:textId="77777777" w:rsidR="006054AA" w:rsidRDefault="001F7667">
            <w:pPr>
              <w:pStyle w:val="P68B1DB1-Normal9"/>
              <w:jc w:val="center"/>
              <w:rPr>
                <w:noProof/>
              </w:rPr>
            </w:pPr>
            <w:r>
              <w:rPr>
                <w:noProof/>
              </w:rPr>
              <w:t>Единица мярка</w:t>
            </w:r>
          </w:p>
        </w:tc>
        <w:tc>
          <w:tcPr>
            <w:tcW w:w="1276" w:type="dxa"/>
            <w:tcBorders>
              <w:top w:val="nil"/>
              <w:left w:val="nil"/>
              <w:bottom w:val="single" w:sz="4" w:space="0" w:color="auto"/>
              <w:right w:val="single" w:sz="4" w:space="0" w:color="auto"/>
            </w:tcBorders>
            <w:shd w:val="clear" w:color="auto" w:fill="BDD7EE"/>
            <w:vAlign w:val="center"/>
            <w:hideMark/>
          </w:tcPr>
          <w:p w14:paraId="64A68FBD" w14:textId="77777777" w:rsidR="006054AA" w:rsidRDefault="001F7667">
            <w:pPr>
              <w:pStyle w:val="P68B1DB1-Normal9"/>
              <w:jc w:val="center"/>
              <w:rPr>
                <w:noProof/>
              </w:rPr>
            </w:pPr>
            <w:r>
              <w:rPr>
                <w:noProof/>
              </w:rPr>
              <w:t xml:space="preserve">Базова линия </w:t>
            </w:r>
          </w:p>
        </w:tc>
        <w:tc>
          <w:tcPr>
            <w:tcW w:w="1219" w:type="dxa"/>
            <w:tcBorders>
              <w:top w:val="nil"/>
              <w:left w:val="nil"/>
              <w:bottom w:val="single" w:sz="4" w:space="0" w:color="auto"/>
              <w:right w:val="single" w:sz="4" w:space="0" w:color="auto"/>
            </w:tcBorders>
            <w:shd w:val="clear" w:color="auto" w:fill="BDD7EE"/>
            <w:vAlign w:val="center"/>
            <w:hideMark/>
          </w:tcPr>
          <w:p w14:paraId="64E52950" w14:textId="77777777" w:rsidR="006054AA" w:rsidRDefault="001F7667">
            <w:pPr>
              <w:pStyle w:val="P68B1DB1-Normal9"/>
              <w:jc w:val="center"/>
              <w:rPr>
                <w:noProof/>
              </w:rPr>
            </w:pPr>
            <w:r>
              <w:rPr>
                <w:noProof/>
              </w:rPr>
              <w:t xml:space="preserve">Цел </w:t>
            </w:r>
          </w:p>
        </w:tc>
        <w:tc>
          <w:tcPr>
            <w:tcW w:w="995" w:type="dxa"/>
            <w:tcBorders>
              <w:top w:val="nil"/>
              <w:left w:val="nil"/>
              <w:bottom w:val="single" w:sz="4" w:space="0" w:color="auto"/>
              <w:right w:val="single" w:sz="4" w:space="0" w:color="auto"/>
            </w:tcBorders>
            <w:shd w:val="clear" w:color="auto" w:fill="BDD7EE"/>
            <w:vAlign w:val="center"/>
            <w:hideMark/>
          </w:tcPr>
          <w:p w14:paraId="466ED23B" w14:textId="77777777" w:rsidR="006054AA" w:rsidRDefault="001F7667">
            <w:pPr>
              <w:pStyle w:val="P68B1DB1-Normal9"/>
              <w:jc w:val="center"/>
              <w:rPr>
                <w:noProof/>
              </w:rPr>
            </w:pPr>
            <w:r>
              <w:rPr>
                <w:noProof/>
              </w:rPr>
              <w:t>Тримесечие</w:t>
            </w:r>
          </w:p>
        </w:tc>
        <w:tc>
          <w:tcPr>
            <w:tcW w:w="704" w:type="dxa"/>
            <w:tcBorders>
              <w:top w:val="nil"/>
              <w:left w:val="nil"/>
              <w:bottom w:val="single" w:sz="4" w:space="0" w:color="auto"/>
              <w:right w:val="single" w:sz="4" w:space="0" w:color="auto"/>
            </w:tcBorders>
            <w:shd w:val="clear" w:color="auto" w:fill="BDD7EE"/>
            <w:vAlign w:val="center"/>
            <w:hideMark/>
          </w:tcPr>
          <w:p w14:paraId="2483F80D" w14:textId="77777777" w:rsidR="006054AA" w:rsidRDefault="001F7667">
            <w:pPr>
              <w:pStyle w:val="P68B1DB1-Normal9"/>
              <w:jc w:val="center"/>
              <w:rPr>
                <w:noProof/>
              </w:rPr>
            </w:pPr>
            <w:r>
              <w:rPr>
                <w:noProof/>
              </w:rPr>
              <w:t>Година</w:t>
            </w:r>
          </w:p>
        </w:tc>
        <w:tc>
          <w:tcPr>
            <w:tcW w:w="2647" w:type="dxa"/>
            <w:vMerge/>
            <w:tcBorders>
              <w:top w:val="single" w:sz="4" w:space="0" w:color="auto"/>
              <w:bottom w:val="single" w:sz="4" w:space="0" w:color="auto"/>
              <w:right w:val="single" w:sz="4" w:space="0" w:color="auto"/>
            </w:tcBorders>
            <w:vAlign w:val="center"/>
            <w:hideMark/>
          </w:tcPr>
          <w:p w14:paraId="75CFE3A9" w14:textId="77777777" w:rsidR="006054AA" w:rsidRDefault="006054AA">
            <w:pPr>
              <w:rPr>
                <w:rFonts w:ascii="Arial Narrow" w:hAnsi="Arial Narrow"/>
                <w:b/>
                <w:noProof/>
                <w:sz w:val="20"/>
              </w:rPr>
            </w:pPr>
          </w:p>
        </w:tc>
      </w:tr>
      <w:tr w:rsidR="006054AA" w14:paraId="2B1D2EB9" w14:textId="77777777">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DF05B65" w14:textId="77777777" w:rsidR="006054AA" w:rsidRDefault="001F7667">
            <w:pPr>
              <w:pStyle w:val="P68B1DB1-Normal11"/>
              <w:spacing w:line="276" w:lineRule="auto"/>
              <w:jc w:val="center"/>
              <w:rPr>
                <w:noProof/>
              </w:rPr>
            </w:pPr>
            <w:r>
              <w:rPr>
                <w:noProof/>
              </w:rPr>
              <w:t>M2C3—1</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8EF2FB9" w14:textId="5D2DB18C" w:rsidR="006054AA" w:rsidRDefault="001F7667">
            <w:pPr>
              <w:pStyle w:val="P68B1DB1-Normal11"/>
              <w:spacing w:line="276" w:lineRule="auto"/>
              <w:jc w:val="center"/>
              <w:rPr>
                <w:noProof/>
              </w:rPr>
            </w:pPr>
            <w:r>
              <w:rPr>
                <w:noProof/>
              </w:rPr>
              <w:t xml:space="preserve">Инвестиция 2.1 — Укрепване на Ecobonus за енергийна ефективност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B0693C3" w14:textId="77777777" w:rsidR="006054AA" w:rsidRDefault="001F7667">
            <w:pPr>
              <w:pStyle w:val="P68B1DB1-Normal11"/>
              <w:spacing w:line="276" w:lineRule="auto"/>
              <w:jc w:val="center"/>
              <w:rPr>
                <w:noProof/>
              </w:rPr>
            </w:pPr>
            <w:r>
              <w:rPr>
                <w:noProof/>
              </w:rPr>
              <w:t>Ключов етап</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3C36C76" w14:textId="06479835" w:rsidR="006054AA" w:rsidRDefault="001F7667">
            <w:pPr>
              <w:pStyle w:val="P68B1DB1-Normal11"/>
              <w:spacing w:line="276" w:lineRule="auto"/>
              <w:jc w:val="center"/>
              <w:rPr>
                <w:noProof/>
              </w:rPr>
            </w:pPr>
            <w:r>
              <w:rPr>
                <w:noProof/>
              </w:rPr>
              <w:t>Влизане в сила на удължаването на срока на действие на Superbonus</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B24B8F1" w14:textId="77777777" w:rsidR="006054AA" w:rsidRDefault="001F7667">
            <w:pPr>
              <w:pStyle w:val="P68B1DB1-Normal11"/>
              <w:spacing w:line="276" w:lineRule="auto"/>
              <w:jc w:val="center"/>
              <w:rPr>
                <w:noProof/>
              </w:rPr>
            </w:pPr>
            <w:r>
              <w:rPr>
                <w:noProof/>
              </w:rPr>
              <w:t>Разпоредба в правния (те) акт (и), указваща (и) влизането в сила</w:t>
            </w:r>
          </w:p>
        </w:tc>
        <w:tc>
          <w:tcPr>
            <w:tcW w:w="1084" w:type="dxa"/>
            <w:tcBorders>
              <w:top w:val="nil"/>
              <w:left w:val="nil"/>
              <w:bottom w:val="single" w:sz="4" w:space="0" w:color="auto"/>
              <w:right w:val="single" w:sz="4" w:space="0" w:color="auto"/>
            </w:tcBorders>
            <w:shd w:val="clear" w:color="auto" w:fill="C6EFCE"/>
            <w:noWrap/>
            <w:vAlign w:val="center"/>
          </w:tcPr>
          <w:p w14:paraId="7AD7D9BA" w14:textId="77777777" w:rsidR="006054AA" w:rsidRDefault="001F7667">
            <w:pPr>
              <w:pStyle w:val="P68B1DB1-Normal11"/>
              <w:spacing w:line="276" w:lineRule="auto"/>
              <w:jc w:val="center"/>
              <w:rPr>
                <w:noProof/>
              </w:rPr>
            </w:pPr>
            <w:r>
              <w:rPr>
                <w:noProof/>
              </w:rPr>
              <w:t>НЯМА</w:t>
            </w:r>
          </w:p>
        </w:tc>
        <w:tc>
          <w:tcPr>
            <w:tcW w:w="1276" w:type="dxa"/>
            <w:tcBorders>
              <w:top w:val="nil"/>
              <w:left w:val="nil"/>
              <w:bottom w:val="single" w:sz="4" w:space="0" w:color="auto"/>
              <w:right w:val="single" w:sz="4" w:space="0" w:color="auto"/>
            </w:tcBorders>
            <w:shd w:val="clear" w:color="auto" w:fill="C6EFCE"/>
            <w:noWrap/>
            <w:vAlign w:val="center"/>
          </w:tcPr>
          <w:p w14:paraId="45C8AF3A" w14:textId="77777777" w:rsidR="006054AA" w:rsidRDefault="001F7667">
            <w:pPr>
              <w:pStyle w:val="P68B1DB1-Normal11"/>
              <w:spacing w:line="276" w:lineRule="auto"/>
              <w:jc w:val="center"/>
              <w:rPr>
                <w:noProof/>
              </w:rPr>
            </w:pPr>
            <w:r>
              <w:rPr>
                <w:noProof/>
              </w:rPr>
              <w:t>НЯМА</w:t>
            </w:r>
          </w:p>
        </w:tc>
        <w:tc>
          <w:tcPr>
            <w:tcW w:w="1219" w:type="dxa"/>
            <w:tcBorders>
              <w:top w:val="nil"/>
              <w:left w:val="nil"/>
              <w:bottom w:val="single" w:sz="4" w:space="0" w:color="auto"/>
              <w:right w:val="single" w:sz="4" w:space="0" w:color="auto"/>
            </w:tcBorders>
            <w:shd w:val="clear" w:color="auto" w:fill="C6EFCE"/>
            <w:noWrap/>
            <w:vAlign w:val="center"/>
          </w:tcPr>
          <w:p w14:paraId="3EF72B3F" w14:textId="77777777" w:rsidR="006054AA" w:rsidRDefault="001F7667">
            <w:pPr>
              <w:pStyle w:val="P68B1DB1-Normal11"/>
              <w:spacing w:line="276" w:lineRule="auto"/>
              <w:jc w:val="center"/>
              <w:rPr>
                <w:noProof/>
              </w:rPr>
            </w:pPr>
            <w:r>
              <w:rPr>
                <w:noProof/>
              </w:rPr>
              <w:t>НЯМА</w:t>
            </w:r>
          </w:p>
        </w:tc>
        <w:tc>
          <w:tcPr>
            <w:tcW w:w="995" w:type="dxa"/>
            <w:tcBorders>
              <w:top w:val="nil"/>
              <w:left w:val="nil"/>
              <w:bottom w:val="single" w:sz="4" w:space="0" w:color="auto"/>
              <w:right w:val="single" w:sz="4" w:space="0" w:color="auto"/>
            </w:tcBorders>
            <w:shd w:val="clear" w:color="auto" w:fill="C6EFCE"/>
            <w:noWrap/>
            <w:vAlign w:val="center"/>
          </w:tcPr>
          <w:p w14:paraId="2B42EE4C" w14:textId="77777777" w:rsidR="006054AA" w:rsidRDefault="001F7667">
            <w:pPr>
              <w:pStyle w:val="P68B1DB1-Normal11"/>
              <w:spacing w:line="276" w:lineRule="auto"/>
              <w:jc w:val="center"/>
              <w:rPr>
                <w:noProof/>
              </w:rPr>
            </w:pPr>
            <w:r>
              <w:rPr>
                <w:noProof/>
              </w:rPr>
              <w:t>Т4 Г.</w:t>
            </w:r>
          </w:p>
        </w:tc>
        <w:tc>
          <w:tcPr>
            <w:tcW w:w="704" w:type="dxa"/>
            <w:tcBorders>
              <w:top w:val="nil"/>
              <w:left w:val="nil"/>
              <w:bottom w:val="single" w:sz="4" w:space="0" w:color="auto"/>
              <w:right w:val="single" w:sz="4" w:space="0" w:color="auto"/>
            </w:tcBorders>
            <w:shd w:val="clear" w:color="auto" w:fill="C6EFCE"/>
            <w:noWrap/>
            <w:vAlign w:val="center"/>
          </w:tcPr>
          <w:p w14:paraId="41BCAE5A" w14:textId="77777777" w:rsidR="006054AA" w:rsidRDefault="001F7667">
            <w:pPr>
              <w:pStyle w:val="P68B1DB1-Normal11"/>
              <w:spacing w:line="276" w:lineRule="auto"/>
              <w:jc w:val="center"/>
              <w:rPr>
                <w:noProof/>
              </w:rPr>
            </w:pPr>
            <w:r>
              <w:rPr>
                <w:noProof/>
              </w:rPr>
              <w:t>2021</w:t>
            </w:r>
          </w:p>
        </w:tc>
        <w:tc>
          <w:tcPr>
            <w:tcW w:w="2647" w:type="dxa"/>
            <w:tcBorders>
              <w:top w:val="single" w:sz="4" w:space="0" w:color="auto"/>
              <w:left w:val="nil"/>
              <w:bottom w:val="single" w:sz="4" w:space="0" w:color="auto"/>
              <w:right w:val="single" w:sz="4" w:space="0" w:color="auto"/>
            </w:tcBorders>
            <w:shd w:val="clear" w:color="auto" w:fill="C6EFCE"/>
            <w:noWrap/>
            <w:vAlign w:val="center"/>
          </w:tcPr>
          <w:p w14:paraId="7E799D3D" w14:textId="77777777" w:rsidR="006054AA" w:rsidRDefault="001F7667">
            <w:pPr>
              <w:pStyle w:val="P68B1DB1-Normal11"/>
              <w:spacing w:line="276" w:lineRule="auto"/>
              <w:rPr>
                <w:noProof/>
              </w:rPr>
            </w:pPr>
            <w:r>
              <w:rPr>
                <w:noProof/>
              </w:rPr>
              <w:t>Правният (те) акт (и):</w:t>
            </w:r>
          </w:p>
          <w:p w14:paraId="1A92389B" w14:textId="77777777" w:rsidR="006054AA" w:rsidRDefault="001F7667">
            <w:pPr>
              <w:pStyle w:val="P68B1DB1-Normal11"/>
              <w:spacing w:line="276" w:lineRule="auto"/>
              <w:rPr>
                <w:noProof/>
              </w:rPr>
            </w:pPr>
            <w:r>
              <w:rPr>
                <w:noProof/>
              </w:rPr>
              <w:t>удължаване на срока на обезщетенията за Ecobonus и Sismabonus до 31 декември 2022 г.</w:t>
            </w:r>
          </w:p>
          <w:p w14:paraId="76924721" w14:textId="77777777" w:rsidR="006054AA" w:rsidRDefault="001F7667">
            <w:pPr>
              <w:pStyle w:val="P68B1DB1-Normal11"/>
              <w:spacing w:line="276" w:lineRule="auto"/>
              <w:rPr>
                <w:noProof/>
              </w:rPr>
            </w:pPr>
            <w:r>
              <w:rPr>
                <w:noProof/>
              </w:rPr>
              <w:t>за етажната собственост и 30 юни 2023 г. за социални</w:t>
            </w:r>
          </w:p>
          <w:p w14:paraId="64BFBF5D" w14:textId="273D3668" w:rsidR="006054AA" w:rsidRDefault="001F7667">
            <w:pPr>
              <w:pStyle w:val="P68B1DB1-Normal11"/>
              <w:spacing w:line="276" w:lineRule="auto"/>
              <w:rPr>
                <w:noProof/>
              </w:rPr>
            </w:pPr>
            <w:r>
              <w:rPr>
                <w:noProof/>
              </w:rPr>
              <w:t>жилищно настаняване (IACP).</w:t>
            </w:r>
          </w:p>
        </w:tc>
      </w:tr>
      <w:tr w:rsidR="006054AA" w14:paraId="18DDDD17"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996442E" w14:textId="77777777" w:rsidR="006054AA" w:rsidRDefault="001F7667">
            <w:pPr>
              <w:pStyle w:val="P68B1DB1-Normal11"/>
              <w:spacing w:line="276" w:lineRule="auto"/>
              <w:jc w:val="center"/>
              <w:rPr>
                <w:noProof/>
              </w:rPr>
            </w:pPr>
            <w:r>
              <w:rPr>
                <w:noProof/>
              </w:rPr>
              <w:t>M2C3—2</w:t>
            </w:r>
          </w:p>
        </w:tc>
        <w:tc>
          <w:tcPr>
            <w:tcW w:w="1559" w:type="dxa"/>
            <w:tcBorders>
              <w:top w:val="nil"/>
              <w:left w:val="nil"/>
              <w:bottom w:val="single" w:sz="4" w:space="0" w:color="auto"/>
              <w:right w:val="single" w:sz="4" w:space="0" w:color="auto"/>
            </w:tcBorders>
            <w:shd w:val="clear" w:color="auto" w:fill="C6EFCE"/>
            <w:noWrap/>
            <w:vAlign w:val="center"/>
          </w:tcPr>
          <w:p w14:paraId="34C24B70" w14:textId="6B036587" w:rsidR="006054AA" w:rsidRDefault="001F7667">
            <w:pPr>
              <w:pStyle w:val="P68B1DB1-Normal11"/>
              <w:spacing w:line="276" w:lineRule="auto"/>
              <w:jc w:val="center"/>
              <w:rPr>
                <w:noProof/>
              </w:rPr>
            </w:pPr>
            <w:r>
              <w:rPr>
                <w:noProof/>
              </w:rPr>
              <w:t>Инвестиция 2.1 — Укрепване на Ecobonus за енергийна ефективност</w:t>
            </w:r>
          </w:p>
        </w:tc>
        <w:tc>
          <w:tcPr>
            <w:tcW w:w="1134" w:type="dxa"/>
            <w:tcBorders>
              <w:top w:val="nil"/>
              <w:left w:val="nil"/>
              <w:bottom w:val="single" w:sz="4" w:space="0" w:color="auto"/>
              <w:right w:val="single" w:sz="4" w:space="0" w:color="auto"/>
            </w:tcBorders>
            <w:shd w:val="clear" w:color="auto" w:fill="C6EFCE"/>
            <w:noWrap/>
            <w:vAlign w:val="center"/>
          </w:tcPr>
          <w:p w14:paraId="1CD4E068" w14:textId="77777777" w:rsidR="006054AA" w:rsidRDefault="001F7667">
            <w:pPr>
              <w:pStyle w:val="P68B1DB1-Normal11"/>
              <w:spacing w:line="276" w:lineRule="auto"/>
              <w:jc w:val="center"/>
              <w:rPr>
                <w:noProof/>
              </w:rPr>
            </w:pPr>
            <w:r>
              <w:rPr>
                <w:noProof/>
              </w:rPr>
              <w:t>Целеви</w:t>
            </w:r>
          </w:p>
        </w:tc>
        <w:tc>
          <w:tcPr>
            <w:tcW w:w="1559" w:type="dxa"/>
            <w:tcBorders>
              <w:top w:val="nil"/>
              <w:left w:val="nil"/>
              <w:bottom w:val="single" w:sz="4" w:space="0" w:color="auto"/>
              <w:right w:val="single" w:sz="4" w:space="0" w:color="auto"/>
            </w:tcBorders>
            <w:shd w:val="clear" w:color="auto" w:fill="C6EFCE"/>
            <w:noWrap/>
            <w:vAlign w:val="center"/>
          </w:tcPr>
          <w:p w14:paraId="2DB1ABA8" w14:textId="77777777" w:rsidR="006054AA" w:rsidRDefault="001F7667">
            <w:pPr>
              <w:pStyle w:val="P68B1DB1-Normal11"/>
              <w:spacing w:line="276" w:lineRule="auto"/>
              <w:jc w:val="center"/>
              <w:rPr>
                <w:noProof/>
              </w:rPr>
            </w:pPr>
            <w:r>
              <w:rPr>
                <w:noProof/>
              </w:rPr>
              <w:t>Саниране на сгради Superbonus T1</w:t>
            </w:r>
          </w:p>
        </w:tc>
        <w:tc>
          <w:tcPr>
            <w:tcW w:w="1609" w:type="dxa"/>
            <w:tcBorders>
              <w:top w:val="nil"/>
              <w:left w:val="nil"/>
              <w:bottom w:val="single" w:sz="4" w:space="0" w:color="auto"/>
              <w:right w:val="single" w:sz="4" w:space="0" w:color="auto"/>
            </w:tcBorders>
            <w:shd w:val="clear" w:color="auto" w:fill="C6EFCE"/>
            <w:noWrap/>
            <w:vAlign w:val="center"/>
          </w:tcPr>
          <w:p w14:paraId="14131683" w14:textId="77777777" w:rsidR="006054AA" w:rsidRDefault="001F7667">
            <w:pPr>
              <w:pStyle w:val="P68B1DB1-Normal11"/>
              <w:spacing w:line="276" w:lineRule="auto"/>
              <w:jc w:val="center"/>
              <w:rPr>
                <w:noProof/>
              </w:rPr>
            </w:pPr>
            <w:r>
              <w:rPr>
                <w:noProof/>
              </w:rPr>
              <w:t>НЯМА</w:t>
            </w:r>
          </w:p>
        </w:tc>
        <w:tc>
          <w:tcPr>
            <w:tcW w:w="1084" w:type="dxa"/>
            <w:tcBorders>
              <w:top w:val="nil"/>
              <w:left w:val="nil"/>
              <w:bottom w:val="single" w:sz="4" w:space="0" w:color="auto"/>
              <w:right w:val="single" w:sz="4" w:space="0" w:color="auto"/>
            </w:tcBorders>
            <w:shd w:val="clear" w:color="auto" w:fill="C6EFCE"/>
            <w:noWrap/>
            <w:vAlign w:val="center"/>
          </w:tcPr>
          <w:p w14:paraId="3B536832" w14:textId="77777777" w:rsidR="006054AA" w:rsidRDefault="001F7667">
            <w:pPr>
              <w:pStyle w:val="P68B1DB1-Normal11"/>
              <w:spacing w:line="276" w:lineRule="auto"/>
              <w:jc w:val="center"/>
              <w:rPr>
                <w:noProof/>
              </w:rPr>
            </w:pPr>
            <w:r>
              <w:rPr>
                <w:noProof/>
              </w:rPr>
              <w:t xml:space="preserve">Брой </w:t>
            </w:r>
          </w:p>
        </w:tc>
        <w:tc>
          <w:tcPr>
            <w:tcW w:w="1276" w:type="dxa"/>
            <w:tcBorders>
              <w:top w:val="nil"/>
              <w:left w:val="nil"/>
              <w:bottom w:val="single" w:sz="4" w:space="0" w:color="auto"/>
              <w:right w:val="single" w:sz="4" w:space="0" w:color="auto"/>
            </w:tcBorders>
            <w:shd w:val="clear" w:color="auto" w:fill="C6EFCE"/>
            <w:noWrap/>
            <w:vAlign w:val="center"/>
          </w:tcPr>
          <w:p w14:paraId="09D12062" w14:textId="77777777" w:rsidR="006054AA" w:rsidRDefault="001F7667">
            <w:pPr>
              <w:pStyle w:val="P68B1DB1-Normal11"/>
              <w:spacing w:line="276" w:lineRule="auto"/>
              <w:jc w:val="center"/>
              <w:rPr>
                <w:noProof/>
              </w:rPr>
            </w:pPr>
            <w:r>
              <w:rPr>
                <w:noProof/>
              </w:rPr>
              <w:t>0</w:t>
            </w:r>
          </w:p>
        </w:tc>
        <w:tc>
          <w:tcPr>
            <w:tcW w:w="1219" w:type="dxa"/>
            <w:tcBorders>
              <w:top w:val="nil"/>
              <w:left w:val="nil"/>
              <w:bottom w:val="single" w:sz="4" w:space="0" w:color="auto"/>
              <w:right w:val="single" w:sz="4" w:space="0" w:color="auto"/>
            </w:tcBorders>
            <w:shd w:val="clear" w:color="auto" w:fill="C6EFCE"/>
            <w:noWrap/>
            <w:vAlign w:val="center"/>
          </w:tcPr>
          <w:p w14:paraId="7CC67C1C" w14:textId="2FAC4328" w:rsidR="006054AA" w:rsidRDefault="001F7667">
            <w:pPr>
              <w:pStyle w:val="P68B1DB1-Normal11"/>
              <w:spacing w:line="276" w:lineRule="auto"/>
              <w:jc w:val="center"/>
              <w:rPr>
                <w:noProof/>
              </w:rPr>
            </w:pPr>
            <w:r>
              <w:rPr>
                <w:noProof/>
              </w:rPr>
              <w:t>17 000 000</w:t>
            </w:r>
          </w:p>
        </w:tc>
        <w:tc>
          <w:tcPr>
            <w:tcW w:w="995" w:type="dxa"/>
            <w:tcBorders>
              <w:top w:val="nil"/>
              <w:left w:val="nil"/>
              <w:bottom w:val="single" w:sz="4" w:space="0" w:color="auto"/>
              <w:right w:val="single" w:sz="4" w:space="0" w:color="auto"/>
            </w:tcBorders>
            <w:shd w:val="clear" w:color="auto" w:fill="C6EFCE"/>
            <w:noWrap/>
            <w:vAlign w:val="center"/>
          </w:tcPr>
          <w:p w14:paraId="659434A2" w14:textId="77777777" w:rsidR="006054AA" w:rsidRDefault="001F7667">
            <w:pPr>
              <w:pStyle w:val="P68B1DB1-Normal11"/>
              <w:spacing w:line="276" w:lineRule="auto"/>
              <w:jc w:val="center"/>
              <w:rPr>
                <w:noProof/>
              </w:rPr>
            </w:pPr>
            <w:r>
              <w:rPr>
                <w:noProof/>
              </w:rPr>
              <w:t>Т2 Г.</w:t>
            </w:r>
          </w:p>
        </w:tc>
        <w:tc>
          <w:tcPr>
            <w:tcW w:w="704" w:type="dxa"/>
            <w:tcBorders>
              <w:top w:val="nil"/>
              <w:left w:val="nil"/>
              <w:bottom w:val="single" w:sz="4" w:space="0" w:color="auto"/>
              <w:right w:val="single" w:sz="4" w:space="0" w:color="auto"/>
            </w:tcBorders>
            <w:shd w:val="clear" w:color="auto" w:fill="C6EFCE"/>
            <w:noWrap/>
            <w:vAlign w:val="center"/>
          </w:tcPr>
          <w:p w14:paraId="01B40B70" w14:textId="77777777" w:rsidR="006054AA" w:rsidRDefault="001F7667">
            <w:pPr>
              <w:pStyle w:val="P68B1DB1-Normal11"/>
              <w:spacing w:line="276" w:lineRule="auto"/>
              <w:jc w:val="center"/>
              <w:rPr>
                <w:noProof/>
              </w:rPr>
            </w:pPr>
            <w:r>
              <w:rPr>
                <w:noProof/>
              </w:rPr>
              <w:t>2023</w:t>
            </w:r>
          </w:p>
        </w:tc>
        <w:tc>
          <w:tcPr>
            <w:tcW w:w="2647" w:type="dxa"/>
            <w:tcBorders>
              <w:top w:val="nil"/>
              <w:left w:val="nil"/>
              <w:bottom w:val="single" w:sz="4" w:space="0" w:color="auto"/>
              <w:right w:val="single" w:sz="4" w:space="0" w:color="auto"/>
            </w:tcBorders>
            <w:shd w:val="clear" w:color="auto" w:fill="C6EFCE"/>
            <w:noWrap/>
            <w:vAlign w:val="center"/>
          </w:tcPr>
          <w:p w14:paraId="5810D590" w14:textId="0AE2E5AA" w:rsidR="006054AA" w:rsidRDefault="001F7667">
            <w:pPr>
              <w:pStyle w:val="P68B1DB1-Normal12"/>
              <w:spacing w:line="276" w:lineRule="auto"/>
              <w:rPr>
                <w:rFonts w:ascii="Arial Narrow" w:hAnsi="Arial Narrow"/>
                <w:noProof/>
              </w:rPr>
            </w:pPr>
            <w:r>
              <w:rPr>
                <w:rFonts w:ascii="Arial Narrow" w:hAnsi="Arial Narrow"/>
                <w:noProof/>
              </w:rPr>
              <w:t>Пълно саниране на сгради (най-малко 17</w:t>
            </w:r>
            <w:r>
              <w:rPr>
                <w:noProof/>
              </w:rPr>
              <w:t xml:space="preserve"> </w:t>
            </w:r>
            <w:r>
              <w:rPr>
                <w:rFonts w:ascii="Arial Narrow" w:hAnsi="Arial Narrow"/>
                <w:noProof/>
              </w:rPr>
              <w:t>000 000</w:t>
            </w:r>
            <w:r>
              <w:rPr>
                <w:noProof/>
              </w:rPr>
              <w:t xml:space="preserve"> </w:t>
            </w:r>
            <w:r>
              <w:rPr>
                <w:rFonts w:ascii="Arial Narrow" w:hAnsi="Arial Narrow"/>
                <w:noProof/>
              </w:rPr>
              <w:t>квадратни метра, което води до икономии на първична енергия от най-малко 40 % и увеличаване на поне две категории в сертификата за енергийна ефективност.</w:t>
            </w:r>
          </w:p>
        </w:tc>
      </w:tr>
      <w:tr w:rsidR="006054AA" w14:paraId="002058A2"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27784CA" w14:textId="77777777" w:rsidR="006054AA" w:rsidRDefault="001F7667">
            <w:pPr>
              <w:pStyle w:val="P68B1DB1-Normal11"/>
              <w:spacing w:line="276" w:lineRule="auto"/>
              <w:jc w:val="center"/>
              <w:rPr>
                <w:noProof/>
              </w:rPr>
            </w:pPr>
            <w:r>
              <w:rPr>
                <w:noProof/>
              </w:rPr>
              <w:t>M2C3—3</w:t>
            </w:r>
          </w:p>
        </w:tc>
        <w:tc>
          <w:tcPr>
            <w:tcW w:w="1559" w:type="dxa"/>
            <w:tcBorders>
              <w:top w:val="nil"/>
              <w:left w:val="nil"/>
              <w:bottom w:val="single" w:sz="4" w:space="0" w:color="auto"/>
              <w:right w:val="single" w:sz="4" w:space="0" w:color="auto"/>
            </w:tcBorders>
            <w:shd w:val="clear" w:color="auto" w:fill="C6EFCE"/>
            <w:noWrap/>
            <w:vAlign w:val="center"/>
          </w:tcPr>
          <w:p w14:paraId="0E2DED29" w14:textId="7C5AC97A" w:rsidR="006054AA" w:rsidRDefault="001F7667">
            <w:pPr>
              <w:pStyle w:val="P68B1DB1-Normal11"/>
              <w:spacing w:line="276" w:lineRule="auto"/>
              <w:jc w:val="center"/>
              <w:rPr>
                <w:noProof/>
              </w:rPr>
            </w:pPr>
            <w:r>
              <w:rPr>
                <w:noProof/>
              </w:rPr>
              <w:t>Инвестиция 2.1 — Укрепване на Ecobonus за енергийна ефективност</w:t>
            </w:r>
          </w:p>
        </w:tc>
        <w:tc>
          <w:tcPr>
            <w:tcW w:w="1134" w:type="dxa"/>
            <w:tcBorders>
              <w:top w:val="nil"/>
              <w:left w:val="nil"/>
              <w:bottom w:val="single" w:sz="4" w:space="0" w:color="auto"/>
              <w:right w:val="single" w:sz="4" w:space="0" w:color="auto"/>
            </w:tcBorders>
            <w:shd w:val="clear" w:color="auto" w:fill="C6EFCE"/>
            <w:noWrap/>
            <w:vAlign w:val="center"/>
          </w:tcPr>
          <w:p w14:paraId="12F00514" w14:textId="77777777" w:rsidR="006054AA" w:rsidRDefault="001F7667">
            <w:pPr>
              <w:pStyle w:val="P68B1DB1-Normal11"/>
              <w:spacing w:line="276" w:lineRule="auto"/>
              <w:jc w:val="center"/>
              <w:rPr>
                <w:noProof/>
              </w:rPr>
            </w:pPr>
            <w:r>
              <w:rPr>
                <w:noProof/>
              </w:rPr>
              <w:t>Целеви</w:t>
            </w:r>
          </w:p>
        </w:tc>
        <w:tc>
          <w:tcPr>
            <w:tcW w:w="1559" w:type="dxa"/>
            <w:tcBorders>
              <w:top w:val="nil"/>
              <w:left w:val="nil"/>
              <w:bottom w:val="single" w:sz="4" w:space="0" w:color="auto"/>
              <w:right w:val="single" w:sz="4" w:space="0" w:color="auto"/>
            </w:tcBorders>
            <w:shd w:val="clear" w:color="auto" w:fill="C6EFCE"/>
            <w:noWrap/>
            <w:vAlign w:val="center"/>
          </w:tcPr>
          <w:p w14:paraId="1CFF992C" w14:textId="77777777" w:rsidR="006054AA" w:rsidRDefault="001F7667">
            <w:pPr>
              <w:pStyle w:val="P68B1DB1-Normal11"/>
              <w:spacing w:line="276" w:lineRule="auto"/>
              <w:jc w:val="center"/>
              <w:rPr>
                <w:noProof/>
              </w:rPr>
            </w:pPr>
            <w:r>
              <w:rPr>
                <w:noProof/>
              </w:rPr>
              <w:t>Саниране на сгради Superbonus T2</w:t>
            </w:r>
          </w:p>
        </w:tc>
        <w:tc>
          <w:tcPr>
            <w:tcW w:w="1609" w:type="dxa"/>
            <w:tcBorders>
              <w:top w:val="nil"/>
              <w:left w:val="nil"/>
              <w:bottom w:val="single" w:sz="4" w:space="0" w:color="auto"/>
              <w:right w:val="single" w:sz="4" w:space="0" w:color="auto"/>
            </w:tcBorders>
            <w:shd w:val="clear" w:color="auto" w:fill="C6EFCE"/>
            <w:noWrap/>
            <w:vAlign w:val="center"/>
          </w:tcPr>
          <w:p w14:paraId="14A3FCB6" w14:textId="77777777" w:rsidR="006054AA" w:rsidRDefault="001F7667">
            <w:pPr>
              <w:pStyle w:val="P68B1DB1-Normal11"/>
              <w:spacing w:line="276" w:lineRule="auto"/>
              <w:jc w:val="center"/>
              <w:rPr>
                <w:noProof/>
              </w:rPr>
            </w:pPr>
            <w:r>
              <w:rPr>
                <w:noProof/>
              </w:rPr>
              <w:t>НЯМА</w:t>
            </w:r>
          </w:p>
        </w:tc>
        <w:tc>
          <w:tcPr>
            <w:tcW w:w="1084" w:type="dxa"/>
            <w:tcBorders>
              <w:top w:val="nil"/>
              <w:left w:val="nil"/>
              <w:bottom w:val="single" w:sz="4" w:space="0" w:color="auto"/>
              <w:right w:val="single" w:sz="4" w:space="0" w:color="auto"/>
            </w:tcBorders>
            <w:shd w:val="clear" w:color="auto" w:fill="C6EFCE"/>
            <w:noWrap/>
            <w:vAlign w:val="center"/>
          </w:tcPr>
          <w:p w14:paraId="72228FC8" w14:textId="77777777" w:rsidR="006054AA" w:rsidRDefault="001F7667">
            <w:pPr>
              <w:pStyle w:val="P68B1DB1-Normal11"/>
              <w:spacing w:line="276" w:lineRule="auto"/>
              <w:jc w:val="center"/>
              <w:rPr>
                <w:noProof/>
              </w:rPr>
            </w:pPr>
            <w:r>
              <w:rPr>
                <w:noProof/>
              </w:rPr>
              <w:t xml:space="preserve">Брой </w:t>
            </w:r>
          </w:p>
        </w:tc>
        <w:tc>
          <w:tcPr>
            <w:tcW w:w="1276" w:type="dxa"/>
            <w:tcBorders>
              <w:top w:val="nil"/>
              <w:left w:val="nil"/>
              <w:bottom w:val="single" w:sz="4" w:space="0" w:color="auto"/>
              <w:right w:val="single" w:sz="4" w:space="0" w:color="auto"/>
            </w:tcBorders>
            <w:shd w:val="clear" w:color="auto" w:fill="C6EFCE"/>
            <w:noWrap/>
            <w:vAlign w:val="center"/>
          </w:tcPr>
          <w:p w14:paraId="32F2D84E" w14:textId="76BC08A6" w:rsidR="006054AA" w:rsidRDefault="001F7667">
            <w:pPr>
              <w:pStyle w:val="P68B1DB1-Normal12"/>
              <w:spacing w:line="276" w:lineRule="auto"/>
              <w:jc w:val="center"/>
              <w:rPr>
                <w:rFonts w:ascii="Arial Narrow" w:hAnsi="Arial Narrow"/>
                <w:noProof/>
              </w:rPr>
            </w:pPr>
            <w:r>
              <w:rPr>
                <w:rFonts w:ascii="Arial Narrow" w:hAnsi="Arial Narrow"/>
                <w:noProof/>
              </w:rPr>
              <w:t>17</w:t>
            </w:r>
            <w:r>
              <w:rPr>
                <w:noProof/>
              </w:rPr>
              <w:t xml:space="preserve"> </w:t>
            </w:r>
            <w:r>
              <w:rPr>
                <w:rFonts w:ascii="Arial Narrow" w:hAnsi="Arial Narrow"/>
                <w:noProof/>
              </w:rPr>
              <w:t>000</w:t>
            </w:r>
            <w:r>
              <w:rPr>
                <w:noProof/>
              </w:rPr>
              <w:t xml:space="preserve"> </w:t>
            </w:r>
            <w:r>
              <w:rPr>
                <w:rFonts w:ascii="Arial Narrow" w:hAnsi="Arial Narrow"/>
                <w:noProof/>
              </w:rPr>
              <w:t>000</w:t>
            </w:r>
          </w:p>
        </w:tc>
        <w:tc>
          <w:tcPr>
            <w:tcW w:w="1219" w:type="dxa"/>
            <w:tcBorders>
              <w:top w:val="nil"/>
              <w:left w:val="nil"/>
              <w:bottom w:val="single" w:sz="4" w:space="0" w:color="auto"/>
              <w:right w:val="single" w:sz="4" w:space="0" w:color="auto"/>
            </w:tcBorders>
            <w:shd w:val="clear" w:color="auto" w:fill="C6EFCE"/>
            <w:noWrap/>
            <w:vAlign w:val="center"/>
          </w:tcPr>
          <w:p w14:paraId="0610F2E4" w14:textId="6F4ABD30" w:rsidR="006054AA" w:rsidRDefault="001F7667">
            <w:pPr>
              <w:pStyle w:val="P68B1DB1-Normal12"/>
              <w:spacing w:line="276" w:lineRule="auto"/>
              <w:jc w:val="center"/>
              <w:rPr>
                <w:rFonts w:ascii="Arial Narrow" w:hAnsi="Arial Narrow"/>
                <w:noProof/>
              </w:rPr>
            </w:pPr>
            <w:r>
              <w:rPr>
                <w:rFonts w:ascii="Arial Narrow" w:hAnsi="Arial Narrow"/>
                <w:noProof/>
              </w:rPr>
              <w:t>35</w:t>
            </w:r>
            <w:r>
              <w:rPr>
                <w:noProof/>
              </w:rPr>
              <w:t xml:space="preserve"> </w:t>
            </w:r>
            <w:r>
              <w:rPr>
                <w:rFonts w:ascii="Arial Narrow" w:hAnsi="Arial Narrow"/>
                <w:noProof/>
              </w:rPr>
              <w:t>800</w:t>
            </w:r>
            <w:r>
              <w:rPr>
                <w:noProof/>
              </w:rPr>
              <w:t xml:space="preserve"> </w:t>
            </w:r>
            <w:r>
              <w:rPr>
                <w:rFonts w:ascii="Arial Narrow" w:hAnsi="Arial Narrow"/>
                <w:noProof/>
              </w:rPr>
              <w:t>000</w:t>
            </w:r>
          </w:p>
        </w:tc>
        <w:tc>
          <w:tcPr>
            <w:tcW w:w="995" w:type="dxa"/>
            <w:tcBorders>
              <w:top w:val="nil"/>
              <w:left w:val="nil"/>
              <w:bottom w:val="single" w:sz="4" w:space="0" w:color="auto"/>
              <w:right w:val="single" w:sz="4" w:space="0" w:color="auto"/>
            </w:tcBorders>
            <w:shd w:val="clear" w:color="auto" w:fill="C6EFCE"/>
            <w:noWrap/>
            <w:vAlign w:val="center"/>
          </w:tcPr>
          <w:p w14:paraId="5342C5C1" w14:textId="77777777" w:rsidR="006054AA" w:rsidRDefault="001F7667">
            <w:pPr>
              <w:pStyle w:val="P68B1DB1-Normal11"/>
              <w:spacing w:line="276" w:lineRule="auto"/>
              <w:jc w:val="center"/>
              <w:rPr>
                <w:noProof/>
              </w:rPr>
            </w:pPr>
            <w:r>
              <w:rPr>
                <w:noProof/>
              </w:rPr>
              <w:t>Т4 Г.</w:t>
            </w:r>
          </w:p>
        </w:tc>
        <w:tc>
          <w:tcPr>
            <w:tcW w:w="704" w:type="dxa"/>
            <w:tcBorders>
              <w:top w:val="nil"/>
              <w:left w:val="nil"/>
              <w:bottom w:val="single" w:sz="4" w:space="0" w:color="auto"/>
              <w:right w:val="single" w:sz="4" w:space="0" w:color="auto"/>
            </w:tcBorders>
            <w:shd w:val="clear" w:color="auto" w:fill="C6EFCE"/>
            <w:noWrap/>
            <w:vAlign w:val="center"/>
          </w:tcPr>
          <w:p w14:paraId="43A96E68" w14:textId="77777777" w:rsidR="006054AA" w:rsidRDefault="001F7667">
            <w:pPr>
              <w:pStyle w:val="P68B1DB1-Normal11"/>
              <w:spacing w:line="276" w:lineRule="auto"/>
              <w:jc w:val="center"/>
              <w:rPr>
                <w:noProof/>
              </w:rPr>
            </w:pPr>
            <w:r>
              <w:rPr>
                <w:noProof/>
              </w:rPr>
              <w:t>2025</w:t>
            </w:r>
          </w:p>
        </w:tc>
        <w:tc>
          <w:tcPr>
            <w:tcW w:w="2647" w:type="dxa"/>
            <w:tcBorders>
              <w:top w:val="nil"/>
              <w:left w:val="nil"/>
              <w:bottom w:val="single" w:sz="4" w:space="0" w:color="auto"/>
              <w:right w:val="single" w:sz="4" w:space="0" w:color="auto"/>
            </w:tcBorders>
            <w:shd w:val="clear" w:color="auto" w:fill="C6EFCE"/>
            <w:noWrap/>
            <w:vAlign w:val="center"/>
          </w:tcPr>
          <w:p w14:paraId="656C204F" w14:textId="4420C366" w:rsidR="006054AA" w:rsidRDefault="001F7667">
            <w:pPr>
              <w:pStyle w:val="P68B1DB1-Normal12"/>
              <w:spacing w:line="276" w:lineRule="auto"/>
              <w:rPr>
                <w:rFonts w:ascii="Arial Narrow" w:hAnsi="Arial Narrow"/>
                <w:noProof/>
              </w:rPr>
            </w:pPr>
            <w:r>
              <w:rPr>
                <w:rFonts w:ascii="Arial Narrow" w:hAnsi="Arial Narrow"/>
                <w:noProof/>
              </w:rPr>
              <w:t>Пълно саниране на сгради за най-малко 35</w:t>
            </w:r>
            <w:r>
              <w:rPr>
                <w:noProof/>
              </w:rPr>
              <w:t xml:space="preserve"> </w:t>
            </w:r>
            <w:r>
              <w:rPr>
                <w:rFonts w:ascii="Arial Narrow" w:hAnsi="Arial Narrow"/>
                <w:noProof/>
              </w:rPr>
              <w:t>800</w:t>
            </w:r>
            <w:r>
              <w:rPr>
                <w:noProof/>
              </w:rPr>
              <w:t xml:space="preserve"> </w:t>
            </w:r>
            <w:r>
              <w:rPr>
                <w:rFonts w:ascii="Arial Narrow" w:hAnsi="Arial Narrow"/>
                <w:noProof/>
              </w:rPr>
              <w:t>000 квадратни метра, което води до икономии на първична енергия от поне 40 %, което увеличава поне две категории в сертификата за енергийна ефективност.</w:t>
            </w:r>
          </w:p>
        </w:tc>
      </w:tr>
      <w:tr w:rsidR="006054AA" w14:paraId="77102CB9"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3F501D6" w14:textId="77777777" w:rsidR="006054AA" w:rsidRDefault="001F7667">
            <w:pPr>
              <w:pStyle w:val="P68B1DB1-Normal11"/>
              <w:spacing w:line="276" w:lineRule="auto"/>
              <w:jc w:val="center"/>
              <w:rPr>
                <w:noProof/>
              </w:rPr>
            </w:pPr>
            <w:r>
              <w:rPr>
                <w:noProof/>
              </w:rPr>
              <w:t>M2C3—4</w:t>
            </w:r>
          </w:p>
        </w:tc>
        <w:tc>
          <w:tcPr>
            <w:tcW w:w="1559" w:type="dxa"/>
            <w:tcBorders>
              <w:top w:val="nil"/>
              <w:left w:val="nil"/>
              <w:bottom w:val="single" w:sz="4" w:space="0" w:color="auto"/>
              <w:right w:val="single" w:sz="4" w:space="0" w:color="auto"/>
            </w:tcBorders>
            <w:shd w:val="clear" w:color="auto" w:fill="C6EFCE"/>
            <w:noWrap/>
            <w:vAlign w:val="center"/>
          </w:tcPr>
          <w:p w14:paraId="1954576C" w14:textId="77777777" w:rsidR="006054AA" w:rsidRDefault="001F7667">
            <w:pPr>
              <w:pStyle w:val="P68B1DB1-Normal11"/>
              <w:spacing w:line="276" w:lineRule="auto"/>
              <w:jc w:val="center"/>
              <w:rPr>
                <w:noProof/>
              </w:rPr>
            </w:pPr>
            <w:r>
              <w:rPr>
                <w:noProof/>
              </w:rPr>
              <w:t>Реформа 1.1: Опростяване и ускоряване на процедурите за интервенции в областта на енергийната ефективност</w:t>
            </w:r>
          </w:p>
        </w:tc>
        <w:tc>
          <w:tcPr>
            <w:tcW w:w="1134" w:type="dxa"/>
            <w:tcBorders>
              <w:top w:val="nil"/>
              <w:left w:val="nil"/>
              <w:bottom w:val="single" w:sz="4" w:space="0" w:color="auto"/>
              <w:right w:val="single" w:sz="4" w:space="0" w:color="auto"/>
            </w:tcBorders>
            <w:shd w:val="clear" w:color="auto" w:fill="C6EFCE"/>
            <w:noWrap/>
            <w:vAlign w:val="center"/>
          </w:tcPr>
          <w:p w14:paraId="53AA82A8" w14:textId="77777777" w:rsidR="006054AA" w:rsidRDefault="001F7667">
            <w:pPr>
              <w:pStyle w:val="P68B1DB1-Normal11"/>
              <w:spacing w:line="276" w:lineRule="auto"/>
              <w:jc w:val="center"/>
              <w:rPr>
                <w:noProof/>
              </w:rPr>
            </w:pPr>
            <w:r>
              <w:rPr>
                <w:noProof/>
              </w:rPr>
              <w:t>Ключов етап</w:t>
            </w:r>
          </w:p>
        </w:tc>
        <w:tc>
          <w:tcPr>
            <w:tcW w:w="1559" w:type="dxa"/>
            <w:tcBorders>
              <w:top w:val="nil"/>
              <w:left w:val="nil"/>
              <w:bottom w:val="single" w:sz="4" w:space="0" w:color="auto"/>
              <w:right w:val="single" w:sz="4" w:space="0" w:color="auto"/>
            </w:tcBorders>
            <w:shd w:val="clear" w:color="auto" w:fill="C6EFCE"/>
            <w:noWrap/>
            <w:vAlign w:val="center"/>
          </w:tcPr>
          <w:p w14:paraId="4F633841" w14:textId="77777777" w:rsidR="006054AA" w:rsidRDefault="001F7667">
            <w:pPr>
              <w:pStyle w:val="P68B1DB1-Normal11"/>
              <w:spacing w:line="276" w:lineRule="auto"/>
              <w:jc w:val="center"/>
              <w:rPr>
                <w:noProof/>
              </w:rPr>
            </w:pPr>
            <w:r>
              <w:rPr>
                <w:noProof/>
              </w:rPr>
              <w:t>Опростяване и ускоряване на процедурите за интервенции в областта на енергийната ефективност</w:t>
            </w:r>
          </w:p>
        </w:tc>
        <w:tc>
          <w:tcPr>
            <w:tcW w:w="1609" w:type="dxa"/>
            <w:tcBorders>
              <w:top w:val="nil"/>
              <w:left w:val="nil"/>
              <w:bottom w:val="single" w:sz="4" w:space="0" w:color="auto"/>
              <w:right w:val="single" w:sz="4" w:space="0" w:color="auto"/>
            </w:tcBorders>
            <w:shd w:val="clear" w:color="auto" w:fill="C6EFCE"/>
            <w:noWrap/>
            <w:vAlign w:val="center"/>
          </w:tcPr>
          <w:p w14:paraId="2C71EB8F" w14:textId="77777777" w:rsidR="006054AA" w:rsidRDefault="001F7667">
            <w:pPr>
              <w:pStyle w:val="P68B1DB1-Normal11"/>
              <w:spacing w:line="276" w:lineRule="auto"/>
              <w:jc w:val="center"/>
              <w:rPr>
                <w:noProof/>
              </w:rPr>
            </w:pPr>
            <w:r>
              <w:rPr>
                <w:noProof/>
              </w:rPr>
              <w:t xml:space="preserve">Разпоредба в правния (те) акт (и), указваща (и) влизането в сила </w:t>
            </w:r>
          </w:p>
        </w:tc>
        <w:tc>
          <w:tcPr>
            <w:tcW w:w="1084" w:type="dxa"/>
            <w:tcBorders>
              <w:top w:val="nil"/>
              <w:left w:val="nil"/>
              <w:bottom w:val="single" w:sz="4" w:space="0" w:color="auto"/>
              <w:right w:val="single" w:sz="4" w:space="0" w:color="auto"/>
            </w:tcBorders>
            <w:shd w:val="clear" w:color="auto" w:fill="C6EFCE"/>
            <w:noWrap/>
            <w:vAlign w:val="center"/>
          </w:tcPr>
          <w:p w14:paraId="29668D8A" w14:textId="77777777" w:rsidR="006054AA" w:rsidRDefault="001F7667">
            <w:pPr>
              <w:pStyle w:val="P68B1DB1-Normal11"/>
              <w:spacing w:line="276" w:lineRule="auto"/>
              <w:jc w:val="center"/>
              <w:rPr>
                <w:noProof/>
              </w:rPr>
            </w:pPr>
            <w:r>
              <w:rPr>
                <w:noProof/>
              </w:rPr>
              <w:t>НЯМА</w:t>
            </w:r>
          </w:p>
        </w:tc>
        <w:tc>
          <w:tcPr>
            <w:tcW w:w="1276" w:type="dxa"/>
            <w:tcBorders>
              <w:top w:val="nil"/>
              <w:left w:val="nil"/>
              <w:bottom w:val="single" w:sz="4" w:space="0" w:color="auto"/>
              <w:right w:val="single" w:sz="4" w:space="0" w:color="auto"/>
            </w:tcBorders>
            <w:shd w:val="clear" w:color="auto" w:fill="C6EFCE"/>
            <w:noWrap/>
            <w:vAlign w:val="center"/>
          </w:tcPr>
          <w:p w14:paraId="5E50B0A3" w14:textId="77777777" w:rsidR="006054AA" w:rsidRDefault="001F7667">
            <w:pPr>
              <w:pStyle w:val="P68B1DB1-Normal11"/>
              <w:spacing w:line="276" w:lineRule="auto"/>
              <w:jc w:val="center"/>
              <w:rPr>
                <w:noProof/>
              </w:rPr>
            </w:pPr>
            <w:r>
              <w:rPr>
                <w:noProof/>
              </w:rPr>
              <w:t>НЯМА</w:t>
            </w:r>
          </w:p>
        </w:tc>
        <w:tc>
          <w:tcPr>
            <w:tcW w:w="1219" w:type="dxa"/>
            <w:tcBorders>
              <w:top w:val="nil"/>
              <w:left w:val="nil"/>
              <w:bottom w:val="single" w:sz="4" w:space="0" w:color="auto"/>
              <w:right w:val="single" w:sz="4" w:space="0" w:color="auto"/>
            </w:tcBorders>
            <w:shd w:val="clear" w:color="auto" w:fill="C6EFCE"/>
            <w:noWrap/>
            <w:vAlign w:val="center"/>
          </w:tcPr>
          <w:p w14:paraId="58953E52" w14:textId="77777777" w:rsidR="006054AA" w:rsidRDefault="001F7667">
            <w:pPr>
              <w:pStyle w:val="P68B1DB1-Normal11"/>
              <w:spacing w:line="276" w:lineRule="auto"/>
              <w:jc w:val="center"/>
              <w:rPr>
                <w:noProof/>
              </w:rPr>
            </w:pPr>
            <w:r>
              <w:rPr>
                <w:noProof/>
              </w:rPr>
              <w:t>НЯМА</w:t>
            </w:r>
          </w:p>
        </w:tc>
        <w:tc>
          <w:tcPr>
            <w:tcW w:w="995" w:type="dxa"/>
            <w:tcBorders>
              <w:top w:val="nil"/>
              <w:left w:val="nil"/>
              <w:bottom w:val="single" w:sz="4" w:space="0" w:color="auto"/>
              <w:right w:val="single" w:sz="4" w:space="0" w:color="auto"/>
            </w:tcBorders>
            <w:shd w:val="clear" w:color="auto" w:fill="C6EFCE"/>
            <w:noWrap/>
            <w:vAlign w:val="center"/>
          </w:tcPr>
          <w:p w14:paraId="7084B936" w14:textId="77777777" w:rsidR="006054AA" w:rsidRDefault="001F7667">
            <w:pPr>
              <w:pStyle w:val="P68B1DB1-Normal11"/>
              <w:spacing w:line="276" w:lineRule="auto"/>
              <w:jc w:val="center"/>
              <w:rPr>
                <w:noProof/>
              </w:rPr>
            </w:pPr>
            <w:r>
              <w:rPr>
                <w:noProof/>
              </w:rPr>
              <w:t>Т2 Г.</w:t>
            </w:r>
          </w:p>
        </w:tc>
        <w:tc>
          <w:tcPr>
            <w:tcW w:w="704" w:type="dxa"/>
            <w:tcBorders>
              <w:top w:val="nil"/>
              <w:left w:val="nil"/>
              <w:bottom w:val="single" w:sz="4" w:space="0" w:color="auto"/>
              <w:right w:val="single" w:sz="4" w:space="0" w:color="auto"/>
            </w:tcBorders>
            <w:shd w:val="clear" w:color="auto" w:fill="C6EFCE"/>
            <w:noWrap/>
            <w:vAlign w:val="center"/>
          </w:tcPr>
          <w:p w14:paraId="2EC23C43" w14:textId="77777777" w:rsidR="006054AA" w:rsidRDefault="001F7667">
            <w:pPr>
              <w:pStyle w:val="P68B1DB1-Normal11"/>
              <w:spacing w:line="276" w:lineRule="auto"/>
              <w:jc w:val="center"/>
              <w:rPr>
                <w:noProof/>
              </w:rPr>
            </w:pPr>
            <w:r>
              <w:rPr>
                <w:noProof/>
              </w:rPr>
              <w:t>2022</w:t>
            </w:r>
          </w:p>
        </w:tc>
        <w:tc>
          <w:tcPr>
            <w:tcW w:w="2647" w:type="dxa"/>
            <w:tcBorders>
              <w:top w:val="nil"/>
              <w:left w:val="nil"/>
              <w:bottom w:val="single" w:sz="4" w:space="0" w:color="auto"/>
              <w:right w:val="single" w:sz="4" w:space="0" w:color="auto"/>
            </w:tcBorders>
            <w:shd w:val="clear" w:color="auto" w:fill="C6EFCE"/>
            <w:noWrap/>
            <w:vAlign w:val="center"/>
          </w:tcPr>
          <w:p w14:paraId="38BE62D3" w14:textId="70EE8D92" w:rsidR="006054AA" w:rsidRDefault="001F7667">
            <w:pPr>
              <w:pStyle w:val="P68B1DB1-Normal11"/>
              <w:spacing w:line="276" w:lineRule="auto"/>
              <w:rPr>
                <w:noProof/>
              </w:rPr>
            </w:pPr>
            <w:r>
              <w:rPr>
                <w:noProof/>
              </w:rPr>
              <w:t>Правният (те) акт (ове) опростява (т) и ускорява (т) процедурите за интервенции в областта на енергийната ефективност чрез:</w:t>
            </w:r>
          </w:p>
          <w:p w14:paraId="7AE1F7BD" w14:textId="77777777" w:rsidR="006054AA" w:rsidRDefault="001F7667">
            <w:pPr>
              <w:pStyle w:val="P68B1DB1-ListParagraph13"/>
              <w:numPr>
                <w:ilvl w:val="0"/>
                <w:numId w:val="90"/>
              </w:numPr>
              <w:spacing w:line="276" w:lineRule="auto"/>
              <w:jc w:val="left"/>
              <w:rPr>
                <w:noProof/>
              </w:rPr>
            </w:pPr>
            <w:r>
              <w:rPr>
                <w:noProof/>
              </w:rPr>
              <w:t>Стартиране на национален портал за енергийна ефективност на сградите</w:t>
            </w:r>
          </w:p>
          <w:p w14:paraId="49EA0B9D" w14:textId="77777777" w:rsidR="006054AA" w:rsidRDefault="001F7667">
            <w:pPr>
              <w:pStyle w:val="P68B1DB1-ListParagraph13"/>
              <w:numPr>
                <w:ilvl w:val="0"/>
                <w:numId w:val="90"/>
              </w:numPr>
              <w:spacing w:line="276" w:lineRule="auto"/>
              <w:jc w:val="left"/>
              <w:rPr>
                <w:noProof/>
              </w:rPr>
            </w:pPr>
            <w:r>
              <w:rPr>
                <w:noProof/>
              </w:rPr>
              <w:t>Засилване на дейностите по плана за информиране и обучение, насочен към гражданския сектор</w:t>
            </w:r>
          </w:p>
          <w:p w14:paraId="32CC6CEA" w14:textId="77777777" w:rsidR="006054AA" w:rsidRDefault="001F7667">
            <w:pPr>
              <w:pStyle w:val="P68B1DB1-ListParagraph13"/>
              <w:numPr>
                <w:ilvl w:val="0"/>
                <w:numId w:val="90"/>
              </w:numPr>
              <w:spacing w:line="276" w:lineRule="auto"/>
              <w:jc w:val="left"/>
              <w:rPr>
                <w:noProof/>
              </w:rPr>
            </w:pPr>
            <w:r>
              <w:rPr>
                <w:noProof/>
              </w:rPr>
              <w:t>Актуализиране и укрепване на Националния фонд за енергийна ефективност</w:t>
            </w:r>
          </w:p>
          <w:p w14:paraId="677B0F8B" w14:textId="295C1FE2" w:rsidR="006054AA" w:rsidRDefault="001F7667">
            <w:pPr>
              <w:pStyle w:val="P68B1DB1-ListParagraph13"/>
              <w:numPr>
                <w:ilvl w:val="0"/>
                <w:numId w:val="90"/>
              </w:numPr>
              <w:spacing w:line="276" w:lineRule="auto"/>
              <w:jc w:val="left"/>
              <w:rPr>
                <w:noProof/>
              </w:rPr>
            </w:pPr>
            <w:r>
              <w:rPr>
                <w:noProof/>
              </w:rPr>
              <w:t>Ускоряване на фазата на изпълнение на проектите, финансирани по програмата PREPAC</w:t>
            </w:r>
          </w:p>
        </w:tc>
      </w:tr>
    </w:tbl>
    <w:p w14:paraId="42909E42" w14:textId="77777777" w:rsidR="006054AA" w:rsidRDefault="006054AA">
      <w:pPr>
        <w:spacing w:before="120" w:after="120"/>
        <w:ind w:left="709"/>
        <w:jc w:val="both"/>
        <w:rPr>
          <w:noProof/>
        </w:rPr>
        <w:sectPr w:rsidR="006054AA" w:rsidSect="001354D1">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411416EE"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Е.3. </w:t>
      </w:r>
      <w:r>
        <w:rPr>
          <w:noProof/>
        </w:rPr>
        <w:tab/>
      </w:r>
      <w:r>
        <w:rPr>
          <w:b/>
          <w:i w:val="0"/>
          <w:noProof/>
          <w:u w:val="single"/>
        </w:rPr>
        <w:t xml:space="preserve">Описание на реформите и инвестициите за заема </w:t>
      </w:r>
    </w:p>
    <w:p w14:paraId="3AC070D8" w14:textId="77777777" w:rsidR="006054AA" w:rsidRDefault="001F7667">
      <w:pPr>
        <w:pStyle w:val="P68B1DB1-Normal29"/>
        <w:spacing w:before="120" w:after="120"/>
        <w:jc w:val="both"/>
        <w:rPr>
          <w:rFonts w:eastAsia="Calibri"/>
          <w:noProof/>
          <w:color w:val="4F81BD" w:themeColor="accent1"/>
        </w:rPr>
      </w:pPr>
      <w:r>
        <w:rPr>
          <w:noProof/>
        </w:rPr>
        <w:t xml:space="preserve">Инвестиция 1.1: Изграждане на нови училища чрез подмяна на сгради </w:t>
      </w:r>
    </w:p>
    <w:p w14:paraId="03B5D3C8" w14:textId="77777777" w:rsidR="006054AA" w:rsidRDefault="001F7667">
      <w:pPr>
        <w:spacing w:before="120" w:after="120"/>
        <w:jc w:val="both"/>
        <w:rPr>
          <w:noProof/>
        </w:rPr>
      </w:pPr>
      <w:r>
        <w:rPr>
          <w:noProof/>
        </w:rPr>
        <w:t>Тази мярка се съсредоточава върху постепенното подмяна на част от сградния фонд на обществените училища с цел създаване на модерни и устойчиви структури.</w:t>
      </w:r>
    </w:p>
    <w:p w14:paraId="718A53CE" w14:textId="35FBBE45" w:rsidR="006054AA" w:rsidRDefault="001F7667">
      <w:pPr>
        <w:spacing w:before="120" w:after="120"/>
        <w:jc w:val="both"/>
        <w:rPr>
          <w:noProof/>
        </w:rPr>
      </w:pPr>
      <w:r>
        <w:rPr>
          <w:noProof/>
        </w:rPr>
        <w:t>Целите на интервенциите са намаляване на потреблението на енергия, повишена сеизмична безопасност на сградите и развитие на зелени площи.</w:t>
      </w:r>
    </w:p>
    <w:p w14:paraId="62BDEFDC" w14:textId="77777777" w:rsidR="006054AA" w:rsidRDefault="001F7667">
      <w:pPr>
        <w:spacing w:before="120" w:after="120"/>
        <w:jc w:val="both"/>
        <w:rPr>
          <w:noProof/>
        </w:rPr>
      </w:pPr>
      <w:r>
        <w:rPr>
          <w:noProof/>
        </w:rPr>
        <w:t xml:space="preserve">Очаква се планът да бъде насочен към 166 училищни сгради с обща площ от 400 хиляди m². </w:t>
      </w:r>
    </w:p>
    <w:p w14:paraId="2BA7A5A9" w14:textId="77777777" w:rsidR="006054AA" w:rsidRDefault="001F7667">
      <w:pPr>
        <w:pStyle w:val="P68B1DB1-Normal2"/>
        <w:spacing w:before="120" w:after="120"/>
        <w:jc w:val="both"/>
        <w:rPr>
          <w:rFonts w:eastAsia="Calibri"/>
          <w:noProof/>
        </w:rPr>
      </w:pPr>
      <w:r>
        <w:rPr>
          <w:noProof/>
        </w:rPr>
        <w:t>Инвестиция 1.2 — Строителство на сгради, преквалификация и укрепване на недвижимите активи на правораздаването</w:t>
      </w:r>
    </w:p>
    <w:p w14:paraId="598B1CF5" w14:textId="77777777" w:rsidR="006054AA" w:rsidRDefault="001F7667">
      <w:pPr>
        <w:spacing w:before="120" w:after="120"/>
        <w:jc w:val="both"/>
        <w:rPr>
          <w:rFonts w:eastAsia="Calibri"/>
          <w:noProof/>
        </w:rPr>
      </w:pPr>
      <w:r>
        <w:rPr>
          <w:noProof/>
        </w:rPr>
        <w:t xml:space="preserve">Тази мярка има за цел обновяване и преквалифициране на неподходящите структури на правораздаването. </w:t>
      </w:r>
    </w:p>
    <w:p w14:paraId="48E2D7AB" w14:textId="77777777" w:rsidR="006054AA" w:rsidRDefault="001F7667">
      <w:pPr>
        <w:spacing w:before="120" w:after="120"/>
        <w:jc w:val="both"/>
        <w:rPr>
          <w:b/>
          <w:noProof/>
          <w:u w:val="single"/>
        </w:rPr>
      </w:pPr>
      <w:r>
        <w:rPr>
          <w:noProof/>
        </w:rPr>
        <w:t>Интервенцията е съсредоточена върху поддържането на съществуващите активи, което дава възможност за защита, валоризация и възстановяване на историческото наследство, което често характеризира администрацията на италианската съдебна система. В допълнение към енергийната ефективност програмата има за цел също така да гарантира икономическата, екологичната и социалната устойчивост на интервенциите чрез използването на устойчиви материали и използването на собствено произведена електроенергия от възобновяеми източници. Интервенциите могат също така да адаптират структурите, за да намалят сеизмичната уязвимост на сградите.</w:t>
      </w:r>
    </w:p>
    <w:p w14:paraId="41788DD8" w14:textId="77777777" w:rsidR="006054AA" w:rsidRDefault="001F7667">
      <w:pPr>
        <w:spacing w:before="120" w:after="120"/>
        <w:jc w:val="both"/>
        <w:rPr>
          <w:noProof/>
        </w:rPr>
      </w:pPr>
      <w:r>
        <w:rPr>
          <w:noProof/>
        </w:rPr>
        <w:t>Примерният списък на общините, в които ще се провеждат интервенциите, е следният: Бари, Бергамо, Болоня, Каляри, Флоренция, Генуа, Латина, Месина, Милано, Монца, Неапол, Палермо, Перуджа, Реджо Калабрия, Рим, Рим, Трани, Торино, Велетри и Венеция.</w:t>
      </w:r>
    </w:p>
    <w:p w14:paraId="48E65F53" w14:textId="77777777" w:rsidR="006054AA" w:rsidRDefault="001F7667">
      <w:pPr>
        <w:spacing w:before="120" w:after="120"/>
        <w:jc w:val="both"/>
        <w:rPr>
          <w:noProof/>
        </w:rPr>
      </w:pPr>
      <w:r>
        <w:rPr>
          <w:noProof/>
        </w:rPr>
        <w:t>Интервенцията не включва котли за природен газ.</w:t>
      </w:r>
    </w:p>
    <w:p w14:paraId="48E3D469" w14:textId="77777777" w:rsidR="006054AA" w:rsidRDefault="001F7667">
      <w:pPr>
        <w:pStyle w:val="P68B1DB1-Normal2"/>
        <w:spacing w:before="120" w:after="120"/>
        <w:jc w:val="both"/>
        <w:rPr>
          <w:rFonts w:eastAsia="Calibri"/>
          <w:noProof/>
        </w:rPr>
      </w:pPr>
      <w:r>
        <w:rPr>
          <w:noProof/>
        </w:rPr>
        <w:t>Инвестиция 3.1: Насърчаване на ефективното централно отопление</w:t>
      </w:r>
    </w:p>
    <w:p w14:paraId="67589124" w14:textId="77777777" w:rsidR="006054AA" w:rsidRDefault="001F7667">
      <w:pPr>
        <w:spacing w:before="120" w:after="120"/>
        <w:jc w:val="both"/>
        <w:rPr>
          <w:rFonts w:eastAsia="Calibri"/>
          <w:noProof/>
        </w:rPr>
      </w:pPr>
      <w:r>
        <w:rPr>
          <w:noProof/>
        </w:rPr>
        <w:t>Централното отопление играе важна роля за постигането на екологичните цели на сектора на отоплението и охлаждането, особено в големите градски райони, където проблемът е още по-остър.</w:t>
      </w:r>
    </w:p>
    <w:p w14:paraId="4BC4F97B" w14:textId="77777777" w:rsidR="006054AA" w:rsidRDefault="001F7667">
      <w:pPr>
        <w:spacing w:before="120" w:after="120"/>
        <w:jc w:val="both"/>
        <w:rPr>
          <w:rFonts w:eastAsia="Calibri"/>
          <w:noProof/>
        </w:rPr>
      </w:pPr>
      <w:r>
        <w:rPr>
          <w:noProof/>
        </w:rPr>
        <w:t xml:space="preserve">С мярката се разработва ефективно централно отопление въз основа на разпределението на топлинна енергия, произведена от възобновяеми източници, от отпадна топлина или когенерация в инсталации с висока производителност. С мярката се финансират проекти, които ще бъдат избрани чрез търг, който ще бъде стартиран през 2022 г., свързани с изграждането на нови мрежи или разширяването на съществуващи районни отоплителни мрежи. През 2023 г. може да бъде стартирана последваща тръжна процедура. Приоритет се дава на проекти, които гарантират най-големи икономии на първична енергия от невъзобновяеми източници. </w:t>
      </w:r>
    </w:p>
    <w:p w14:paraId="5EA3B0A2" w14:textId="77777777" w:rsidR="006054AA" w:rsidRDefault="001F7667">
      <w:pPr>
        <w:spacing w:before="120" w:after="120"/>
        <w:jc w:val="both"/>
        <w:rPr>
          <w:rFonts w:eastAsia="Calibri"/>
          <w:noProof/>
        </w:rPr>
      </w:pPr>
      <w:r>
        <w:rPr>
          <w:noProof/>
        </w:rPr>
        <w:t xml:space="preserve">Очаква се да бъдат постигнати ползи за енергетиката и околната среда, равняващи се на 20 хил. т н.е. първична енергия от изкопаеми горива годишно и 40 хил. тона CO2 емисии на парникови газове, избегнати в секторите извън СТЕ. </w:t>
      </w:r>
    </w:p>
    <w:p w14:paraId="48BC2598" w14:textId="77777777" w:rsidR="006054AA" w:rsidRDefault="001F7667">
      <w:pPr>
        <w:spacing w:before="120" w:after="120"/>
        <w:jc w:val="both"/>
        <w:rPr>
          <w:rFonts w:eastAsia="Calibri"/>
          <w:noProof/>
        </w:rPr>
      </w:pPr>
      <w:r>
        <w:rPr>
          <w:noProof/>
        </w:rPr>
        <w:t>Очаква се тази мярка да не нанася значителни вреди на екологичните цели по смисъла на член 17 от Регламент (ЕС) 2020/852, като се вземе предвид описанието на мярката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По-специално при изграждането на ефективна районна отоплителна система не се използват изкопаеми горива като източник на топлинна енергия, а се разчита единствено на топлинна енергия, произведена от възобновяеми източници, от отпадна топлина или от когенерация в високоефективни инсталации. Свързаната инфраструктура за централно отопление следва Директива № 2012/27/ЕС на Европейския парламент и на Съвета от 25 октомври 2012 г. относно енергийната ефективност, за изменение на директиви 2009/125/ЕО и 2010/30/ЕС и за отмяна на директиви 2004/8/ЕО и 2006/32/ЕО (ОВ L 315, 14.11.2012 г., стр. 1) и се очаква да гарантира намаление с 0.04 MtCO2/year.</w:t>
      </w:r>
    </w:p>
    <w:p w14:paraId="74FB23E3" w14:textId="77777777" w:rsidR="006054AA" w:rsidRDefault="001F7667">
      <w:pPr>
        <w:pStyle w:val="Heading3"/>
        <w:numPr>
          <w:ilvl w:val="0"/>
          <w:numId w:val="0"/>
        </w:numPr>
        <w:ind w:left="850" w:hanging="850"/>
        <w:rPr>
          <w:b/>
          <w:i w:val="0"/>
          <w:noProof/>
          <w:u w:val="single"/>
        </w:rPr>
      </w:pPr>
      <w:r>
        <w:rPr>
          <w:b/>
          <w:i w:val="0"/>
          <w:noProof/>
          <w:u w:val="single"/>
        </w:rPr>
        <w:t xml:space="preserve">Е.4. </w:t>
      </w:r>
      <w:r>
        <w:rPr>
          <w:noProof/>
        </w:rPr>
        <w:tab/>
      </w:r>
      <w:r>
        <w:rPr>
          <w:b/>
          <w:i w:val="0"/>
          <w:noProof/>
          <w:u w:val="single"/>
        </w:rPr>
        <w:t xml:space="preserve">Ключови етапи, цели, показатели и график за мониторинг и изпълнение на заема </w:t>
      </w:r>
    </w:p>
    <w:p w14:paraId="619CBC57" w14:textId="77777777" w:rsidR="006054AA" w:rsidRDefault="006054AA">
      <w:pPr>
        <w:spacing w:before="120" w:after="120"/>
        <w:ind w:left="709"/>
        <w:contextualSpacing/>
        <w:jc w:val="both"/>
        <w:rPr>
          <w:noProof/>
        </w:rPr>
        <w:sectPr w:rsidR="006054AA" w:rsidSect="001354D1">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637"/>
        <w:gridCol w:w="1134"/>
        <w:gridCol w:w="1985"/>
        <w:gridCol w:w="1701"/>
        <w:gridCol w:w="1276"/>
        <w:gridCol w:w="918"/>
        <w:gridCol w:w="1022"/>
        <w:gridCol w:w="1200"/>
        <w:gridCol w:w="811"/>
        <w:gridCol w:w="2461"/>
      </w:tblGrid>
      <w:tr w:rsidR="006054AA" w14:paraId="51B53195"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F23FA1" w14:textId="77777777" w:rsidR="006054AA" w:rsidRDefault="001F7667">
            <w:pPr>
              <w:pStyle w:val="P68B1DB1-Normal9"/>
              <w:jc w:val="center"/>
              <w:rPr>
                <w:noProof/>
              </w:rPr>
            </w:pPr>
            <w:r>
              <w:rPr>
                <w:noProof/>
              </w:rPr>
              <w:t>Пореден номер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C7FDE26" w14:textId="77777777" w:rsidR="006054AA" w:rsidRDefault="001F7667">
            <w:pPr>
              <w:pStyle w:val="P68B1DB1-Normal9"/>
              <w:jc w:val="center"/>
              <w:rPr>
                <w:noProof/>
              </w:rPr>
            </w:pPr>
            <w:r>
              <w:rPr>
                <w:noProof/>
              </w:rPr>
              <w:t>Свързана мярка (реформа или инвестиции)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7A4FC5" w14:textId="77777777" w:rsidR="006054AA" w:rsidRDefault="001F7667">
            <w:pPr>
              <w:pStyle w:val="P68B1DB1-Normal9"/>
              <w:jc w:val="center"/>
              <w:rPr>
                <w:noProof/>
              </w:rPr>
            </w:pPr>
            <w:r>
              <w:rPr>
                <w:noProof/>
              </w:rPr>
              <w:t>Ключов етап/Цел</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6F52E4B2" w14:textId="77777777" w:rsidR="006054AA" w:rsidRDefault="001F7667">
            <w:pPr>
              <w:pStyle w:val="P68B1DB1-Normal9"/>
              <w:jc w:val="center"/>
              <w:rPr>
                <w:noProof/>
              </w:rPr>
            </w:pPr>
            <w:r>
              <w:rPr>
                <w:noProof/>
              </w:rPr>
              <w:t>Име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1C8057"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127482C5"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1AC96808" w14:textId="77777777" w:rsidR="006054AA" w:rsidRDefault="001F7667">
            <w:pPr>
              <w:pStyle w:val="P68B1DB1-Normal9"/>
              <w:jc w:val="center"/>
              <w:rPr>
                <w:noProof/>
              </w:rPr>
            </w:pPr>
            <w:r>
              <w:rPr>
                <w:noProof/>
              </w:rPr>
              <w:t xml:space="preserve">Примерен график за приключване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A8B1AE" w14:textId="77777777" w:rsidR="006054AA" w:rsidRDefault="001F7667">
            <w:pPr>
              <w:pStyle w:val="P68B1DB1-Normal9"/>
              <w:jc w:val="center"/>
              <w:rPr>
                <w:noProof/>
              </w:rPr>
            </w:pPr>
            <w:r>
              <w:rPr>
                <w:noProof/>
              </w:rPr>
              <w:t>Описание на всеки ключов етап и цел</w:t>
            </w:r>
          </w:p>
        </w:tc>
      </w:tr>
      <w:tr w:rsidR="006054AA" w14:paraId="7A19B21C"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F3C0502" w14:textId="77777777" w:rsidR="006054AA" w:rsidRDefault="006054AA">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8FC70" w14:textId="77777777" w:rsidR="006054AA" w:rsidRDefault="006054AA">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191EF2" w14:textId="77777777" w:rsidR="006054AA" w:rsidRDefault="006054AA">
            <w:pP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C4DD9D" w14:textId="77777777" w:rsidR="006054AA" w:rsidRDefault="006054AA">
            <w:pP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6B69C" w14:textId="77777777" w:rsidR="006054AA" w:rsidRDefault="006054AA">
            <w:pPr>
              <w:rPr>
                <w:rFonts w:ascii="Arial Narrow" w:hAnsi="Arial Narrow"/>
                <w:b/>
                <w:noProof/>
                <w:sz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487210" w14:textId="77777777" w:rsidR="006054AA" w:rsidRDefault="001F7667">
            <w:pPr>
              <w:pStyle w:val="P68B1DB1-Normal9"/>
              <w:jc w:val="center"/>
              <w:rPr>
                <w:noProof/>
              </w:rPr>
            </w:pPr>
            <w:r>
              <w:rPr>
                <w:noProof/>
              </w:rPr>
              <w:t>Единица мярка</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C9F29" w14:textId="77777777" w:rsidR="006054AA" w:rsidRDefault="001F7667">
            <w:pPr>
              <w:pStyle w:val="P68B1DB1-Normal9"/>
              <w:jc w:val="center"/>
              <w:rPr>
                <w:noProof/>
              </w:rPr>
            </w:pPr>
            <w:r>
              <w:rPr>
                <w:noProof/>
              </w:rPr>
              <w:t xml:space="preserve">Базова линия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82CF72" w14:textId="77777777" w:rsidR="006054AA" w:rsidRDefault="001F7667">
            <w:pPr>
              <w:pStyle w:val="P68B1DB1-Normal9"/>
              <w:jc w:val="center"/>
              <w:rPr>
                <w:noProof/>
              </w:rPr>
            </w:pPr>
            <w:r>
              <w:rPr>
                <w:noProof/>
              </w:rPr>
              <w:t xml:space="preserve">Цел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5D2374" w14:textId="77777777" w:rsidR="006054AA" w:rsidRDefault="001F7667">
            <w:pPr>
              <w:pStyle w:val="P68B1DB1-Normal9"/>
              <w:jc w:val="center"/>
              <w:rPr>
                <w:noProof/>
              </w:rPr>
            </w:pPr>
            <w:r>
              <w:rPr>
                <w:noProof/>
              </w:rPr>
              <w:t>Тримесечие</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25E737" w14:textId="77777777" w:rsidR="006054AA" w:rsidRDefault="001F7667">
            <w:pPr>
              <w:pStyle w:val="P68B1DB1-Normal9"/>
              <w:jc w:val="center"/>
              <w:rPr>
                <w:noProof/>
              </w:rPr>
            </w:pPr>
            <w:r>
              <w:rPr>
                <w:noProof/>
              </w:rPr>
              <w:t>Година</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58240D29" w14:textId="77777777" w:rsidR="006054AA" w:rsidRDefault="006054AA">
            <w:pPr>
              <w:rPr>
                <w:rFonts w:ascii="Arial Narrow" w:hAnsi="Arial Narrow"/>
                <w:b/>
                <w:noProof/>
                <w:sz w:val="20"/>
              </w:rPr>
            </w:pPr>
          </w:p>
        </w:tc>
      </w:tr>
      <w:tr w:rsidR="006054AA" w14:paraId="4F30D508"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2E2AB" w14:textId="77777777" w:rsidR="006054AA" w:rsidRDefault="001F7667">
            <w:pPr>
              <w:pStyle w:val="P68B1DB1-Normal11"/>
              <w:spacing w:line="276" w:lineRule="auto"/>
              <w:jc w:val="center"/>
              <w:rPr>
                <w:noProof/>
              </w:rPr>
            </w:pPr>
            <w:r>
              <w:rPr>
                <w:noProof/>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4E95C3" w14:textId="77777777" w:rsidR="006054AA" w:rsidRDefault="001F7667">
            <w:pPr>
              <w:pStyle w:val="P68B1DB1-Normal11"/>
              <w:spacing w:line="276" w:lineRule="auto"/>
              <w:jc w:val="center"/>
              <w:rPr>
                <w:noProof/>
              </w:rPr>
            </w:pPr>
            <w:r>
              <w:rPr>
                <w:noProof/>
              </w:rPr>
              <w:t xml:space="preserve">Инвестиция 1.1: Изграждане на нови училища чрез подмяна на сгради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8D412F0" w14:textId="77777777" w:rsidR="006054AA" w:rsidRDefault="001F7667">
            <w:pPr>
              <w:pStyle w:val="P68B1DB1-Normal11"/>
              <w:spacing w:line="276" w:lineRule="auto"/>
              <w:jc w:val="center"/>
              <w:rPr>
                <w:noProof/>
              </w:rPr>
            </w:pPr>
            <w:r>
              <w:rPr>
                <w:noProof/>
              </w:rPr>
              <w:t>Ключов етап</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AE74467" w14:textId="77777777" w:rsidR="006054AA" w:rsidRDefault="001F7667">
            <w:pPr>
              <w:pStyle w:val="P68B1DB1-Normal11"/>
              <w:spacing w:line="276" w:lineRule="auto"/>
              <w:jc w:val="center"/>
              <w:rPr>
                <w:noProof/>
              </w:rPr>
            </w:pPr>
            <w:r>
              <w:rPr>
                <w:noProof/>
              </w:rPr>
              <w:t xml:space="preserve">Възлагане на всички обществени поръчки за изграждане на нови училища чрез подмяна на сгради с цел подобряване на енергията в училищните сгради след процедура за възлагане на обществена поръчка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537D446" w14:textId="77777777" w:rsidR="006054AA" w:rsidRDefault="001F7667">
            <w:pPr>
              <w:pStyle w:val="P68B1DB1-Normal11"/>
              <w:spacing w:line="276" w:lineRule="auto"/>
              <w:jc w:val="center"/>
              <w:rPr>
                <w:noProof/>
              </w:rPr>
            </w:pPr>
            <w:r>
              <w:rPr>
                <w:noProof/>
              </w:rPr>
              <w:t>Уведомление за възлагането на всички обществени поръчки след провеждане на процедура за възлагане на обществена поръчка</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9D74564" w14:textId="77777777" w:rsidR="006054AA" w:rsidRDefault="001F7667">
            <w:pPr>
              <w:pStyle w:val="P68B1DB1-Normal11"/>
              <w:spacing w:line="276" w:lineRule="auto"/>
              <w:jc w:val="center"/>
              <w:rPr>
                <w:noProof/>
              </w:rPr>
            </w:pPr>
            <w:r>
              <w:rPr>
                <w:noProof/>
              </w:rPr>
              <w:t>НЯМА</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28DDD81" w14:textId="77777777" w:rsidR="006054AA" w:rsidRDefault="001F7667">
            <w:pPr>
              <w:pStyle w:val="P68B1DB1-Normal11"/>
              <w:spacing w:line="276" w:lineRule="auto"/>
              <w:jc w:val="center"/>
              <w:rPr>
                <w:noProof/>
              </w:rPr>
            </w:pPr>
            <w:r>
              <w:rPr>
                <w:noProof/>
              </w:rPr>
              <w:t>НЯМА</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7775EF9" w14:textId="77777777" w:rsidR="006054AA" w:rsidRDefault="001F7667">
            <w:pPr>
              <w:pStyle w:val="P68B1DB1-Normal11"/>
              <w:spacing w:line="276" w:lineRule="auto"/>
              <w:jc w:val="center"/>
              <w:rPr>
                <w:noProof/>
              </w:rPr>
            </w:pPr>
            <w:r>
              <w:rPr>
                <w:noProof/>
              </w:rPr>
              <w:t>НЯМА</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98370BD" w14:textId="77777777" w:rsidR="006054AA" w:rsidRDefault="001F7667">
            <w:pPr>
              <w:pStyle w:val="P68B1DB1-Normal11"/>
              <w:spacing w:line="276" w:lineRule="auto"/>
              <w:jc w:val="center"/>
              <w:rPr>
                <w:noProof/>
              </w:rPr>
            </w:pPr>
            <w:r>
              <w:rPr>
                <w:noProof/>
              </w:rPr>
              <w:t>Т3 Г.</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88ED48" w14:textId="77777777" w:rsidR="006054AA" w:rsidRDefault="001F7667">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0A03CF35" w14:textId="5B334371" w:rsidR="006054AA" w:rsidRDefault="001F7667">
            <w:pPr>
              <w:pStyle w:val="P68B1DB1-Normal12"/>
              <w:spacing w:after="120"/>
              <w:rPr>
                <w:rFonts w:ascii="Arial Narrow" w:hAnsi="Arial Narrow"/>
                <w:noProof/>
              </w:rPr>
            </w:pPr>
            <w:r>
              <w:rPr>
                <w:rFonts w:ascii="Arial Narrow" w:hAnsi="Arial Narrow"/>
                <w:noProof/>
              </w:rPr>
              <w:t>Уведомление за възлагането на всички обществени поръчки за подмяна на нови училища, отговарящи на условията за финансиране от местните органи, равняващи се на обща площ от най-малко 400</w:t>
            </w:r>
            <w:r>
              <w:rPr>
                <w:noProof/>
              </w:rPr>
              <w:t xml:space="preserve"> </w:t>
            </w:r>
            <w:r>
              <w:rPr>
                <w:rFonts w:ascii="Arial Narrow" w:hAnsi="Arial Narrow"/>
                <w:noProof/>
              </w:rPr>
              <w:t>000 квадратни метра</w:t>
            </w:r>
          </w:p>
        </w:tc>
      </w:tr>
      <w:tr w:rsidR="006054AA" w14:paraId="092606FA"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97743" w14:textId="77777777" w:rsidR="006054AA" w:rsidRDefault="001F7667">
            <w:pPr>
              <w:pStyle w:val="P68B1DB1-Normal11"/>
              <w:spacing w:line="276" w:lineRule="auto"/>
              <w:jc w:val="center"/>
              <w:rPr>
                <w:noProof/>
              </w:rPr>
            </w:pPr>
            <w:r>
              <w:rPr>
                <w:noProof/>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C1119A3" w14:textId="77777777" w:rsidR="006054AA" w:rsidRDefault="001F7667">
            <w:pPr>
              <w:pStyle w:val="P68B1DB1-Normal11"/>
              <w:spacing w:line="276" w:lineRule="auto"/>
              <w:jc w:val="center"/>
              <w:rPr>
                <w:noProof/>
              </w:rPr>
            </w:pPr>
            <w:r>
              <w:rPr>
                <w:noProof/>
              </w:rPr>
              <w:t>Инвестиция 1.1: Изграждане на нови училища чрез подмяна на сгради</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1142F4" w14:textId="77777777" w:rsidR="006054AA" w:rsidRDefault="001F7667">
            <w:pPr>
              <w:pStyle w:val="P68B1DB1-Normal11"/>
              <w:spacing w:line="276" w:lineRule="auto"/>
              <w:jc w:val="center"/>
              <w:rPr>
                <w:noProof/>
              </w:rPr>
            </w:pPr>
            <w:r>
              <w:rPr>
                <w:noProof/>
              </w:rPr>
              <w:t>Целеви</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C426215" w14:textId="10421F2F" w:rsidR="006054AA" w:rsidRDefault="001F7667">
            <w:pPr>
              <w:pStyle w:val="P68B1DB1-Normal12"/>
              <w:spacing w:line="276" w:lineRule="auto"/>
              <w:jc w:val="center"/>
              <w:rPr>
                <w:rFonts w:ascii="Arial Narrow" w:hAnsi="Arial Narrow"/>
                <w:noProof/>
              </w:rPr>
            </w:pPr>
            <w:r>
              <w:rPr>
                <w:rFonts w:ascii="Arial Narrow" w:hAnsi="Arial Narrow"/>
                <w:noProof/>
              </w:rPr>
              <w:t>Най-малко 400</w:t>
            </w:r>
            <w:r>
              <w:rPr>
                <w:noProof/>
              </w:rPr>
              <w:t xml:space="preserve"> </w:t>
            </w:r>
            <w:r>
              <w:rPr>
                <w:rFonts w:ascii="Arial Narrow" w:hAnsi="Arial Narrow"/>
                <w:noProof/>
              </w:rPr>
              <w:t>000 кв.м. от новите училища са построени чрез подмяна на сгради.</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9B9987E" w14:textId="77777777" w:rsidR="006054AA" w:rsidRDefault="001F7667">
            <w:pPr>
              <w:pStyle w:val="P68B1DB1-Normal11"/>
              <w:spacing w:line="276" w:lineRule="auto"/>
              <w:jc w:val="center"/>
              <w:rPr>
                <w:noProof/>
              </w:rPr>
            </w:pPr>
            <w:r>
              <w:rPr>
                <w:noProof/>
              </w:rPr>
              <w:t>НЯМА</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01C03F2" w14:textId="77777777" w:rsidR="006054AA" w:rsidRDefault="001F7667">
            <w:pPr>
              <w:pStyle w:val="P68B1DB1-Normal11"/>
              <w:spacing w:line="276" w:lineRule="auto"/>
              <w:jc w:val="center"/>
              <w:rPr>
                <w:noProof/>
              </w:rPr>
            </w:pPr>
            <w:r>
              <w:rPr>
                <w:noProof/>
              </w:rPr>
              <w:t>Брой</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2DD04397" w14:textId="77777777" w:rsidR="006054AA" w:rsidRDefault="001F7667">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9BDC82E" w14:textId="51F9D8E7" w:rsidR="006054AA" w:rsidRDefault="001F7667">
            <w:pPr>
              <w:pStyle w:val="P68B1DB1-Normal12"/>
              <w:spacing w:line="276" w:lineRule="auto"/>
              <w:jc w:val="center"/>
              <w:rPr>
                <w:rFonts w:ascii="Arial Narrow" w:hAnsi="Arial Narrow"/>
                <w:noProof/>
              </w:rPr>
            </w:pPr>
            <w:r>
              <w:rPr>
                <w:rFonts w:ascii="Arial Narrow" w:hAnsi="Arial Narrow"/>
                <w:noProof/>
              </w:rPr>
              <w:t>400</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0B55BC2" w14:textId="77777777" w:rsidR="006054AA" w:rsidRDefault="001F7667">
            <w:pPr>
              <w:pStyle w:val="P68B1DB1-Normal11"/>
              <w:spacing w:line="276" w:lineRule="auto"/>
              <w:jc w:val="center"/>
              <w:rPr>
                <w:noProof/>
              </w:rPr>
            </w:pPr>
            <w:r>
              <w:rPr>
                <w:noProof/>
              </w:rPr>
              <w:t>Т1 Г.</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88E1384" w14:textId="77777777" w:rsidR="006054AA" w:rsidRDefault="001F7667">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7D8F9A79" w14:textId="03A2F566" w:rsidR="006054AA" w:rsidRDefault="001F7667">
            <w:pPr>
              <w:pStyle w:val="P68B1DB1-Normal12"/>
              <w:spacing w:after="120"/>
              <w:rPr>
                <w:rFonts w:ascii="Arial Narrow" w:hAnsi="Arial Narrow"/>
                <w:noProof/>
              </w:rPr>
            </w:pPr>
            <w:r>
              <w:rPr>
                <w:rFonts w:ascii="Arial Narrow" w:hAnsi="Arial Narrow"/>
                <w:noProof/>
              </w:rPr>
              <w:t>Завършване на изграждането на най-малко 400</w:t>
            </w:r>
            <w:r>
              <w:rPr>
                <w:noProof/>
              </w:rPr>
              <w:t xml:space="preserve"> </w:t>
            </w:r>
            <w:r>
              <w:rPr>
                <w:rFonts w:ascii="Arial Narrow" w:hAnsi="Arial Narrow"/>
                <w:noProof/>
              </w:rPr>
              <w:t>000 квадратни метра нови училища чрез подмяна на сгради, в резултат на което потреблението на първична енергия е с поне 20 % по-ниско от изискването за сгради с почти нулево потребление на енергия</w:t>
            </w:r>
          </w:p>
        </w:tc>
      </w:tr>
      <w:tr w:rsidR="006054AA" w14:paraId="3B06412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65168" w14:textId="77777777" w:rsidR="006054AA" w:rsidRDefault="001F7667">
            <w:pPr>
              <w:pStyle w:val="P68B1DB1-Normal11"/>
              <w:spacing w:line="276" w:lineRule="auto"/>
              <w:jc w:val="center"/>
              <w:rPr>
                <w:noProof/>
              </w:rPr>
            </w:pPr>
            <w:r>
              <w:rPr>
                <w:noProof/>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8CDB92E" w14:textId="77777777" w:rsidR="006054AA" w:rsidRDefault="001F7667">
            <w:pPr>
              <w:pStyle w:val="P68B1DB1-Normal11"/>
              <w:spacing w:line="276" w:lineRule="auto"/>
              <w:jc w:val="center"/>
              <w:rPr>
                <w:noProof/>
              </w:rPr>
            </w:pPr>
            <w:r>
              <w:rPr>
                <w:noProof/>
              </w:rPr>
              <w:t>Инвестиция 1.2 — Строителство на сгради, преквалификация и укрепване на недвижимите активи на правораздаването</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45EE9A" w14:textId="77777777" w:rsidR="006054AA" w:rsidRDefault="001F7667">
            <w:pPr>
              <w:pStyle w:val="P68B1DB1-Normal11"/>
              <w:spacing w:line="276" w:lineRule="auto"/>
              <w:jc w:val="center"/>
              <w:rPr>
                <w:noProof/>
              </w:rPr>
            </w:pPr>
            <w:r>
              <w:rPr>
                <w:noProof/>
              </w:rPr>
              <w:t>Ключов етап</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0DF826E" w14:textId="53B31747" w:rsidR="006054AA" w:rsidRDefault="001F7667">
            <w:pPr>
              <w:pStyle w:val="P68B1DB1-Normal11"/>
              <w:spacing w:line="276" w:lineRule="auto"/>
              <w:jc w:val="center"/>
              <w:rPr>
                <w:noProof/>
              </w:rPr>
            </w:pPr>
            <w:r>
              <w:rPr>
                <w:noProof/>
              </w:rPr>
              <w:t>Възлагането на всички обществени поръчки за изграждане на нови сгради, преквалифициране и укрепване на недвижимите имоти на правосъдната администрация се подписва от възлагащия орган след процедура за възлагане на обществена поръчка</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99B92CC" w14:textId="77777777" w:rsidR="006054AA" w:rsidRDefault="001F7667">
            <w:pPr>
              <w:pStyle w:val="P68B1DB1-Normal11"/>
              <w:spacing w:line="276" w:lineRule="auto"/>
              <w:jc w:val="center"/>
              <w:rPr>
                <w:noProof/>
              </w:rPr>
            </w:pPr>
            <w:r>
              <w:rPr>
                <w:noProof/>
              </w:rPr>
              <w:t>Уведомление за възлагането на всички обществени поръчки след провеждане на процедура за възлагане на обществена поръчка</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05B77F9" w14:textId="77777777" w:rsidR="006054AA" w:rsidRDefault="001F7667">
            <w:pPr>
              <w:pStyle w:val="P68B1DB1-Normal11"/>
              <w:spacing w:line="276" w:lineRule="auto"/>
              <w:jc w:val="center"/>
              <w:rPr>
                <w:noProof/>
              </w:rPr>
            </w:pPr>
            <w:r>
              <w:rPr>
                <w:noProof/>
              </w:rPr>
              <w:t>НЯМА</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0165975" w14:textId="77777777" w:rsidR="006054AA" w:rsidRDefault="001F7667">
            <w:pPr>
              <w:pStyle w:val="P68B1DB1-Normal11"/>
              <w:spacing w:line="276" w:lineRule="auto"/>
              <w:jc w:val="center"/>
              <w:rPr>
                <w:noProof/>
              </w:rPr>
            </w:pPr>
            <w:r>
              <w:rPr>
                <w:noProof/>
              </w:rPr>
              <w:t>НЯМА</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72BAB7" w14:textId="77777777" w:rsidR="006054AA" w:rsidRDefault="001F7667">
            <w:pPr>
              <w:pStyle w:val="P68B1DB1-Normal11"/>
              <w:spacing w:line="276" w:lineRule="auto"/>
              <w:jc w:val="center"/>
              <w:rPr>
                <w:noProof/>
              </w:rPr>
            </w:pPr>
            <w:r>
              <w:rPr>
                <w:noProof/>
              </w:rPr>
              <w:t>НЯМА</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071D6D2" w14:textId="77777777" w:rsidR="006054AA" w:rsidRDefault="001F7667">
            <w:pPr>
              <w:pStyle w:val="P68B1DB1-Normal11"/>
              <w:spacing w:line="276" w:lineRule="auto"/>
              <w:jc w:val="center"/>
              <w:rPr>
                <w:noProof/>
              </w:rPr>
            </w:pPr>
            <w:r>
              <w:rPr>
                <w:noProof/>
              </w:rPr>
              <w:t>Т4 Г.</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A4B160C" w14:textId="77777777" w:rsidR="006054AA" w:rsidRDefault="001F7667">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D99A971" w14:textId="77777777" w:rsidR="006054AA" w:rsidRDefault="001F7667">
            <w:pPr>
              <w:pStyle w:val="P68B1DB1-Normal11"/>
              <w:spacing w:after="120"/>
              <w:rPr>
                <w:noProof/>
              </w:rPr>
            </w:pPr>
            <w:r>
              <w:rPr>
                <w:noProof/>
              </w:rPr>
              <w:t>Уведомяване за възлагането на всички обществени поръчки за строителство на сгради, преквалифициране и укрепване на недвижимите имоти на правораздаването.</w:t>
            </w:r>
          </w:p>
        </w:tc>
      </w:tr>
      <w:tr w:rsidR="006054AA" w14:paraId="0EA6615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E1443" w14:textId="77777777" w:rsidR="006054AA" w:rsidRDefault="001F7667">
            <w:pPr>
              <w:pStyle w:val="P68B1DB1-Normal11"/>
              <w:spacing w:line="276" w:lineRule="auto"/>
              <w:jc w:val="center"/>
              <w:rPr>
                <w:noProof/>
              </w:rPr>
            </w:pPr>
            <w:r>
              <w:rPr>
                <w:noProof/>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5C36CB" w14:textId="77777777" w:rsidR="006054AA" w:rsidRDefault="001F7667">
            <w:pPr>
              <w:pStyle w:val="P68B1DB1-Normal11"/>
              <w:spacing w:line="276" w:lineRule="auto"/>
              <w:jc w:val="center"/>
              <w:rPr>
                <w:noProof/>
              </w:rPr>
            </w:pPr>
            <w:r>
              <w:rPr>
                <w:noProof/>
              </w:rPr>
              <w:t>Инвестиция 1.2 — Строителство на сгради, преквалификация и укрепване на недвижимите активи на правораздаването</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3AEC551" w14:textId="77777777" w:rsidR="006054AA" w:rsidRDefault="001F7667">
            <w:pPr>
              <w:pStyle w:val="P68B1DB1-Normal11"/>
              <w:spacing w:line="276" w:lineRule="auto"/>
              <w:jc w:val="center"/>
              <w:rPr>
                <w:noProof/>
              </w:rPr>
            </w:pPr>
            <w:r>
              <w:rPr>
                <w:noProof/>
              </w:rPr>
              <w:t>Целеви</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2D4776A" w14:textId="77777777" w:rsidR="006054AA" w:rsidRDefault="001F7667">
            <w:pPr>
              <w:pStyle w:val="P68B1DB1-Normal11"/>
              <w:spacing w:line="276" w:lineRule="auto"/>
              <w:jc w:val="center"/>
              <w:rPr>
                <w:noProof/>
              </w:rPr>
            </w:pPr>
            <w:r>
              <w:rPr>
                <w:noProof/>
              </w:rPr>
              <w:t>Строителство на сгради, преквалификация и укрепване на недвижимите имоти на правораздаването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BF5DFD2" w14:textId="77777777" w:rsidR="006054AA" w:rsidRDefault="001F7667">
            <w:pPr>
              <w:pStyle w:val="P68B1DB1-Normal11"/>
              <w:spacing w:line="276" w:lineRule="auto"/>
              <w:jc w:val="center"/>
              <w:rPr>
                <w:noProof/>
              </w:rPr>
            </w:pPr>
            <w:r>
              <w:rPr>
                <w:noProof/>
              </w:rPr>
              <w:t>НЯМА</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12984B9E" w14:textId="77777777" w:rsidR="006054AA" w:rsidRDefault="001F7667">
            <w:pPr>
              <w:pStyle w:val="P68B1DB1-Normal11"/>
              <w:spacing w:line="276" w:lineRule="auto"/>
              <w:jc w:val="center"/>
              <w:rPr>
                <w:noProof/>
              </w:rPr>
            </w:pPr>
            <w:r>
              <w:rPr>
                <w:noProof/>
              </w:rPr>
              <w:t>Брой</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7799AC16" w14:textId="77777777" w:rsidR="006054AA" w:rsidRDefault="001F7667">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D6BB0F7" w14:textId="0A7CD1E0" w:rsidR="006054AA" w:rsidRDefault="001F7667">
            <w:pPr>
              <w:pStyle w:val="P68B1DB1-Normal12"/>
              <w:spacing w:line="276" w:lineRule="auto"/>
              <w:jc w:val="center"/>
              <w:rPr>
                <w:rFonts w:ascii="Arial Narrow" w:hAnsi="Arial Narrow"/>
                <w:noProof/>
              </w:rPr>
            </w:pPr>
            <w:r>
              <w:rPr>
                <w:rFonts w:ascii="Arial Narrow" w:hAnsi="Arial Narrow"/>
                <w:noProof/>
              </w:rPr>
              <w:t>289</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770E001" w14:textId="77777777" w:rsidR="006054AA" w:rsidRDefault="001F7667">
            <w:pPr>
              <w:pStyle w:val="P68B1DB1-Normal11"/>
              <w:spacing w:line="276" w:lineRule="auto"/>
              <w:jc w:val="center"/>
              <w:rPr>
                <w:noProof/>
              </w:rPr>
            </w:pPr>
            <w:r>
              <w:rPr>
                <w:noProof/>
              </w:rPr>
              <w:t>Т1 Г.</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104E4BE6" w14:textId="77777777" w:rsidR="006054AA" w:rsidRDefault="001F7667">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6C27F9D" w14:textId="2D6C46D2" w:rsidR="006054AA" w:rsidRDefault="001F7667">
            <w:pPr>
              <w:pStyle w:val="P68B1DB1-Normal12"/>
              <w:spacing w:after="120"/>
              <w:rPr>
                <w:rFonts w:ascii="Arial Narrow" w:hAnsi="Arial Narrow"/>
                <w:noProof/>
              </w:rPr>
            </w:pPr>
            <w:r>
              <w:rPr>
                <w:rFonts w:ascii="Arial Narrow" w:hAnsi="Arial Narrow"/>
                <w:noProof/>
              </w:rPr>
              <w:t>Строителство на сгради, преквалифициране и укрепване на недвижимо имущество на правосъдната администрация с размер най-малко 289</w:t>
            </w:r>
            <w:r>
              <w:rPr>
                <w:noProof/>
              </w:rPr>
              <w:t xml:space="preserve"> </w:t>
            </w:r>
            <w:r>
              <w:rPr>
                <w:rFonts w:ascii="Arial Narrow" w:hAnsi="Arial Narrow"/>
                <w:noProof/>
              </w:rPr>
              <w:t>000 квадратни метра</w:t>
            </w:r>
          </w:p>
        </w:tc>
      </w:tr>
      <w:tr w:rsidR="006054AA" w14:paraId="74D59750"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0D5AB" w14:textId="77777777" w:rsidR="006054AA" w:rsidRDefault="001F7667">
            <w:pPr>
              <w:pStyle w:val="P68B1DB1-Normal11"/>
              <w:spacing w:line="276" w:lineRule="auto"/>
              <w:jc w:val="center"/>
              <w:rPr>
                <w:noProof/>
              </w:rPr>
            </w:pPr>
            <w:r>
              <w:rPr>
                <w:noProof/>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7541C826" w14:textId="77777777" w:rsidR="006054AA" w:rsidRDefault="001F7667">
            <w:pPr>
              <w:pStyle w:val="P68B1DB1-Normal11"/>
              <w:spacing w:line="276" w:lineRule="auto"/>
              <w:jc w:val="center"/>
              <w:rPr>
                <w:noProof/>
              </w:rPr>
            </w:pPr>
            <w:r>
              <w:rPr>
                <w:noProof/>
              </w:rPr>
              <w:t>Инвестиция 3.1: Насърчаване на ефективното централно отопление</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A8617F" w14:textId="77777777" w:rsidR="006054AA" w:rsidRDefault="001F7667">
            <w:pPr>
              <w:pStyle w:val="P68B1DB1-Normal11"/>
              <w:spacing w:line="276" w:lineRule="auto"/>
              <w:jc w:val="center"/>
              <w:rPr>
                <w:noProof/>
              </w:rPr>
            </w:pPr>
            <w:r>
              <w:rPr>
                <w:noProof/>
              </w:rPr>
              <w:t>Ключов етап</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32872BAE" w14:textId="36CEF506" w:rsidR="006054AA" w:rsidRDefault="001F7667">
            <w:pPr>
              <w:pStyle w:val="P68B1DB1-Normal11"/>
              <w:spacing w:line="276" w:lineRule="auto"/>
              <w:jc w:val="center"/>
              <w:rPr>
                <w:noProof/>
              </w:rPr>
            </w:pPr>
            <w:r>
              <w:rPr>
                <w:noProof/>
              </w:rPr>
              <w:t>Договорите за подобряване на отоплителните мрежи се възлагат от Министерството на екологичния преход след процедура за възлагане на обществена поръчка</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6A37354" w14:textId="77777777" w:rsidR="006054AA" w:rsidRDefault="001F7667">
            <w:pPr>
              <w:pStyle w:val="P68B1DB1-Normal11"/>
              <w:spacing w:line="276" w:lineRule="auto"/>
              <w:jc w:val="center"/>
              <w:rPr>
                <w:noProof/>
              </w:rPr>
            </w:pPr>
            <w:r>
              <w:rPr>
                <w:noProof/>
              </w:rPr>
              <w:t>Уведомление за възлагане на всички обществени поръчки след провеждане на процедура за възлагане на обществена поръчка</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78C0B12" w14:textId="77777777" w:rsidR="006054AA" w:rsidRDefault="001F7667">
            <w:pPr>
              <w:pStyle w:val="P68B1DB1-Normal11"/>
              <w:spacing w:line="276" w:lineRule="auto"/>
              <w:jc w:val="center"/>
              <w:rPr>
                <w:noProof/>
              </w:rPr>
            </w:pPr>
            <w:r>
              <w:rPr>
                <w:noProof/>
              </w:rPr>
              <w:t>НЯМА</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919C29" w14:textId="77777777" w:rsidR="006054AA" w:rsidRDefault="001F7667">
            <w:pPr>
              <w:pStyle w:val="P68B1DB1-Normal11"/>
              <w:spacing w:line="276" w:lineRule="auto"/>
              <w:jc w:val="center"/>
              <w:rPr>
                <w:noProof/>
              </w:rPr>
            </w:pPr>
            <w:r>
              <w:rPr>
                <w:noProof/>
              </w:rPr>
              <w:t>НЯМА</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0720BCF2" w14:textId="77777777" w:rsidR="006054AA" w:rsidRDefault="001F7667">
            <w:pPr>
              <w:pStyle w:val="P68B1DB1-Normal11"/>
              <w:spacing w:line="276" w:lineRule="auto"/>
              <w:jc w:val="center"/>
              <w:rPr>
                <w:noProof/>
              </w:rPr>
            </w:pPr>
            <w:r>
              <w:rPr>
                <w:noProof/>
              </w:rPr>
              <w:t>НЯМА</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DFD408C" w14:textId="77777777" w:rsidR="006054AA" w:rsidRDefault="001F7667">
            <w:pPr>
              <w:pStyle w:val="P68B1DB1-Normal11"/>
              <w:spacing w:line="276" w:lineRule="auto"/>
              <w:jc w:val="center"/>
              <w:rPr>
                <w:noProof/>
              </w:rPr>
            </w:pPr>
            <w:r>
              <w:rPr>
                <w:noProof/>
              </w:rPr>
              <w:t>Т4 Г.</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47A1E9EA" w14:textId="77777777" w:rsidR="006054AA" w:rsidRDefault="001F7667">
            <w:pPr>
              <w:pStyle w:val="P68B1DB1-Normal11"/>
              <w:spacing w:line="276" w:lineRule="auto"/>
              <w:jc w:val="center"/>
              <w:rPr>
                <w:noProof/>
              </w:rPr>
            </w:pPr>
            <w:r>
              <w:rPr>
                <w:noProof/>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997928C" w14:textId="77777777" w:rsidR="006054AA" w:rsidRDefault="001F7667">
            <w:pPr>
              <w:pStyle w:val="P68B1DB1-Normal11"/>
              <w:spacing w:after="120"/>
              <w:rPr>
                <w:noProof/>
              </w:rPr>
            </w:pPr>
            <w:r>
              <w:rPr>
                <w:noProof/>
              </w:rPr>
              <w:t>Възлагане на всички обществени поръчки за изграждане на нови районни отоплителни мрежи или разширяване на съществуващи районни отоплителни мрежи, което следва да включва изискването за намаляване на потреблението на енергия.</w:t>
            </w:r>
          </w:p>
          <w:p w14:paraId="36DDC4D9" w14:textId="77777777" w:rsidR="006054AA" w:rsidRDefault="001F7667">
            <w:pPr>
              <w:pStyle w:val="P68B1DB1-Normal11"/>
              <w:spacing w:after="120"/>
              <w:rPr>
                <w:noProof/>
              </w:rPr>
            </w:pPr>
            <w:r>
              <w:rPr>
                <w:noProof/>
              </w:rPr>
              <w:t>Възлагане на поръчките на проектите, избрани в рамките на конкурсните покани за представяне на предложения,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6653A12C"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1ADA23" w14:textId="77777777" w:rsidR="006054AA" w:rsidRDefault="001F7667">
            <w:pPr>
              <w:pStyle w:val="P68B1DB1-Normal11"/>
              <w:spacing w:line="276" w:lineRule="auto"/>
              <w:jc w:val="center"/>
              <w:rPr>
                <w:noProof/>
              </w:rPr>
            </w:pPr>
            <w:r>
              <w:rPr>
                <w:noProof/>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E2F5724" w14:textId="77777777" w:rsidR="006054AA" w:rsidRDefault="001F7667">
            <w:pPr>
              <w:pStyle w:val="P68B1DB1-Normal11"/>
              <w:spacing w:line="276" w:lineRule="auto"/>
              <w:jc w:val="center"/>
              <w:rPr>
                <w:noProof/>
              </w:rPr>
            </w:pPr>
            <w:r>
              <w:rPr>
                <w:noProof/>
              </w:rPr>
              <w:t>Инвестиция 3.1: Насърчаване на ефективното централно отопление</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92EE588" w14:textId="77777777" w:rsidR="006054AA" w:rsidRDefault="001F7667">
            <w:pPr>
              <w:pStyle w:val="P68B1DB1-Normal11"/>
              <w:spacing w:line="276" w:lineRule="auto"/>
              <w:jc w:val="center"/>
              <w:rPr>
                <w:noProof/>
              </w:rPr>
            </w:pPr>
            <w:r>
              <w:rPr>
                <w:noProof/>
              </w:rPr>
              <w:t>Целеви</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72869FF" w14:textId="77777777" w:rsidR="006054AA" w:rsidRDefault="001F7667">
            <w:pPr>
              <w:pStyle w:val="P68B1DB1-Normal11"/>
              <w:spacing w:line="276" w:lineRule="auto"/>
              <w:jc w:val="center"/>
              <w:rPr>
                <w:noProof/>
              </w:rPr>
            </w:pPr>
            <w:r>
              <w:rPr>
                <w:noProof/>
              </w:rPr>
              <w:t>Изграждане или разширяване на мрежи за централно отопление</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4774270" w14:textId="77777777" w:rsidR="006054AA" w:rsidRDefault="001F7667">
            <w:pPr>
              <w:pStyle w:val="P68B1DB1-Normal11"/>
              <w:spacing w:line="276" w:lineRule="auto"/>
              <w:jc w:val="center"/>
              <w:rPr>
                <w:noProof/>
              </w:rPr>
            </w:pPr>
            <w:r>
              <w:rPr>
                <w:noProof/>
              </w:rPr>
              <w:t>НЯМА</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2E3CA49F" w14:textId="77777777" w:rsidR="006054AA" w:rsidRDefault="001F7667">
            <w:pPr>
              <w:pStyle w:val="P68B1DB1-Normal11"/>
              <w:spacing w:line="276" w:lineRule="auto"/>
              <w:jc w:val="center"/>
              <w:rPr>
                <w:noProof/>
              </w:rPr>
            </w:pPr>
            <w:r>
              <w:rPr>
                <w:noProof/>
              </w:rPr>
              <w:t>Брой</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7842ABF" w14:textId="77777777" w:rsidR="006054AA" w:rsidRDefault="001F7667">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68CA10" w14:textId="77777777" w:rsidR="006054AA" w:rsidRDefault="001F7667">
            <w:pPr>
              <w:pStyle w:val="P68B1DB1-Normal11"/>
              <w:spacing w:line="276" w:lineRule="auto"/>
              <w:jc w:val="center"/>
              <w:rPr>
                <w:noProof/>
              </w:rPr>
            </w:pPr>
            <w:r>
              <w:rPr>
                <w:noProof/>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31C9823" w14:textId="77777777" w:rsidR="006054AA" w:rsidRDefault="001F7667">
            <w:pPr>
              <w:pStyle w:val="P68B1DB1-Normal11"/>
              <w:spacing w:line="276" w:lineRule="auto"/>
              <w:jc w:val="center"/>
              <w:rPr>
                <w:noProof/>
              </w:rPr>
            </w:pPr>
            <w:r>
              <w:rPr>
                <w:noProof/>
              </w:rPr>
              <w:t>Т1 Г.</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B0545C5" w14:textId="77777777" w:rsidR="006054AA" w:rsidRDefault="001F7667">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4523BE1" w14:textId="77777777" w:rsidR="006054AA" w:rsidRDefault="001F7667">
            <w:pPr>
              <w:pStyle w:val="P68B1DB1-Normal11"/>
              <w:spacing w:after="120"/>
              <w:rPr>
                <w:noProof/>
              </w:rPr>
            </w:pPr>
            <w:r>
              <w:rPr>
                <w:noProof/>
              </w:rPr>
              <w:t>Завършване изграждането на нови мрежи за централно отопление или разширяване на съществуващи такива, за да се намали потреблението на енергия с поне 20 KTOE годишно.</w:t>
            </w:r>
          </w:p>
          <w:p w14:paraId="41D0121C" w14:textId="77777777" w:rsidR="006054AA" w:rsidRDefault="001F7667">
            <w:pPr>
              <w:pStyle w:val="P68B1DB1-Normal11"/>
              <w:spacing w:after="120"/>
              <w:rPr>
                <w:noProof/>
              </w:rPr>
            </w:pPr>
            <w:r>
              <w:rPr>
                <w:noProof/>
              </w:rPr>
              <w:t>Инвестицията отговаря на условията, посочени в бележка под линия (9) от приложение VI към Регламент 241/2021/ЕС относно Механизма за възстановяване и устойчивост.</w:t>
            </w:r>
          </w:p>
        </w:tc>
      </w:tr>
    </w:tbl>
    <w:p w14:paraId="315B0F7E" w14:textId="77777777" w:rsidR="006054AA" w:rsidRDefault="006054AA">
      <w:pPr>
        <w:keepNext/>
        <w:tabs>
          <w:tab w:val="left" w:pos="4252"/>
        </w:tabs>
        <w:spacing w:before="720"/>
        <w:jc w:val="both"/>
        <w:rPr>
          <w:i/>
          <w:noProof/>
        </w:rPr>
        <w:sectPr w:rsidR="006054AA" w:rsidSect="001354D1">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411BB39C" w14:textId="2BF4B9ED" w:rsidR="006054AA" w:rsidRDefault="001F7667">
      <w:pPr>
        <w:pStyle w:val="Heading2"/>
        <w:numPr>
          <w:ilvl w:val="0"/>
          <w:numId w:val="0"/>
        </w:numPr>
        <w:ind w:left="850" w:hanging="850"/>
        <w:rPr>
          <w:noProof/>
        </w:rPr>
      </w:pPr>
      <w:r>
        <w:rPr>
          <w:noProof/>
          <w:lang w:val="bg-BG"/>
        </w:rPr>
        <w:t>Ж</w:t>
      </w:r>
      <w:r>
        <w:rPr>
          <w:noProof/>
        </w:rPr>
        <w:t xml:space="preserve">. </w:t>
      </w:r>
      <w:r w:rsidR="00506A4F">
        <w:rPr>
          <w:noProof/>
          <w:lang w:val="bg-BG"/>
        </w:rPr>
        <w:t>МИСИЯ</w:t>
      </w:r>
      <w:r>
        <w:rPr>
          <w:noProof/>
        </w:rPr>
        <w:t xml:space="preserve"> 2 </w:t>
      </w:r>
      <w:r w:rsidR="00506A4F">
        <w:rPr>
          <w:noProof/>
          <w:lang w:val="bg-BG"/>
        </w:rPr>
        <w:t>КОМПОНЕНТ</w:t>
      </w:r>
      <w:r>
        <w:rPr>
          <w:noProof/>
        </w:rPr>
        <w:t xml:space="preserve"> 4 — Териториално планиране и водни ресурси</w:t>
      </w:r>
    </w:p>
    <w:p w14:paraId="5EC64CFA" w14:textId="77777777" w:rsidR="006054AA" w:rsidRDefault="001F7667">
      <w:pPr>
        <w:spacing w:before="120" w:after="120"/>
        <w:jc w:val="both"/>
        <w:rPr>
          <w:noProof/>
        </w:rPr>
      </w:pPr>
      <w:r>
        <w:rPr>
          <w:noProof/>
        </w:rPr>
        <w:t>Целта на този компонент на италианския план за възстановяване и устойчивост е да се преодолеят редица трайни слабости, свързани с управлението на водните ресурси и хидрогеоложките рискове в Италия, и да се приемат редица мерки, насочени към опазване на биологичното разнообразие. Това трябва да се постигне чрез значителна и балансирана комбинация от реформи и инвестиции в тези различни измерения.</w:t>
      </w:r>
    </w:p>
    <w:p w14:paraId="7883EADC" w14:textId="77777777" w:rsidR="006054AA" w:rsidRDefault="001F7667">
      <w:pPr>
        <w:spacing w:before="120" w:after="120"/>
        <w:jc w:val="both"/>
        <w:rPr>
          <w:noProof/>
        </w:rPr>
      </w:pPr>
      <w:r>
        <w:rPr>
          <w:noProof/>
        </w:rPr>
        <w:t xml:space="preserve">Що се отнася до реформите, компонентът предлага набор от мерки, насочени главно към подобряване на ефективността при управлението на водните ресурси чрез намаляване на разпокъсаността на сектора, чрез установяване на адекватна ценова политика и чрез определяне на редица стимули за справяне със съществуващите проблеми, свързани с управлението на отпадъчните води. Реформите в този компонент включват също така набор от мерки за опростяване на разработването и изпълнението на проекти, свързани с водната инфраструктура и с управлението и намаляването на хидроложките рискове.  </w:t>
      </w:r>
    </w:p>
    <w:p w14:paraId="77D5E42B" w14:textId="77777777" w:rsidR="006054AA" w:rsidRDefault="001F7667">
      <w:pPr>
        <w:spacing w:before="120" w:after="120"/>
        <w:jc w:val="both"/>
        <w:rPr>
          <w:noProof/>
        </w:rPr>
      </w:pPr>
      <w:r>
        <w:rPr>
          <w:noProof/>
        </w:rPr>
        <w:t>Инвестициите, свързани с този компонент, допринасят за смекчаване и по-добро управление на хидрогеоложкия риск в Италия, както от гледна точка на превенцията, така и от гледна точка на адаптирането, и имат за цел да направят свързаната с водите инфраструктура по-устойчива. Освен това те имат за цел значително да подобрят управлението на водните ресурси чрез по-добро управление на отпадъчните води и значително намаляване на течовете на вода, включително в селскостопанския сектор. Инвестициите укрепват цифровизацията на тези сектори и ги правят по-ефективни в енергийно отношение и по-добре адаптирани към изменението на климата. Този компонент включва и набор от мерки, насочени към опазване на биологичното разнообразие и зелените площи в съответствие със стратегията на ЕС за биологичното разнообразие до 2030 г.</w:t>
      </w:r>
    </w:p>
    <w:p w14:paraId="639F3556" w14:textId="77777777" w:rsidR="006054AA" w:rsidRDefault="001F7667">
      <w:pPr>
        <w:spacing w:before="120" w:after="120"/>
        <w:jc w:val="both"/>
        <w:rPr>
          <w:noProof/>
        </w:rPr>
      </w:pPr>
      <w:r>
        <w:rPr>
          <w:noProof/>
        </w:rPr>
        <w:t>Този компонент се отнася до част от специфичната за държавата препоръка 2020 от 3 г., с която Съветът на Европейския съюз препоръча на Италия да предприеме действия за „съсредоточаване на инвестициите върху екологичния и цифровия преход, по-специално върху [...] управлението на водите, както и укрепената цифрова инфраструктура, за да се гарантира предоставянето на основни услуги“. В него също така се разглеждат части от специфичната за държавата препоръка 2019 от 3 г. („Икономическа политика, свързана с инвестициите, върху качеството на инфраструктурата, като се вземат предвид регионалните различия. [...] и подобряване на ефективността на публичната администрация [...] чрез ускоряване на цифровизацията и чрез повишаване на ефикасността и качеството на местните обществени услуги“).</w:t>
      </w:r>
    </w:p>
    <w:p w14:paraId="6DCE1DD9" w14:textId="77777777" w:rsidR="006054AA" w:rsidRDefault="001F7667">
      <w:pPr>
        <w:spacing w:before="120" w:after="120"/>
        <w:jc w:val="both"/>
        <w:rPr>
          <w:noProof/>
        </w:rPr>
      </w:pPr>
      <w:r>
        <w:rPr>
          <w:noProof/>
        </w:rPr>
        <w:t>Очаква се, че нито една мярка в този компонент не нанася значителни вреди на екологичните цели по смисъла на член 17 от Регламент (ЕС) 2020/852, като се вземе предвид описанието на мерките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w:t>
      </w:r>
    </w:p>
    <w:p w14:paraId="175C0678"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Ж.1. </w:t>
      </w:r>
      <w:r>
        <w:rPr>
          <w:noProof/>
        </w:rPr>
        <w:tab/>
      </w:r>
      <w:r>
        <w:rPr>
          <w:b/>
          <w:i w:val="0"/>
          <w:noProof/>
          <w:u w:val="single"/>
        </w:rPr>
        <w:t>Описание на реформите и инвестициите за безвъзмездна финансова подкрепа</w:t>
      </w:r>
    </w:p>
    <w:p w14:paraId="4070EE27" w14:textId="77777777" w:rsidR="006054AA" w:rsidRDefault="001F7667">
      <w:pPr>
        <w:pStyle w:val="P68B1DB1-Normal2"/>
        <w:spacing w:before="120" w:after="120" w:line="257" w:lineRule="auto"/>
        <w:jc w:val="both"/>
        <w:rPr>
          <w:noProof/>
        </w:rPr>
      </w:pPr>
      <w:r>
        <w:rPr>
          <w:noProof/>
        </w:rPr>
        <w:t xml:space="preserve">Реформа 2.1 — Опростяване и ускоряване на процедурите за изпълнение на интервенции срещу хидрогеоложката нестабилност </w:t>
      </w:r>
    </w:p>
    <w:p w14:paraId="476D2FB9" w14:textId="77777777" w:rsidR="006054AA" w:rsidRDefault="001F7667">
      <w:pPr>
        <w:spacing w:before="120" w:after="120"/>
        <w:jc w:val="both"/>
        <w:rPr>
          <w:noProof/>
        </w:rPr>
      </w:pPr>
      <w:r>
        <w:rPr>
          <w:noProof/>
        </w:rPr>
        <w:t>Целта на тази реформа е да се преодолеят съществуващите слабости в управлението на хидрогеоложките рискове, изтъкнати от италианската сметна палата. Тя се състои в опростяване и ускоряване на процедурите за изпълнение на проекти в тази област, включително определяне на максимални срокове за всяка фаза; приоритизиране на интервенциите в съответствие с националната оценка на риска и с член 6 от Решение 1313/2013 ЕС и оценката на способността за управление на риска и принципа за ненанасяне на значителни вреди; изготвяне на план за увеличаване на административния капацитет на структурите, отговарящи за изпълнението на тези проекти, и засилване на координацията между различните участващи равнища на управление, включително чрез рационализиране на информационните потоци.</w:t>
      </w:r>
    </w:p>
    <w:p w14:paraId="42CCB914" w14:textId="77777777" w:rsidR="006054AA" w:rsidRDefault="001F7667">
      <w:pPr>
        <w:pStyle w:val="P68B1DB1-Normal2"/>
        <w:spacing w:before="120" w:after="120" w:line="257" w:lineRule="auto"/>
        <w:jc w:val="both"/>
        <w:rPr>
          <w:noProof/>
        </w:rPr>
      </w:pPr>
      <w:r>
        <w:rPr>
          <w:noProof/>
        </w:rPr>
        <w:t xml:space="preserve">Реформа 2 — Реформа на правната рамка за по-добро управление и устойчиво използване на водите </w:t>
      </w:r>
    </w:p>
    <w:p w14:paraId="42E50B2F" w14:textId="77777777" w:rsidR="006054AA" w:rsidRDefault="001F7667">
      <w:pPr>
        <w:spacing w:before="120" w:after="120"/>
        <w:jc w:val="both"/>
        <w:rPr>
          <w:noProof/>
        </w:rPr>
      </w:pPr>
      <w:r>
        <w:rPr>
          <w:noProof/>
        </w:rPr>
        <w:t xml:space="preserve">Тази реформа има за цел да разреши дълготрайните проблеми на водния сектор в Италия, отразени в много текущи производства за установяване на неизпълнение на задължения във връзка с неспазване на Директива 91/271/ЕИО на Съвета, прекомерната разпокъсаност на сектора и липсата на подходящи стимули и ценови политики. Очаква се предвидените мерки значително да намалят разпокъсаността на сектора чрез намаляване на броя на операторите и насърчаване на икономиите от мащаба, създаване на стимули за намаляване на течовете и прекомерното потребление на вода от селскостопанския сектор и установяване на адекватни ценови политики за по-устойчиво потребление на вода. </w:t>
      </w:r>
    </w:p>
    <w:p w14:paraId="67EAD886" w14:textId="61564BAD" w:rsidR="006054AA" w:rsidRDefault="001F7667">
      <w:pPr>
        <w:spacing w:before="120" w:after="120"/>
        <w:jc w:val="both"/>
        <w:rPr>
          <w:noProof/>
        </w:rPr>
      </w:pPr>
      <w:r>
        <w:rPr>
          <w:noProof/>
        </w:rPr>
        <w:t>С регионите Кампания, Калабрия, Молизе и Сицилия ще бъде подписан набор от меморандуми за разбирателство (МР), за да се намали разпокъсаността на броя на операторите, предоставящи водни услуги. В меморандума за разбирателство се определят цели по отношение на определянето на органи на местното самоуправление, намаляване на броя на операторите и постигане на икономии от мащаба с оглед на определянето на отделни оператори за най-малко 40</w:t>
      </w:r>
      <w:r>
        <w:rPr>
          <w:noProof/>
          <w:color w:val="006100"/>
          <w:sz w:val="20"/>
        </w:rPr>
        <w:t xml:space="preserve"> </w:t>
      </w:r>
      <w:r>
        <w:rPr>
          <w:noProof/>
        </w:rPr>
        <w:t xml:space="preserve">000 жители в рамките на двете години след подписването на меморандума за разбирателство.   </w:t>
      </w:r>
    </w:p>
    <w:p w14:paraId="37816D57" w14:textId="77777777" w:rsidR="006054AA" w:rsidRDefault="001F7667">
      <w:pPr>
        <w:pStyle w:val="P68B1DB1-Normal2"/>
        <w:spacing w:before="120" w:after="120" w:line="257" w:lineRule="auto"/>
        <w:jc w:val="both"/>
        <w:rPr>
          <w:noProof/>
        </w:rPr>
      </w:pPr>
      <w:r>
        <w:rPr>
          <w:noProof/>
        </w:rPr>
        <w:t>Реформа 4.2 „Мерки за осигуряване на пълен управленски капацитет за интегрирани водни услуги“</w:t>
      </w:r>
    </w:p>
    <w:p w14:paraId="7B4C6237" w14:textId="77777777" w:rsidR="006054AA" w:rsidRDefault="001F7667">
      <w:pPr>
        <w:spacing w:before="120" w:after="120"/>
        <w:jc w:val="both"/>
        <w:rPr>
          <w:noProof/>
        </w:rPr>
      </w:pPr>
      <w:r>
        <w:rPr>
          <w:noProof/>
        </w:rPr>
        <w:t xml:space="preserve">Тази реформа има за цел да разреши основните проблеми в управлението на водните ресурси и да направи системата по-ефективна. </w:t>
      </w:r>
    </w:p>
    <w:p w14:paraId="3C60E05A" w14:textId="5903C6B2" w:rsidR="006054AA" w:rsidRDefault="001F7667">
      <w:pPr>
        <w:spacing w:before="120" w:after="120"/>
        <w:jc w:val="both"/>
        <w:rPr>
          <w:noProof/>
        </w:rPr>
      </w:pPr>
      <w:r>
        <w:rPr>
          <w:noProof/>
        </w:rPr>
        <w:t>Очаква се системата да намали съществуващата разпокъсаност на броя на операторите, което понастоящем възпрепятства ефективното използване на водните ресурси в някои части на страната. Очаква се също така реформата да определи правилните стимули за по-добро използване на водните ресурси в селскостопанския сектор, да въведе система от санкции за незаконния добив на вода и да въведе система от цени, която отразява по-добре и съответства в по-голяма степен на принципа „замърсителят плаща“, като същевременно се избягва разширяването на съществуващите напоителни системи. Мерките се приемат в сътрудничество с регионите, в които понастоящем управлението на водните ресурси е по-проблематично.</w:t>
      </w:r>
    </w:p>
    <w:p w14:paraId="6B8BA6A6" w14:textId="77777777" w:rsidR="006054AA" w:rsidRDefault="001F7667">
      <w:pPr>
        <w:pStyle w:val="P68B1DB1-Normal2"/>
        <w:spacing w:before="120" w:after="120" w:line="257" w:lineRule="auto"/>
        <w:jc w:val="both"/>
        <w:rPr>
          <w:noProof/>
        </w:rPr>
      </w:pPr>
      <w:r>
        <w:rPr>
          <w:noProof/>
        </w:rPr>
        <w:t>Инвестиция 3.2 — Цифровизация на националните паркове и защитените морски зони</w:t>
      </w:r>
    </w:p>
    <w:p w14:paraId="678512DB" w14:textId="77777777" w:rsidR="006054AA" w:rsidRDefault="001F7667">
      <w:pPr>
        <w:spacing w:before="120" w:after="120"/>
        <w:jc w:val="both"/>
        <w:rPr>
          <w:noProof/>
        </w:rPr>
      </w:pPr>
      <w:r>
        <w:rPr>
          <w:noProof/>
        </w:rPr>
        <w:t>Тази мярка определя стандартизирани и цифровизирани процедури за модернизиране, ефикасност и ефективно функциониране на защитените зони в различните ѝ измерения, като опазване на природата, административно опростяване на процедурите и услугите за посетителите на националните паркове и защитените морски зони. След интервенцията се очаква мониторингът на природните ресурси да се подобри, така че да се предприемат необходимите превантивни и коригиращи мерки, когато това е необходимо за опазването на биологичното разнообразие. Очаква се също така тя да доведе до по-добри услуги и осведоменост относно биологичното разнообразие за посетителите на национални паркове и защитени морски зони с цел по-устойчив туризъм и отговорно потребление на природни ресурси.</w:t>
      </w:r>
    </w:p>
    <w:p w14:paraId="773152C4" w14:textId="77777777" w:rsidR="006054AA" w:rsidRDefault="001F7667">
      <w:pPr>
        <w:pStyle w:val="Heading3"/>
        <w:numPr>
          <w:ilvl w:val="0"/>
          <w:numId w:val="0"/>
        </w:numPr>
        <w:ind w:left="850" w:hanging="850"/>
        <w:rPr>
          <w:b/>
          <w:i w:val="0"/>
          <w:noProof/>
          <w:u w:val="single"/>
        </w:rPr>
      </w:pPr>
      <w:r>
        <w:rPr>
          <w:b/>
          <w:i w:val="0"/>
          <w:noProof/>
          <w:u w:val="single"/>
        </w:rPr>
        <w:t xml:space="preserve">Ж.2.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3A412908" w14:textId="77777777" w:rsidR="006054AA" w:rsidRDefault="006054AA">
      <w:pPr>
        <w:spacing w:before="120" w:after="120"/>
        <w:ind w:left="709"/>
        <w:jc w:val="both"/>
        <w:rPr>
          <w:noProof/>
        </w:rPr>
        <w:sectPr w:rsidR="006054AA">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W w:w="14560" w:type="dxa"/>
        <w:jc w:val="center"/>
        <w:tblLook w:val="04A0" w:firstRow="1" w:lastRow="0" w:firstColumn="1" w:lastColumn="0" w:noHBand="0" w:noVBand="1"/>
      </w:tblPr>
      <w:tblGrid>
        <w:gridCol w:w="1280"/>
        <w:gridCol w:w="1459"/>
        <w:gridCol w:w="1205"/>
        <w:gridCol w:w="1644"/>
        <w:gridCol w:w="1374"/>
        <w:gridCol w:w="1341"/>
        <w:gridCol w:w="999"/>
        <w:gridCol w:w="690"/>
        <w:gridCol w:w="1143"/>
        <w:gridCol w:w="776"/>
        <w:gridCol w:w="2649"/>
      </w:tblGrid>
      <w:tr w:rsidR="006054AA" w14:paraId="10947D4D" w14:textId="77777777">
        <w:trPr>
          <w:trHeight w:val="927"/>
          <w:tblHeade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CFED3F" w14:textId="77777777" w:rsidR="006054AA" w:rsidRDefault="001F7667">
            <w:pPr>
              <w:pStyle w:val="P68B1DB1-Normal9"/>
              <w:jc w:val="center"/>
              <w:rPr>
                <w:noProof/>
              </w:rPr>
            </w:pPr>
            <w:r>
              <w:rPr>
                <w:noProof/>
              </w:rPr>
              <w:t>Пореден номер</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CD85D1" w14:textId="77777777" w:rsidR="006054AA" w:rsidRDefault="001F7667">
            <w:pPr>
              <w:pStyle w:val="P68B1DB1-Normal9"/>
              <w:jc w:val="center"/>
              <w:rPr>
                <w:noProof/>
              </w:rPr>
            </w:pPr>
            <w:r>
              <w:rPr>
                <w:noProof/>
              </w:rPr>
              <w:t>Свързана мярка (реформа или инвестиции)</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938D8D" w14:textId="77777777" w:rsidR="006054AA" w:rsidRDefault="001F7667">
            <w:pPr>
              <w:pStyle w:val="P68B1DB1-Normal9"/>
              <w:jc w:val="center"/>
              <w:rPr>
                <w:noProof/>
              </w:rPr>
            </w:pPr>
            <w:r>
              <w:rPr>
                <w:noProof/>
              </w:rPr>
              <w:t>Ключов етап/Цел</w:t>
            </w:r>
          </w:p>
        </w:tc>
        <w:tc>
          <w:tcPr>
            <w:tcW w:w="1460" w:type="dxa"/>
            <w:vMerge w:val="restart"/>
            <w:tcBorders>
              <w:top w:val="single" w:sz="4" w:space="0" w:color="auto"/>
              <w:left w:val="nil"/>
              <w:bottom w:val="single" w:sz="4" w:space="0" w:color="auto"/>
              <w:right w:val="single" w:sz="4" w:space="0" w:color="auto"/>
            </w:tcBorders>
            <w:shd w:val="clear" w:color="auto" w:fill="BDD7EE"/>
            <w:vAlign w:val="center"/>
            <w:hideMark/>
          </w:tcPr>
          <w:p w14:paraId="6DAA1FFA" w14:textId="77777777" w:rsidR="006054AA" w:rsidRDefault="001F7667">
            <w:pPr>
              <w:pStyle w:val="P68B1DB1-Normal9"/>
              <w:jc w:val="center"/>
              <w:rPr>
                <w:noProof/>
              </w:rPr>
            </w:pPr>
            <w:r>
              <w:rPr>
                <w:noProof/>
              </w:rPr>
              <w:t>Име</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99BE25"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176" w:type="dxa"/>
            <w:gridSpan w:val="3"/>
            <w:tcBorders>
              <w:top w:val="single" w:sz="4" w:space="0" w:color="auto"/>
              <w:left w:val="nil"/>
              <w:bottom w:val="single" w:sz="4" w:space="0" w:color="auto"/>
              <w:right w:val="single" w:sz="4" w:space="0" w:color="auto"/>
            </w:tcBorders>
            <w:shd w:val="clear" w:color="auto" w:fill="BDD7EE"/>
            <w:vAlign w:val="center"/>
            <w:hideMark/>
          </w:tcPr>
          <w:p w14:paraId="4F2062E3"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603" w:type="dxa"/>
            <w:gridSpan w:val="2"/>
            <w:tcBorders>
              <w:top w:val="single" w:sz="4" w:space="0" w:color="auto"/>
              <w:left w:val="nil"/>
              <w:bottom w:val="single" w:sz="4" w:space="0" w:color="auto"/>
              <w:right w:val="single" w:sz="4" w:space="0" w:color="auto"/>
            </w:tcBorders>
            <w:shd w:val="clear" w:color="auto" w:fill="BDD7EE"/>
            <w:vAlign w:val="center"/>
            <w:hideMark/>
          </w:tcPr>
          <w:p w14:paraId="287E8950" w14:textId="77777777" w:rsidR="006054AA" w:rsidRDefault="001F7667">
            <w:pPr>
              <w:pStyle w:val="P68B1DB1-Normal9"/>
              <w:jc w:val="center"/>
              <w:rPr>
                <w:noProof/>
              </w:rPr>
            </w:pPr>
            <w:r>
              <w:rPr>
                <w:noProof/>
              </w:rPr>
              <w:t>Примерен график за приключване</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669CA7" w14:textId="77777777" w:rsidR="006054AA" w:rsidRDefault="001F7667">
            <w:pPr>
              <w:pStyle w:val="P68B1DB1-Normal9"/>
              <w:jc w:val="center"/>
              <w:rPr>
                <w:noProof/>
              </w:rPr>
            </w:pPr>
            <w:r>
              <w:rPr>
                <w:noProof/>
              </w:rPr>
              <w:t>Описание на всеки ключов етап и цел</w:t>
            </w:r>
          </w:p>
        </w:tc>
      </w:tr>
      <w:tr w:rsidR="006054AA" w14:paraId="34BB7FF9" w14:textId="77777777">
        <w:trPr>
          <w:trHeight w:val="1013"/>
          <w:tblHeade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14:paraId="2B97A327" w14:textId="77777777" w:rsidR="006054AA" w:rsidRDefault="006054AA">
            <w:pPr>
              <w:jc w:val="center"/>
              <w:rPr>
                <w:rFonts w:ascii="Arial Narrow" w:hAnsi="Arial Narrow"/>
                <w:b/>
                <w:noProof/>
                <w:sz w:val="20"/>
              </w:rPr>
            </w:pPr>
          </w:p>
        </w:tc>
        <w:tc>
          <w:tcPr>
            <w:tcW w:w="1495" w:type="dxa"/>
            <w:vMerge/>
            <w:tcBorders>
              <w:left w:val="single" w:sz="4" w:space="0" w:color="auto"/>
              <w:right w:val="single" w:sz="4" w:space="0" w:color="auto"/>
            </w:tcBorders>
            <w:vAlign w:val="center"/>
            <w:hideMark/>
          </w:tcPr>
          <w:p w14:paraId="735AE123" w14:textId="77777777" w:rsidR="006054AA" w:rsidRDefault="006054AA">
            <w:pPr>
              <w:jc w:val="center"/>
              <w:rPr>
                <w:rFonts w:ascii="Arial Narrow" w:hAnsi="Arial Narrow"/>
                <w:b/>
                <w:noProof/>
                <w:sz w:val="20"/>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07BF0FB" w14:textId="77777777" w:rsidR="006054AA" w:rsidRDefault="006054AA">
            <w:pPr>
              <w:jc w:val="center"/>
              <w:rPr>
                <w:rFonts w:ascii="Arial Narrow" w:hAnsi="Arial Narrow"/>
                <w:b/>
                <w:noProof/>
                <w:sz w:val="20"/>
              </w:rPr>
            </w:pPr>
          </w:p>
        </w:tc>
        <w:tc>
          <w:tcPr>
            <w:tcW w:w="1460" w:type="dxa"/>
            <w:vMerge/>
            <w:tcBorders>
              <w:left w:val="single" w:sz="4" w:space="0" w:color="auto"/>
              <w:right w:val="single" w:sz="4" w:space="0" w:color="auto"/>
            </w:tcBorders>
            <w:vAlign w:val="center"/>
            <w:hideMark/>
          </w:tcPr>
          <w:p w14:paraId="2DD88B00" w14:textId="77777777" w:rsidR="006054AA" w:rsidRDefault="006054AA">
            <w:pPr>
              <w:jc w:val="center"/>
              <w:rPr>
                <w:rFonts w:ascii="Arial Narrow" w:hAnsi="Arial Narrow"/>
                <w:b/>
                <w:noProof/>
                <w:sz w:val="20"/>
              </w:rPr>
            </w:pPr>
          </w:p>
        </w:tc>
        <w:tc>
          <w:tcPr>
            <w:tcW w:w="1414" w:type="dxa"/>
            <w:vMerge/>
            <w:tcBorders>
              <w:top w:val="single" w:sz="4" w:space="0" w:color="auto"/>
              <w:left w:val="single" w:sz="4" w:space="0" w:color="auto"/>
              <w:bottom w:val="single" w:sz="4" w:space="0" w:color="auto"/>
            </w:tcBorders>
            <w:vAlign w:val="center"/>
            <w:hideMark/>
          </w:tcPr>
          <w:p w14:paraId="67595338" w14:textId="77777777" w:rsidR="006054AA" w:rsidRDefault="006054AA">
            <w:pPr>
              <w:jc w:val="center"/>
              <w:rPr>
                <w:rFonts w:ascii="Arial Narrow" w:hAnsi="Arial Narrow"/>
                <w:b/>
                <w:noProof/>
                <w:sz w:val="20"/>
              </w:rPr>
            </w:pPr>
          </w:p>
        </w:tc>
        <w:tc>
          <w:tcPr>
            <w:tcW w:w="1410" w:type="dxa"/>
            <w:tcBorders>
              <w:top w:val="nil"/>
              <w:left w:val="single" w:sz="4" w:space="0" w:color="auto"/>
              <w:bottom w:val="single" w:sz="4" w:space="0" w:color="auto"/>
              <w:right w:val="single" w:sz="4" w:space="0" w:color="auto"/>
            </w:tcBorders>
            <w:shd w:val="clear" w:color="auto" w:fill="BDD7EE"/>
            <w:vAlign w:val="center"/>
            <w:hideMark/>
          </w:tcPr>
          <w:p w14:paraId="68DA76FA" w14:textId="77777777" w:rsidR="006054AA" w:rsidRDefault="001F7667">
            <w:pPr>
              <w:pStyle w:val="P68B1DB1-Normal9"/>
              <w:jc w:val="center"/>
              <w:rPr>
                <w:noProof/>
              </w:rPr>
            </w:pPr>
            <w:r>
              <w:rPr>
                <w:noProof/>
              </w:rPr>
              <w:t>Единица мярка</w:t>
            </w:r>
          </w:p>
        </w:tc>
        <w:tc>
          <w:tcPr>
            <w:tcW w:w="1047" w:type="dxa"/>
            <w:tcBorders>
              <w:top w:val="nil"/>
              <w:left w:val="nil"/>
              <w:bottom w:val="single" w:sz="4" w:space="0" w:color="auto"/>
              <w:right w:val="single" w:sz="4" w:space="0" w:color="auto"/>
            </w:tcBorders>
            <w:shd w:val="clear" w:color="auto" w:fill="BDD7EE"/>
            <w:vAlign w:val="center"/>
            <w:hideMark/>
          </w:tcPr>
          <w:p w14:paraId="20133F12" w14:textId="77777777" w:rsidR="006054AA" w:rsidRDefault="001F7667">
            <w:pPr>
              <w:pStyle w:val="P68B1DB1-Normal9"/>
              <w:jc w:val="center"/>
              <w:rPr>
                <w:noProof/>
              </w:rPr>
            </w:pPr>
            <w:r>
              <w:rPr>
                <w:noProof/>
              </w:rPr>
              <w:t>Базова линия</w:t>
            </w:r>
          </w:p>
        </w:tc>
        <w:tc>
          <w:tcPr>
            <w:tcW w:w="719" w:type="dxa"/>
            <w:tcBorders>
              <w:top w:val="nil"/>
              <w:left w:val="nil"/>
              <w:bottom w:val="single" w:sz="4" w:space="0" w:color="auto"/>
              <w:right w:val="single" w:sz="4" w:space="0" w:color="auto"/>
            </w:tcBorders>
            <w:shd w:val="clear" w:color="auto" w:fill="BDD7EE"/>
            <w:vAlign w:val="center"/>
            <w:hideMark/>
          </w:tcPr>
          <w:p w14:paraId="1D675EBF" w14:textId="77777777" w:rsidR="006054AA" w:rsidRDefault="001F7667">
            <w:pPr>
              <w:pStyle w:val="P68B1DB1-Normal9"/>
              <w:jc w:val="center"/>
              <w:rPr>
                <w:noProof/>
              </w:rPr>
            </w:pPr>
            <w:r>
              <w:rPr>
                <w:noProof/>
              </w:rPr>
              <w:t>Цел</w:t>
            </w:r>
          </w:p>
        </w:tc>
        <w:tc>
          <w:tcPr>
            <w:tcW w:w="809" w:type="dxa"/>
            <w:tcBorders>
              <w:top w:val="nil"/>
              <w:left w:val="nil"/>
              <w:bottom w:val="single" w:sz="4" w:space="0" w:color="auto"/>
              <w:right w:val="single" w:sz="4" w:space="0" w:color="auto"/>
            </w:tcBorders>
            <w:shd w:val="clear" w:color="auto" w:fill="BDD7EE"/>
            <w:vAlign w:val="center"/>
            <w:hideMark/>
          </w:tcPr>
          <w:p w14:paraId="21AA8A9F" w14:textId="77777777" w:rsidR="006054AA" w:rsidRDefault="001F7667">
            <w:pPr>
              <w:pStyle w:val="P68B1DB1-Normal9"/>
              <w:jc w:val="center"/>
              <w:rPr>
                <w:noProof/>
              </w:rPr>
            </w:pPr>
            <w:r>
              <w:rPr>
                <w:noProof/>
              </w:rPr>
              <w:t>Тримесечие</w:t>
            </w:r>
          </w:p>
        </w:tc>
        <w:tc>
          <w:tcPr>
            <w:tcW w:w="794" w:type="dxa"/>
            <w:tcBorders>
              <w:top w:val="nil"/>
              <w:left w:val="nil"/>
              <w:bottom w:val="single" w:sz="4" w:space="0" w:color="auto"/>
              <w:right w:val="single" w:sz="4" w:space="0" w:color="auto"/>
            </w:tcBorders>
            <w:shd w:val="clear" w:color="auto" w:fill="BDD7EE"/>
            <w:vAlign w:val="center"/>
            <w:hideMark/>
          </w:tcPr>
          <w:p w14:paraId="2694C94F" w14:textId="77777777" w:rsidR="006054AA" w:rsidRDefault="001F7667">
            <w:pPr>
              <w:pStyle w:val="P68B1DB1-Normal9"/>
              <w:jc w:val="center"/>
              <w:rPr>
                <w:noProof/>
              </w:rPr>
            </w:pPr>
            <w:r>
              <w:rPr>
                <w:noProof/>
              </w:rPr>
              <w:t>Година</w:t>
            </w:r>
          </w:p>
        </w:tc>
        <w:tc>
          <w:tcPr>
            <w:tcW w:w="2799" w:type="dxa"/>
            <w:vMerge/>
            <w:tcBorders>
              <w:top w:val="single" w:sz="4" w:space="0" w:color="auto"/>
              <w:bottom w:val="single" w:sz="4" w:space="0" w:color="auto"/>
              <w:right w:val="single" w:sz="4" w:space="0" w:color="auto"/>
            </w:tcBorders>
            <w:vAlign w:val="center"/>
            <w:hideMark/>
          </w:tcPr>
          <w:p w14:paraId="34FBA37B" w14:textId="77777777" w:rsidR="006054AA" w:rsidRDefault="006054AA">
            <w:pPr>
              <w:rPr>
                <w:rFonts w:ascii="Arial Narrow" w:hAnsi="Arial Narrow"/>
                <w:b/>
                <w:noProof/>
                <w:sz w:val="20"/>
              </w:rPr>
            </w:pPr>
          </w:p>
        </w:tc>
      </w:tr>
      <w:tr w:rsidR="006054AA" w14:paraId="382CAC5C" w14:textId="77777777">
        <w:trPr>
          <w:trHeight w:val="170"/>
          <w:jc w:val="center"/>
        </w:trPr>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8294894" w14:textId="77777777" w:rsidR="006054AA" w:rsidRDefault="001F7667">
            <w:pPr>
              <w:pStyle w:val="P68B1DB1-Normal11"/>
              <w:spacing w:line="276" w:lineRule="auto"/>
              <w:jc w:val="center"/>
              <w:rPr>
                <w:noProof/>
              </w:rPr>
            </w:pPr>
            <w:r>
              <w:rPr>
                <w:noProof/>
              </w:rPr>
              <w:t>M2C4—1</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2D2166F" w14:textId="77777777" w:rsidR="006054AA" w:rsidRDefault="001F7667">
            <w:pPr>
              <w:pStyle w:val="P68B1DB1-Normal11"/>
              <w:spacing w:line="276" w:lineRule="auto"/>
              <w:jc w:val="center"/>
              <w:rPr>
                <w:noProof/>
              </w:rPr>
            </w:pPr>
            <w:r>
              <w:rPr>
                <w:noProof/>
              </w:rPr>
              <w:t>Реформа 2.1. Опростяване и ускоряване на процедурите за изпълнение на интервенции срещу хидрогеоложката нестабилност</w:t>
            </w:r>
          </w:p>
        </w:tc>
        <w:tc>
          <w:tcPr>
            <w:tcW w:w="1266" w:type="dxa"/>
            <w:tcBorders>
              <w:top w:val="single" w:sz="4" w:space="0" w:color="auto"/>
              <w:left w:val="nil"/>
              <w:bottom w:val="single" w:sz="4" w:space="0" w:color="auto"/>
              <w:right w:val="single" w:sz="4" w:space="0" w:color="auto"/>
            </w:tcBorders>
            <w:shd w:val="clear" w:color="auto" w:fill="C6EFCE"/>
            <w:noWrap/>
            <w:vAlign w:val="center"/>
            <w:hideMark/>
          </w:tcPr>
          <w:p w14:paraId="50B34A6F" w14:textId="77777777" w:rsidR="006054AA" w:rsidRDefault="001F7667">
            <w:pPr>
              <w:pStyle w:val="P68B1DB1-Normal11"/>
              <w:spacing w:line="276" w:lineRule="auto"/>
              <w:jc w:val="center"/>
              <w:rPr>
                <w:noProof/>
              </w:rPr>
            </w:pPr>
            <w:r>
              <w:rPr>
                <w:noProof/>
              </w:rPr>
              <w:t>Ключов етап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093B6151" w14:textId="77777777" w:rsidR="006054AA" w:rsidRDefault="001F7667">
            <w:pPr>
              <w:pStyle w:val="P68B1DB1-Normal11"/>
              <w:spacing w:line="276" w:lineRule="auto"/>
              <w:jc w:val="center"/>
              <w:rPr>
                <w:noProof/>
              </w:rPr>
            </w:pPr>
            <w:r>
              <w:rPr>
                <w:noProof/>
              </w:rPr>
              <w:t>Влизане в сила на опростяването на правната рамка за по-добро управление на хидроложките рискове</w:t>
            </w:r>
          </w:p>
        </w:tc>
        <w:tc>
          <w:tcPr>
            <w:tcW w:w="1414" w:type="dxa"/>
            <w:tcBorders>
              <w:top w:val="single" w:sz="4" w:space="0" w:color="auto"/>
              <w:left w:val="nil"/>
              <w:bottom w:val="single" w:sz="4" w:space="0" w:color="auto"/>
              <w:right w:val="single" w:sz="4" w:space="0" w:color="auto"/>
            </w:tcBorders>
            <w:shd w:val="clear" w:color="auto" w:fill="C6EFCE"/>
            <w:noWrap/>
            <w:vAlign w:val="center"/>
            <w:hideMark/>
          </w:tcPr>
          <w:p w14:paraId="46111480" w14:textId="77777777" w:rsidR="006054AA" w:rsidRDefault="001F7667">
            <w:pPr>
              <w:pStyle w:val="P68B1DB1-Normal11"/>
              <w:spacing w:line="276" w:lineRule="auto"/>
              <w:jc w:val="center"/>
              <w:rPr>
                <w:noProof/>
              </w:rPr>
            </w:pPr>
            <w:r>
              <w:rPr>
                <w:noProof/>
              </w:rPr>
              <w:t>Разпоредба в съответния (те) правен (ни) акт (и), указваща (и) влизането в сила</w:t>
            </w:r>
          </w:p>
        </w:tc>
        <w:tc>
          <w:tcPr>
            <w:tcW w:w="1410" w:type="dxa"/>
            <w:tcBorders>
              <w:top w:val="nil"/>
              <w:left w:val="nil"/>
              <w:bottom w:val="single" w:sz="4" w:space="0" w:color="auto"/>
              <w:right w:val="single" w:sz="4" w:space="0" w:color="auto"/>
            </w:tcBorders>
            <w:shd w:val="clear" w:color="auto" w:fill="C6EFCE"/>
            <w:noWrap/>
            <w:vAlign w:val="center"/>
            <w:hideMark/>
          </w:tcPr>
          <w:p w14:paraId="184C558F" w14:textId="77777777" w:rsidR="006054AA" w:rsidRDefault="001F7667">
            <w:pPr>
              <w:pStyle w:val="P68B1DB1-Normal11"/>
              <w:spacing w:line="276" w:lineRule="auto"/>
              <w:jc w:val="center"/>
              <w:rPr>
                <w:noProof/>
              </w:rPr>
            </w:pPr>
            <w:r>
              <w:rPr>
                <w:noProof/>
              </w:rPr>
              <w:t>НЯМА</w:t>
            </w:r>
          </w:p>
        </w:tc>
        <w:tc>
          <w:tcPr>
            <w:tcW w:w="1047" w:type="dxa"/>
            <w:tcBorders>
              <w:top w:val="nil"/>
              <w:left w:val="nil"/>
              <w:bottom w:val="single" w:sz="4" w:space="0" w:color="auto"/>
              <w:right w:val="single" w:sz="4" w:space="0" w:color="auto"/>
            </w:tcBorders>
            <w:shd w:val="clear" w:color="auto" w:fill="C6EFCE"/>
            <w:noWrap/>
            <w:vAlign w:val="center"/>
            <w:hideMark/>
          </w:tcPr>
          <w:p w14:paraId="437B075F" w14:textId="77777777" w:rsidR="006054AA" w:rsidRDefault="001F7667">
            <w:pPr>
              <w:pStyle w:val="P68B1DB1-Normal11"/>
              <w:spacing w:line="276" w:lineRule="auto"/>
              <w:jc w:val="center"/>
              <w:rPr>
                <w:noProof/>
              </w:rPr>
            </w:pPr>
            <w:r>
              <w:rPr>
                <w:noProof/>
              </w:rPr>
              <w:t>НЯМА</w:t>
            </w:r>
          </w:p>
        </w:tc>
        <w:tc>
          <w:tcPr>
            <w:tcW w:w="719" w:type="dxa"/>
            <w:tcBorders>
              <w:top w:val="nil"/>
              <w:left w:val="nil"/>
              <w:bottom w:val="single" w:sz="4" w:space="0" w:color="auto"/>
              <w:right w:val="single" w:sz="4" w:space="0" w:color="auto"/>
            </w:tcBorders>
            <w:shd w:val="clear" w:color="auto" w:fill="C6EFCE"/>
            <w:noWrap/>
            <w:vAlign w:val="center"/>
            <w:hideMark/>
          </w:tcPr>
          <w:p w14:paraId="61D698BB" w14:textId="77777777" w:rsidR="006054AA" w:rsidRDefault="001F7667">
            <w:pPr>
              <w:pStyle w:val="P68B1DB1-Normal11"/>
              <w:spacing w:line="276" w:lineRule="auto"/>
              <w:jc w:val="center"/>
              <w:rPr>
                <w:noProof/>
              </w:rPr>
            </w:pPr>
            <w:r>
              <w:rPr>
                <w:noProof/>
              </w:rPr>
              <w:t>НЯМА</w:t>
            </w:r>
          </w:p>
        </w:tc>
        <w:tc>
          <w:tcPr>
            <w:tcW w:w="809" w:type="dxa"/>
            <w:tcBorders>
              <w:top w:val="nil"/>
              <w:left w:val="nil"/>
              <w:bottom w:val="single" w:sz="4" w:space="0" w:color="auto"/>
              <w:right w:val="single" w:sz="4" w:space="0" w:color="auto"/>
            </w:tcBorders>
            <w:shd w:val="clear" w:color="auto" w:fill="C6EFCE"/>
            <w:noWrap/>
            <w:vAlign w:val="center"/>
            <w:hideMark/>
          </w:tcPr>
          <w:p w14:paraId="00AE3A3E" w14:textId="77777777" w:rsidR="006054AA" w:rsidRDefault="001F7667">
            <w:pPr>
              <w:pStyle w:val="P68B1DB1-Normal11"/>
              <w:spacing w:line="276" w:lineRule="auto"/>
              <w:jc w:val="center"/>
              <w:rPr>
                <w:noProof/>
              </w:rPr>
            </w:pPr>
            <w:r>
              <w:rPr>
                <w:noProof/>
              </w:rPr>
              <w:t>Т2 Г.</w:t>
            </w:r>
          </w:p>
        </w:tc>
        <w:tc>
          <w:tcPr>
            <w:tcW w:w="794" w:type="dxa"/>
            <w:tcBorders>
              <w:top w:val="nil"/>
              <w:left w:val="nil"/>
              <w:bottom w:val="single" w:sz="4" w:space="0" w:color="auto"/>
              <w:right w:val="single" w:sz="4" w:space="0" w:color="auto"/>
            </w:tcBorders>
            <w:shd w:val="clear" w:color="auto" w:fill="C6EFCE"/>
            <w:noWrap/>
            <w:vAlign w:val="center"/>
            <w:hideMark/>
          </w:tcPr>
          <w:p w14:paraId="36FD1D1D" w14:textId="77777777" w:rsidR="006054AA" w:rsidRDefault="001F7667">
            <w:pPr>
              <w:pStyle w:val="P68B1DB1-Normal11"/>
              <w:spacing w:line="276" w:lineRule="auto"/>
              <w:jc w:val="center"/>
              <w:rPr>
                <w:noProof/>
              </w:rPr>
            </w:pPr>
            <w:r>
              <w:rPr>
                <w:noProof/>
              </w:rPr>
              <w:t>2022</w:t>
            </w:r>
          </w:p>
        </w:tc>
        <w:tc>
          <w:tcPr>
            <w:tcW w:w="2799" w:type="dxa"/>
            <w:tcBorders>
              <w:top w:val="single" w:sz="4" w:space="0" w:color="auto"/>
              <w:left w:val="nil"/>
              <w:bottom w:val="single" w:sz="4" w:space="0" w:color="auto"/>
              <w:right w:val="single" w:sz="4" w:space="0" w:color="auto"/>
            </w:tcBorders>
            <w:shd w:val="clear" w:color="auto" w:fill="C6EFCE"/>
            <w:noWrap/>
            <w:vAlign w:val="center"/>
          </w:tcPr>
          <w:p w14:paraId="29788B35" w14:textId="77777777" w:rsidR="006054AA" w:rsidRDefault="001F7667">
            <w:pPr>
              <w:pStyle w:val="P68B1DB1-Normal11"/>
              <w:spacing w:line="276" w:lineRule="auto"/>
              <w:rPr>
                <w:noProof/>
              </w:rPr>
            </w:pPr>
            <w:r>
              <w:rPr>
                <w:noProof/>
              </w:rPr>
              <w:t>Новата правна рамка (като минимум),</w:t>
            </w:r>
          </w:p>
          <w:p w14:paraId="10812B4D" w14:textId="77777777" w:rsidR="006054AA" w:rsidRDefault="006054AA">
            <w:pPr>
              <w:spacing w:line="276" w:lineRule="auto"/>
              <w:rPr>
                <w:rFonts w:ascii="Arial Narrow" w:hAnsi="Arial Narrow"/>
                <w:noProof/>
                <w:color w:val="006100"/>
                <w:sz w:val="20"/>
              </w:rPr>
            </w:pPr>
          </w:p>
          <w:p w14:paraId="4666E18B" w14:textId="77777777" w:rsidR="006054AA" w:rsidRDefault="001F7667">
            <w:pPr>
              <w:pStyle w:val="P68B1DB1-ListParagraph13"/>
              <w:spacing w:after="0" w:line="276" w:lineRule="auto"/>
              <w:ind w:left="0"/>
              <w:jc w:val="left"/>
              <w:rPr>
                <w:noProof/>
              </w:rPr>
            </w:pPr>
            <w:r>
              <w:rPr>
                <w:noProof/>
              </w:rPr>
              <w:t>Приоритизиране на превантивните интервенции в съответствие с националната оценка на риска и с член 6 от Решение 1313/2013 ЕС и оценката на способностите за управление на риска и принципа за ненанасяне на значителни вреди;</w:t>
            </w:r>
          </w:p>
          <w:p w14:paraId="73E770A7" w14:textId="77777777" w:rsidR="006054AA" w:rsidRDefault="006054AA">
            <w:pPr>
              <w:spacing w:line="276" w:lineRule="auto"/>
              <w:rPr>
                <w:rFonts w:ascii="Arial Narrow" w:hAnsi="Arial Narrow"/>
                <w:noProof/>
                <w:color w:val="006100"/>
                <w:sz w:val="20"/>
              </w:rPr>
            </w:pPr>
          </w:p>
          <w:p w14:paraId="10D9AABC" w14:textId="77777777" w:rsidR="006054AA" w:rsidRDefault="001F7667">
            <w:pPr>
              <w:pStyle w:val="P68B1DB1-ListParagraph13"/>
              <w:numPr>
                <w:ilvl w:val="0"/>
                <w:numId w:val="69"/>
              </w:numPr>
              <w:spacing w:after="0" w:line="276" w:lineRule="auto"/>
              <w:ind w:left="0"/>
              <w:jc w:val="left"/>
              <w:rPr>
                <w:noProof/>
              </w:rPr>
            </w:pPr>
            <w:r>
              <w:rPr>
                <w:noProof/>
              </w:rPr>
              <w:t>Ускоряване на процедурите за разработване на проекти и определяне на общи принципи за опростяване на изпълнението и финансирането на проектите и проектите, свързани с хидроложкия риск;</w:t>
            </w:r>
          </w:p>
          <w:p w14:paraId="0977AFB7" w14:textId="77777777" w:rsidR="006054AA" w:rsidRDefault="006054AA">
            <w:pPr>
              <w:spacing w:line="276" w:lineRule="auto"/>
              <w:rPr>
                <w:rFonts w:ascii="Arial Narrow" w:hAnsi="Arial Narrow"/>
                <w:noProof/>
                <w:color w:val="006100"/>
                <w:sz w:val="20"/>
              </w:rPr>
            </w:pPr>
          </w:p>
          <w:p w14:paraId="4F9CA28C" w14:textId="1E91BC12" w:rsidR="006054AA" w:rsidRDefault="001F7667">
            <w:pPr>
              <w:pStyle w:val="P68B1DB1-ListParagraph13"/>
              <w:numPr>
                <w:ilvl w:val="0"/>
                <w:numId w:val="69"/>
              </w:numPr>
              <w:spacing w:after="0" w:line="276" w:lineRule="auto"/>
              <w:ind w:left="0"/>
              <w:jc w:val="left"/>
              <w:rPr>
                <w:noProof/>
              </w:rPr>
            </w:pPr>
            <w:r>
              <w:rPr>
                <w:noProof/>
              </w:rPr>
              <w:t>Хармонизиране и рационализиране на информационните потоци, за да се намали дублирането при докладването между различните информационни системи на държавата и да се разработи система от показатели за по-добро идентифициране на хидроложките рискове в съответствие с препоръките на италианската сметна палата.</w:t>
            </w:r>
          </w:p>
          <w:p w14:paraId="79B285FA" w14:textId="77777777" w:rsidR="006054AA" w:rsidRDefault="001F7667">
            <w:pPr>
              <w:pStyle w:val="P68B1DB1-ListParagraph13"/>
              <w:numPr>
                <w:ilvl w:val="0"/>
                <w:numId w:val="69"/>
              </w:numPr>
              <w:spacing w:after="0" w:line="276" w:lineRule="auto"/>
              <w:ind w:left="0"/>
              <w:jc w:val="left"/>
              <w:rPr>
                <w:noProof/>
              </w:rPr>
            </w:pPr>
            <w:r>
              <w:rPr>
                <w:noProof/>
              </w:rPr>
              <w:t>Да засили координацията на интервенциите между различните равнища на управление в съответствие с препоръките на Италианската сметна палата;</w:t>
            </w:r>
          </w:p>
          <w:p w14:paraId="50CABDFB" w14:textId="77777777" w:rsidR="006054AA" w:rsidRDefault="006054AA">
            <w:pPr>
              <w:spacing w:line="276" w:lineRule="auto"/>
              <w:rPr>
                <w:rFonts w:ascii="Arial Narrow" w:hAnsi="Arial Narrow"/>
                <w:noProof/>
                <w:color w:val="006100"/>
                <w:sz w:val="20"/>
              </w:rPr>
            </w:pPr>
          </w:p>
          <w:p w14:paraId="0CE73142" w14:textId="77777777" w:rsidR="006054AA" w:rsidRDefault="001F7667">
            <w:pPr>
              <w:pStyle w:val="P68B1DB1-ListParagraph13"/>
              <w:numPr>
                <w:ilvl w:val="0"/>
                <w:numId w:val="69"/>
              </w:numPr>
              <w:spacing w:after="0" w:line="276" w:lineRule="auto"/>
              <w:ind w:left="0"/>
              <w:jc w:val="left"/>
              <w:rPr>
                <w:noProof/>
              </w:rPr>
            </w:pPr>
            <w:r>
              <w:rPr>
                <w:noProof/>
              </w:rPr>
              <w:t>Създаване на съвместни бази данни за инциденти („dissesto“) в съответствие с препоръките на Италианската сметна палата;</w:t>
            </w:r>
          </w:p>
          <w:p w14:paraId="1C597A1C" w14:textId="77777777" w:rsidR="006054AA" w:rsidRDefault="006054AA">
            <w:pPr>
              <w:spacing w:line="276" w:lineRule="auto"/>
              <w:rPr>
                <w:rFonts w:ascii="Arial Narrow" w:hAnsi="Arial Narrow"/>
                <w:noProof/>
                <w:color w:val="006100"/>
                <w:sz w:val="20"/>
              </w:rPr>
            </w:pPr>
          </w:p>
          <w:p w14:paraId="2FAE4270" w14:textId="77777777" w:rsidR="006054AA" w:rsidRDefault="001F7667">
            <w:pPr>
              <w:pStyle w:val="P68B1DB1-ListParagraph13"/>
              <w:numPr>
                <w:ilvl w:val="0"/>
                <w:numId w:val="69"/>
              </w:numPr>
              <w:spacing w:after="0" w:line="276" w:lineRule="auto"/>
              <w:ind w:left="0"/>
              <w:jc w:val="left"/>
              <w:rPr>
                <w:noProof/>
              </w:rPr>
            </w:pPr>
            <w:r>
              <w:rPr>
                <w:noProof/>
              </w:rPr>
              <w:t>Определяне на максимални срокове за всяка фаза.</w:t>
            </w:r>
          </w:p>
          <w:p w14:paraId="4B379A5A" w14:textId="77777777" w:rsidR="006054AA" w:rsidRDefault="006054AA">
            <w:pPr>
              <w:spacing w:line="276" w:lineRule="auto"/>
              <w:rPr>
                <w:rFonts w:ascii="Arial Narrow" w:hAnsi="Arial Narrow"/>
                <w:noProof/>
                <w:color w:val="006100"/>
                <w:sz w:val="20"/>
              </w:rPr>
            </w:pPr>
          </w:p>
          <w:p w14:paraId="2F295C77" w14:textId="77777777" w:rsidR="006054AA" w:rsidRDefault="001F7667">
            <w:pPr>
              <w:pStyle w:val="P68B1DB1-ListParagraph13"/>
              <w:numPr>
                <w:ilvl w:val="0"/>
                <w:numId w:val="69"/>
              </w:numPr>
              <w:spacing w:after="0" w:line="276" w:lineRule="auto"/>
              <w:ind w:left="0"/>
              <w:jc w:val="left"/>
              <w:rPr>
                <w:noProof/>
              </w:rPr>
            </w:pPr>
            <w:r>
              <w:rPr>
                <w:noProof/>
              </w:rPr>
              <w:t>Изготвяне на план за укрепване на капацитета на съответните субекти.</w:t>
            </w:r>
          </w:p>
          <w:p w14:paraId="60CD1F0A" w14:textId="77777777" w:rsidR="006054AA" w:rsidRDefault="006054AA">
            <w:pPr>
              <w:spacing w:line="276" w:lineRule="auto"/>
              <w:rPr>
                <w:rFonts w:ascii="Arial Narrow" w:hAnsi="Arial Narrow"/>
                <w:noProof/>
                <w:color w:val="006100"/>
                <w:sz w:val="20"/>
              </w:rPr>
            </w:pPr>
          </w:p>
        </w:tc>
      </w:tr>
      <w:tr w:rsidR="006054AA" w14:paraId="722284F8"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24DD0437" w14:textId="77777777" w:rsidR="006054AA" w:rsidRDefault="001F7667">
            <w:pPr>
              <w:pStyle w:val="P68B1DB1-Normal11"/>
              <w:spacing w:line="276" w:lineRule="auto"/>
              <w:jc w:val="center"/>
              <w:rPr>
                <w:noProof/>
              </w:rPr>
            </w:pPr>
            <w:r>
              <w:rPr>
                <w:noProof/>
              </w:rPr>
              <w:t>M2C4—2</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DF76DB3" w14:textId="77777777" w:rsidR="006054AA" w:rsidRDefault="001F7667">
            <w:pPr>
              <w:pStyle w:val="P68B1DB1-Normal11"/>
              <w:spacing w:line="276" w:lineRule="auto"/>
              <w:jc w:val="center"/>
              <w:rPr>
                <w:noProof/>
              </w:rPr>
            </w:pPr>
            <w:r>
              <w:rPr>
                <w:noProof/>
              </w:rPr>
              <w:t>Реформа 4.2 „Мерки за осигуряване на пълен управленски капацитет за интегрирани водни услуги“</w:t>
            </w:r>
          </w:p>
        </w:tc>
        <w:tc>
          <w:tcPr>
            <w:tcW w:w="1266" w:type="dxa"/>
            <w:tcBorders>
              <w:top w:val="nil"/>
              <w:left w:val="nil"/>
              <w:bottom w:val="single" w:sz="4" w:space="0" w:color="auto"/>
              <w:right w:val="single" w:sz="4" w:space="0" w:color="auto"/>
            </w:tcBorders>
            <w:shd w:val="clear" w:color="auto" w:fill="C6EFCE"/>
            <w:noWrap/>
            <w:vAlign w:val="center"/>
            <w:hideMark/>
          </w:tcPr>
          <w:p w14:paraId="28383CF4" w14:textId="77777777" w:rsidR="006054AA" w:rsidRDefault="001F7667">
            <w:pPr>
              <w:pStyle w:val="P68B1DB1-Normal11"/>
              <w:spacing w:line="276" w:lineRule="auto"/>
              <w:jc w:val="center"/>
              <w:rPr>
                <w:noProof/>
              </w:rPr>
            </w:pPr>
            <w:r>
              <w:rPr>
                <w:noProof/>
              </w:rPr>
              <w:t>Ключов етап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297F1531" w14:textId="59933DEE" w:rsidR="006054AA" w:rsidRDefault="001F7667">
            <w:pPr>
              <w:pStyle w:val="P68B1DB1-Normal11"/>
              <w:spacing w:line="276" w:lineRule="auto"/>
              <w:jc w:val="center"/>
              <w:rPr>
                <w:noProof/>
              </w:rPr>
            </w:pPr>
            <w:r>
              <w:rPr>
                <w:noProof/>
              </w:rPr>
              <w:t>Влизане в сила на реформата за осигуряване на пълен управленски капацитет за интегрирани водни услуги</w:t>
            </w:r>
          </w:p>
        </w:tc>
        <w:tc>
          <w:tcPr>
            <w:tcW w:w="1414" w:type="dxa"/>
            <w:tcBorders>
              <w:top w:val="nil"/>
              <w:left w:val="nil"/>
              <w:bottom w:val="single" w:sz="4" w:space="0" w:color="auto"/>
              <w:right w:val="single" w:sz="4" w:space="0" w:color="auto"/>
            </w:tcBorders>
            <w:shd w:val="clear" w:color="auto" w:fill="C6EFCE"/>
            <w:noWrap/>
            <w:vAlign w:val="center"/>
            <w:hideMark/>
          </w:tcPr>
          <w:p w14:paraId="0B5CC0CF" w14:textId="77777777" w:rsidR="006054AA" w:rsidRDefault="001F7667">
            <w:pPr>
              <w:pStyle w:val="P68B1DB1-Normal11"/>
              <w:spacing w:line="276" w:lineRule="auto"/>
              <w:jc w:val="center"/>
              <w:rPr>
                <w:noProof/>
              </w:rPr>
            </w:pPr>
            <w:r>
              <w:rPr>
                <w:noProof/>
              </w:rPr>
              <w:t>Разпоредба в съответния (те) правен (ни) акт (и), указваща (и) влизането в сила</w:t>
            </w:r>
          </w:p>
        </w:tc>
        <w:tc>
          <w:tcPr>
            <w:tcW w:w="1410" w:type="dxa"/>
            <w:tcBorders>
              <w:top w:val="nil"/>
              <w:left w:val="nil"/>
              <w:bottom w:val="single" w:sz="4" w:space="0" w:color="auto"/>
              <w:right w:val="single" w:sz="4" w:space="0" w:color="auto"/>
            </w:tcBorders>
            <w:shd w:val="clear" w:color="auto" w:fill="C6EFCE"/>
            <w:noWrap/>
            <w:vAlign w:val="center"/>
            <w:hideMark/>
          </w:tcPr>
          <w:p w14:paraId="005D8E09" w14:textId="77777777" w:rsidR="006054AA" w:rsidRDefault="001F7667">
            <w:pPr>
              <w:pStyle w:val="P68B1DB1-Normal11"/>
              <w:spacing w:line="276" w:lineRule="auto"/>
              <w:jc w:val="center"/>
              <w:rPr>
                <w:noProof/>
              </w:rPr>
            </w:pPr>
            <w:r>
              <w:rPr>
                <w:noProof/>
              </w:rPr>
              <w:t>НЯМА</w:t>
            </w:r>
          </w:p>
        </w:tc>
        <w:tc>
          <w:tcPr>
            <w:tcW w:w="1047" w:type="dxa"/>
            <w:tcBorders>
              <w:top w:val="nil"/>
              <w:left w:val="nil"/>
              <w:bottom w:val="single" w:sz="4" w:space="0" w:color="auto"/>
              <w:right w:val="single" w:sz="4" w:space="0" w:color="auto"/>
            </w:tcBorders>
            <w:shd w:val="clear" w:color="auto" w:fill="C6EFCE"/>
            <w:noWrap/>
            <w:vAlign w:val="center"/>
            <w:hideMark/>
          </w:tcPr>
          <w:p w14:paraId="201E91AA" w14:textId="77777777" w:rsidR="006054AA" w:rsidRDefault="001F7667">
            <w:pPr>
              <w:pStyle w:val="P68B1DB1-Normal11"/>
              <w:spacing w:line="276" w:lineRule="auto"/>
              <w:jc w:val="center"/>
              <w:rPr>
                <w:noProof/>
              </w:rPr>
            </w:pPr>
            <w:r>
              <w:rPr>
                <w:noProof/>
              </w:rPr>
              <w:t>НЯМА</w:t>
            </w:r>
          </w:p>
        </w:tc>
        <w:tc>
          <w:tcPr>
            <w:tcW w:w="719" w:type="dxa"/>
            <w:tcBorders>
              <w:top w:val="nil"/>
              <w:left w:val="nil"/>
              <w:bottom w:val="single" w:sz="4" w:space="0" w:color="auto"/>
              <w:right w:val="single" w:sz="4" w:space="0" w:color="auto"/>
            </w:tcBorders>
            <w:shd w:val="clear" w:color="auto" w:fill="C6EFCE"/>
            <w:noWrap/>
            <w:vAlign w:val="center"/>
            <w:hideMark/>
          </w:tcPr>
          <w:p w14:paraId="4FC6E88C" w14:textId="77777777" w:rsidR="006054AA" w:rsidRDefault="001F7667">
            <w:pPr>
              <w:pStyle w:val="P68B1DB1-Normal11"/>
              <w:spacing w:line="276" w:lineRule="auto"/>
              <w:jc w:val="center"/>
              <w:rPr>
                <w:noProof/>
              </w:rPr>
            </w:pPr>
            <w:r>
              <w:rPr>
                <w:noProof/>
              </w:rPr>
              <w:t>НЯМА</w:t>
            </w:r>
          </w:p>
        </w:tc>
        <w:tc>
          <w:tcPr>
            <w:tcW w:w="809" w:type="dxa"/>
            <w:tcBorders>
              <w:top w:val="nil"/>
              <w:left w:val="nil"/>
              <w:bottom w:val="single" w:sz="4" w:space="0" w:color="auto"/>
              <w:right w:val="single" w:sz="4" w:space="0" w:color="auto"/>
            </w:tcBorders>
            <w:shd w:val="clear" w:color="auto" w:fill="C6EFCE"/>
            <w:noWrap/>
            <w:vAlign w:val="center"/>
            <w:hideMark/>
          </w:tcPr>
          <w:p w14:paraId="1CD41728" w14:textId="77777777" w:rsidR="006054AA" w:rsidRDefault="001F7667">
            <w:pPr>
              <w:pStyle w:val="P68B1DB1-Normal11"/>
              <w:spacing w:line="276" w:lineRule="auto"/>
              <w:jc w:val="center"/>
              <w:rPr>
                <w:noProof/>
              </w:rPr>
            </w:pPr>
            <w:r>
              <w:rPr>
                <w:noProof/>
              </w:rPr>
              <w:t>Т3 Г.</w:t>
            </w:r>
          </w:p>
        </w:tc>
        <w:tc>
          <w:tcPr>
            <w:tcW w:w="794" w:type="dxa"/>
            <w:tcBorders>
              <w:top w:val="nil"/>
              <w:left w:val="nil"/>
              <w:bottom w:val="single" w:sz="4" w:space="0" w:color="auto"/>
              <w:right w:val="single" w:sz="4" w:space="0" w:color="auto"/>
            </w:tcBorders>
            <w:shd w:val="clear" w:color="auto" w:fill="C6EFCE"/>
            <w:noWrap/>
            <w:vAlign w:val="center"/>
            <w:hideMark/>
          </w:tcPr>
          <w:p w14:paraId="0F891A46" w14:textId="77777777" w:rsidR="006054AA" w:rsidRDefault="001F7667">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19C1A083" w14:textId="77777777" w:rsidR="006054AA" w:rsidRDefault="001F7667">
            <w:pPr>
              <w:pStyle w:val="P68B1DB1-Normal11"/>
              <w:spacing w:line="276" w:lineRule="auto"/>
              <w:rPr>
                <w:noProof/>
              </w:rPr>
            </w:pPr>
            <w:r>
              <w:rPr>
                <w:noProof/>
              </w:rPr>
              <w:t>Общият закон/наредби за водните услуги за устойчивото им използване и стимулира инвестициите във водна инфраструктура, които най-малко:</w:t>
            </w:r>
          </w:p>
          <w:p w14:paraId="34377418" w14:textId="77777777" w:rsidR="006054AA" w:rsidRDefault="006054AA">
            <w:pPr>
              <w:spacing w:line="276" w:lineRule="auto"/>
              <w:rPr>
                <w:rFonts w:ascii="Arial Narrow" w:hAnsi="Arial Narrow"/>
                <w:noProof/>
                <w:color w:val="006100"/>
                <w:sz w:val="20"/>
              </w:rPr>
            </w:pPr>
          </w:p>
          <w:p w14:paraId="4E6D8087" w14:textId="77777777" w:rsidR="006054AA" w:rsidRDefault="001F7667">
            <w:pPr>
              <w:pStyle w:val="P68B1DB1-ListParagraph13"/>
              <w:numPr>
                <w:ilvl w:val="0"/>
                <w:numId w:val="69"/>
              </w:numPr>
              <w:spacing w:after="0" w:line="276" w:lineRule="auto"/>
              <w:ind w:left="0"/>
              <w:jc w:val="left"/>
              <w:rPr>
                <w:noProof/>
              </w:rPr>
            </w:pPr>
            <w:r>
              <w:rPr>
                <w:noProof/>
              </w:rPr>
              <w:t>Намаляване на разпокъсаността на субектите чрез правила и механизми за агрегиране, за да се стимулират понастоящем автономните управляващи оператори да бъдат интегрирани в уникалния оператор за целия Ambito Territoriale Ottimale;</w:t>
            </w:r>
          </w:p>
          <w:p w14:paraId="59E8A3A4" w14:textId="77777777" w:rsidR="006054AA" w:rsidRDefault="006054AA">
            <w:pPr>
              <w:pStyle w:val="ListParagraph"/>
              <w:spacing w:after="0" w:line="276" w:lineRule="auto"/>
              <w:ind w:left="0"/>
              <w:jc w:val="left"/>
              <w:rPr>
                <w:rFonts w:ascii="Arial Narrow" w:hAnsi="Arial Narrow"/>
                <w:noProof/>
                <w:color w:val="006100"/>
                <w:sz w:val="20"/>
              </w:rPr>
            </w:pPr>
          </w:p>
          <w:p w14:paraId="4CDABA4C" w14:textId="77777777" w:rsidR="006054AA" w:rsidRDefault="001F7667">
            <w:pPr>
              <w:pStyle w:val="P68B1DB1-ListParagraph13"/>
              <w:numPr>
                <w:ilvl w:val="0"/>
                <w:numId w:val="69"/>
              </w:numPr>
              <w:spacing w:after="0" w:line="276" w:lineRule="auto"/>
              <w:ind w:left="0"/>
              <w:jc w:val="left"/>
              <w:rPr>
                <w:noProof/>
              </w:rPr>
            </w:pPr>
            <w:r>
              <w:rPr>
                <w:noProof/>
              </w:rPr>
              <w:t>Осигуряване на стимули за устойчиво използване на водите в селското стопанство, по-специално в подкрепа на използването на общата система за мониторинг на водоползването (SIGRIAN) за колективни и самоснабдителни напоителни цели;</w:t>
            </w:r>
          </w:p>
          <w:p w14:paraId="7E29C8C7" w14:textId="77777777" w:rsidR="006054AA" w:rsidRDefault="006054AA">
            <w:pPr>
              <w:spacing w:line="276" w:lineRule="auto"/>
              <w:rPr>
                <w:rFonts w:ascii="Arial Narrow" w:hAnsi="Arial Narrow"/>
                <w:noProof/>
                <w:color w:val="006100"/>
                <w:sz w:val="20"/>
              </w:rPr>
            </w:pPr>
          </w:p>
          <w:p w14:paraId="24086BF6" w14:textId="77777777" w:rsidR="006054AA" w:rsidRDefault="001F7667">
            <w:pPr>
              <w:pStyle w:val="P68B1DB1-ListParagraph13"/>
              <w:numPr>
                <w:ilvl w:val="0"/>
                <w:numId w:val="69"/>
              </w:numPr>
              <w:spacing w:after="0" w:line="276" w:lineRule="auto"/>
              <w:ind w:left="0"/>
              <w:jc w:val="left"/>
              <w:rPr>
                <w:noProof/>
              </w:rPr>
            </w:pPr>
            <w:r>
              <w:rPr>
                <w:noProof/>
              </w:rPr>
              <w:t>Създаване на система от регулирани цени, която адекватно отчита използването на екологичните ресурси и замърсяването в съответствие с принципа „замърсителят плаща“</w:t>
            </w:r>
          </w:p>
        </w:tc>
      </w:tr>
      <w:tr w:rsidR="006054AA" w14:paraId="5AC2D420"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31541EAC" w14:textId="77777777" w:rsidR="006054AA" w:rsidRDefault="001F7667">
            <w:pPr>
              <w:pStyle w:val="P68B1DB1-Normal11"/>
              <w:spacing w:line="276" w:lineRule="auto"/>
              <w:jc w:val="center"/>
              <w:rPr>
                <w:noProof/>
              </w:rPr>
            </w:pPr>
            <w:r>
              <w:rPr>
                <w:noProof/>
              </w:rPr>
              <w:t>M2C4—3</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3297AA3" w14:textId="77777777" w:rsidR="006054AA" w:rsidRDefault="001F7667">
            <w:pPr>
              <w:pStyle w:val="P68B1DB1-Normal11"/>
              <w:spacing w:line="276" w:lineRule="auto"/>
              <w:jc w:val="center"/>
              <w:rPr>
                <w:noProof/>
              </w:rPr>
            </w:pPr>
            <w:r>
              <w:rPr>
                <w:noProof/>
              </w:rPr>
              <w:t>Реформа 4.2 „Мерки за осигуряване на пълен управленски капацитет за интегрирани водни услуги“</w:t>
            </w:r>
          </w:p>
        </w:tc>
        <w:tc>
          <w:tcPr>
            <w:tcW w:w="1266" w:type="dxa"/>
            <w:tcBorders>
              <w:top w:val="nil"/>
              <w:left w:val="nil"/>
              <w:bottom w:val="single" w:sz="4" w:space="0" w:color="auto"/>
              <w:right w:val="single" w:sz="4" w:space="0" w:color="auto"/>
            </w:tcBorders>
            <w:shd w:val="clear" w:color="auto" w:fill="C6EFCE"/>
            <w:noWrap/>
            <w:vAlign w:val="center"/>
            <w:hideMark/>
          </w:tcPr>
          <w:p w14:paraId="695283FF" w14:textId="77777777" w:rsidR="006054AA" w:rsidRDefault="001F7667">
            <w:pPr>
              <w:pStyle w:val="P68B1DB1-Normal11"/>
              <w:spacing w:line="276" w:lineRule="auto"/>
              <w:jc w:val="center"/>
              <w:rPr>
                <w:noProof/>
              </w:rPr>
            </w:pPr>
            <w:r>
              <w:rPr>
                <w:noProof/>
              </w:rPr>
              <w:t>Ключов етап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1D9EC41A" w14:textId="77777777" w:rsidR="006054AA" w:rsidRDefault="001F7667">
            <w:pPr>
              <w:pStyle w:val="P68B1DB1-Normal11"/>
              <w:spacing w:line="276" w:lineRule="auto"/>
              <w:jc w:val="center"/>
              <w:rPr>
                <w:noProof/>
              </w:rPr>
            </w:pPr>
            <w:r>
              <w:rPr>
                <w:noProof/>
              </w:rPr>
              <w:t>Реформа на правната рамка за по-добро управление и устойчиво използване на водите</w:t>
            </w:r>
          </w:p>
        </w:tc>
        <w:tc>
          <w:tcPr>
            <w:tcW w:w="1414" w:type="dxa"/>
            <w:tcBorders>
              <w:top w:val="nil"/>
              <w:left w:val="nil"/>
              <w:bottom w:val="single" w:sz="4" w:space="0" w:color="auto"/>
              <w:right w:val="single" w:sz="4" w:space="0" w:color="auto"/>
            </w:tcBorders>
            <w:shd w:val="clear" w:color="auto" w:fill="C6EFCE"/>
            <w:noWrap/>
            <w:vAlign w:val="center"/>
            <w:hideMark/>
          </w:tcPr>
          <w:p w14:paraId="6ED5EA97" w14:textId="77777777" w:rsidR="006054AA" w:rsidRDefault="001F7667">
            <w:pPr>
              <w:pStyle w:val="P68B1DB1-Normal11"/>
              <w:spacing w:line="276" w:lineRule="auto"/>
              <w:jc w:val="center"/>
              <w:rPr>
                <w:noProof/>
              </w:rPr>
            </w:pPr>
            <w:r>
              <w:rPr>
                <w:noProof/>
              </w:rPr>
              <w:t>Влизане в сила на меморандумите за разбирателство (МР)</w:t>
            </w:r>
          </w:p>
        </w:tc>
        <w:tc>
          <w:tcPr>
            <w:tcW w:w="1410" w:type="dxa"/>
            <w:tcBorders>
              <w:top w:val="nil"/>
              <w:left w:val="nil"/>
              <w:bottom w:val="single" w:sz="4" w:space="0" w:color="auto"/>
              <w:right w:val="single" w:sz="4" w:space="0" w:color="auto"/>
            </w:tcBorders>
            <w:shd w:val="clear" w:color="auto" w:fill="C6EFCE"/>
            <w:noWrap/>
            <w:vAlign w:val="center"/>
            <w:hideMark/>
          </w:tcPr>
          <w:p w14:paraId="1F959832" w14:textId="77777777" w:rsidR="006054AA" w:rsidRDefault="001F7667">
            <w:pPr>
              <w:pStyle w:val="P68B1DB1-Normal11"/>
              <w:spacing w:line="276" w:lineRule="auto"/>
              <w:jc w:val="center"/>
              <w:rPr>
                <w:noProof/>
              </w:rPr>
            </w:pPr>
            <w:r>
              <w:rPr>
                <w:noProof/>
              </w:rPr>
              <w:t>НЯМА</w:t>
            </w:r>
          </w:p>
        </w:tc>
        <w:tc>
          <w:tcPr>
            <w:tcW w:w="1047" w:type="dxa"/>
            <w:tcBorders>
              <w:top w:val="nil"/>
              <w:left w:val="nil"/>
              <w:bottom w:val="single" w:sz="4" w:space="0" w:color="auto"/>
              <w:right w:val="single" w:sz="4" w:space="0" w:color="auto"/>
            </w:tcBorders>
            <w:shd w:val="clear" w:color="auto" w:fill="C6EFCE"/>
            <w:noWrap/>
            <w:vAlign w:val="center"/>
            <w:hideMark/>
          </w:tcPr>
          <w:p w14:paraId="48FC7B06" w14:textId="77777777" w:rsidR="006054AA" w:rsidRDefault="001F7667">
            <w:pPr>
              <w:pStyle w:val="P68B1DB1-Normal11"/>
              <w:spacing w:line="276" w:lineRule="auto"/>
              <w:jc w:val="center"/>
              <w:rPr>
                <w:noProof/>
              </w:rPr>
            </w:pPr>
            <w:r>
              <w:rPr>
                <w:noProof/>
              </w:rPr>
              <w:t>НЯМА</w:t>
            </w:r>
          </w:p>
        </w:tc>
        <w:tc>
          <w:tcPr>
            <w:tcW w:w="719" w:type="dxa"/>
            <w:tcBorders>
              <w:top w:val="nil"/>
              <w:left w:val="nil"/>
              <w:bottom w:val="single" w:sz="4" w:space="0" w:color="auto"/>
              <w:right w:val="single" w:sz="4" w:space="0" w:color="auto"/>
            </w:tcBorders>
            <w:shd w:val="clear" w:color="auto" w:fill="C6EFCE"/>
            <w:noWrap/>
            <w:vAlign w:val="center"/>
            <w:hideMark/>
          </w:tcPr>
          <w:p w14:paraId="19086C40" w14:textId="77777777" w:rsidR="006054AA" w:rsidRDefault="001F7667">
            <w:pPr>
              <w:pStyle w:val="P68B1DB1-Normal11"/>
              <w:spacing w:line="276" w:lineRule="auto"/>
              <w:jc w:val="center"/>
              <w:rPr>
                <w:noProof/>
              </w:rPr>
            </w:pPr>
            <w:r>
              <w:rPr>
                <w:noProof/>
              </w:rPr>
              <w:t>НЯМА</w:t>
            </w:r>
          </w:p>
        </w:tc>
        <w:tc>
          <w:tcPr>
            <w:tcW w:w="809" w:type="dxa"/>
            <w:tcBorders>
              <w:top w:val="nil"/>
              <w:left w:val="nil"/>
              <w:bottom w:val="single" w:sz="4" w:space="0" w:color="auto"/>
              <w:right w:val="single" w:sz="4" w:space="0" w:color="auto"/>
            </w:tcBorders>
            <w:shd w:val="clear" w:color="auto" w:fill="C6EFCE"/>
            <w:noWrap/>
            <w:vAlign w:val="center"/>
            <w:hideMark/>
          </w:tcPr>
          <w:p w14:paraId="732D8945" w14:textId="77777777" w:rsidR="006054AA" w:rsidRDefault="001F7667">
            <w:pPr>
              <w:pStyle w:val="P68B1DB1-Normal11"/>
              <w:spacing w:line="276" w:lineRule="auto"/>
              <w:jc w:val="center"/>
              <w:rPr>
                <w:noProof/>
              </w:rPr>
            </w:pPr>
            <w:r>
              <w:rPr>
                <w:noProof/>
              </w:rPr>
              <w:t>Т4 Г.</w:t>
            </w:r>
          </w:p>
        </w:tc>
        <w:tc>
          <w:tcPr>
            <w:tcW w:w="794" w:type="dxa"/>
            <w:tcBorders>
              <w:top w:val="nil"/>
              <w:left w:val="nil"/>
              <w:bottom w:val="single" w:sz="4" w:space="0" w:color="auto"/>
              <w:right w:val="single" w:sz="4" w:space="0" w:color="auto"/>
            </w:tcBorders>
            <w:shd w:val="clear" w:color="auto" w:fill="C6EFCE"/>
            <w:noWrap/>
            <w:vAlign w:val="center"/>
            <w:hideMark/>
          </w:tcPr>
          <w:p w14:paraId="34F81AD9" w14:textId="77777777" w:rsidR="006054AA" w:rsidRDefault="001F7667">
            <w:pPr>
              <w:pStyle w:val="P68B1DB1-Normal11"/>
              <w:spacing w:line="276" w:lineRule="auto"/>
              <w:jc w:val="center"/>
              <w:rPr>
                <w:noProof/>
              </w:rPr>
            </w:pPr>
            <w:r>
              <w:rPr>
                <w:noProof/>
              </w:rPr>
              <w:t>2021</w:t>
            </w:r>
          </w:p>
        </w:tc>
        <w:tc>
          <w:tcPr>
            <w:tcW w:w="2799" w:type="dxa"/>
            <w:tcBorders>
              <w:top w:val="nil"/>
              <w:left w:val="nil"/>
              <w:bottom w:val="single" w:sz="4" w:space="0" w:color="auto"/>
              <w:right w:val="single" w:sz="4" w:space="0" w:color="auto"/>
            </w:tcBorders>
            <w:shd w:val="clear" w:color="auto" w:fill="C6EFCE"/>
            <w:noWrap/>
            <w:vAlign w:val="center"/>
            <w:hideMark/>
          </w:tcPr>
          <w:p w14:paraId="2D2AB732" w14:textId="18C229EF" w:rsidR="006054AA" w:rsidRDefault="001F7667">
            <w:pPr>
              <w:pStyle w:val="P68B1DB1-Normal12"/>
              <w:spacing w:line="276" w:lineRule="auto"/>
              <w:rPr>
                <w:rFonts w:ascii="Arial Narrow" w:hAnsi="Arial Narrow"/>
                <w:noProof/>
              </w:rPr>
            </w:pPr>
            <w:r>
              <w:rPr>
                <w:rFonts w:ascii="Arial Narrow" w:hAnsi="Arial Narrow"/>
                <w:noProof/>
              </w:rPr>
              <w:t>Подписване на меморандуми за занижаване (МР) от Министерството на екологичния преход с регионите Кампания, Калабрия, Молизе и Сицилия, за да се намали разпокъсаността на броя на операторите, предоставящи водни услуги. Меморандумът за разбирателство следва да определи цели по отношение на създаването на местни органи на управление, намаляването на броя на операторите и постигането на икономии от мащаба с оглед на установяването на отделни оператори за най-малко 40</w:t>
            </w:r>
            <w:r>
              <w:rPr>
                <w:noProof/>
              </w:rPr>
              <w:t xml:space="preserve"> </w:t>
            </w:r>
            <w:r>
              <w:rPr>
                <w:rFonts w:ascii="Arial Narrow" w:hAnsi="Arial Narrow"/>
                <w:noProof/>
              </w:rPr>
              <w:t>000 жители</w:t>
            </w:r>
            <w:r>
              <w:rPr>
                <w:noProof/>
              </w:rPr>
              <w:t>.</w:t>
            </w:r>
          </w:p>
        </w:tc>
      </w:tr>
      <w:tr w:rsidR="006054AA" w14:paraId="2FBA1F3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7F50BD17" w14:textId="77777777" w:rsidR="006054AA" w:rsidRDefault="001F7667">
            <w:pPr>
              <w:pStyle w:val="P68B1DB1-Normal11"/>
              <w:spacing w:line="276" w:lineRule="auto"/>
              <w:jc w:val="center"/>
              <w:rPr>
                <w:noProof/>
              </w:rPr>
            </w:pPr>
            <w:r>
              <w:rPr>
                <w:noProof/>
              </w:rPr>
              <w:t>M2C4—4</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57732A05" w14:textId="77777777" w:rsidR="006054AA" w:rsidRDefault="001F7667">
            <w:pPr>
              <w:pStyle w:val="P68B1DB1-Normal11"/>
              <w:spacing w:line="276" w:lineRule="auto"/>
              <w:jc w:val="center"/>
              <w:rPr>
                <w:noProof/>
              </w:rPr>
            </w:pPr>
            <w:r>
              <w:rPr>
                <w:noProof/>
              </w:rPr>
              <w:t>Реформа 4.2 „Мерки за осигуряване на пълен управленски капацитет за интегрирани водни услуги“</w:t>
            </w:r>
          </w:p>
        </w:tc>
        <w:tc>
          <w:tcPr>
            <w:tcW w:w="1266" w:type="dxa"/>
            <w:tcBorders>
              <w:top w:val="nil"/>
              <w:left w:val="nil"/>
              <w:bottom w:val="single" w:sz="4" w:space="0" w:color="auto"/>
              <w:right w:val="single" w:sz="4" w:space="0" w:color="auto"/>
            </w:tcBorders>
            <w:shd w:val="clear" w:color="auto" w:fill="C6EFCE"/>
            <w:noWrap/>
            <w:vAlign w:val="center"/>
            <w:hideMark/>
          </w:tcPr>
          <w:p w14:paraId="781FD5A8" w14:textId="77777777" w:rsidR="006054AA" w:rsidRDefault="001F7667">
            <w:pPr>
              <w:pStyle w:val="P68B1DB1-Normal11"/>
              <w:spacing w:line="276" w:lineRule="auto"/>
              <w:jc w:val="center"/>
              <w:rPr>
                <w:noProof/>
              </w:rPr>
            </w:pPr>
            <w:r>
              <w:rPr>
                <w:noProof/>
              </w:rPr>
              <w:t>Ключов етап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7854980C" w14:textId="77777777" w:rsidR="006054AA" w:rsidRDefault="001F7667">
            <w:pPr>
              <w:pStyle w:val="P68B1DB1-Normal11"/>
              <w:spacing w:line="276" w:lineRule="auto"/>
              <w:jc w:val="center"/>
              <w:rPr>
                <w:noProof/>
              </w:rPr>
            </w:pPr>
            <w:r>
              <w:rPr>
                <w:noProof/>
              </w:rPr>
              <w:t>Влизане в сила на новата правна рамка за целите на напояването</w:t>
            </w:r>
          </w:p>
        </w:tc>
        <w:tc>
          <w:tcPr>
            <w:tcW w:w="1414" w:type="dxa"/>
            <w:tcBorders>
              <w:top w:val="nil"/>
              <w:left w:val="nil"/>
              <w:bottom w:val="single" w:sz="4" w:space="0" w:color="auto"/>
              <w:right w:val="single" w:sz="4" w:space="0" w:color="auto"/>
            </w:tcBorders>
            <w:shd w:val="clear" w:color="auto" w:fill="C6EFCE"/>
            <w:noWrap/>
            <w:vAlign w:val="center"/>
            <w:hideMark/>
          </w:tcPr>
          <w:p w14:paraId="6059F4AD" w14:textId="77777777" w:rsidR="006054AA" w:rsidRDefault="001F7667">
            <w:pPr>
              <w:pStyle w:val="P68B1DB1-Normal11"/>
              <w:spacing w:line="276" w:lineRule="auto"/>
              <w:jc w:val="center"/>
              <w:rPr>
                <w:noProof/>
              </w:rPr>
            </w:pPr>
            <w:r>
              <w:rPr>
                <w:noProof/>
              </w:rPr>
              <w:t>Разпоредба в съответния законодателен акт, указваща влизането в сила</w:t>
            </w:r>
          </w:p>
        </w:tc>
        <w:tc>
          <w:tcPr>
            <w:tcW w:w="1410" w:type="dxa"/>
            <w:tcBorders>
              <w:top w:val="nil"/>
              <w:left w:val="nil"/>
              <w:bottom w:val="single" w:sz="4" w:space="0" w:color="auto"/>
              <w:right w:val="single" w:sz="4" w:space="0" w:color="auto"/>
            </w:tcBorders>
            <w:shd w:val="clear" w:color="auto" w:fill="C6EFCE"/>
            <w:noWrap/>
            <w:vAlign w:val="center"/>
            <w:hideMark/>
          </w:tcPr>
          <w:p w14:paraId="760C7579" w14:textId="77777777" w:rsidR="006054AA" w:rsidRDefault="001F7667">
            <w:pPr>
              <w:pStyle w:val="P68B1DB1-Normal11"/>
              <w:spacing w:line="276" w:lineRule="auto"/>
              <w:jc w:val="center"/>
              <w:rPr>
                <w:noProof/>
              </w:rPr>
            </w:pPr>
            <w:r>
              <w:rPr>
                <w:noProof/>
              </w:rPr>
              <w:t>НЯМА</w:t>
            </w:r>
          </w:p>
        </w:tc>
        <w:tc>
          <w:tcPr>
            <w:tcW w:w="1047" w:type="dxa"/>
            <w:tcBorders>
              <w:top w:val="nil"/>
              <w:left w:val="nil"/>
              <w:bottom w:val="single" w:sz="4" w:space="0" w:color="auto"/>
              <w:right w:val="single" w:sz="4" w:space="0" w:color="auto"/>
            </w:tcBorders>
            <w:shd w:val="clear" w:color="auto" w:fill="C6EFCE"/>
            <w:noWrap/>
            <w:vAlign w:val="center"/>
            <w:hideMark/>
          </w:tcPr>
          <w:p w14:paraId="5703A0FC" w14:textId="77777777" w:rsidR="006054AA" w:rsidRDefault="001F7667">
            <w:pPr>
              <w:pStyle w:val="P68B1DB1-Normal11"/>
              <w:spacing w:line="276" w:lineRule="auto"/>
              <w:jc w:val="center"/>
              <w:rPr>
                <w:noProof/>
              </w:rPr>
            </w:pPr>
            <w:r>
              <w:rPr>
                <w:noProof/>
              </w:rPr>
              <w:t>НЯМА</w:t>
            </w:r>
          </w:p>
        </w:tc>
        <w:tc>
          <w:tcPr>
            <w:tcW w:w="719" w:type="dxa"/>
            <w:tcBorders>
              <w:top w:val="nil"/>
              <w:left w:val="nil"/>
              <w:bottom w:val="single" w:sz="4" w:space="0" w:color="auto"/>
              <w:right w:val="single" w:sz="4" w:space="0" w:color="auto"/>
            </w:tcBorders>
            <w:shd w:val="clear" w:color="auto" w:fill="C6EFCE"/>
            <w:noWrap/>
            <w:vAlign w:val="center"/>
            <w:hideMark/>
          </w:tcPr>
          <w:p w14:paraId="4143D178" w14:textId="77777777" w:rsidR="006054AA" w:rsidRDefault="001F7667">
            <w:pPr>
              <w:pStyle w:val="P68B1DB1-Normal11"/>
              <w:spacing w:line="276" w:lineRule="auto"/>
              <w:jc w:val="center"/>
              <w:rPr>
                <w:noProof/>
              </w:rPr>
            </w:pPr>
            <w:r>
              <w:rPr>
                <w:noProof/>
              </w:rPr>
              <w:t>НЯМА</w:t>
            </w:r>
          </w:p>
        </w:tc>
        <w:tc>
          <w:tcPr>
            <w:tcW w:w="809" w:type="dxa"/>
            <w:tcBorders>
              <w:top w:val="nil"/>
              <w:left w:val="nil"/>
              <w:bottom w:val="single" w:sz="4" w:space="0" w:color="auto"/>
              <w:right w:val="single" w:sz="4" w:space="0" w:color="auto"/>
            </w:tcBorders>
            <w:shd w:val="clear" w:color="auto" w:fill="C6EFCE"/>
            <w:noWrap/>
            <w:vAlign w:val="center"/>
            <w:hideMark/>
          </w:tcPr>
          <w:p w14:paraId="61C7ADFA" w14:textId="77777777" w:rsidR="006054AA" w:rsidRDefault="001F7667">
            <w:pPr>
              <w:pStyle w:val="P68B1DB1-Normal11"/>
              <w:spacing w:line="276" w:lineRule="auto"/>
              <w:jc w:val="center"/>
              <w:rPr>
                <w:noProof/>
              </w:rPr>
            </w:pPr>
            <w:r>
              <w:rPr>
                <w:noProof/>
              </w:rPr>
              <w:t>Т2 Г.</w:t>
            </w:r>
          </w:p>
        </w:tc>
        <w:tc>
          <w:tcPr>
            <w:tcW w:w="794" w:type="dxa"/>
            <w:tcBorders>
              <w:top w:val="nil"/>
              <w:left w:val="nil"/>
              <w:bottom w:val="single" w:sz="4" w:space="0" w:color="auto"/>
              <w:right w:val="single" w:sz="4" w:space="0" w:color="auto"/>
            </w:tcBorders>
            <w:shd w:val="clear" w:color="auto" w:fill="C6EFCE"/>
            <w:noWrap/>
            <w:vAlign w:val="center"/>
            <w:hideMark/>
          </w:tcPr>
          <w:p w14:paraId="446A314D" w14:textId="77777777" w:rsidR="006054AA" w:rsidRDefault="001F7667">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38F23CE0" w14:textId="77777777" w:rsidR="006054AA" w:rsidRDefault="001F7667">
            <w:pPr>
              <w:pStyle w:val="P68B1DB1-Normal11"/>
              <w:spacing w:line="276" w:lineRule="auto"/>
              <w:rPr>
                <w:noProof/>
              </w:rPr>
            </w:pPr>
            <w:r>
              <w:rPr>
                <w:noProof/>
              </w:rPr>
              <w:t>Преразгледаната правна рамка като минимум:</w:t>
            </w:r>
          </w:p>
          <w:p w14:paraId="4016386A" w14:textId="77777777" w:rsidR="006054AA" w:rsidRDefault="006054AA">
            <w:pPr>
              <w:spacing w:line="276" w:lineRule="auto"/>
              <w:rPr>
                <w:rFonts w:ascii="Arial Narrow" w:hAnsi="Arial Narrow"/>
                <w:noProof/>
                <w:color w:val="006100"/>
                <w:sz w:val="20"/>
              </w:rPr>
            </w:pPr>
          </w:p>
          <w:p w14:paraId="2F7F0896" w14:textId="77777777" w:rsidR="006054AA" w:rsidRDefault="001F7667">
            <w:pPr>
              <w:pStyle w:val="P68B1DB1-Normal11"/>
              <w:spacing w:line="276" w:lineRule="auto"/>
              <w:rPr>
                <w:noProof/>
              </w:rPr>
            </w:pPr>
            <w:r>
              <w:rPr>
                <w:noProof/>
              </w:rPr>
              <w:t>Създаване на система от санкции за незаконния добив на вода</w:t>
            </w:r>
          </w:p>
          <w:p w14:paraId="3779204F" w14:textId="77777777" w:rsidR="006054AA" w:rsidRDefault="001F7667">
            <w:pPr>
              <w:pStyle w:val="P68B1DB1-Normal11"/>
              <w:spacing w:line="276" w:lineRule="auto"/>
              <w:rPr>
                <w:noProof/>
              </w:rPr>
            </w:pPr>
            <w:r>
              <w:rPr>
                <w:noProof/>
              </w:rPr>
              <w:t>Изисква оценка на въздействието, както е посочено в член 4, параграф 7 от Рамковата директива за водите, за да се оцени (евентуално кумулативното) въздействие върху всички потенциално засегнати водни обекти.</w:t>
            </w:r>
          </w:p>
          <w:p w14:paraId="3CD94AEB" w14:textId="77777777" w:rsidR="006054AA" w:rsidRDefault="001F7667">
            <w:pPr>
              <w:pStyle w:val="P68B1DB1-Normal11"/>
              <w:spacing w:line="276" w:lineRule="auto"/>
              <w:rPr>
                <w:noProof/>
              </w:rPr>
            </w:pPr>
            <w:r>
              <w:rPr>
                <w:noProof/>
              </w:rPr>
              <w:t>— Да гарантират, че разширяването на съществуващата напоителна система (включително чрез засилено използване на вода, т.е. не само физическо разширяване), дори чрез по-ефективни методи, се избягва, когато съответните водни обекти (повърхностни или подпочвени води) са или се очаква (в контекста на засилването на изменението на климата) да бъдат в по-ниско от добро или потенциално добро състояние.</w:t>
            </w:r>
          </w:p>
          <w:p w14:paraId="771BF980" w14:textId="77777777" w:rsidR="006054AA" w:rsidRDefault="006054AA">
            <w:pPr>
              <w:spacing w:line="276" w:lineRule="auto"/>
              <w:rPr>
                <w:rFonts w:ascii="Arial Narrow" w:hAnsi="Arial Narrow"/>
                <w:noProof/>
                <w:color w:val="006100"/>
                <w:sz w:val="20"/>
              </w:rPr>
            </w:pPr>
          </w:p>
          <w:p w14:paraId="073FA56E" w14:textId="77777777" w:rsidR="006054AA" w:rsidRDefault="006054AA">
            <w:pPr>
              <w:spacing w:line="276" w:lineRule="auto"/>
              <w:rPr>
                <w:rFonts w:ascii="Arial Narrow" w:hAnsi="Arial Narrow"/>
                <w:noProof/>
                <w:color w:val="006100"/>
                <w:sz w:val="20"/>
              </w:rPr>
            </w:pPr>
          </w:p>
        </w:tc>
      </w:tr>
      <w:tr w:rsidR="006054AA" w14:paraId="6A898A22"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24D3C6F" w14:textId="77777777" w:rsidR="006054AA" w:rsidRDefault="001F7667">
            <w:pPr>
              <w:pStyle w:val="P68B1DB1-Normal11"/>
              <w:spacing w:line="276" w:lineRule="auto"/>
              <w:jc w:val="center"/>
              <w:rPr>
                <w:noProof/>
              </w:rPr>
            </w:pPr>
            <w:r>
              <w:rPr>
                <w:noProof/>
              </w:rPr>
              <w:t>M2C4—5</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38141690" w14:textId="77777777" w:rsidR="006054AA" w:rsidRDefault="001F7667">
            <w:pPr>
              <w:pStyle w:val="P68B1DB1-Normal11"/>
              <w:spacing w:line="276" w:lineRule="auto"/>
              <w:jc w:val="center"/>
              <w:rPr>
                <w:noProof/>
              </w:rPr>
            </w:pPr>
            <w:r>
              <w:rPr>
                <w:noProof/>
              </w:rPr>
              <w:t>Инвестиция 3.2: Цифровизация на националните паркове</w:t>
            </w:r>
          </w:p>
        </w:tc>
        <w:tc>
          <w:tcPr>
            <w:tcW w:w="1266" w:type="dxa"/>
            <w:tcBorders>
              <w:top w:val="nil"/>
              <w:left w:val="nil"/>
              <w:bottom w:val="single" w:sz="4" w:space="0" w:color="auto"/>
              <w:right w:val="single" w:sz="4" w:space="0" w:color="auto"/>
            </w:tcBorders>
            <w:shd w:val="clear" w:color="auto" w:fill="C6EFCE"/>
            <w:noWrap/>
            <w:vAlign w:val="center"/>
            <w:hideMark/>
          </w:tcPr>
          <w:p w14:paraId="75B25A8A" w14:textId="77777777" w:rsidR="006054AA" w:rsidRDefault="001F7667">
            <w:pPr>
              <w:pStyle w:val="P68B1DB1-Normal11"/>
              <w:spacing w:line="276" w:lineRule="auto"/>
              <w:jc w:val="center"/>
              <w:rPr>
                <w:noProof/>
              </w:rPr>
            </w:pPr>
            <w:r>
              <w:rPr>
                <w:noProof/>
              </w:rPr>
              <w:t>Ключов етап</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5648643B" w14:textId="77777777" w:rsidR="006054AA" w:rsidRDefault="001F7667">
            <w:pPr>
              <w:pStyle w:val="P68B1DB1-Normal11"/>
              <w:spacing w:line="276" w:lineRule="auto"/>
              <w:jc w:val="center"/>
              <w:rPr>
                <w:noProof/>
              </w:rPr>
            </w:pPr>
            <w:r>
              <w:rPr>
                <w:noProof/>
              </w:rPr>
              <w:t>Влизане в сила на административното опростяване и развитие на цифровите услуги за посетители на национални паркове и защитени морски зони</w:t>
            </w:r>
          </w:p>
        </w:tc>
        <w:tc>
          <w:tcPr>
            <w:tcW w:w="1414" w:type="dxa"/>
            <w:tcBorders>
              <w:top w:val="nil"/>
              <w:left w:val="nil"/>
              <w:bottom w:val="single" w:sz="4" w:space="0" w:color="auto"/>
              <w:right w:val="single" w:sz="4" w:space="0" w:color="auto"/>
            </w:tcBorders>
            <w:shd w:val="clear" w:color="auto" w:fill="C6EFCE"/>
            <w:noWrap/>
            <w:vAlign w:val="center"/>
            <w:hideMark/>
          </w:tcPr>
          <w:p w14:paraId="323A0E44" w14:textId="77777777" w:rsidR="006054AA" w:rsidRDefault="001F7667">
            <w:pPr>
              <w:pStyle w:val="P68B1DB1-Normal11"/>
              <w:spacing w:line="276" w:lineRule="auto"/>
              <w:jc w:val="center"/>
              <w:rPr>
                <w:noProof/>
              </w:rPr>
            </w:pPr>
            <w:r>
              <w:rPr>
                <w:noProof/>
              </w:rPr>
              <w:t>Разпоредба в Министерския указ относно влизането в сила</w:t>
            </w:r>
          </w:p>
        </w:tc>
        <w:tc>
          <w:tcPr>
            <w:tcW w:w="1410" w:type="dxa"/>
            <w:tcBorders>
              <w:top w:val="nil"/>
              <w:left w:val="nil"/>
              <w:bottom w:val="single" w:sz="4" w:space="0" w:color="auto"/>
              <w:right w:val="single" w:sz="4" w:space="0" w:color="auto"/>
            </w:tcBorders>
            <w:shd w:val="clear" w:color="auto" w:fill="C6EFCE"/>
            <w:noWrap/>
            <w:vAlign w:val="center"/>
            <w:hideMark/>
          </w:tcPr>
          <w:p w14:paraId="78421094" w14:textId="77777777" w:rsidR="006054AA" w:rsidRDefault="001F7667">
            <w:pPr>
              <w:pStyle w:val="P68B1DB1-Normal11"/>
              <w:spacing w:line="276" w:lineRule="auto"/>
              <w:jc w:val="center"/>
              <w:rPr>
                <w:noProof/>
              </w:rPr>
            </w:pPr>
            <w:r>
              <w:rPr>
                <w:noProof/>
              </w:rPr>
              <w:t>НЯМА</w:t>
            </w:r>
          </w:p>
        </w:tc>
        <w:tc>
          <w:tcPr>
            <w:tcW w:w="1047" w:type="dxa"/>
            <w:tcBorders>
              <w:top w:val="nil"/>
              <w:left w:val="nil"/>
              <w:bottom w:val="single" w:sz="4" w:space="0" w:color="auto"/>
              <w:right w:val="single" w:sz="4" w:space="0" w:color="auto"/>
            </w:tcBorders>
            <w:shd w:val="clear" w:color="auto" w:fill="C6EFCE"/>
            <w:noWrap/>
            <w:vAlign w:val="center"/>
            <w:hideMark/>
          </w:tcPr>
          <w:p w14:paraId="198301B8" w14:textId="77777777" w:rsidR="006054AA" w:rsidRDefault="001F7667">
            <w:pPr>
              <w:pStyle w:val="P68B1DB1-Normal11"/>
              <w:spacing w:line="276" w:lineRule="auto"/>
              <w:jc w:val="center"/>
              <w:rPr>
                <w:noProof/>
              </w:rPr>
            </w:pPr>
            <w:r>
              <w:rPr>
                <w:noProof/>
              </w:rPr>
              <w:t>НЯМА</w:t>
            </w:r>
          </w:p>
        </w:tc>
        <w:tc>
          <w:tcPr>
            <w:tcW w:w="719" w:type="dxa"/>
            <w:tcBorders>
              <w:top w:val="nil"/>
              <w:left w:val="nil"/>
              <w:bottom w:val="single" w:sz="4" w:space="0" w:color="auto"/>
              <w:right w:val="single" w:sz="4" w:space="0" w:color="auto"/>
            </w:tcBorders>
            <w:shd w:val="clear" w:color="auto" w:fill="C6EFCE"/>
            <w:noWrap/>
            <w:vAlign w:val="center"/>
            <w:hideMark/>
          </w:tcPr>
          <w:p w14:paraId="51E59E60" w14:textId="77777777" w:rsidR="006054AA" w:rsidRDefault="001F7667">
            <w:pPr>
              <w:pStyle w:val="P68B1DB1-Normal11"/>
              <w:spacing w:line="276" w:lineRule="auto"/>
              <w:jc w:val="center"/>
              <w:rPr>
                <w:noProof/>
              </w:rPr>
            </w:pPr>
            <w:r>
              <w:rPr>
                <w:noProof/>
              </w:rPr>
              <w:t>НЯМА</w:t>
            </w:r>
          </w:p>
        </w:tc>
        <w:tc>
          <w:tcPr>
            <w:tcW w:w="809" w:type="dxa"/>
            <w:tcBorders>
              <w:top w:val="nil"/>
              <w:left w:val="nil"/>
              <w:bottom w:val="single" w:sz="4" w:space="0" w:color="auto"/>
              <w:right w:val="single" w:sz="4" w:space="0" w:color="auto"/>
            </w:tcBorders>
            <w:shd w:val="clear" w:color="auto" w:fill="C6EFCE"/>
            <w:noWrap/>
            <w:vAlign w:val="center"/>
            <w:hideMark/>
          </w:tcPr>
          <w:p w14:paraId="70F99AFE" w14:textId="77777777" w:rsidR="006054AA" w:rsidRDefault="001F7667">
            <w:pPr>
              <w:pStyle w:val="P68B1DB1-Normal11"/>
              <w:spacing w:line="276" w:lineRule="auto"/>
              <w:jc w:val="center"/>
              <w:rPr>
                <w:noProof/>
              </w:rPr>
            </w:pPr>
            <w:r>
              <w:rPr>
                <w:noProof/>
              </w:rPr>
              <w:t>Т1 Г.</w:t>
            </w:r>
          </w:p>
        </w:tc>
        <w:tc>
          <w:tcPr>
            <w:tcW w:w="794" w:type="dxa"/>
            <w:tcBorders>
              <w:top w:val="nil"/>
              <w:left w:val="nil"/>
              <w:bottom w:val="single" w:sz="4" w:space="0" w:color="auto"/>
              <w:right w:val="single" w:sz="4" w:space="0" w:color="auto"/>
            </w:tcBorders>
            <w:shd w:val="clear" w:color="auto" w:fill="C6EFCE"/>
            <w:noWrap/>
            <w:vAlign w:val="center"/>
            <w:hideMark/>
          </w:tcPr>
          <w:p w14:paraId="32BC0579" w14:textId="77777777" w:rsidR="006054AA" w:rsidRDefault="001F7667">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722ACEE4" w14:textId="77777777" w:rsidR="006054AA" w:rsidRDefault="001F7667">
            <w:pPr>
              <w:pStyle w:val="P68B1DB1-Normal11"/>
              <w:spacing w:line="276" w:lineRule="auto"/>
              <w:rPr>
                <w:noProof/>
              </w:rPr>
            </w:pPr>
            <w:r>
              <w:rPr>
                <w:noProof/>
              </w:rPr>
              <w:t>Министерското постановление възлага разработването на цифрови услуги за посетителите на националните паркове и защитените морски зони.</w:t>
            </w:r>
          </w:p>
          <w:p w14:paraId="6F4FFC28" w14:textId="77777777" w:rsidR="006054AA" w:rsidRDefault="006054AA">
            <w:pPr>
              <w:spacing w:line="276" w:lineRule="auto"/>
              <w:rPr>
                <w:rFonts w:ascii="Arial Narrow" w:hAnsi="Arial Narrow"/>
                <w:noProof/>
                <w:color w:val="006100"/>
                <w:sz w:val="20"/>
              </w:rPr>
            </w:pPr>
          </w:p>
        </w:tc>
      </w:tr>
    </w:tbl>
    <w:p w14:paraId="47207066" w14:textId="77777777" w:rsidR="006054AA" w:rsidRDefault="006054AA">
      <w:pPr>
        <w:spacing w:before="120" w:after="120"/>
        <w:ind w:left="709"/>
        <w:jc w:val="both"/>
        <w:rPr>
          <w:noProof/>
        </w:rPr>
      </w:pPr>
    </w:p>
    <w:p w14:paraId="4284E2DB" w14:textId="77777777" w:rsidR="006054AA" w:rsidRDefault="006054AA">
      <w:pPr>
        <w:spacing w:before="120" w:after="120"/>
        <w:ind w:left="709"/>
        <w:jc w:val="both"/>
        <w:rPr>
          <w:noProof/>
        </w:rPr>
        <w:sectPr w:rsidR="006054AA" w:rsidSect="001354D1">
          <w:headerReference w:type="even" r:id="rId170"/>
          <w:headerReference w:type="default" r:id="rId171"/>
          <w:footerReference w:type="even" r:id="rId172"/>
          <w:footerReference w:type="default" r:id="rId173"/>
          <w:headerReference w:type="first" r:id="rId174"/>
          <w:footerReference w:type="first" r:id="rId175"/>
          <w:pgSz w:w="16838" w:h="11906" w:orient="landscape" w:code="9"/>
          <w:pgMar w:top="1134" w:right="1134" w:bottom="1134" w:left="1134" w:header="567" w:footer="567" w:gutter="0"/>
          <w:cols w:space="720"/>
          <w:docGrid w:linePitch="360"/>
        </w:sectPr>
      </w:pPr>
    </w:p>
    <w:p w14:paraId="7EFFC851"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Ж.3. </w:t>
      </w:r>
      <w:r>
        <w:rPr>
          <w:noProof/>
        </w:rPr>
        <w:tab/>
      </w:r>
      <w:r>
        <w:rPr>
          <w:b/>
          <w:i w:val="0"/>
          <w:noProof/>
          <w:u w:val="single"/>
        </w:rPr>
        <w:t xml:space="preserve">Описание на реформите и инвестициите за заема </w:t>
      </w:r>
    </w:p>
    <w:p w14:paraId="35B4C6AF" w14:textId="77777777" w:rsidR="006054AA" w:rsidRDefault="001F7667">
      <w:pPr>
        <w:pStyle w:val="P68B1DB1-Normal2"/>
        <w:spacing w:before="120" w:after="120" w:line="257" w:lineRule="auto"/>
        <w:jc w:val="both"/>
        <w:rPr>
          <w:noProof/>
        </w:rPr>
      </w:pPr>
      <w:r>
        <w:rPr>
          <w:noProof/>
        </w:rPr>
        <w:t xml:space="preserve">Реформа 3.1 Приемане на национални програми за контрол на замърсяването на въздуха </w:t>
      </w:r>
    </w:p>
    <w:p w14:paraId="7336F9C5" w14:textId="77777777" w:rsidR="006054AA" w:rsidRDefault="001F7667">
      <w:pPr>
        <w:spacing w:before="120" w:after="120"/>
        <w:jc w:val="both"/>
        <w:rPr>
          <w:noProof/>
        </w:rPr>
      </w:pPr>
      <w:r>
        <w:rPr>
          <w:noProof/>
        </w:rPr>
        <w:t>Реформата има за цел да приведе в съответствие националното и регионалното законодателство и да въведе съответни мерки за намаляване на емисиите на замърсители на въздуха (в съответствие с целите, определени в Директива 2016/2284 относно националните тавани за емисии и изменението на климатичните газове).</w:t>
      </w:r>
    </w:p>
    <w:p w14:paraId="1F18DE60" w14:textId="77777777" w:rsidR="006054AA" w:rsidRDefault="001F7667">
      <w:pPr>
        <w:pStyle w:val="P68B1DB1-Normal2"/>
        <w:spacing w:before="120" w:after="120" w:line="257" w:lineRule="auto"/>
        <w:jc w:val="both"/>
        <w:rPr>
          <w:noProof/>
        </w:rPr>
      </w:pPr>
      <w:r>
        <w:rPr>
          <w:noProof/>
        </w:rPr>
        <w:t>Инвестиция 1.1: Въвеждане на усъвършенствана и интегрирана система за мониторинг и прогнозиране</w:t>
      </w:r>
    </w:p>
    <w:p w14:paraId="1817BA41" w14:textId="77777777" w:rsidR="006054AA" w:rsidRDefault="001F7667">
      <w:pPr>
        <w:spacing w:before="120" w:after="120"/>
        <w:jc w:val="both"/>
        <w:rPr>
          <w:noProof/>
        </w:rPr>
      </w:pPr>
      <w:r>
        <w:rPr>
          <w:noProof/>
        </w:rPr>
        <w:t>Инвестицията разработва система за мониторинг с цел установяване и прогнозиране на рисковете в резултат на изменението на климата и неадекватното пространствено планиране чрез използването на модерни технологии. Тези технологии позволяват дистанционен контрол на големи териториални обхвати, като поставят основата за разработването на планове за предотвратяване на риска, включително укрепването на съществуващата инфраструктура и установяването на незаконно обезвреждане на отпадъци. Основните инструменти, които се разработват за постигането на тези цели, са събирането на пространствени данни чрез спътникови системи за наблюдение, безпилотни летателни апарати, дистанционни сензори и интегриране на информационни системи; далекосъобщителни мрежи с най-напреднали изисквания за сигурност; създаване на централни и регионални контролни зали, за да имат достъп до събраната на място информация; и системи и услуги за киберсигурност за защита срещу кибератаки. Интервенциите се осъществяват основно в осемте южни региона.</w:t>
      </w:r>
    </w:p>
    <w:p w14:paraId="61511DFD" w14:textId="77777777" w:rsidR="006054AA" w:rsidRDefault="001F7667">
      <w:pPr>
        <w:pStyle w:val="P68B1DB1-Normal2"/>
        <w:spacing w:before="120" w:after="120" w:line="257" w:lineRule="auto"/>
        <w:jc w:val="both"/>
        <w:rPr>
          <w:noProof/>
        </w:rPr>
      </w:pPr>
      <w:r>
        <w:rPr>
          <w:noProof/>
        </w:rPr>
        <w:t>Инвестиция 2.1: Мерки за намаляване на риска от наводнения и хидрогеоложки рискове</w:t>
      </w:r>
    </w:p>
    <w:p w14:paraId="7FF84C99" w14:textId="77777777" w:rsidR="006054AA" w:rsidRDefault="001F7667">
      <w:pPr>
        <w:spacing w:after="120"/>
        <w:jc w:val="both"/>
        <w:rPr>
          <w:noProof/>
        </w:rPr>
      </w:pPr>
      <w:r>
        <w:rPr>
          <w:noProof/>
        </w:rPr>
        <w:t>Италианската територия се характеризира със значителна хидрогеоложка нестабилност, която се утежнява от последиците от изменението на климата. Този риск оказва отрицателно въздействие не само върху качеството на живот, но и върху икономическата дейност на областите, които са изложени в най-голяма степен на този риск.</w:t>
      </w:r>
    </w:p>
    <w:p w14:paraId="739F73AD" w14:textId="60F9CB55" w:rsidR="006054AA" w:rsidRDefault="001F7667">
      <w:pPr>
        <w:spacing w:after="120"/>
        <w:jc w:val="both"/>
        <w:rPr>
          <w:noProof/>
        </w:rPr>
      </w:pPr>
      <w:r>
        <w:rPr>
          <w:noProof/>
        </w:rPr>
        <w:t xml:space="preserve">Тази мярка е разделена на две направления на действие — </w:t>
      </w:r>
      <w:r>
        <w:rPr>
          <w:i/>
          <w:noProof/>
        </w:rPr>
        <w:t>Protezione Civile</w:t>
      </w:r>
      <w:r>
        <w:rPr>
          <w:noProof/>
        </w:rPr>
        <w:t xml:space="preserve"> и</w:t>
      </w:r>
      <w:r>
        <w:rPr>
          <w:i/>
          <w:noProof/>
        </w:rPr>
        <w:t xml:space="preserve"> </w:t>
      </w:r>
      <w:r>
        <w:rPr>
          <w:noProof/>
        </w:rPr>
        <w:t>„Комисар по извънредните ситуации за възстановяването на териториите на Емилия-Романя, Тоскана и Марке“, засегнати от наводненията през май 2023 г.</w:t>
      </w:r>
      <w:r>
        <w:rPr>
          <w:i/>
          <w:noProof/>
        </w:rPr>
        <w:t xml:space="preserve"> (Commissario per la ricostruzione nel territorio della regione Emilia Romagna, Toscana e Marche)</w:t>
      </w:r>
      <w:r>
        <w:rPr>
          <w:noProof/>
        </w:rPr>
        <w:t xml:space="preserve"> като отговорна администрация. </w:t>
      </w:r>
    </w:p>
    <w:p w14:paraId="4725BBD8" w14:textId="7A5AA131" w:rsidR="006054AA" w:rsidRDefault="001F7667">
      <w:pPr>
        <w:spacing w:after="120"/>
        <w:jc w:val="both"/>
        <w:rPr>
          <w:noProof/>
        </w:rPr>
      </w:pPr>
      <w:r>
        <w:rPr>
          <w:noProof/>
        </w:rPr>
        <w:t>По отношение на първата линия на действие се предприема широк и всеобхватен набор от интервенции за възстановяване на увредените публични структури и инфраструктури (интервенции от тип Е) и за намаляване на остатъчния риск, който е тясно свързан със събитието и е насочен предимно към защита на обществената и частната безопасност (интервенции от тип Г).</w:t>
      </w:r>
    </w:p>
    <w:p w14:paraId="0DA41B06" w14:textId="3E03F363" w:rsidR="006054AA" w:rsidRDefault="001F7667">
      <w:pPr>
        <w:spacing w:after="120"/>
        <w:jc w:val="both"/>
        <w:rPr>
          <w:noProof/>
        </w:rPr>
      </w:pPr>
      <w:r>
        <w:rPr>
          <w:noProof/>
        </w:rPr>
        <w:t xml:space="preserve">Втората линия на действие включва интервенции, определени от комисаря по извънредните ситуации, по-специално провинциите Ascoli Piceno, Bologna, Ferrara, Fermo, Firenze, Forli-Cesena, Modena, Pesaro-Urbino, Ravenna, Reggio-Emilia, Rimini. </w:t>
      </w:r>
    </w:p>
    <w:p w14:paraId="6BAD6894" w14:textId="77777777" w:rsidR="006054AA" w:rsidRDefault="001F7667">
      <w:pPr>
        <w:spacing w:after="120"/>
        <w:jc w:val="both"/>
        <w:rPr>
          <w:noProof/>
        </w:rPr>
      </w:pPr>
      <w:r>
        <w:rPr>
          <w:noProof/>
        </w:rPr>
        <w:t>Интервенциите се отнасят до:</w:t>
      </w:r>
    </w:p>
    <w:p w14:paraId="7691E6D4" w14:textId="36704C00" w:rsidR="006054AA" w:rsidRDefault="001F7667">
      <w:pPr>
        <w:pStyle w:val="ListParagraph"/>
        <w:numPr>
          <w:ilvl w:val="0"/>
          <w:numId w:val="96"/>
        </w:numPr>
        <w:spacing w:before="0"/>
        <w:rPr>
          <w:noProof/>
        </w:rPr>
      </w:pPr>
      <w:r>
        <w:rPr>
          <w:noProof/>
        </w:rPr>
        <w:t>Интервенции за възстановяване на водните пътища и повишаване на защитата срещу наводнения. Интервенциите включват, доколкото е възможно, природосъобразни решения. Интервенциите следва също така да насърчават, доколкото е възможно, приемането на устойчиви практики за управление на почвите и земите за подпомагане на дълготрайната устойчивост на почвите, за спиране на деградацията на почвите и за смекчаване на последиците от изменението на климата;</w:t>
      </w:r>
    </w:p>
    <w:p w14:paraId="565156F7" w14:textId="77777777" w:rsidR="006054AA" w:rsidRDefault="001F7667">
      <w:pPr>
        <w:pStyle w:val="ListParagraph"/>
        <w:numPr>
          <w:ilvl w:val="0"/>
          <w:numId w:val="96"/>
        </w:numPr>
        <w:spacing w:before="0"/>
        <w:contextualSpacing w:val="0"/>
        <w:rPr>
          <w:noProof/>
        </w:rPr>
      </w:pPr>
      <w:r>
        <w:rPr>
          <w:noProof/>
        </w:rPr>
        <w:t>Интервенции за рехабилитация на местната и провинциалната пътна мрежа. Интервенциите могат да включват технически работи за допълнителни инфраструктури (включително мостове), които са претърпели щети и трябва да бъдат поправени;</w:t>
      </w:r>
    </w:p>
    <w:p w14:paraId="098216A1" w14:textId="40871CC8" w:rsidR="006054AA" w:rsidRDefault="001F7667">
      <w:pPr>
        <w:pStyle w:val="ListParagraph"/>
        <w:numPr>
          <w:ilvl w:val="0"/>
          <w:numId w:val="96"/>
        </w:numPr>
        <w:spacing w:before="0"/>
        <w:rPr>
          <w:noProof/>
        </w:rPr>
      </w:pPr>
      <w:r>
        <w:rPr>
          <w:noProof/>
        </w:rPr>
        <w:t>Интервенции за възстановяване на обществени сгради, включително обществени домове и здравни центрове.</w:t>
      </w:r>
    </w:p>
    <w:p w14:paraId="5EAACA3F" w14:textId="5F5A5F44" w:rsidR="006054AA" w:rsidRDefault="001F7667">
      <w:pPr>
        <w:spacing w:after="120"/>
        <w:jc w:val="both"/>
        <w:rPr>
          <w:noProof/>
        </w:rPr>
      </w:pPr>
      <w:r>
        <w:rPr>
          <w:noProof/>
        </w:rPr>
        <w:t>Очаква се тази мярка да не нанася значителни вреди на екологичните цели по смисъла на член 17 от Регламент (ЕС) 2020/852, като се вземат предвид описанието на мярката и стъпките за смекчаване, определени в плана за възстановяване и устойчивост в съответствие с техническите насоки за ненанасяне на значителни вреди (2021/C58/01). Инвестицията не предвижда монтирането или подмяната на газови котли, нито закупуването на превозни средства.</w:t>
      </w:r>
    </w:p>
    <w:p w14:paraId="591DAFB9" w14:textId="77777777" w:rsidR="006054AA" w:rsidRDefault="001F7667">
      <w:pPr>
        <w:pStyle w:val="P68B1DB1-Normal2"/>
        <w:spacing w:before="120" w:after="120" w:line="257" w:lineRule="auto"/>
        <w:jc w:val="both"/>
        <w:rPr>
          <w:noProof/>
        </w:rPr>
      </w:pPr>
      <w:r>
        <w:rPr>
          <w:noProof/>
        </w:rPr>
        <w:t xml:space="preserve">Инвестиция 3.1: Опазване и подобряване на градските и крайградските гори </w:t>
      </w:r>
    </w:p>
    <w:p w14:paraId="62EB2811" w14:textId="6419A415" w:rsidR="006054AA" w:rsidRDefault="001F7667">
      <w:pPr>
        <w:spacing w:before="120" w:after="120"/>
        <w:jc w:val="both"/>
        <w:rPr>
          <w:noProof/>
        </w:rPr>
      </w:pPr>
      <w:r>
        <w:rPr>
          <w:noProof/>
        </w:rPr>
        <w:t>Тази мярка има за цел да защити зелените площи и да увеличи техния брой с цел както опазване и подобряване на биологичното разнообразие, така и повишаване на качеството на живот на жителите на тези райони. Действията са съсредоточени върху 14-те метрополни града в Италия, които са най-изложени на екологични проблеми като замърсяване на въздуха, загуба на биологично разнообразие или на последиците от изменението на климата. Горският репродуктивен материал (семена или растения) се засажда за тези площи за най-малко 4</w:t>
      </w:r>
      <w:r>
        <w:rPr>
          <w:noProof/>
          <w:color w:val="006100"/>
          <w:sz w:val="20"/>
        </w:rPr>
        <w:t xml:space="preserve"> </w:t>
      </w:r>
      <w:r>
        <w:rPr>
          <w:noProof/>
        </w:rPr>
        <w:t>500</w:t>
      </w:r>
      <w:r>
        <w:rPr>
          <w:noProof/>
          <w:color w:val="006100"/>
          <w:sz w:val="20"/>
        </w:rPr>
        <w:t xml:space="preserve"> </w:t>
      </w:r>
      <w:r>
        <w:rPr>
          <w:noProof/>
        </w:rPr>
        <w:t>000 дървета и храсти (в 4</w:t>
      </w:r>
      <w:r>
        <w:rPr>
          <w:noProof/>
          <w:color w:val="006100"/>
          <w:sz w:val="20"/>
        </w:rPr>
        <w:t xml:space="preserve"> </w:t>
      </w:r>
      <w:r>
        <w:rPr>
          <w:noProof/>
        </w:rPr>
        <w:t>500 хектара) и най-малко 3.5 милиона дървета се засаждат в крайното им местоназначение.</w:t>
      </w:r>
    </w:p>
    <w:p w14:paraId="726D0889" w14:textId="77777777" w:rsidR="006054AA" w:rsidRDefault="001F7667">
      <w:pPr>
        <w:spacing w:before="120" w:after="120"/>
        <w:jc w:val="both"/>
        <w:rPr>
          <w:noProof/>
        </w:rPr>
      </w:pPr>
      <w:r>
        <w:rPr>
          <w:noProof/>
        </w:rPr>
        <w:t xml:space="preserve">Интервенциите се извършват след приемането на план за градска горска станция с цел опазване и подобряване на биологичното разнообразие в съответствие с Европейската стратегия за биологичното разнообразие, намаляване на замърсяването на въздуха в метрополните райони и намаляване на броя на производствата за установяване на нарушения във връзка с качеството на въздуха. </w:t>
      </w:r>
    </w:p>
    <w:p w14:paraId="5BED7358" w14:textId="77777777" w:rsidR="006054AA" w:rsidRDefault="001F7667">
      <w:pPr>
        <w:pStyle w:val="P68B1DB1-Normal2"/>
        <w:spacing w:before="120" w:after="120" w:line="257" w:lineRule="auto"/>
        <w:jc w:val="both"/>
        <w:rPr>
          <w:noProof/>
        </w:rPr>
      </w:pPr>
      <w:r>
        <w:rPr>
          <w:noProof/>
        </w:rPr>
        <w:t>Инвестиция 3.3 — Възстановяване на натурализацията на района на По</w:t>
      </w:r>
    </w:p>
    <w:p w14:paraId="3F6ECF4F" w14:textId="77777777" w:rsidR="006054AA" w:rsidRDefault="001F7667">
      <w:pPr>
        <w:spacing w:before="120" w:after="120"/>
        <w:jc w:val="both"/>
        <w:rPr>
          <w:noProof/>
        </w:rPr>
      </w:pPr>
      <w:r>
        <w:rPr>
          <w:noProof/>
        </w:rPr>
        <w:t>Районът на река По се характеризира с прекомерно замърсяване на водите, потребление на почва и изкопни работи в речното корито от 1970 г. насам. Всички тези проблеми оказаха отрицателно въздействие върху някои от естествените местообитания и увеличиха хидрогеоложкия риск.</w:t>
      </w:r>
    </w:p>
    <w:p w14:paraId="1913E976" w14:textId="77777777" w:rsidR="006054AA" w:rsidRDefault="001F7667">
      <w:pPr>
        <w:spacing w:before="120" w:after="120"/>
        <w:jc w:val="both"/>
        <w:rPr>
          <w:noProof/>
        </w:rPr>
      </w:pPr>
      <w:r>
        <w:rPr>
          <w:noProof/>
        </w:rPr>
        <w:t xml:space="preserve">Тази мярка има за цел да възобнови естествените процеси и да насърчи възстановяването на биологичното разнообразие. Това ще гарантира възстановяването на реката и по-ефективното устойчиво и ефикасно използване на водните ресурси.  </w:t>
      </w:r>
    </w:p>
    <w:p w14:paraId="2BF00C97" w14:textId="77777777" w:rsidR="006054AA" w:rsidRDefault="001F7667">
      <w:pPr>
        <w:pStyle w:val="P68B1DB1-Normal2"/>
        <w:spacing w:before="120" w:after="120" w:line="257" w:lineRule="auto"/>
        <w:jc w:val="both"/>
        <w:rPr>
          <w:noProof/>
        </w:rPr>
      </w:pPr>
      <w:r>
        <w:rPr>
          <w:noProof/>
        </w:rPr>
        <w:t>Инвестиция 3.4: Саниране на обекти сираци</w:t>
      </w:r>
    </w:p>
    <w:p w14:paraId="331FC397" w14:textId="77777777" w:rsidR="006054AA" w:rsidRDefault="001F7667">
      <w:pPr>
        <w:spacing w:before="120" w:after="120"/>
        <w:jc w:val="both"/>
        <w:rPr>
          <w:noProof/>
        </w:rPr>
      </w:pPr>
      <w:r>
        <w:rPr>
          <w:noProof/>
        </w:rPr>
        <w:t xml:space="preserve">Промишленото замърсяване е създало много т.нар. „безстопанствени обекти“, които представляват значителен риск за здравето, със сериозни последици за качеството на живот на засегнатото население. </w:t>
      </w:r>
    </w:p>
    <w:p w14:paraId="649F3D50" w14:textId="77777777" w:rsidR="006054AA" w:rsidRDefault="001F7667">
      <w:pPr>
        <w:spacing w:before="120" w:after="120"/>
        <w:jc w:val="both"/>
        <w:rPr>
          <w:noProof/>
        </w:rPr>
      </w:pPr>
      <w:r>
        <w:rPr>
          <w:noProof/>
        </w:rPr>
        <w:t>Целта на тази намеса е да се възстановят тези земи, като се намали въздействието върху околната среда и се насърчи кръговата икономика. В проекта се използват най-добрите налични иновативни технологии за разследване, за да се установят реалните нужди от саниране и да се даде възможност за развитието на тези райони, включително за жилищно настаняване.</w:t>
      </w:r>
    </w:p>
    <w:p w14:paraId="4C000E83" w14:textId="77777777" w:rsidR="006054AA" w:rsidRDefault="001F7667">
      <w:pPr>
        <w:spacing w:before="120" w:after="120"/>
        <w:jc w:val="both"/>
        <w:rPr>
          <w:noProof/>
        </w:rPr>
      </w:pPr>
      <w:r>
        <w:rPr>
          <w:noProof/>
        </w:rPr>
        <w:t>Тази мярка първо се състои в приемането на план за действие за съживяване на обектите сираци с цел намаляване на усвояването на земя и подобряване на обновяването на градската среда. В плана се посочват безстопанствените обекти във всички 21 региона и автономни провинции и се определят конкретните интервенции, които трябва да бъдат предприети.</w:t>
      </w:r>
    </w:p>
    <w:p w14:paraId="3939995F" w14:textId="77777777" w:rsidR="006054AA" w:rsidRDefault="001F7667">
      <w:pPr>
        <w:pStyle w:val="P68B1DB1-Normal2"/>
        <w:spacing w:before="120" w:after="120" w:line="257" w:lineRule="auto"/>
        <w:jc w:val="both"/>
        <w:rPr>
          <w:noProof/>
        </w:rPr>
      </w:pPr>
      <w:r>
        <w:rPr>
          <w:noProof/>
        </w:rPr>
        <w:t>Инвестиция 3.5: Възстановяване и опазване на морското дъно и морските местообитания</w:t>
      </w:r>
    </w:p>
    <w:p w14:paraId="71BDACEC" w14:textId="77777777" w:rsidR="006054AA" w:rsidRDefault="001F7667">
      <w:pPr>
        <w:spacing w:before="120" w:after="120"/>
        <w:jc w:val="both"/>
        <w:rPr>
          <w:noProof/>
        </w:rPr>
      </w:pPr>
      <w:r>
        <w:rPr>
          <w:noProof/>
        </w:rPr>
        <w:t xml:space="preserve">Тази мярка включва широкомащабни действия за възстановяване и опазване на морското дъно и морските местообитания, насочени към обръщане на процеса на влошаване на състоянието на тези екосистеми. </w:t>
      </w:r>
    </w:p>
    <w:p w14:paraId="149FCAA7" w14:textId="1502CBC4" w:rsidR="006054AA" w:rsidRDefault="001F7667">
      <w:pPr>
        <w:spacing w:before="120" w:after="120"/>
        <w:jc w:val="both"/>
        <w:rPr>
          <w:noProof/>
        </w:rPr>
      </w:pPr>
      <w:r>
        <w:rPr>
          <w:noProof/>
        </w:rPr>
        <w:t xml:space="preserve">Конкретните действия, които трябва да бъдат изпълнени, включват разработване на подходящо картографиране на местообитанията на морското дъно и мониторинг на околната среда. За да се гарантира адекватното планиране и прилагане на широкомащабни мерки за възстановяване и защита, се укрепва националната система за научни изследвания и наблюдение на морските и крайбрежните екосистеми. Освен това се подобряват морските платформи за наблюдение, за да се увеличи техническо-научният капацитет за наблюдение на морската среда, и по-специално за да се оцени ефективността на мерките за защита и управление при сценария с изменението на климата. След това тези инвестиции дават възможност за систематично и цялостно картографиране на уязвимите местообитания в италианските морски води, за да се осъществи възстановяване на околната среда и определяне на защитени зони в съответствие със стратегията на ЕС за биологичното разнообразие от 2013 г. и Рамковата директива за морска стратегия. </w:t>
      </w:r>
    </w:p>
    <w:p w14:paraId="512E3851" w14:textId="77777777" w:rsidR="006054AA" w:rsidRDefault="001F7667">
      <w:pPr>
        <w:spacing w:before="120" w:after="120"/>
        <w:jc w:val="both"/>
        <w:rPr>
          <w:noProof/>
        </w:rPr>
      </w:pPr>
      <w:r>
        <w:rPr>
          <w:noProof/>
        </w:rPr>
        <w:t>Очаква се тази мярка да не нанася значителни вреди на екологичните цели по смисъла на член 17 от Регламент (ЕС) 2020/852, като се вземе предвид описанието на мярката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Чрез провеждането на научноизследователска дейност върху морските екосистеми мярката може да включва закупуване на научно оборудване и/или кораби. По-специално новопостроените плавателни съдове ще използват най-модерните налични технологии, като гарантират във възможно най-голяма степен предотвратяване и контрол на замърсяването.</w:t>
      </w:r>
    </w:p>
    <w:p w14:paraId="7533587C" w14:textId="77777777" w:rsidR="006054AA" w:rsidRDefault="001F7667">
      <w:pPr>
        <w:pStyle w:val="P68B1DB1-Normal2"/>
        <w:spacing w:before="120" w:after="120" w:line="257" w:lineRule="auto"/>
        <w:jc w:val="both"/>
        <w:rPr>
          <w:rFonts w:eastAsia="Calibri"/>
          <w:noProof/>
        </w:rPr>
      </w:pPr>
      <w:r>
        <w:rPr>
          <w:noProof/>
        </w:rPr>
        <w:t>Реформа 4.1 Опростяване на законодателството и укрепване на управлението за осъществяване на инвестиции във водоснабдителните инфраструктури</w:t>
      </w:r>
    </w:p>
    <w:p w14:paraId="4DD67DD0" w14:textId="77777777" w:rsidR="006054AA" w:rsidRDefault="001F7667">
      <w:pPr>
        <w:pStyle w:val="P68B1DB1-Paragrafoelenco130"/>
        <w:spacing w:after="120" w:line="240" w:lineRule="auto"/>
        <w:ind w:left="0"/>
        <w:jc w:val="both"/>
        <w:rPr>
          <w:noProof/>
        </w:rPr>
      </w:pPr>
      <w:r>
        <w:rPr>
          <w:noProof/>
        </w:rPr>
        <w:t xml:space="preserve">Настоящата регулаторна рамка и съществуващата разпокъсаност на управлението оказват отрицателно въздействие върху капацитета за планиране и осъществяване на инвестиции във водоснабдителната инфраструктура. </w:t>
      </w:r>
    </w:p>
    <w:p w14:paraId="38A57CA3" w14:textId="77777777" w:rsidR="006054AA" w:rsidRDefault="001F7667">
      <w:pPr>
        <w:suppressAutoHyphens/>
        <w:jc w:val="both"/>
        <w:rPr>
          <w:noProof/>
        </w:rPr>
      </w:pPr>
      <w:r>
        <w:rPr>
          <w:noProof/>
        </w:rPr>
        <w:t>Целта на тази реформа е да се опрости и повиши ефективността на правната рамка и да се предостави помощ, когато е необходимо, на изпълнителните органи, които не разполагат с достатъчен капацитет да предприемат и завършат тези инвестиции в рамките на първоначално определените срокове.</w:t>
      </w:r>
    </w:p>
    <w:p w14:paraId="3FAB5E85" w14:textId="77777777" w:rsidR="006054AA" w:rsidRDefault="006054AA">
      <w:pPr>
        <w:pStyle w:val="Paragrafoelenco1"/>
        <w:spacing w:after="120" w:line="240" w:lineRule="auto"/>
        <w:ind w:left="0"/>
        <w:jc w:val="both"/>
        <w:rPr>
          <w:noProof/>
          <w:color w:val="auto"/>
          <w:sz w:val="24"/>
        </w:rPr>
      </w:pPr>
    </w:p>
    <w:p w14:paraId="2C55DDF9" w14:textId="77777777" w:rsidR="006054AA" w:rsidRDefault="001F7667">
      <w:pPr>
        <w:pStyle w:val="P68B1DB1-Paragrafoelenco130"/>
        <w:spacing w:after="120" w:line="240" w:lineRule="auto"/>
        <w:ind w:left="0"/>
        <w:jc w:val="both"/>
        <w:rPr>
          <w:noProof/>
        </w:rPr>
      </w:pPr>
      <w:r>
        <w:rPr>
          <w:noProof/>
        </w:rPr>
        <w:t>Основните мерки, предвидени за постигането на тези цели, са главно чрез i) създаването на централен инструмент за публично финансиране за инвестиции във водния сектор, който обединява ресурси, които понастоящем са доста разпръснати; II) опростяване на процедурите за докладване и мониторинг на финансираните инвестиции, iii) допълнително включване на регулаторния орган в планирането на инвестициите, които ще бъдат предприети, и в евентуални преразглеждания на плана.</w:t>
      </w:r>
    </w:p>
    <w:p w14:paraId="75316222" w14:textId="77777777" w:rsidR="006054AA" w:rsidRDefault="001F7667">
      <w:pPr>
        <w:pStyle w:val="P68B1DB1-Paragrafoelenco130"/>
        <w:spacing w:after="120" w:line="240" w:lineRule="auto"/>
        <w:ind w:left="0"/>
        <w:jc w:val="both"/>
        <w:rPr>
          <w:rFonts w:eastAsia="SimSun"/>
          <w:i/>
          <w:noProof/>
          <w:u w:val="single"/>
        </w:rPr>
      </w:pPr>
      <w:r>
        <w:rPr>
          <w:noProof/>
        </w:rPr>
        <w:t xml:space="preserve">Министерството на инфраструктурата и транспорта представя предложението за реформа, свързано със сектора на водоснабдяването. </w:t>
      </w:r>
    </w:p>
    <w:p w14:paraId="028EB9E7" w14:textId="77777777" w:rsidR="006054AA" w:rsidRDefault="001F7667">
      <w:pPr>
        <w:pStyle w:val="P68B1DB1-Normal2"/>
        <w:spacing w:before="120" w:after="120" w:line="257" w:lineRule="auto"/>
        <w:jc w:val="both"/>
        <w:rPr>
          <w:noProof/>
        </w:rPr>
      </w:pPr>
      <w:r>
        <w:rPr>
          <w:noProof/>
        </w:rPr>
        <w:t>Инвестиция 4.1 Първична водна инфраструктура за сигурност на водоснабдяването</w:t>
      </w:r>
    </w:p>
    <w:p w14:paraId="387E76A9" w14:textId="77777777" w:rsidR="006054AA" w:rsidRDefault="001F7667">
      <w:pPr>
        <w:spacing w:before="120" w:after="120"/>
        <w:jc w:val="both"/>
        <w:rPr>
          <w:noProof/>
        </w:rPr>
      </w:pPr>
      <w:r>
        <w:rPr>
          <w:noProof/>
        </w:rPr>
        <w:t>Целта на тази мярка е да се гарантира сигурността на водоснабдяването за важни градски райони и големи напоявани райони, да се повиши безопасността и устойчивостта на мрежата и да се подобри капацитетът за пренос на вода. Мерките обхващат цялата национална територия, като се обръща специално внимание на по-големите инсталации в южната част на страната.</w:t>
      </w:r>
    </w:p>
    <w:p w14:paraId="669AFD86" w14:textId="77777777" w:rsidR="006054AA" w:rsidRDefault="001F7667">
      <w:pPr>
        <w:spacing w:before="120" w:after="120"/>
        <w:jc w:val="both"/>
        <w:rPr>
          <w:noProof/>
        </w:rPr>
      </w:pPr>
      <w:r>
        <w:rPr>
          <w:noProof/>
        </w:rPr>
        <w:t>Очаква се тази мярка да не нанася значителни вреди на екологичните цели по смисъла на член 17 от Регламент (ЕС) 2020/852, като се вземат предвид описанието на мярката и стъпките за смекчаване, определени в плана за възстановяване и устойчивост в съответствие с техническите насоки за ненанасяне на значителни вреди (2021/C58/01). По-специално, за всяка подинвестиция се осигурява пълно съответствие с изискванията на правото на ЕС, включително Рамковата директива за водите, преди, по време на и след започване на строителните работи. Освен това, когато е приложимо, подмерките подлежат на оценка на въздействието върху околната среда (ОВОС) съгласно Директива 2011/92/ЕС, както и на съответни оценки в контекста на Директива 2000/60/ЕО и Директива 92/43/ЕИО, включително прилагането на необходимите мерки за смекчаване на последиците. Мярката не включва изграждането на нови язовири, а само подобряването на съществуващите язовири; въздействието на планираните интервенции върху съществуващите строителни работи е съобразено със сценариите, при които съответната река остава в естественото си състояние, както е променено към момента на строителството. Всички планирани подинтервенции, включително тези, свързани със съществуващи язовири, трябва да са в съответствие с процедурата за издаване на екологично разрешение, изисквана от националното право и правото на Съюза.</w:t>
      </w:r>
    </w:p>
    <w:p w14:paraId="62FCDD23" w14:textId="77777777" w:rsidR="006054AA" w:rsidRDefault="001F7667">
      <w:pPr>
        <w:pStyle w:val="P68B1DB1-Normal2"/>
        <w:spacing w:before="120" w:after="120" w:line="257" w:lineRule="auto"/>
        <w:jc w:val="both"/>
        <w:rPr>
          <w:noProof/>
        </w:rPr>
      </w:pPr>
      <w:r>
        <w:rPr>
          <w:noProof/>
        </w:rPr>
        <w:t>Инвестиция 4.2. Намаляване на загубите във водоразпределителните мрежи, включително цифровизация и мониторинг на мрежите</w:t>
      </w:r>
    </w:p>
    <w:p w14:paraId="19BC714B" w14:textId="77777777" w:rsidR="006054AA" w:rsidRDefault="001F7667">
      <w:pPr>
        <w:spacing w:before="120" w:after="120"/>
        <w:jc w:val="both"/>
        <w:rPr>
          <w:noProof/>
        </w:rPr>
      </w:pPr>
      <w:r>
        <w:rPr>
          <w:noProof/>
        </w:rPr>
        <w:t>Фрагментираното и неефективно управление на водните ресурси доведе до значителни течове на вода със средни загуби над 40 % и над 50 % в южната част на страната. Целта на този проект е значително да се намалят загубите на питейна вода чрез модернизиране и модернизиране на водоразпределителните мрежи чрез усъвършенствани системи за контрол, които позволяват мониторинг на основните възли и най-чувствителните точки на мрежата.</w:t>
      </w:r>
    </w:p>
    <w:p w14:paraId="6D52FB19" w14:textId="77777777" w:rsidR="006054AA" w:rsidRDefault="001F7667">
      <w:pPr>
        <w:pStyle w:val="P68B1DB1-Normal2"/>
        <w:spacing w:before="120" w:after="120" w:line="257" w:lineRule="auto"/>
        <w:jc w:val="both"/>
        <w:rPr>
          <w:noProof/>
        </w:rPr>
      </w:pPr>
      <w:r>
        <w:rPr>
          <w:noProof/>
        </w:rPr>
        <w:t xml:space="preserve">Инвестиция 4.3. Инвестиции в устойчивостта на напоителната агросистема за по-добро управление на водните ресурси </w:t>
      </w:r>
    </w:p>
    <w:p w14:paraId="2377D868" w14:textId="77777777" w:rsidR="006054AA" w:rsidRDefault="001F7667">
      <w:pPr>
        <w:spacing w:before="120" w:after="120" w:line="257" w:lineRule="auto"/>
        <w:jc w:val="both"/>
        <w:rPr>
          <w:noProof/>
        </w:rPr>
      </w:pPr>
      <w:r>
        <w:rPr>
          <w:noProof/>
        </w:rPr>
        <w:t>Целта на тази мярка е да се повиши ефективността на напоителните системи чрез развитието на иновативна и цифровизирана инфраструктура за по-устойчив селскостопански сектор, както и за по-добро адаптиране към изменението на климата. Инвестицията се състои предимно в превръщането на напоителните системи в системи с по-висока ефективност; адаптиране на разпределителните мрежи с цел намаляване на загубите; инсталиране на технологии за ефективно използване на водните ресурси, като например измервателни уреди и дистанционно управление. Като част от подпомаганата инвестиция се въвежда измерване на водата, което позволява измерване на водата.</w:t>
      </w:r>
    </w:p>
    <w:p w14:paraId="47B5DE08" w14:textId="77777777" w:rsidR="006054AA" w:rsidRDefault="001F7667">
      <w:pPr>
        <w:spacing w:before="120" w:after="120" w:line="257" w:lineRule="auto"/>
        <w:jc w:val="both"/>
        <w:rPr>
          <w:noProof/>
        </w:rPr>
      </w:pPr>
      <w:r>
        <w:rPr>
          <w:noProof/>
        </w:rPr>
        <w:t>Очаква се тази мярка да не нанася значителни вреди на екологичните цели по смисъла на член 17 от Регламент (ЕС) 2020/852, като се вземат предвид описанието на мярката и стъпките за смекчаване, определени в плана за възстановяване и устойчивост в съответствие с техническите насоки за ненанасяне на значителни вреди (2021/C58/01). По-специално, за всяка подинвестиция се осигурява пълно съответствие с изискванията на правото на ЕС, включително Рамковата директива за водите, преди, по време на и след започване на строителните работи. Освен това проектите, когато това е приложимо съгласно националното право, подлежат на оценка на въздействието върху околната среда (ОВОС) съгласно Директива 2011/92/ЕС, както и на съответни оценки в контекста на Директива 2000/60/ЕО и Директива 92/43/ЕИО, включително прилагането на необходимите мерки за смекчаване на последиците.</w:t>
      </w:r>
    </w:p>
    <w:p w14:paraId="2713A0FD" w14:textId="77777777" w:rsidR="006054AA" w:rsidRDefault="006054AA">
      <w:pPr>
        <w:spacing w:before="120" w:after="120" w:line="257" w:lineRule="auto"/>
        <w:jc w:val="both"/>
        <w:rPr>
          <w:b/>
          <w:noProof/>
        </w:rPr>
      </w:pPr>
    </w:p>
    <w:p w14:paraId="3713D9B6" w14:textId="77777777" w:rsidR="006054AA" w:rsidRDefault="001F7667">
      <w:pPr>
        <w:pStyle w:val="P68B1DB1-Normal2"/>
        <w:spacing w:before="120" w:after="120" w:line="257" w:lineRule="auto"/>
        <w:jc w:val="both"/>
        <w:rPr>
          <w:noProof/>
        </w:rPr>
      </w:pPr>
      <w:r>
        <w:rPr>
          <w:noProof/>
        </w:rPr>
        <w:t>Инвестиция 4.4. Канализационни услуги и пречистване</w:t>
      </w:r>
    </w:p>
    <w:p w14:paraId="0F93DFC1" w14:textId="77777777" w:rsidR="006054AA" w:rsidRDefault="001F7667">
      <w:pPr>
        <w:spacing w:before="120" w:after="120"/>
        <w:jc w:val="both"/>
        <w:rPr>
          <w:noProof/>
        </w:rPr>
      </w:pPr>
      <w:r>
        <w:rPr>
          <w:noProof/>
        </w:rPr>
        <w:t xml:space="preserve">Водните системи имат сериозни слабости по отношение на канализационните и пречиствателните системи, което се изразява в големия брой производства за установяване на нарушение за неспазване на правото на Съюза от страна на много агломерации в страната. </w:t>
      </w:r>
    </w:p>
    <w:p w14:paraId="36FBB147" w14:textId="77777777" w:rsidR="006054AA" w:rsidRDefault="001F7667">
      <w:pPr>
        <w:tabs>
          <w:tab w:val="left" w:pos="720"/>
        </w:tabs>
        <w:spacing w:before="120" w:after="120"/>
        <w:jc w:val="both"/>
        <w:rPr>
          <w:noProof/>
        </w:rPr>
      </w:pPr>
      <w:r>
        <w:rPr>
          <w:noProof/>
        </w:rPr>
        <w:t>Целта на тази мярка е да се предприемат инвестиции, които да направят по-ефективното пречистване на отпадъчните води, зауствани в морски и вътрешни води, и, когато е възможно, преобразуването на пречиствателните станции в „зелени заводи“ за повторно използване на пречистени отпадъчни води за напояване и промишлени цели. Очаква се тези инвестиции да допринесат за намаляване на броя на агломерациите със слаби канализационни и пречиствателни системи.</w:t>
      </w:r>
    </w:p>
    <w:p w14:paraId="70CCB32D" w14:textId="77777777" w:rsidR="006054AA" w:rsidRDefault="006054AA">
      <w:pPr>
        <w:tabs>
          <w:tab w:val="left" w:pos="720"/>
        </w:tabs>
        <w:spacing w:before="120" w:after="120"/>
        <w:jc w:val="both"/>
        <w:rPr>
          <w:noProof/>
        </w:rPr>
      </w:pPr>
    </w:p>
    <w:p w14:paraId="7802C300" w14:textId="77777777" w:rsidR="006054AA" w:rsidRDefault="001F7667">
      <w:pPr>
        <w:pStyle w:val="Heading3"/>
        <w:numPr>
          <w:ilvl w:val="0"/>
          <w:numId w:val="0"/>
        </w:numPr>
        <w:ind w:left="850" w:hanging="850"/>
        <w:rPr>
          <w:rStyle w:val="SubtleEmphasis"/>
          <w:b/>
          <w:i/>
          <w:noProof/>
          <w:u w:val="single"/>
        </w:rPr>
      </w:pPr>
      <w:r>
        <w:rPr>
          <w:rStyle w:val="SubtleEmphasis"/>
          <w:b/>
          <w:noProof/>
          <w:u w:val="single"/>
        </w:rPr>
        <w:t xml:space="preserve">Ж.4. </w:t>
      </w:r>
      <w:r>
        <w:rPr>
          <w:noProof/>
        </w:rPr>
        <w:tab/>
      </w:r>
      <w:r>
        <w:rPr>
          <w:rStyle w:val="SubtleEmphasis"/>
          <w:b/>
          <w:noProof/>
          <w:u w:val="single"/>
        </w:rPr>
        <w:t xml:space="preserve">Ключови етапи, цели, показатели и график за мониторинг и изпълнение на заема </w:t>
      </w:r>
    </w:p>
    <w:p w14:paraId="1CFFC85E" w14:textId="77777777" w:rsidR="006054AA" w:rsidRDefault="006054AA">
      <w:pPr>
        <w:spacing w:before="120" w:after="120"/>
        <w:ind w:left="709"/>
        <w:contextualSpacing/>
        <w:jc w:val="both"/>
        <w:rPr>
          <w:noProof/>
        </w:rPr>
        <w:sectPr w:rsidR="006054AA" w:rsidSect="001354D1">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19"/>
        <w:gridCol w:w="1134"/>
        <w:gridCol w:w="1719"/>
        <w:gridCol w:w="1586"/>
        <w:gridCol w:w="1094"/>
        <w:gridCol w:w="1290"/>
        <w:gridCol w:w="1194"/>
        <w:gridCol w:w="1003"/>
        <w:gridCol w:w="692"/>
        <w:gridCol w:w="4116"/>
      </w:tblGrid>
      <w:tr w:rsidR="006054AA" w:rsidRPr="00D504DC" w14:paraId="7BEA3FF8" w14:textId="77777777">
        <w:trPr>
          <w:trHeight w:val="591"/>
          <w:tblHeader/>
          <w:jc w:val="center"/>
        </w:trPr>
        <w:tc>
          <w:tcPr>
            <w:tcW w:w="1130" w:type="dxa"/>
            <w:vMerge w:val="restart"/>
            <w:shd w:val="clear" w:color="auto" w:fill="B8CCE4" w:themeFill="accent1" w:themeFillTint="66"/>
            <w:noWrap/>
            <w:vAlign w:val="center"/>
          </w:tcPr>
          <w:p w14:paraId="1BB6913F" w14:textId="77777777" w:rsidR="006054AA" w:rsidRPr="00D504DC" w:rsidRDefault="001F7667">
            <w:pPr>
              <w:pStyle w:val="P68B1DB1-Normal9"/>
              <w:jc w:val="center"/>
              <w:rPr>
                <w:noProof/>
                <w:sz w:val="16"/>
                <w:szCs w:val="16"/>
              </w:rPr>
            </w:pPr>
            <w:r w:rsidRPr="00D504DC">
              <w:rPr>
                <w:noProof/>
                <w:sz w:val="16"/>
                <w:szCs w:val="16"/>
              </w:rPr>
              <w:t>Пореден номер</w:t>
            </w:r>
          </w:p>
        </w:tc>
        <w:tc>
          <w:tcPr>
            <w:tcW w:w="1560" w:type="dxa"/>
            <w:vMerge w:val="restart"/>
            <w:shd w:val="clear" w:color="auto" w:fill="B8CCE4" w:themeFill="accent1" w:themeFillTint="66"/>
            <w:noWrap/>
            <w:vAlign w:val="center"/>
          </w:tcPr>
          <w:p w14:paraId="45EEE239" w14:textId="77777777" w:rsidR="006054AA" w:rsidRPr="00D504DC" w:rsidRDefault="001F7667">
            <w:pPr>
              <w:pStyle w:val="P68B1DB1-Normal9"/>
              <w:jc w:val="center"/>
              <w:rPr>
                <w:noProof/>
                <w:sz w:val="16"/>
                <w:szCs w:val="16"/>
              </w:rPr>
            </w:pPr>
            <w:r w:rsidRPr="00D504DC">
              <w:rPr>
                <w:noProof/>
                <w:sz w:val="16"/>
                <w:szCs w:val="16"/>
              </w:rPr>
              <w:t>Свързана мярка (реформа или инвестиции)</w:t>
            </w:r>
          </w:p>
        </w:tc>
        <w:tc>
          <w:tcPr>
            <w:tcW w:w="1134" w:type="dxa"/>
            <w:vMerge w:val="restart"/>
            <w:shd w:val="clear" w:color="auto" w:fill="B8CCE4" w:themeFill="accent1" w:themeFillTint="66"/>
            <w:noWrap/>
            <w:vAlign w:val="center"/>
          </w:tcPr>
          <w:p w14:paraId="7869715B" w14:textId="77777777" w:rsidR="006054AA" w:rsidRPr="00D504DC" w:rsidRDefault="001F7667">
            <w:pPr>
              <w:pStyle w:val="P68B1DB1-Normal9"/>
              <w:jc w:val="center"/>
              <w:rPr>
                <w:noProof/>
                <w:sz w:val="16"/>
                <w:szCs w:val="16"/>
              </w:rPr>
            </w:pPr>
            <w:r w:rsidRPr="00D504DC">
              <w:rPr>
                <w:noProof/>
                <w:sz w:val="16"/>
                <w:szCs w:val="16"/>
              </w:rPr>
              <w:t>Ключов етап/Цел</w:t>
            </w:r>
          </w:p>
        </w:tc>
        <w:tc>
          <w:tcPr>
            <w:tcW w:w="1559" w:type="dxa"/>
            <w:vMerge w:val="restart"/>
            <w:shd w:val="clear" w:color="auto" w:fill="B8CCE4" w:themeFill="accent1" w:themeFillTint="66"/>
            <w:noWrap/>
            <w:vAlign w:val="center"/>
          </w:tcPr>
          <w:p w14:paraId="002EA94C" w14:textId="77777777" w:rsidR="006054AA" w:rsidRPr="00D504DC" w:rsidRDefault="001F7667">
            <w:pPr>
              <w:pStyle w:val="P68B1DB1-Normal9"/>
              <w:jc w:val="center"/>
              <w:rPr>
                <w:noProof/>
                <w:sz w:val="16"/>
                <w:szCs w:val="16"/>
              </w:rPr>
            </w:pPr>
            <w:r w:rsidRPr="00D504DC">
              <w:rPr>
                <w:noProof/>
                <w:sz w:val="16"/>
                <w:szCs w:val="16"/>
              </w:rPr>
              <w:t>Име</w:t>
            </w:r>
          </w:p>
        </w:tc>
        <w:tc>
          <w:tcPr>
            <w:tcW w:w="1383" w:type="dxa"/>
            <w:vMerge w:val="restart"/>
            <w:shd w:val="clear" w:color="auto" w:fill="B8CCE4" w:themeFill="accent1" w:themeFillTint="66"/>
            <w:noWrap/>
            <w:vAlign w:val="center"/>
          </w:tcPr>
          <w:p w14:paraId="19217831" w14:textId="77777777" w:rsidR="006054AA" w:rsidRPr="00D504DC" w:rsidRDefault="001F7667">
            <w:pPr>
              <w:pStyle w:val="P68B1DB1-Normal10"/>
              <w:jc w:val="center"/>
              <w:rPr>
                <w:b/>
                <w:noProof/>
                <w:sz w:val="16"/>
                <w:szCs w:val="16"/>
              </w:rPr>
            </w:pPr>
            <w:r w:rsidRPr="00D504DC">
              <w:rPr>
                <w:b/>
                <w:noProof/>
                <w:sz w:val="16"/>
                <w:szCs w:val="16"/>
              </w:rPr>
              <w:t>Качествени индикатори</w:t>
            </w:r>
            <w:r w:rsidRPr="00D504DC">
              <w:rPr>
                <w:noProof/>
                <w:sz w:val="16"/>
                <w:szCs w:val="16"/>
              </w:rPr>
              <w:t xml:space="preserve"> </w:t>
            </w:r>
            <w:r w:rsidRPr="00D504DC">
              <w:rPr>
                <w:noProof/>
                <w:sz w:val="16"/>
                <w:szCs w:val="16"/>
              </w:rPr>
              <w:br/>
            </w:r>
            <w:r w:rsidRPr="00D504DC">
              <w:rPr>
                <w:b/>
                <w:noProof/>
                <w:sz w:val="16"/>
                <w:szCs w:val="16"/>
              </w:rPr>
              <w:t>(за ключовите етапи)</w:t>
            </w:r>
          </w:p>
        </w:tc>
        <w:tc>
          <w:tcPr>
            <w:tcW w:w="3578" w:type="dxa"/>
            <w:gridSpan w:val="3"/>
            <w:shd w:val="clear" w:color="auto" w:fill="B8CCE4" w:themeFill="accent1" w:themeFillTint="66"/>
            <w:noWrap/>
            <w:vAlign w:val="center"/>
          </w:tcPr>
          <w:p w14:paraId="340CB064" w14:textId="77777777" w:rsidR="006054AA" w:rsidRPr="00D504DC" w:rsidRDefault="001F7667">
            <w:pPr>
              <w:pStyle w:val="P68B1DB1-Normal10"/>
              <w:jc w:val="center"/>
              <w:rPr>
                <w:noProof/>
                <w:sz w:val="16"/>
                <w:szCs w:val="16"/>
              </w:rPr>
            </w:pPr>
            <w:r w:rsidRPr="00D504DC">
              <w:rPr>
                <w:b/>
                <w:noProof/>
                <w:sz w:val="16"/>
                <w:szCs w:val="16"/>
              </w:rPr>
              <w:t>Количествени индикатори</w:t>
            </w:r>
            <w:r w:rsidRPr="00D504DC">
              <w:rPr>
                <w:noProof/>
                <w:sz w:val="16"/>
                <w:szCs w:val="16"/>
              </w:rPr>
              <w:t xml:space="preserve"> </w:t>
            </w:r>
            <w:r w:rsidRPr="00D504DC">
              <w:rPr>
                <w:noProof/>
                <w:sz w:val="16"/>
                <w:szCs w:val="16"/>
              </w:rPr>
              <w:br/>
            </w:r>
            <w:r w:rsidRPr="00D504DC">
              <w:rPr>
                <w:b/>
                <w:noProof/>
                <w:sz w:val="16"/>
                <w:szCs w:val="16"/>
              </w:rPr>
              <w:t>(за целите)</w:t>
            </w:r>
          </w:p>
        </w:tc>
        <w:tc>
          <w:tcPr>
            <w:tcW w:w="1554" w:type="dxa"/>
            <w:gridSpan w:val="2"/>
            <w:shd w:val="clear" w:color="auto" w:fill="B8CCE4" w:themeFill="accent1" w:themeFillTint="66"/>
            <w:noWrap/>
            <w:vAlign w:val="center"/>
          </w:tcPr>
          <w:p w14:paraId="65D7C433" w14:textId="77777777" w:rsidR="006054AA" w:rsidRPr="00D504DC" w:rsidRDefault="001F7667">
            <w:pPr>
              <w:pStyle w:val="P68B1DB1-Normal9"/>
              <w:jc w:val="center"/>
              <w:rPr>
                <w:noProof/>
                <w:sz w:val="16"/>
                <w:szCs w:val="16"/>
              </w:rPr>
            </w:pPr>
            <w:r w:rsidRPr="00D504DC">
              <w:rPr>
                <w:noProof/>
                <w:sz w:val="16"/>
                <w:szCs w:val="16"/>
              </w:rPr>
              <w:t>Примерен график за приключване</w:t>
            </w:r>
          </w:p>
        </w:tc>
        <w:tc>
          <w:tcPr>
            <w:tcW w:w="4116" w:type="dxa"/>
            <w:vMerge w:val="restart"/>
            <w:shd w:val="clear" w:color="auto" w:fill="B8CCE4" w:themeFill="accent1" w:themeFillTint="66"/>
            <w:noWrap/>
            <w:vAlign w:val="center"/>
          </w:tcPr>
          <w:p w14:paraId="218EBCB5" w14:textId="77777777" w:rsidR="006054AA" w:rsidRPr="00D504DC" w:rsidRDefault="001F7667">
            <w:pPr>
              <w:pStyle w:val="P68B1DB1-Normal9"/>
              <w:jc w:val="center"/>
              <w:rPr>
                <w:noProof/>
                <w:sz w:val="16"/>
                <w:szCs w:val="16"/>
              </w:rPr>
            </w:pPr>
            <w:r w:rsidRPr="00D504DC">
              <w:rPr>
                <w:noProof/>
                <w:sz w:val="16"/>
                <w:szCs w:val="16"/>
              </w:rPr>
              <w:t>Описание на всеки ключов етап и цел</w:t>
            </w:r>
          </w:p>
        </w:tc>
      </w:tr>
      <w:tr w:rsidR="006054AA" w:rsidRPr="00D504DC" w14:paraId="213CAAFE" w14:textId="77777777">
        <w:trPr>
          <w:trHeight w:val="591"/>
          <w:tblHeader/>
          <w:jc w:val="center"/>
        </w:trPr>
        <w:tc>
          <w:tcPr>
            <w:tcW w:w="1130" w:type="dxa"/>
            <w:vMerge/>
            <w:noWrap/>
            <w:vAlign w:val="center"/>
          </w:tcPr>
          <w:p w14:paraId="64A51397" w14:textId="77777777" w:rsidR="006054AA" w:rsidRPr="00D504DC" w:rsidRDefault="006054AA">
            <w:pPr>
              <w:jc w:val="center"/>
              <w:rPr>
                <w:rFonts w:ascii="Arial Narrow" w:hAnsi="Arial Narrow"/>
                <w:b/>
                <w:noProof/>
                <w:sz w:val="16"/>
                <w:szCs w:val="16"/>
              </w:rPr>
            </w:pPr>
          </w:p>
        </w:tc>
        <w:tc>
          <w:tcPr>
            <w:tcW w:w="1560" w:type="dxa"/>
            <w:vMerge/>
            <w:noWrap/>
            <w:vAlign w:val="center"/>
          </w:tcPr>
          <w:p w14:paraId="2BED637F" w14:textId="77777777" w:rsidR="006054AA" w:rsidRPr="00D504DC" w:rsidRDefault="006054AA">
            <w:pPr>
              <w:jc w:val="center"/>
              <w:rPr>
                <w:rFonts w:ascii="Arial Narrow" w:hAnsi="Arial Narrow"/>
                <w:b/>
                <w:noProof/>
                <w:sz w:val="16"/>
                <w:szCs w:val="16"/>
              </w:rPr>
            </w:pPr>
          </w:p>
        </w:tc>
        <w:tc>
          <w:tcPr>
            <w:tcW w:w="1134" w:type="dxa"/>
            <w:vMerge/>
            <w:noWrap/>
            <w:vAlign w:val="center"/>
          </w:tcPr>
          <w:p w14:paraId="4D0EB83B" w14:textId="77777777" w:rsidR="006054AA" w:rsidRPr="00D504DC" w:rsidRDefault="006054AA">
            <w:pPr>
              <w:jc w:val="center"/>
              <w:rPr>
                <w:rFonts w:ascii="Arial Narrow" w:hAnsi="Arial Narrow"/>
                <w:b/>
                <w:noProof/>
                <w:sz w:val="16"/>
                <w:szCs w:val="16"/>
              </w:rPr>
            </w:pPr>
          </w:p>
        </w:tc>
        <w:tc>
          <w:tcPr>
            <w:tcW w:w="1559" w:type="dxa"/>
            <w:vMerge/>
            <w:noWrap/>
            <w:vAlign w:val="center"/>
          </w:tcPr>
          <w:p w14:paraId="48BE9902" w14:textId="77777777" w:rsidR="006054AA" w:rsidRPr="00D504DC" w:rsidRDefault="006054AA">
            <w:pPr>
              <w:jc w:val="center"/>
              <w:rPr>
                <w:rFonts w:ascii="Arial Narrow" w:hAnsi="Arial Narrow"/>
                <w:b/>
                <w:noProof/>
                <w:sz w:val="16"/>
                <w:szCs w:val="16"/>
              </w:rPr>
            </w:pPr>
          </w:p>
        </w:tc>
        <w:tc>
          <w:tcPr>
            <w:tcW w:w="1383" w:type="dxa"/>
            <w:vMerge/>
            <w:noWrap/>
            <w:vAlign w:val="center"/>
          </w:tcPr>
          <w:p w14:paraId="5300B8F1" w14:textId="77777777" w:rsidR="006054AA" w:rsidRPr="00D504DC" w:rsidRDefault="006054AA">
            <w:pPr>
              <w:jc w:val="center"/>
              <w:rPr>
                <w:rFonts w:ascii="Arial Narrow" w:hAnsi="Arial Narrow"/>
                <w:b/>
                <w:noProof/>
                <w:sz w:val="16"/>
                <w:szCs w:val="16"/>
              </w:rPr>
            </w:pPr>
          </w:p>
        </w:tc>
        <w:tc>
          <w:tcPr>
            <w:tcW w:w="1094" w:type="dxa"/>
            <w:shd w:val="clear" w:color="auto" w:fill="B8CCE4" w:themeFill="accent1" w:themeFillTint="66"/>
            <w:noWrap/>
            <w:vAlign w:val="center"/>
          </w:tcPr>
          <w:p w14:paraId="5DC3DFDF" w14:textId="77777777" w:rsidR="006054AA" w:rsidRPr="00D504DC" w:rsidRDefault="001F7667">
            <w:pPr>
              <w:pStyle w:val="P68B1DB1-Normal9"/>
              <w:jc w:val="center"/>
              <w:rPr>
                <w:noProof/>
                <w:sz w:val="16"/>
                <w:szCs w:val="16"/>
              </w:rPr>
            </w:pPr>
            <w:r w:rsidRPr="00D504DC">
              <w:rPr>
                <w:noProof/>
                <w:sz w:val="16"/>
                <w:szCs w:val="16"/>
              </w:rPr>
              <w:t>Единица мярка</w:t>
            </w:r>
          </w:p>
        </w:tc>
        <w:tc>
          <w:tcPr>
            <w:tcW w:w="1290" w:type="dxa"/>
            <w:shd w:val="clear" w:color="auto" w:fill="B8CCE4" w:themeFill="accent1" w:themeFillTint="66"/>
            <w:vAlign w:val="center"/>
          </w:tcPr>
          <w:p w14:paraId="3E70648C" w14:textId="77777777" w:rsidR="006054AA" w:rsidRPr="00D504DC" w:rsidRDefault="001F7667">
            <w:pPr>
              <w:pStyle w:val="P68B1DB1-Normal9"/>
              <w:jc w:val="center"/>
              <w:rPr>
                <w:noProof/>
                <w:sz w:val="16"/>
                <w:szCs w:val="16"/>
              </w:rPr>
            </w:pPr>
            <w:r w:rsidRPr="00D504DC">
              <w:rPr>
                <w:noProof/>
                <w:sz w:val="16"/>
                <w:szCs w:val="16"/>
              </w:rPr>
              <w:t>Базова линия</w:t>
            </w:r>
          </w:p>
        </w:tc>
        <w:tc>
          <w:tcPr>
            <w:tcW w:w="1194" w:type="dxa"/>
            <w:shd w:val="clear" w:color="auto" w:fill="B8CCE4" w:themeFill="accent1" w:themeFillTint="66"/>
            <w:vAlign w:val="center"/>
          </w:tcPr>
          <w:p w14:paraId="78CE3655" w14:textId="77777777" w:rsidR="006054AA" w:rsidRPr="00D504DC" w:rsidRDefault="001F7667">
            <w:pPr>
              <w:pStyle w:val="P68B1DB1-Normal9"/>
              <w:jc w:val="center"/>
              <w:rPr>
                <w:noProof/>
                <w:sz w:val="16"/>
                <w:szCs w:val="16"/>
              </w:rPr>
            </w:pPr>
            <w:r w:rsidRPr="00D504DC">
              <w:rPr>
                <w:noProof/>
                <w:sz w:val="16"/>
                <w:szCs w:val="16"/>
              </w:rPr>
              <w:t>Цел</w:t>
            </w:r>
          </w:p>
        </w:tc>
        <w:tc>
          <w:tcPr>
            <w:tcW w:w="916" w:type="dxa"/>
            <w:shd w:val="clear" w:color="auto" w:fill="B8CCE4" w:themeFill="accent1" w:themeFillTint="66"/>
            <w:noWrap/>
            <w:vAlign w:val="center"/>
          </w:tcPr>
          <w:p w14:paraId="1A07552A" w14:textId="77777777" w:rsidR="006054AA" w:rsidRPr="00D504DC" w:rsidRDefault="001F7667">
            <w:pPr>
              <w:pStyle w:val="P68B1DB1-Normal9"/>
              <w:jc w:val="center"/>
              <w:rPr>
                <w:noProof/>
                <w:sz w:val="16"/>
                <w:szCs w:val="16"/>
              </w:rPr>
            </w:pPr>
            <w:r w:rsidRPr="00D504DC">
              <w:rPr>
                <w:noProof/>
                <w:sz w:val="16"/>
                <w:szCs w:val="16"/>
              </w:rPr>
              <w:t>Тримесечие</w:t>
            </w:r>
          </w:p>
        </w:tc>
        <w:tc>
          <w:tcPr>
            <w:tcW w:w="638" w:type="dxa"/>
            <w:shd w:val="clear" w:color="auto" w:fill="B8CCE4" w:themeFill="accent1" w:themeFillTint="66"/>
            <w:vAlign w:val="center"/>
          </w:tcPr>
          <w:p w14:paraId="265AF085" w14:textId="77777777" w:rsidR="006054AA" w:rsidRPr="00D504DC" w:rsidRDefault="001F7667">
            <w:pPr>
              <w:pStyle w:val="P68B1DB1-Normal9"/>
              <w:jc w:val="center"/>
              <w:rPr>
                <w:noProof/>
                <w:sz w:val="16"/>
                <w:szCs w:val="16"/>
              </w:rPr>
            </w:pPr>
            <w:r w:rsidRPr="00D504DC">
              <w:rPr>
                <w:noProof/>
                <w:sz w:val="16"/>
                <w:szCs w:val="16"/>
              </w:rPr>
              <w:t>Година</w:t>
            </w:r>
          </w:p>
        </w:tc>
        <w:tc>
          <w:tcPr>
            <w:tcW w:w="4116" w:type="dxa"/>
            <w:vMerge/>
            <w:noWrap/>
            <w:vAlign w:val="center"/>
          </w:tcPr>
          <w:p w14:paraId="09C9E401" w14:textId="77777777" w:rsidR="006054AA" w:rsidRPr="00D504DC" w:rsidRDefault="006054AA">
            <w:pPr>
              <w:rPr>
                <w:rFonts w:ascii="Arial Narrow" w:hAnsi="Arial Narrow"/>
                <w:noProof/>
                <w:sz w:val="16"/>
                <w:szCs w:val="16"/>
              </w:rPr>
            </w:pPr>
          </w:p>
        </w:tc>
      </w:tr>
      <w:tr w:rsidR="006054AA" w:rsidRPr="00D504DC" w14:paraId="29FF7F2F" w14:textId="77777777">
        <w:trPr>
          <w:trHeight w:val="313"/>
          <w:jc w:val="center"/>
        </w:trPr>
        <w:tc>
          <w:tcPr>
            <w:tcW w:w="1130" w:type="dxa"/>
            <w:shd w:val="clear" w:color="auto" w:fill="C6EFCE"/>
            <w:noWrap/>
            <w:vAlign w:val="center"/>
          </w:tcPr>
          <w:p w14:paraId="03127FE8" w14:textId="2EF9EA00" w:rsidR="006054AA" w:rsidRPr="00D504DC" w:rsidRDefault="001F7667">
            <w:pPr>
              <w:pStyle w:val="P68B1DB1-Normal11"/>
              <w:spacing w:line="276" w:lineRule="auto"/>
              <w:jc w:val="center"/>
              <w:rPr>
                <w:noProof/>
                <w:sz w:val="16"/>
                <w:szCs w:val="16"/>
              </w:rPr>
            </w:pPr>
            <w:r w:rsidRPr="00D504DC">
              <w:rPr>
                <w:noProof/>
                <w:sz w:val="16"/>
                <w:szCs w:val="16"/>
              </w:rPr>
              <w:t>M2C4—6</w:t>
            </w:r>
          </w:p>
        </w:tc>
        <w:tc>
          <w:tcPr>
            <w:tcW w:w="1560" w:type="dxa"/>
            <w:shd w:val="clear" w:color="auto" w:fill="C6EFCE"/>
            <w:noWrap/>
            <w:vAlign w:val="center"/>
          </w:tcPr>
          <w:p w14:paraId="77C1A77E" w14:textId="4492BB52" w:rsidR="006054AA" w:rsidRPr="00D504DC" w:rsidRDefault="001F7667">
            <w:pPr>
              <w:pStyle w:val="P68B1DB1-Normal11"/>
              <w:spacing w:line="276" w:lineRule="auto"/>
              <w:jc w:val="center"/>
              <w:rPr>
                <w:noProof/>
                <w:sz w:val="16"/>
                <w:szCs w:val="16"/>
              </w:rPr>
            </w:pPr>
            <w:r w:rsidRPr="00D504DC">
              <w:rPr>
                <w:noProof/>
                <w:sz w:val="16"/>
                <w:szCs w:val="16"/>
              </w:rPr>
              <w:t>Инвестиция 3.2: Цифровизация на националните паркове</w:t>
            </w:r>
          </w:p>
        </w:tc>
        <w:tc>
          <w:tcPr>
            <w:tcW w:w="1134" w:type="dxa"/>
            <w:shd w:val="clear" w:color="auto" w:fill="C6EFCE"/>
            <w:noWrap/>
            <w:vAlign w:val="center"/>
          </w:tcPr>
          <w:p w14:paraId="5B43802A" w14:textId="4C2910E8"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tcPr>
          <w:p w14:paraId="4798B1AF" w14:textId="78BB387C" w:rsidR="006054AA" w:rsidRPr="00D504DC" w:rsidRDefault="001F7667">
            <w:pPr>
              <w:pStyle w:val="P68B1DB1-Normal11"/>
              <w:spacing w:line="276" w:lineRule="auto"/>
              <w:jc w:val="center"/>
              <w:rPr>
                <w:noProof/>
                <w:sz w:val="16"/>
                <w:szCs w:val="16"/>
              </w:rPr>
            </w:pPr>
            <w:r w:rsidRPr="00D504DC">
              <w:rPr>
                <w:noProof/>
                <w:sz w:val="16"/>
                <w:szCs w:val="16"/>
              </w:rPr>
              <w:t>Административно опростяване и развитие на цифровите услуги за посетителите на национални паркове и защитени морски зони</w:t>
            </w:r>
          </w:p>
        </w:tc>
        <w:tc>
          <w:tcPr>
            <w:tcW w:w="1383" w:type="dxa"/>
            <w:shd w:val="clear" w:color="auto" w:fill="C6EFCE"/>
            <w:noWrap/>
            <w:vAlign w:val="center"/>
          </w:tcPr>
          <w:p w14:paraId="47E56C07" w14:textId="17A086CD"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tcPr>
          <w:p w14:paraId="476E2022" w14:textId="04602C16" w:rsidR="006054AA" w:rsidRPr="00D504DC" w:rsidRDefault="001F7667">
            <w:pPr>
              <w:pStyle w:val="P68B1DB1-Normal11"/>
              <w:spacing w:line="276" w:lineRule="auto"/>
              <w:jc w:val="center"/>
              <w:rPr>
                <w:noProof/>
                <w:sz w:val="16"/>
                <w:szCs w:val="16"/>
              </w:rPr>
            </w:pPr>
            <w:r w:rsidRPr="00D504DC">
              <w:rPr>
                <w:noProof/>
                <w:sz w:val="16"/>
                <w:szCs w:val="16"/>
              </w:rPr>
              <w:t>Проценти</w:t>
            </w:r>
          </w:p>
        </w:tc>
        <w:tc>
          <w:tcPr>
            <w:tcW w:w="1290" w:type="dxa"/>
            <w:shd w:val="clear" w:color="auto" w:fill="C6EFCE"/>
            <w:noWrap/>
            <w:vAlign w:val="center"/>
          </w:tcPr>
          <w:p w14:paraId="66D39F27" w14:textId="7887F1A6"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tcPr>
          <w:p w14:paraId="5F8D7D19" w14:textId="124E6D36" w:rsidR="006054AA" w:rsidRPr="00D504DC" w:rsidRDefault="001F7667">
            <w:pPr>
              <w:pStyle w:val="P68B1DB1-Normal11"/>
              <w:spacing w:line="276" w:lineRule="auto"/>
              <w:jc w:val="center"/>
              <w:rPr>
                <w:noProof/>
                <w:sz w:val="16"/>
                <w:szCs w:val="16"/>
              </w:rPr>
            </w:pPr>
            <w:r w:rsidRPr="00D504DC">
              <w:rPr>
                <w:noProof/>
                <w:sz w:val="16"/>
                <w:szCs w:val="16"/>
              </w:rPr>
              <w:t>70</w:t>
            </w:r>
          </w:p>
        </w:tc>
        <w:tc>
          <w:tcPr>
            <w:tcW w:w="916" w:type="dxa"/>
            <w:shd w:val="clear" w:color="auto" w:fill="C6EFCE"/>
            <w:noWrap/>
            <w:vAlign w:val="center"/>
          </w:tcPr>
          <w:p w14:paraId="5205116E" w14:textId="65C0667D" w:rsidR="006054AA" w:rsidRPr="00D504DC" w:rsidRDefault="001F7667">
            <w:pPr>
              <w:pStyle w:val="P68B1DB1-Normal11"/>
              <w:spacing w:line="276" w:lineRule="auto"/>
              <w:jc w:val="center"/>
              <w:rPr>
                <w:noProof/>
                <w:sz w:val="16"/>
                <w:szCs w:val="16"/>
              </w:rPr>
            </w:pPr>
            <w:r w:rsidRPr="00D504DC">
              <w:rPr>
                <w:noProof/>
                <w:sz w:val="16"/>
                <w:szCs w:val="16"/>
              </w:rPr>
              <w:t>Т2 Г.</w:t>
            </w:r>
          </w:p>
        </w:tc>
        <w:tc>
          <w:tcPr>
            <w:tcW w:w="638" w:type="dxa"/>
            <w:shd w:val="clear" w:color="auto" w:fill="C6EFCE"/>
            <w:noWrap/>
            <w:vAlign w:val="center"/>
          </w:tcPr>
          <w:p w14:paraId="277A91A3" w14:textId="2128BA41"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shd w:val="clear" w:color="auto" w:fill="C6EFCE"/>
            <w:noWrap/>
            <w:vAlign w:val="center"/>
          </w:tcPr>
          <w:p w14:paraId="2431EA8A" w14:textId="4172F6D7" w:rsidR="006054AA" w:rsidRPr="00D504DC" w:rsidRDefault="001F7667">
            <w:pPr>
              <w:pStyle w:val="P68B1DB1-Normal11"/>
              <w:spacing w:line="276" w:lineRule="auto"/>
              <w:rPr>
                <w:noProof/>
                <w:sz w:val="16"/>
                <w:szCs w:val="16"/>
              </w:rPr>
            </w:pPr>
            <w:r w:rsidRPr="00D504DC">
              <w:rPr>
                <w:noProof/>
                <w:sz w:val="16"/>
                <w:szCs w:val="16"/>
              </w:rPr>
              <w:t>Най-малко 70 % от националните паркове и защитените морски зони са разработили цифрови услуги за посетители на национални паркове и защитени морски зони (най-малко две от които: връзката с портала Naturitalia.IT; заявление за административни процедури или приложение за устойчива мобилност).</w:t>
            </w:r>
          </w:p>
        </w:tc>
      </w:tr>
      <w:tr w:rsidR="006054AA" w:rsidRPr="00D504DC" w14:paraId="19098CD3" w14:textId="77777777">
        <w:trPr>
          <w:trHeight w:val="313"/>
          <w:jc w:val="center"/>
        </w:trPr>
        <w:tc>
          <w:tcPr>
            <w:tcW w:w="1130" w:type="dxa"/>
            <w:shd w:val="clear" w:color="auto" w:fill="C6EFCE"/>
            <w:noWrap/>
            <w:vAlign w:val="center"/>
            <w:hideMark/>
          </w:tcPr>
          <w:p w14:paraId="2F78A7B1" w14:textId="77777777" w:rsidR="006054AA" w:rsidRPr="00D504DC" w:rsidRDefault="001F7667">
            <w:pPr>
              <w:pStyle w:val="P68B1DB1-Normal11"/>
              <w:spacing w:line="276" w:lineRule="auto"/>
              <w:jc w:val="center"/>
              <w:rPr>
                <w:noProof/>
                <w:sz w:val="16"/>
                <w:szCs w:val="16"/>
              </w:rPr>
            </w:pPr>
            <w:r w:rsidRPr="00D504DC">
              <w:rPr>
                <w:noProof/>
                <w:sz w:val="16"/>
                <w:szCs w:val="16"/>
              </w:rPr>
              <w:t>M2C4—7</w:t>
            </w:r>
          </w:p>
        </w:tc>
        <w:tc>
          <w:tcPr>
            <w:tcW w:w="1560" w:type="dxa"/>
            <w:shd w:val="clear" w:color="auto" w:fill="C6EFCE"/>
            <w:noWrap/>
            <w:vAlign w:val="center"/>
          </w:tcPr>
          <w:p w14:paraId="42C60DD6" w14:textId="77777777" w:rsidR="006054AA" w:rsidRPr="00D504DC" w:rsidRDefault="001F7667">
            <w:pPr>
              <w:pStyle w:val="P68B1DB1-Normal11"/>
              <w:spacing w:line="276" w:lineRule="auto"/>
              <w:jc w:val="center"/>
              <w:rPr>
                <w:noProof/>
                <w:sz w:val="16"/>
                <w:szCs w:val="16"/>
              </w:rPr>
            </w:pPr>
            <w:r w:rsidRPr="00D504DC">
              <w:rPr>
                <w:noProof/>
                <w:sz w:val="16"/>
                <w:szCs w:val="16"/>
              </w:rPr>
              <w:t>Реформа 3.1: Приемане на национални програми за контрол на замърсяването на въздуха</w:t>
            </w:r>
          </w:p>
        </w:tc>
        <w:tc>
          <w:tcPr>
            <w:tcW w:w="1134" w:type="dxa"/>
            <w:shd w:val="clear" w:color="auto" w:fill="C6EFCE"/>
            <w:noWrap/>
            <w:vAlign w:val="center"/>
            <w:hideMark/>
          </w:tcPr>
          <w:p w14:paraId="430DB118"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tcPr>
          <w:p w14:paraId="7F4FC433" w14:textId="77777777" w:rsidR="006054AA" w:rsidRPr="00D504DC" w:rsidRDefault="001F7667">
            <w:pPr>
              <w:pStyle w:val="P68B1DB1-Normal11"/>
              <w:spacing w:line="276" w:lineRule="auto"/>
              <w:jc w:val="center"/>
              <w:rPr>
                <w:noProof/>
                <w:sz w:val="16"/>
                <w:szCs w:val="16"/>
              </w:rPr>
            </w:pPr>
            <w:r w:rsidRPr="00D504DC">
              <w:rPr>
                <w:noProof/>
                <w:sz w:val="16"/>
                <w:szCs w:val="16"/>
              </w:rPr>
              <w:t>Влизане в сила на национална програма за контрол на замърсяването на въздуха</w:t>
            </w:r>
          </w:p>
        </w:tc>
        <w:tc>
          <w:tcPr>
            <w:tcW w:w="1383" w:type="dxa"/>
            <w:shd w:val="clear" w:color="auto" w:fill="C6EFCE"/>
            <w:noWrap/>
            <w:vAlign w:val="center"/>
            <w:hideMark/>
          </w:tcPr>
          <w:p w14:paraId="3226DA9B" w14:textId="77777777" w:rsidR="006054AA" w:rsidRPr="00D504DC" w:rsidRDefault="001F7667">
            <w:pPr>
              <w:pStyle w:val="P68B1DB1-Normal11"/>
              <w:spacing w:line="276" w:lineRule="auto"/>
              <w:jc w:val="center"/>
              <w:rPr>
                <w:noProof/>
                <w:sz w:val="16"/>
                <w:szCs w:val="16"/>
              </w:rPr>
            </w:pPr>
            <w:r w:rsidRPr="00D504DC">
              <w:rPr>
                <w:noProof/>
                <w:sz w:val="16"/>
                <w:szCs w:val="16"/>
              </w:rPr>
              <w:t>Разпоредба в DPCM, указваща влизането в сила</w:t>
            </w:r>
          </w:p>
        </w:tc>
        <w:tc>
          <w:tcPr>
            <w:tcW w:w="1094" w:type="dxa"/>
            <w:shd w:val="clear" w:color="auto" w:fill="C6EFCE"/>
            <w:noWrap/>
            <w:vAlign w:val="center"/>
            <w:hideMark/>
          </w:tcPr>
          <w:p w14:paraId="179D2C60"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tcPr>
          <w:p w14:paraId="03BC1DF8" w14:textId="77777777" w:rsidR="006054AA" w:rsidRPr="00D504DC" w:rsidRDefault="001F7667">
            <w:pPr>
              <w:pStyle w:val="P68B1DB1-Normal11"/>
              <w:spacing w:line="276" w:lineRule="auto"/>
              <w:jc w:val="center"/>
              <w:rPr>
                <w:noProof/>
                <w:sz w:val="16"/>
                <w:szCs w:val="16"/>
              </w:rPr>
            </w:pPr>
            <w:r w:rsidRPr="00D504DC">
              <w:rPr>
                <w:noProof/>
                <w:sz w:val="16"/>
                <w:szCs w:val="16"/>
              </w:rPr>
              <w:t>Н.А.</w:t>
            </w:r>
          </w:p>
        </w:tc>
        <w:tc>
          <w:tcPr>
            <w:tcW w:w="1194" w:type="dxa"/>
            <w:shd w:val="clear" w:color="auto" w:fill="C6EFCE"/>
            <w:noWrap/>
            <w:vAlign w:val="center"/>
          </w:tcPr>
          <w:p w14:paraId="62D66452"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916" w:type="dxa"/>
            <w:shd w:val="clear" w:color="auto" w:fill="C6EFCE"/>
            <w:noWrap/>
            <w:vAlign w:val="center"/>
            <w:hideMark/>
          </w:tcPr>
          <w:p w14:paraId="55D38497"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2E9276CA" w14:textId="77777777" w:rsidR="006054AA" w:rsidRPr="00D504DC" w:rsidRDefault="001F7667">
            <w:pPr>
              <w:pStyle w:val="P68B1DB1-Normal11"/>
              <w:spacing w:line="276" w:lineRule="auto"/>
              <w:jc w:val="center"/>
              <w:rPr>
                <w:noProof/>
                <w:sz w:val="16"/>
                <w:szCs w:val="16"/>
              </w:rPr>
            </w:pPr>
            <w:r w:rsidRPr="00D504DC">
              <w:rPr>
                <w:noProof/>
                <w:sz w:val="16"/>
                <w:szCs w:val="16"/>
              </w:rPr>
              <w:t>2021</w:t>
            </w:r>
          </w:p>
        </w:tc>
        <w:tc>
          <w:tcPr>
            <w:tcW w:w="4116" w:type="dxa"/>
            <w:shd w:val="clear" w:color="auto" w:fill="C6EFCE"/>
            <w:noWrap/>
            <w:vAlign w:val="center"/>
            <w:hideMark/>
          </w:tcPr>
          <w:p w14:paraId="43E3E65E" w14:textId="72747171" w:rsidR="006054AA" w:rsidRPr="00D504DC" w:rsidRDefault="001F7667">
            <w:pPr>
              <w:pStyle w:val="P68B1DB1-Normal11"/>
              <w:spacing w:line="276" w:lineRule="auto"/>
              <w:rPr>
                <w:noProof/>
                <w:sz w:val="16"/>
                <w:szCs w:val="16"/>
              </w:rPr>
            </w:pPr>
            <w:r w:rsidRPr="00D504DC">
              <w:rPr>
                <w:noProof/>
                <w:sz w:val="16"/>
                <w:szCs w:val="16"/>
              </w:rPr>
              <w:t>С Постановлението на председателя на Министерския съвет (DPCM) се определя национална програма за контрол на замърсяването на въздуха, с която се въвеждат подходящи мерки за намаляване на замърсяването на въздуха в съответствие с Директива 2016/2284 на ЕС и Законодателен декрет № 81 от 30 май 2018 г., с който се транспонира тази директива.</w:t>
            </w:r>
          </w:p>
        </w:tc>
      </w:tr>
      <w:tr w:rsidR="006054AA" w:rsidRPr="00D504DC" w14:paraId="20C0C50E" w14:textId="77777777">
        <w:trPr>
          <w:trHeight w:val="313"/>
          <w:jc w:val="center"/>
        </w:trPr>
        <w:tc>
          <w:tcPr>
            <w:tcW w:w="1130" w:type="dxa"/>
            <w:shd w:val="clear" w:color="auto" w:fill="C6EFCE"/>
            <w:noWrap/>
            <w:vAlign w:val="center"/>
            <w:hideMark/>
          </w:tcPr>
          <w:p w14:paraId="1E6C4AFA" w14:textId="77777777" w:rsidR="006054AA" w:rsidRPr="00D504DC" w:rsidRDefault="001F7667">
            <w:pPr>
              <w:pStyle w:val="P68B1DB1-Normal11"/>
              <w:spacing w:line="276" w:lineRule="auto"/>
              <w:jc w:val="center"/>
              <w:rPr>
                <w:noProof/>
                <w:sz w:val="16"/>
                <w:szCs w:val="16"/>
              </w:rPr>
            </w:pPr>
            <w:r w:rsidRPr="00D504DC">
              <w:rPr>
                <w:noProof/>
                <w:sz w:val="16"/>
                <w:szCs w:val="16"/>
              </w:rPr>
              <w:t>M2C4—8</w:t>
            </w:r>
          </w:p>
        </w:tc>
        <w:tc>
          <w:tcPr>
            <w:tcW w:w="1560" w:type="dxa"/>
            <w:shd w:val="clear" w:color="auto" w:fill="C6EFCE"/>
            <w:noWrap/>
            <w:vAlign w:val="center"/>
          </w:tcPr>
          <w:p w14:paraId="3B8527DF"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1.1. Въвеждане на усъвършенствана и интегрирана система за мониторинг и прогнозиране</w:t>
            </w:r>
          </w:p>
        </w:tc>
        <w:tc>
          <w:tcPr>
            <w:tcW w:w="1134" w:type="dxa"/>
            <w:shd w:val="clear" w:color="auto" w:fill="C6EFCE"/>
            <w:noWrap/>
            <w:vAlign w:val="center"/>
            <w:hideMark/>
          </w:tcPr>
          <w:p w14:paraId="7E5761B0"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tcPr>
          <w:p w14:paraId="61B923C7" w14:textId="20246E9E" w:rsidR="006054AA" w:rsidRPr="00D504DC" w:rsidRDefault="001F7667">
            <w:pPr>
              <w:pStyle w:val="P68B1DB1-Normal11"/>
              <w:spacing w:line="276" w:lineRule="auto"/>
              <w:jc w:val="center"/>
              <w:rPr>
                <w:noProof/>
                <w:sz w:val="16"/>
                <w:szCs w:val="16"/>
              </w:rPr>
            </w:pPr>
            <w:r w:rsidRPr="00D504DC">
              <w:rPr>
                <w:noProof/>
                <w:sz w:val="16"/>
                <w:szCs w:val="16"/>
              </w:rPr>
              <w:t>Оперативен план за усъвършенствана и интегрирана система за наблюдение и прогнозиране с цел идентифициране на хидроложките рискове</w:t>
            </w:r>
          </w:p>
        </w:tc>
        <w:tc>
          <w:tcPr>
            <w:tcW w:w="1383" w:type="dxa"/>
            <w:shd w:val="clear" w:color="auto" w:fill="C6EFCE"/>
            <w:noWrap/>
            <w:vAlign w:val="center"/>
            <w:hideMark/>
          </w:tcPr>
          <w:p w14:paraId="169E647C" w14:textId="77777777" w:rsidR="006054AA" w:rsidRPr="00D504DC" w:rsidRDefault="001F7667">
            <w:pPr>
              <w:pStyle w:val="P68B1DB1-Normal11"/>
              <w:spacing w:line="276" w:lineRule="auto"/>
              <w:jc w:val="center"/>
              <w:rPr>
                <w:noProof/>
                <w:sz w:val="16"/>
                <w:szCs w:val="16"/>
              </w:rPr>
            </w:pPr>
            <w:r w:rsidRPr="00D504DC">
              <w:rPr>
                <w:noProof/>
                <w:sz w:val="16"/>
                <w:szCs w:val="16"/>
              </w:rPr>
              <w:t>Разпоредба в министерското постановление, указваща влизането в сила</w:t>
            </w:r>
          </w:p>
        </w:tc>
        <w:tc>
          <w:tcPr>
            <w:tcW w:w="1094" w:type="dxa"/>
            <w:shd w:val="clear" w:color="auto" w:fill="C6EFCE"/>
            <w:noWrap/>
            <w:vAlign w:val="center"/>
            <w:hideMark/>
          </w:tcPr>
          <w:p w14:paraId="55819EB2"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tcPr>
          <w:p w14:paraId="68B1EE99"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194" w:type="dxa"/>
            <w:shd w:val="clear" w:color="auto" w:fill="C6EFCE"/>
            <w:noWrap/>
            <w:vAlign w:val="center"/>
          </w:tcPr>
          <w:p w14:paraId="0D1B5EEB"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916" w:type="dxa"/>
            <w:shd w:val="clear" w:color="auto" w:fill="C6EFCE"/>
            <w:noWrap/>
            <w:vAlign w:val="center"/>
            <w:hideMark/>
          </w:tcPr>
          <w:p w14:paraId="6E151018" w14:textId="77777777" w:rsidR="006054AA" w:rsidRPr="00D504DC" w:rsidRDefault="001F7667">
            <w:pPr>
              <w:pStyle w:val="P68B1DB1-Normal11"/>
              <w:spacing w:line="276" w:lineRule="auto"/>
              <w:jc w:val="center"/>
              <w:rPr>
                <w:noProof/>
                <w:sz w:val="16"/>
                <w:szCs w:val="16"/>
              </w:rPr>
            </w:pPr>
            <w:r w:rsidRPr="00D504DC">
              <w:rPr>
                <w:noProof/>
                <w:sz w:val="16"/>
                <w:szCs w:val="16"/>
              </w:rPr>
              <w:t>Т3 Г.</w:t>
            </w:r>
          </w:p>
        </w:tc>
        <w:tc>
          <w:tcPr>
            <w:tcW w:w="638" w:type="dxa"/>
            <w:shd w:val="clear" w:color="auto" w:fill="C6EFCE"/>
            <w:noWrap/>
            <w:vAlign w:val="center"/>
            <w:hideMark/>
          </w:tcPr>
          <w:p w14:paraId="391767CC" w14:textId="77777777" w:rsidR="006054AA" w:rsidRPr="00D504DC" w:rsidRDefault="001F7667">
            <w:pPr>
              <w:pStyle w:val="P68B1DB1-Normal11"/>
              <w:spacing w:line="276" w:lineRule="auto"/>
              <w:jc w:val="center"/>
              <w:rPr>
                <w:noProof/>
                <w:sz w:val="16"/>
                <w:szCs w:val="16"/>
              </w:rPr>
            </w:pPr>
            <w:r w:rsidRPr="00D504DC">
              <w:rPr>
                <w:noProof/>
                <w:sz w:val="16"/>
                <w:szCs w:val="16"/>
              </w:rPr>
              <w:t>2021</w:t>
            </w:r>
          </w:p>
        </w:tc>
        <w:tc>
          <w:tcPr>
            <w:tcW w:w="4116" w:type="dxa"/>
            <w:shd w:val="clear" w:color="auto" w:fill="C6EFCE"/>
            <w:noWrap/>
            <w:vAlign w:val="center"/>
            <w:hideMark/>
          </w:tcPr>
          <w:p w14:paraId="51F5D958" w14:textId="77777777" w:rsidR="006054AA" w:rsidRPr="00D504DC" w:rsidRDefault="001F7667">
            <w:pPr>
              <w:pStyle w:val="P68B1DB1-Normal11"/>
              <w:spacing w:line="276" w:lineRule="auto"/>
              <w:rPr>
                <w:noProof/>
                <w:sz w:val="16"/>
                <w:szCs w:val="16"/>
              </w:rPr>
            </w:pPr>
            <w:r w:rsidRPr="00D504DC">
              <w:rPr>
                <w:noProof/>
                <w:sz w:val="16"/>
                <w:szCs w:val="16"/>
              </w:rPr>
              <w:t>Министерското постановление одобрява оперативен план за прилагането на усъвършенствана и интегрирана система за наблюдение и прогнозиране с цел идентифициране на хидроложките рискове. Като минимум той:</w:t>
            </w:r>
          </w:p>
          <w:p w14:paraId="5F9FF5CF" w14:textId="77777777" w:rsidR="006054AA" w:rsidRPr="00D504DC" w:rsidRDefault="001F7667">
            <w:pPr>
              <w:pStyle w:val="P68B1DB1-ListParagraph13"/>
              <w:numPr>
                <w:ilvl w:val="0"/>
                <w:numId w:val="69"/>
              </w:numPr>
              <w:spacing w:line="276" w:lineRule="auto"/>
              <w:ind w:left="424"/>
              <w:rPr>
                <w:noProof/>
                <w:sz w:val="16"/>
                <w:szCs w:val="16"/>
              </w:rPr>
            </w:pPr>
            <w:r w:rsidRPr="00D504DC">
              <w:rPr>
                <w:noProof/>
                <w:sz w:val="16"/>
                <w:szCs w:val="16"/>
              </w:rPr>
              <w:t>Да предвидят приложения за дистанционно наблюдение и датчици за поле за данни;</w:t>
            </w:r>
          </w:p>
          <w:p w14:paraId="16A5F52C" w14:textId="77777777" w:rsidR="006054AA" w:rsidRPr="00D504DC" w:rsidRDefault="001F7667">
            <w:pPr>
              <w:pStyle w:val="P68B1DB1-ListParagraph13"/>
              <w:numPr>
                <w:ilvl w:val="0"/>
                <w:numId w:val="69"/>
              </w:numPr>
              <w:spacing w:line="276" w:lineRule="auto"/>
              <w:ind w:left="424"/>
              <w:rPr>
                <w:noProof/>
                <w:sz w:val="16"/>
                <w:szCs w:val="16"/>
              </w:rPr>
            </w:pPr>
            <w:r w:rsidRPr="00D504DC">
              <w:rPr>
                <w:noProof/>
                <w:sz w:val="16"/>
                <w:szCs w:val="16"/>
              </w:rPr>
              <w:t>Разработване на комуникационна система, която позволява координатор и оперативна съвместимост между различните оператори в контролните зали</w:t>
            </w:r>
          </w:p>
          <w:p w14:paraId="77BB4CD5" w14:textId="77777777" w:rsidR="006054AA" w:rsidRPr="00D504DC" w:rsidRDefault="001F7667">
            <w:pPr>
              <w:pStyle w:val="P68B1DB1-ListParagraph13"/>
              <w:numPr>
                <w:ilvl w:val="0"/>
                <w:numId w:val="69"/>
              </w:numPr>
              <w:spacing w:line="276" w:lineRule="auto"/>
              <w:ind w:left="424"/>
              <w:rPr>
                <w:noProof/>
                <w:sz w:val="16"/>
                <w:szCs w:val="16"/>
              </w:rPr>
            </w:pPr>
            <w:r w:rsidRPr="00D504DC">
              <w:rPr>
                <w:noProof/>
                <w:sz w:val="16"/>
                <w:szCs w:val="16"/>
              </w:rPr>
              <w:t>Създаване на централни и регионални контролни зали</w:t>
            </w:r>
          </w:p>
          <w:p w14:paraId="677F7BE4" w14:textId="77777777" w:rsidR="006054AA" w:rsidRPr="00D504DC" w:rsidRDefault="001F7667">
            <w:pPr>
              <w:pStyle w:val="P68B1DB1-ListParagraph13"/>
              <w:numPr>
                <w:ilvl w:val="0"/>
                <w:numId w:val="69"/>
              </w:numPr>
              <w:spacing w:line="276" w:lineRule="auto"/>
              <w:ind w:left="424"/>
              <w:rPr>
                <w:noProof/>
                <w:sz w:val="16"/>
                <w:szCs w:val="16"/>
              </w:rPr>
            </w:pPr>
            <w:r w:rsidRPr="00D504DC">
              <w:rPr>
                <w:noProof/>
                <w:sz w:val="16"/>
                <w:szCs w:val="16"/>
              </w:rPr>
              <w:t>Разработване на системи и услуги за киберсигурност</w:t>
            </w:r>
          </w:p>
        </w:tc>
      </w:tr>
      <w:tr w:rsidR="006054AA" w:rsidRPr="00D504DC" w14:paraId="77752F5A" w14:textId="77777777">
        <w:trPr>
          <w:trHeight w:val="313"/>
          <w:jc w:val="center"/>
        </w:trPr>
        <w:tc>
          <w:tcPr>
            <w:tcW w:w="1130" w:type="dxa"/>
            <w:shd w:val="clear" w:color="auto" w:fill="C6EFCE"/>
            <w:noWrap/>
            <w:vAlign w:val="center"/>
            <w:hideMark/>
          </w:tcPr>
          <w:p w14:paraId="1E545ACB" w14:textId="77777777" w:rsidR="006054AA" w:rsidRPr="00D504DC" w:rsidRDefault="001F7667">
            <w:pPr>
              <w:pStyle w:val="P68B1DB1-Normal11"/>
              <w:spacing w:line="276" w:lineRule="auto"/>
              <w:jc w:val="center"/>
              <w:rPr>
                <w:noProof/>
                <w:sz w:val="16"/>
                <w:szCs w:val="16"/>
              </w:rPr>
            </w:pPr>
            <w:r w:rsidRPr="00D504DC">
              <w:rPr>
                <w:noProof/>
                <w:sz w:val="16"/>
                <w:szCs w:val="16"/>
              </w:rPr>
              <w:t>M2C4—9</w:t>
            </w:r>
          </w:p>
        </w:tc>
        <w:tc>
          <w:tcPr>
            <w:tcW w:w="1560" w:type="dxa"/>
            <w:shd w:val="clear" w:color="auto" w:fill="C6EFCE"/>
            <w:noWrap/>
            <w:vAlign w:val="center"/>
          </w:tcPr>
          <w:p w14:paraId="252BD3C5"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1.1. Въвеждане на усъвършенствана и интегрирана система за мониторинг и прогнозиране</w:t>
            </w:r>
          </w:p>
        </w:tc>
        <w:tc>
          <w:tcPr>
            <w:tcW w:w="1134" w:type="dxa"/>
            <w:shd w:val="clear" w:color="auto" w:fill="C6EFCE"/>
            <w:noWrap/>
            <w:vAlign w:val="center"/>
            <w:hideMark/>
          </w:tcPr>
          <w:p w14:paraId="1D6804FC"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tcPr>
          <w:p w14:paraId="599A809B" w14:textId="253A3B1F" w:rsidR="006054AA" w:rsidRPr="00D504DC" w:rsidRDefault="001F7667">
            <w:pPr>
              <w:pStyle w:val="P68B1DB1-Normal11"/>
              <w:spacing w:line="276" w:lineRule="auto"/>
              <w:jc w:val="center"/>
              <w:rPr>
                <w:noProof/>
                <w:sz w:val="16"/>
                <w:szCs w:val="16"/>
              </w:rPr>
            </w:pPr>
            <w:r w:rsidRPr="00D504DC">
              <w:rPr>
                <w:noProof/>
                <w:sz w:val="16"/>
                <w:szCs w:val="16"/>
              </w:rPr>
              <w:t>Внедряване на усъвършенствана и интегрирана система за наблюдение и прогнозиране с цел идентифициране на хидроложките рискове</w:t>
            </w:r>
          </w:p>
        </w:tc>
        <w:tc>
          <w:tcPr>
            <w:tcW w:w="1383" w:type="dxa"/>
            <w:shd w:val="clear" w:color="auto" w:fill="C6EFCE"/>
            <w:noWrap/>
            <w:vAlign w:val="center"/>
            <w:hideMark/>
          </w:tcPr>
          <w:p w14:paraId="1744A7C8"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3FE56598" w14:textId="77777777" w:rsidR="006054AA" w:rsidRPr="00D504DC" w:rsidRDefault="001F7667">
            <w:pPr>
              <w:pStyle w:val="P68B1DB1-Normal11"/>
              <w:spacing w:line="276" w:lineRule="auto"/>
              <w:jc w:val="center"/>
              <w:rPr>
                <w:noProof/>
                <w:sz w:val="16"/>
                <w:szCs w:val="16"/>
              </w:rPr>
            </w:pPr>
            <w:r w:rsidRPr="00D504DC">
              <w:rPr>
                <w:noProof/>
                <w:sz w:val="16"/>
                <w:szCs w:val="16"/>
              </w:rPr>
              <w:t>Проценти</w:t>
            </w:r>
          </w:p>
        </w:tc>
        <w:tc>
          <w:tcPr>
            <w:tcW w:w="1290" w:type="dxa"/>
            <w:shd w:val="clear" w:color="auto" w:fill="C6EFCE"/>
            <w:noWrap/>
            <w:vAlign w:val="center"/>
          </w:tcPr>
          <w:p w14:paraId="5E774C10"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tcPr>
          <w:p w14:paraId="21ADE578" w14:textId="77777777" w:rsidR="006054AA" w:rsidRPr="00D504DC" w:rsidRDefault="001F7667">
            <w:pPr>
              <w:pStyle w:val="P68B1DB1-Normal11"/>
              <w:spacing w:line="276" w:lineRule="auto"/>
              <w:jc w:val="center"/>
              <w:rPr>
                <w:noProof/>
                <w:sz w:val="16"/>
                <w:szCs w:val="16"/>
              </w:rPr>
            </w:pPr>
            <w:r w:rsidRPr="00D504DC">
              <w:rPr>
                <w:noProof/>
                <w:sz w:val="16"/>
                <w:szCs w:val="16"/>
              </w:rPr>
              <w:t>90</w:t>
            </w:r>
          </w:p>
        </w:tc>
        <w:tc>
          <w:tcPr>
            <w:tcW w:w="916" w:type="dxa"/>
            <w:shd w:val="clear" w:color="auto" w:fill="C6EFCE"/>
            <w:noWrap/>
            <w:vAlign w:val="center"/>
            <w:hideMark/>
          </w:tcPr>
          <w:p w14:paraId="2748F666" w14:textId="77777777" w:rsidR="006054AA" w:rsidRPr="00D504DC" w:rsidRDefault="001F7667">
            <w:pPr>
              <w:pStyle w:val="P68B1DB1-Normal11"/>
              <w:spacing w:line="276" w:lineRule="auto"/>
              <w:jc w:val="center"/>
              <w:rPr>
                <w:noProof/>
                <w:sz w:val="16"/>
                <w:szCs w:val="16"/>
              </w:rPr>
            </w:pPr>
            <w:r w:rsidRPr="00D504DC">
              <w:rPr>
                <w:noProof/>
                <w:sz w:val="16"/>
                <w:szCs w:val="16"/>
              </w:rPr>
              <w:t>Т2 Г.</w:t>
            </w:r>
          </w:p>
        </w:tc>
        <w:tc>
          <w:tcPr>
            <w:tcW w:w="638" w:type="dxa"/>
            <w:shd w:val="clear" w:color="auto" w:fill="C6EFCE"/>
            <w:noWrap/>
            <w:vAlign w:val="center"/>
            <w:hideMark/>
          </w:tcPr>
          <w:p w14:paraId="35217DAC" w14:textId="77777777" w:rsidR="006054AA" w:rsidRPr="00D504DC" w:rsidRDefault="001F7667">
            <w:pPr>
              <w:pStyle w:val="P68B1DB1-Normal11"/>
              <w:spacing w:line="276" w:lineRule="auto"/>
              <w:jc w:val="center"/>
              <w:rPr>
                <w:noProof/>
                <w:sz w:val="16"/>
                <w:szCs w:val="16"/>
              </w:rPr>
            </w:pPr>
            <w:r w:rsidRPr="00D504DC">
              <w:rPr>
                <w:noProof/>
                <w:sz w:val="16"/>
                <w:szCs w:val="16"/>
              </w:rPr>
              <w:t>2025</w:t>
            </w:r>
          </w:p>
        </w:tc>
        <w:tc>
          <w:tcPr>
            <w:tcW w:w="4116" w:type="dxa"/>
            <w:shd w:val="clear" w:color="auto" w:fill="C6EFCE"/>
            <w:noWrap/>
            <w:vAlign w:val="center"/>
            <w:hideMark/>
          </w:tcPr>
          <w:p w14:paraId="67530860" w14:textId="508F6E99" w:rsidR="006054AA" w:rsidRPr="00D504DC" w:rsidRDefault="001F7667">
            <w:pPr>
              <w:pStyle w:val="P68B1DB1-Normal11"/>
              <w:spacing w:line="276" w:lineRule="auto"/>
              <w:rPr>
                <w:noProof/>
                <w:sz w:val="16"/>
                <w:szCs w:val="16"/>
              </w:rPr>
            </w:pPr>
            <w:r w:rsidRPr="00D504DC">
              <w:rPr>
                <w:noProof/>
                <w:sz w:val="16"/>
                <w:szCs w:val="16"/>
              </w:rPr>
              <w:t>90 % от площта на южните региони се покрива от усъвършенстваната и интегрирана система за мониторинг и прогнозиране с цел идентифициране на хидроложките рискове.</w:t>
            </w:r>
          </w:p>
        </w:tc>
      </w:tr>
      <w:tr w:rsidR="006054AA" w:rsidRPr="00D504DC" w14:paraId="58144661" w14:textId="77777777">
        <w:trPr>
          <w:trHeight w:val="313"/>
          <w:jc w:val="center"/>
        </w:trPr>
        <w:tc>
          <w:tcPr>
            <w:tcW w:w="1130" w:type="dxa"/>
            <w:shd w:val="clear" w:color="auto" w:fill="C6EFCE"/>
            <w:noWrap/>
            <w:vAlign w:val="center"/>
          </w:tcPr>
          <w:p w14:paraId="65A67FC9" w14:textId="77777777" w:rsidR="006054AA" w:rsidRPr="00D504DC" w:rsidRDefault="001F7667">
            <w:pPr>
              <w:pStyle w:val="P68B1DB1-Normal11"/>
              <w:spacing w:line="276" w:lineRule="auto"/>
              <w:jc w:val="center"/>
              <w:rPr>
                <w:noProof/>
                <w:sz w:val="16"/>
                <w:szCs w:val="16"/>
              </w:rPr>
            </w:pPr>
            <w:r w:rsidRPr="00D504DC">
              <w:rPr>
                <w:noProof/>
                <w:sz w:val="16"/>
                <w:szCs w:val="16"/>
              </w:rPr>
              <w:t>M2C4—11</w:t>
            </w:r>
          </w:p>
        </w:tc>
        <w:tc>
          <w:tcPr>
            <w:tcW w:w="1560" w:type="dxa"/>
            <w:shd w:val="clear" w:color="auto" w:fill="C6EFCE"/>
            <w:noWrap/>
            <w:vAlign w:val="center"/>
          </w:tcPr>
          <w:p w14:paraId="3F813808"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2.1.а. Мерки за намаляване на риска от наводнения и хидрогеоложки рискове — Интервенции в Емилия-Романя, Тоскана и Марке</w:t>
            </w:r>
          </w:p>
        </w:tc>
        <w:tc>
          <w:tcPr>
            <w:tcW w:w="1134" w:type="dxa"/>
            <w:shd w:val="clear" w:color="auto" w:fill="C6EFCE"/>
            <w:noWrap/>
            <w:vAlign w:val="center"/>
          </w:tcPr>
          <w:p w14:paraId="5B4F67F7"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tcPr>
          <w:p w14:paraId="10545F80" w14:textId="77777777" w:rsidR="006054AA" w:rsidRPr="00D504DC" w:rsidRDefault="001F7667">
            <w:pPr>
              <w:pStyle w:val="P68B1DB1-Normal11"/>
              <w:spacing w:line="276" w:lineRule="auto"/>
              <w:jc w:val="center"/>
              <w:rPr>
                <w:noProof/>
                <w:sz w:val="16"/>
                <w:szCs w:val="16"/>
              </w:rPr>
            </w:pPr>
            <w:r w:rsidRPr="00D504DC">
              <w:rPr>
                <w:noProof/>
                <w:sz w:val="16"/>
                <w:szCs w:val="16"/>
              </w:rPr>
              <w:t>Посочване на намесата с наредба (и) на комисаря по извънредните ситуации</w:t>
            </w:r>
          </w:p>
        </w:tc>
        <w:tc>
          <w:tcPr>
            <w:tcW w:w="1383" w:type="dxa"/>
            <w:shd w:val="clear" w:color="auto" w:fill="C6EFCE"/>
            <w:noWrap/>
            <w:vAlign w:val="center"/>
          </w:tcPr>
          <w:p w14:paraId="0FE07324" w14:textId="4512F282" w:rsidR="006054AA" w:rsidRPr="00D504DC" w:rsidRDefault="001F7667">
            <w:pPr>
              <w:pStyle w:val="P68B1DB1-Normal11"/>
              <w:spacing w:line="276" w:lineRule="auto"/>
              <w:jc w:val="center"/>
              <w:rPr>
                <w:noProof/>
                <w:sz w:val="16"/>
                <w:szCs w:val="16"/>
              </w:rPr>
            </w:pPr>
            <w:r w:rsidRPr="00D504DC">
              <w:rPr>
                <w:noProof/>
                <w:sz w:val="16"/>
                <w:szCs w:val="16"/>
              </w:rPr>
              <w:t>Наредба (и) на комисаря по извънредните ситуации</w:t>
            </w:r>
          </w:p>
        </w:tc>
        <w:tc>
          <w:tcPr>
            <w:tcW w:w="1094" w:type="dxa"/>
            <w:shd w:val="clear" w:color="auto" w:fill="C6EFCE"/>
            <w:noWrap/>
            <w:vAlign w:val="center"/>
          </w:tcPr>
          <w:p w14:paraId="30ADE40D" w14:textId="77777777" w:rsidR="006054AA" w:rsidRPr="00D504DC" w:rsidRDefault="006054AA">
            <w:pPr>
              <w:spacing w:line="276" w:lineRule="auto"/>
              <w:jc w:val="center"/>
              <w:rPr>
                <w:rFonts w:ascii="Arial Narrow" w:hAnsi="Arial Narrow"/>
                <w:noProof/>
                <w:color w:val="006100"/>
                <w:sz w:val="16"/>
                <w:szCs w:val="16"/>
              </w:rPr>
            </w:pPr>
          </w:p>
        </w:tc>
        <w:tc>
          <w:tcPr>
            <w:tcW w:w="1290" w:type="dxa"/>
            <w:shd w:val="clear" w:color="auto" w:fill="C6EFCE"/>
            <w:noWrap/>
            <w:vAlign w:val="center"/>
          </w:tcPr>
          <w:p w14:paraId="1A129480" w14:textId="77777777" w:rsidR="006054AA" w:rsidRPr="00D504DC" w:rsidRDefault="006054AA">
            <w:pPr>
              <w:spacing w:line="276" w:lineRule="auto"/>
              <w:jc w:val="center"/>
              <w:rPr>
                <w:rFonts w:ascii="Arial Narrow" w:hAnsi="Arial Narrow"/>
                <w:noProof/>
                <w:color w:val="006100"/>
                <w:sz w:val="16"/>
                <w:szCs w:val="16"/>
              </w:rPr>
            </w:pPr>
          </w:p>
        </w:tc>
        <w:tc>
          <w:tcPr>
            <w:tcW w:w="1194" w:type="dxa"/>
            <w:shd w:val="clear" w:color="auto" w:fill="C6EFCE"/>
            <w:noWrap/>
            <w:vAlign w:val="center"/>
          </w:tcPr>
          <w:p w14:paraId="55D7BACE" w14:textId="77777777" w:rsidR="006054AA" w:rsidRPr="00D504DC" w:rsidRDefault="006054AA">
            <w:pPr>
              <w:spacing w:line="276" w:lineRule="auto"/>
              <w:jc w:val="center"/>
              <w:rPr>
                <w:rFonts w:ascii="Arial Narrow" w:hAnsi="Arial Narrow"/>
                <w:noProof/>
                <w:color w:val="006100"/>
                <w:sz w:val="16"/>
                <w:szCs w:val="16"/>
              </w:rPr>
            </w:pPr>
          </w:p>
        </w:tc>
        <w:tc>
          <w:tcPr>
            <w:tcW w:w="916" w:type="dxa"/>
            <w:shd w:val="clear" w:color="auto" w:fill="C6EFCE"/>
            <w:noWrap/>
            <w:vAlign w:val="center"/>
          </w:tcPr>
          <w:p w14:paraId="5026558A" w14:textId="77777777" w:rsidR="006054AA" w:rsidRPr="00D504DC" w:rsidRDefault="001F7667">
            <w:pPr>
              <w:pStyle w:val="P68B1DB1-Normal11"/>
              <w:spacing w:line="276" w:lineRule="auto"/>
              <w:jc w:val="center"/>
              <w:rPr>
                <w:noProof/>
                <w:sz w:val="16"/>
                <w:szCs w:val="16"/>
              </w:rPr>
            </w:pPr>
            <w:r w:rsidRPr="00D504DC">
              <w:rPr>
                <w:noProof/>
                <w:sz w:val="16"/>
                <w:szCs w:val="16"/>
              </w:rPr>
              <w:t>Т3 Г.</w:t>
            </w:r>
          </w:p>
        </w:tc>
        <w:tc>
          <w:tcPr>
            <w:tcW w:w="638" w:type="dxa"/>
            <w:shd w:val="clear" w:color="auto" w:fill="C6EFCE"/>
            <w:noWrap/>
            <w:vAlign w:val="center"/>
          </w:tcPr>
          <w:p w14:paraId="69AC6DC4" w14:textId="77777777"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shd w:val="clear" w:color="auto" w:fill="C6EFCE"/>
            <w:noWrap/>
            <w:vAlign w:val="center"/>
          </w:tcPr>
          <w:p w14:paraId="16FBE1DB" w14:textId="2C5B2AC5" w:rsidR="006054AA" w:rsidRPr="00D504DC" w:rsidRDefault="001F7667">
            <w:pPr>
              <w:pStyle w:val="P68B1DB1-Normal11"/>
              <w:spacing w:line="276" w:lineRule="auto"/>
              <w:rPr>
                <w:noProof/>
                <w:sz w:val="16"/>
                <w:szCs w:val="16"/>
              </w:rPr>
            </w:pPr>
            <w:r w:rsidRPr="00D504DC">
              <w:rPr>
                <w:noProof/>
                <w:sz w:val="16"/>
                <w:szCs w:val="16"/>
              </w:rPr>
              <w:t>В една или повече наредби на комисаря по извънредните ситуации се определя точният списък на интервенциите за възстановяване на водните пътища и повишаване на защитата от наводнения, интервенциите за възстановяване на обществени сгради, включително обществени домове и здравни центрове, и общия брой километри пътища, които трябва да бъдат възстановени. Стойността на общия брой интервенции възлиза на най-малко 1.2 милиарда евро.</w:t>
            </w:r>
          </w:p>
        </w:tc>
      </w:tr>
      <w:tr w:rsidR="006054AA" w:rsidRPr="00D504DC" w14:paraId="2DE50768" w14:textId="77777777">
        <w:trPr>
          <w:trHeight w:val="313"/>
          <w:jc w:val="center"/>
        </w:trPr>
        <w:tc>
          <w:tcPr>
            <w:tcW w:w="1130" w:type="dxa"/>
            <w:shd w:val="clear" w:color="auto" w:fill="C6EFCE"/>
            <w:noWrap/>
            <w:vAlign w:val="center"/>
          </w:tcPr>
          <w:p w14:paraId="1CDCDD71" w14:textId="77777777" w:rsidR="006054AA" w:rsidRPr="00D504DC" w:rsidRDefault="001F7667">
            <w:pPr>
              <w:pStyle w:val="P68B1DB1-Normal11"/>
              <w:spacing w:line="276" w:lineRule="auto"/>
              <w:jc w:val="center"/>
              <w:rPr>
                <w:noProof/>
                <w:sz w:val="16"/>
                <w:szCs w:val="16"/>
              </w:rPr>
            </w:pPr>
            <w:r w:rsidRPr="00D504DC">
              <w:rPr>
                <w:noProof/>
                <w:sz w:val="16"/>
                <w:szCs w:val="16"/>
              </w:rPr>
              <w:t>M2C4—11bis</w:t>
            </w:r>
          </w:p>
        </w:tc>
        <w:tc>
          <w:tcPr>
            <w:tcW w:w="1560" w:type="dxa"/>
            <w:shd w:val="clear" w:color="auto" w:fill="C6EFCE"/>
            <w:noWrap/>
            <w:vAlign w:val="center"/>
          </w:tcPr>
          <w:p w14:paraId="60280899"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2.1.а. Мерки за намаляване на риска от наводнения и хидрогеоложки рискове — Интервенции в Емилия-Романя, Тоскана и Марке</w:t>
            </w:r>
          </w:p>
        </w:tc>
        <w:tc>
          <w:tcPr>
            <w:tcW w:w="1134" w:type="dxa"/>
            <w:shd w:val="clear" w:color="auto" w:fill="C6EFCE"/>
            <w:noWrap/>
            <w:vAlign w:val="center"/>
          </w:tcPr>
          <w:p w14:paraId="7ADEB988"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tcPr>
          <w:p w14:paraId="4D80A272" w14:textId="77777777" w:rsidR="006054AA" w:rsidRPr="00D504DC" w:rsidRDefault="001F7667">
            <w:pPr>
              <w:pStyle w:val="P68B1DB1-Normal11"/>
              <w:jc w:val="center"/>
              <w:rPr>
                <w:noProof/>
                <w:sz w:val="16"/>
                <w:szCs w:val="16"/>
              </w:rPr>
            </w:pPr>
            <w:r w:rsidRPr="00D504DC">
              <w:rPr>
                <w:noProof/>
                <w:sz w:val="16"/>
                <w:szCs w:val="16"/>
              </w:rPr>
              <w:t>Възлагане на всички обществени поръчки за интервенции в Емилия-Романя, Тоскана и Марке</w:t>
            </w:r>
          </w:p>
        </w:tc>
        <w:tc>
          <w:tcPr>
            <w:tcW w:w="1383" w:type="dxa"/>
            <w:shd w:val="clear" w:color="auto" w:fill="C6EFCE"/>
            <w:noWrap/>
            <w:vAlign w:val="center"/>
          </w:tcPr>
          <w:p w14:paraId="5AE4DBFC" w14:textId="77777777" w:rsidR="006054AA" w:rsidRPr="00D504DC" w:rsidRDefault="001F7667">
            <w:pPr>
              <w:pStyle w:val="P68B1DB1-Normal11"/>
              <w:jc w:val="center"/>
              <w:rPr>
                <w:noProof/>
                <w:sz w:val="16"/>
                <w:szCs w:val="16"/>
              </w:rPr>
            </w:pPr>
            <w:r w:rsidRPr="00D504DC">
              <w:rPr>
                <w:noProof/>
                <w:sz w:val="16"/>
                <w:szCs w:val="16"/>
              </w:rPr>
              <w:t>Уведомяване за възлагането на всички обществени поръчки</w:t>
            </w:r>
          </w:p>
        </w:tc>
        <w:tc>
          <w:tcPr>
            <w:tcW w:w="1094" w:type="dxa"/>
            <w:shd w:val="clear" w:color="auto" w:fill="C6EFCE"/>
            <w:noWrap/>
            <w:vAlign w:val="center"/>
          </w:tcPr>
          <w:p w14:paraId="18D833F5" w14:textId="77777777" w:rsidR="006054AA" w:rsidRPr="00D504DC" w:rsidRDefault="001F7667">
            <w:pPr>
              <w:pStyle w:val="P68B1DB1-Normal11"/>
              <w:jc w:val="center"/>
              <w:rPr>
                <w:noProof/>
                <w:sz w:val="16"/>
                <w:szCs w:val="16"/>
              </w:rPr>
            </w:pPr>
            <w:r w:rsidRPr="00D504DC">
              <w:rPr>
                <w:noProof/>
                <w:sz w:val="16"/>
                <w:szCs w:val="16"/>
              </w:rPr>
              <w:t>НЯМА</w:t>
            </w:r>
          </w:p>
        </w:tc>
        <w:tc>
          <w:tcPr>
            <w:tcW w:w="1290" w:type="dxa"/>
            <w:shd w:val="clear" w:color="auto" w:fill="C6EFCE"/>
            <w:noWrap/>
            <w:vAlign w:val="center"/>
          </w:tcPr>
          <w:p w14:paraId="394DF693" w14:textId="77777777" w:rsidR="006054AA" w:rsidRPr="00D504DC" w:rsidRDefault="001F7667">
            <w:pPr>
              <w:pStyle w:val="P68B1DB1-Normal11"/>
              <w:jc w:val="center"/>
              <w:rPr>
                <w:noProof/>
                <w:sz w:val="16"/>
                <w:szCs w:val="16"/>
              </w:rPr>
            </w:pPr>
            <w:r w:rsidRPr="00D504DC">
              <w:rPr>
                <w:noProof/>
                <w:sz w:val="16"/>
                <w:szCs w:val="16"/>
              </w:rPr>
              <w:t>НЯМА</w:t>
            </w:r>
          </w:p>
        </w:tc>
        <w:tc>
          <w:tcPr>
            <w:tcW w:w="1194" w:type="dxa"/>
            <w:shd w:val="clear" w:color="auto" w:fill="C6EFCE"/>
            <w:noWrap/>
            <w:vAlign w:val="center"/>
          </w:tcPr>
          <w:p w14:paraId="7EF9448F" w14:textId="77777777" w:rsidR="006054AA" w:rsidRPr="00D504DC" w:rsidRDefault="001F7667">
            <w:pPr>
              <w:pStyle w:val="P68B1DB1-Normal11"/>
              <w:jc w:val="center"/>
              <w:rPr>
                <w:noProof/>
                <w:sz w:val="16"/>
                <w:szCs w:val="16"/>
              </w:rPr>
            </w:pPr>
            <w:r w:rsidRPr="00D504DC">
              <w:rPr>
                <w:noProof/>
                <w:sz w:val="16"/>
                <w:szCs w:val="16"/>
              </w:rPr>
              <w:t>НЯМА</w:t>
            </w:r>
          </w:p>
        </w:tc>
        <w:tc>
          <w:tcPr>
            <w:tcW w:w="916" w:type="dxa"/>
            <w:shd w:val="clear" w:color="auto" w:fill="C6EFCE"/>
            <w:noWrap/>
            <w:vAlign w:val="center"/>
          </w:tcPr>
          <w:p w14:paraId="3BC81604" w14:textId="77777777" w:rsidR="006054AA" w:rsidRPr="00D504DC" w:rsidRDefault="001F7667">
            <w:pPr>
              <w:pStyle w:val="P68B1DB1-Normal11"/>
              <w:jc w:val="center"/>
              <w:rPr>
                <w:noProof/>
                <w:sz w:val="16"/>
                <w:szCs w:val="16"/>
              </w:rPr>
            </w:pPr>
            <w:r w:rsidRPr="00D504DC">
              <w:rPr>
                <w:noProof/>
                <w:sz w:val="16"/>
                <w:szCs w:val="16"/>
              </w:rPr>
              <w:t>Т2 Г.</w:t>
            </w:r>
          </w:p>
        </w:tc>
        <w:tc>
          <w:tcPr>
            <w:tcW w:w="638" w:type="dxa"/>
            <w:shd w:val="clear" w:color="auto" w:fill="C6EFCE"/>
            <w:noWrap/>
            <w:vAlign w:val="center"/>
          </w:tcPr>
          <w:p w14:paraId="060158DF" w14:textId="77777777" w:rsidR="006054AA" w:rsidRPr="00D504DC" w:rsidRDefault="001F7667">
            <w:pPr>
              <w:pStyle w:val="P68B1DB1-Normal11"/>
              <w:jc w:val="center"/>
              <w:rPr>
                <w:noProof/>
                <w:sz w:val="16"/>
                <w:szCs w:val="16"/>
              </w:rPr>
            </w:pPr>
            <w:r w:rsidRPr="00D504DC">
              <w:rPr>
                <w:noProof/>
                <w:sz w:val="16"/>
                <w:szCs w:val="16"/>
              </w:rPr>
              <w:t>2025</w:t>
            </w:r>
          </w:p>
        </w:tc>
        <w:tc>
          <w:tcPr>
            <w:tcW w:w="4116" w:type="dxa"/>
            <w:shd w:val="clear" w:color="auto" w:fill="C6EFCE"/>
            <w:noWrap/>
            <w:vAlign w:val="center"/>
          </w:tcPr>
          <w:p w14:paraId="7CBB0613" w14:textId="77777777" w:rsidR="006054AA" w:rsidRPr="00D504DC" w:rsidRDefault="001F7667">
            <w:pPr>
              <w:pStyle w:val="P68B1DB1-Normal11"/>
              <w:rPr>
                <w:noProof/>
                <w:sz w:val="16"/>
                <w:szCs w:val="16"/>
              </w:rPr>
            </w:pPr>
            <w:r w:rsidRPr="00D504DC">
              <w:rPr>
                <w:noProof/>
                <w:sz w:val="16"/>
                <w:szCs w:val="16"/>
              </w:rPr>
              <w:t>Уведомяване за възлагането на всички обществени поръчки за интервенции по управление на риска и намаляване на хидрогеоложките рискове. Общата стойност на поканите за представяне на предложения, от които произтичат тези средства, възлиза на най-малко 1.2 милиарда евро.</w:t>
            </w:r>
          </w:p>
        </w:tc>
      </w:tr>
      <w:tr w:rsidR="006054AA" w:rsidRPr="00D504DC" w14:paraId="1BC9B1A0" w14:textId="77777777">
        <w:trPr>
          <w:trHeight w:val="313"/>
          <w:jc w:val="center"/>
        </w:trPr>
        <w:tc>
          <w:tcPr>
            <w:tcW w:w="1130" w:type="dxa"/>
            <w:shd w:val="clear" w:color="auto" w:fill="C6EFCE"/>
            <w:noWrap/>
            <w:vAlign w:val="center"/>
          </w:tcPr>
          <w:p w14:paraId="4659E80A" w14:textId="584549DB" w:rsidR="006054AA" w:rsidRPr="00D504DC" w:rsidRDefault="001F7667">
            <w:pPr>
              <w:pStyle w:val="P68B1DB1-Normal11"/>
              <w:spacing w:after="120"/>
              <w:jc w:val="center"/>
              <w:rPr>
                <w:noProof/>
                <w:sz w:val="16"/>
                <w:szCs w:val="16"/>
              </w:rPr>
            </w:pPr>
            <w:r w:rsidRPr="00D504DC">
              <w:rPr>
                <w:noProof/>
                <w:sz w:val="16"/>
                <w:szCs w:val="16"/>
              </w:rPr>
              <w:t>M2C4—11ter</w:t>
            </w:r>
          </w:p>
        </w:tc>
        <w:tc>
          <w:tcPr>
            <w:tcW w:w="1560" w:type="dxa"/>
            <w:shd w:val="clear" w:color="auto" w:fill="C6EFCE"/>
            <w:noWrap/>
            <w:vAlign w:val="center"/>
          </w:tcPr>
          <w:p w14:paraId="02279783" w14:textId="77777777" w:rsidR="006054AA" w:rsidRPr="00D504DC" w:rsidRDefault="001F7667">
            <w:pPr>
              <w:pStyle w:val="P68B1DB1-Normal11"/>
              <w:spacing w:after="120"/>
              <w:jc w:val="center"/>
              <w:rPr>
                <w:noProof/>
                <w:sz w:val="16"/>
                <w:szCs w:val="16"/>
              </w:rPr>
            </w:pPr>
            <w:r w:rsidRPr="00D504DC">
              <w:rPr>
                <w:noProof/>
                <w:sz w:val="16"/>
                <w:szCs w:val="16"/>
              </w:rPr>
              <w:t>Инвестиция 2.1.а. Мерки за намаляване на риска от наводнения и хидрогеоложки рискове — Интервенции в Емилия-Романя, Тоскана и Марке</w:t>
            </w:r>
          </w:p>
        </w:tc>
        <w:tc>
          <w:tcPr>
            <w:tcW w:w="1134" w:type="dxa"/>
            <w:shd w:val="clear" w:color="auto" w:fill="C6EFCE"/>
            <w:noWrap/>
            <w:vAlign w:val="center"/>
          </w:tcPr>
          <w:p w14:paraId="43EC21D4" w14:textId="77777777" w:rsidR="006054AA" w:rsidRPr="00D504DC" w:rsidRDefault="001F7667">
            <w:pPr>
              <w:pStyle w:val="P68B1DB1-Normal11"/>
              <w:spacing w:after="120"/>
              <w:jc w:val="center"/>
              <w:rPr>
                <w:noProof/>
                <w:sz w:val="16"/>
                <w:szCs w:val="16"/>
              </w:rPr>
            </w:pPr>
            <w:r w:rsidRPr="00D504DC">
              <w:rPr>
                <w:noProof/>
                <w:sz w:val="16"/>
                <w:szCs w:val="16"/>
              </w:rPr>
              <w:t>Ключов етап</w:t>
            </w:r>
          </w:p>
        </w:tc>
        <w:tc>
          <w:tcPr>
            <w:tcW w:w="1559" w:type="dxa"/>
            <w:shd w:val="clear" w:color="auto" w:fill="C6EFCE"/>
            <w:noWrap/>
            <w:vAlign w:val="center"/>
          </w:tcPr>
          <w:p w14:paraId="54DAA66C" w14:textId="11BCA8BF" w:rsidR="006054AA" w:rsidRPr="00D504DC" w:rsidRDefault="001F7667">
            <w:pPr>
              <w:pStyle w:val="P68B1DB1-Normal11"/>
              <w:spacing w:after="120"/>
              <w:jc w:val="center"/>
              <w:rPr>
                <w:noProof/>
                <w:sz w:val="16"/>
                <w:szCs w:val="16"/>
              </w:rPr>
            </w:pPr>
            <w:r w:rsidRPr="00D504DC">
              <w:rPr>
                <w:noProof/>
                <w:sz w:val="16"/>
                <w:szCs w:val="16"/>
              </w:rPr>
              <w:t>Приключване на проекти</w:t>
            </w:r>
          </w:p>
        </w:tc>
        <w:tc>
          <w:tcPr>
            <w:tcW w:w="1383" w:type="dxa"/>
            <w:shd w:val="clear" w:color="auto" w:fill="C6EFCE"/>
            <w:noWrap/>
            <w:vAlign w:val="center"/>
          </w:tcPr>
          <w:p w14:paraId="632F56FF" w14:textId="77777777" w:rsidR="006054AA" w:rsidRPr="00D504DC" w:rsidRDefault="001F7667">
            <w:pPr>
              <w:pStyle w:val="P68B1DB1-Normal11"/>
              <w:spacing w:after="120"/>
              <w:jc w:val="center"/>
              <w:rPr>
                <w:noProof/>
                <w:sz w:val="16"/>
                <w:szCs w:val="16"/>
              </w:rPr>
            </w:pPr>
            <w:r w:rsidRPr="00D504DC">
              <w:rPr>
                <w:noProof/>
                <w:sz w:val="16"/>
                <w:szCs w:val="16"/>
              </w:rPr>
              <w:t>Сертифициране на приключването на проекти</w:t>
            </w:r>
          </w:p>
        </w:tc>
        <w:tc>
          <w:tcPr>
            <w:tcW w:w="1094" w:type="dxa"/>
            <w:shd w:val="clear" w:color="auto" w:fill="C6EFCE"/>
            <w:noWrap/>
            <w:vAlign w:val="center"/>
          </w:tcPr>
          <w:p w14:paraId="2A2965B5" w14:textId="77777777" w:rsidR="006054AA" w:rsidRPr="00D504DC" w:rsidRDefault="006054AA">
            <w:pPr>
              <w:spacing w:after="120"/>
              <w:jc w:val="center"/>
              <w:rPr>
                <w:rFonts w:ascii="Arial Narrow" w:hAnsi="Arial Narrow"/>
                <w:noProof/>
                <w:color w:val="006100"/>
                <w:sz w:val="16"/>
                <w:szCs w:val="16"/>
              </w:rPr>
            </w:pPr>
          </w:p>
        </w:tc>
        <w:tc>
          <w:tcPr>
            <w:tcW w:w="1290" w:type="dxa"/>
            <w:shd w:val="clear" w:color="auto" w:fill="C6EFCE"/>
            <w:noWrap/>
            <w:vAlign w:val="center"/>
          </w:tcPr>
          <w:p w14:paraId="112F87E8" w14:textId="77777777" w:rsidR="006054AA" w:rsidRPr="00D504DC" w:rsidRDefault="006054AA">
            <w:pPr>
              <w:spacing w:after="120"/>
              <w:jc w:val="center"/>
              <w:rPr>
                <w:rFonts w:ascii="Arial Narrow" w:hAnsi="Arial Narrow"/>
                <w:noProof/>
                <w:color w:val="006100"/>
                <w:sz w:val="16"/>
                <w:szCs w:val="16"/>
              </w:rPr>
            </w:pPr>
          </w:p>
        </w:tc>
        <w:tc>
          <w:tcPr>
            <w:tcW w:w="1194" w:type="dxa"/>
            <w:shd w:val="clear" w:color="auto" w:fill="C6EFCE"/>
            <w:noWrap/>
            <w:vAlign w:val="center"/>
          </w:tcPr>
          <w:p w14:paraId="677D76C4" w14:textId="77777777" w:rsidR="006054AA" w:rsidRPr="00D504DC" w:rsidRDefault="006054AA">
            <w:pPr>
              <w:spacing w:after="120"/>
              <w:jc w:val="center"/>
              <w:rPr>
                <w:rFonts w:ascii="Arial Narrow" w:hAnsi="Arial Narrow"/>
                <w:noProof/>
                <w:color w:val="006100"/>
                <w:sz w:val="16"/>
                <w:szCs w:val="16"/>
              </w:rPr>
            </w:pPr>
          </w:p>
        </w:tc>
        <w:tc>
          <w:tcPr>
            <w:tcW w:w="916" w:type="dxa"/>
            <w:shd w:val="clear" w:color="auto" w:fill="C6EFCE"/>
            <w:noWrap/>
            <w:vAlign w:val="center"/>
          </w:tcPr>
          <w:p w14:paraId="534232D7" w14:textId="77777777" w:rsidR="006054AA" w:rsidRPr="00D504DC" w:rsidRDefault="001F7667">
            <w:pPr>
              <w:pStyle w:val="P68B1DB1-Normal11"/>
              <w:spacing w:after="120"/>
              <w:jc w:val="center"/>
              <w:rPr>
                <w:noProof/>
                <w:sz w:val="16"/>
                <w:szCs w:val="16"/>
              </w:rPr>
            </w:pPr>
            <w:r w:rsidRPr="00D504DC">
              <w:rPr>
                <w:noProof/>
                <w:sz w:val="16"/>
                <w:szCs w:val="16"/>
              </w:rPr>
              <w:t>Т2 Г.</w:t>
            </w:r>
          </w:p>
        </w:tc>
        <w:tc>
          <w:tcPr>
            <w:tcW w:w="638" w:type="dxa"/>
            <w:shd w:val="clear" w:color="auto" w:fill="C6EFCE"/>
            <w:noWrap/>
            <w:vAlign w:val="center"/>
          </w:tcPr>
          <w:p w14:paraId="2DA542B1" w14:textId="77777777" w:rsidR="006054AA" w:rsidRPr="00D504DC" w:rsidRDefault="001F7667">
            <w:pPr>
              <w:pStyle w:val="P68B1DB1-Normal11"/>
              <w:spacing w:after="120"/>
              <w:jc w:val="center"/>
              <w:rPr>
                <w:noProof/>
                <w:sz w:val="16"/>
                <w:szCs w:val="16"/>
              </w:rPr>
            </w:pPr>
            <w:r w:rsidRPr="00D504DC">
              <w:rPr>
                <w:noProof/>
                <w:sz w:val="16"/>
                <w:szCs w:val="16"/>
              </w:rPr>
              <w:t>2026</w:t>
            </w:r>
          </w:p>
        </w:tc>
        <w:tc>
          <w:tcPr>
            <w:tcW w:w="4116" w:type="dxa"/>
            <w:shd w:val="clear" w:color="auto" w:fill="C6EFCE"/>
            <w:noWrap/>
            <w:vAlign w:val="center"/>
          </w:tcPr>
          <w:p w14:paraId="37FC38F3" w14:textId="77777777" w:rsidR="006054AA" w:rsidRPr="00D504DC" w:rsidRDefault="001F7667">
            <w:pPr>
              <w:pStyle w:val="P68B1DB1-Normal11"/>
              <w:spacing w:after="120"/>
              <w:rPr>
                <w:noProof/>
                <w:sz w:val="16"/>
                <w:szCs w:val="16"/>
              </w:rPr>
            </w:pPr>
            <w:r w:rsidRPr="00D504DC">
              <w:rPr>
                <w:noProof/>
                <w:sz w:val="16"/>
                <w:szCs w:val="16"/>
              </w:rPr>
              <w:t>Приключване на:</w:t>
            </w:r>
          </w:p>
          <w:p w14:paraId="6221820A" w14:textId="77777777" w:rsidR="006054AA" w:rsidRPr="00D504DC" w:rsidRDefault="001F7667">
            <w:pPr>
              <w:pStyle w:val="P68B1DB1-ListParagraph13"/>
              <w:numPr>
                <w:ilvl w:val="0"/>
                <w:numId w:val="97"/>
              </w:numPr>
              <w:spacing w:before="0"/>
              <w:contextualSpacing w:val="0"/>
              <w:jc w:val="left"/>
              <w:rPr>
                <w:noProof/>
                <w:sz w:val="16"/>
                <w:szCs w:val="16"/>
              </w:rPr>
            </w:pPr>
            <w:r w:rsidRPr="00D504DC">
              <w:rPr>
                <w:noProof/>
                <w:sz w:val="16"/>
                <w:szCs w:val="16"/>
              </w:rPr>
              <w:t>най-малко 90 % от интервенциите за възстановяване на водните пътища и повишаване на защитата срещу наводнения, както е посочено в наредбите на комисаря по извънредните ситуации,</w:t>
            </w:r>
          </w:p>
          <w:p w14:paraId="3A86A994" w14:textId="77777777" w:rsidR="006054AA" w:rsidRPr="00D504DC" w:rsidRDefault="001F7667">
            <w:pPr>
              <w:pStyle w:val="P68B1DB1-ListParagraph13"/>
              <w:numPr>
                <w:ilvl w:val="0"/>
                <w:numId w:val="97"/>
              </w:numPr>
              <w:spacing w:before="0"/>
              <w:contextualSpacing w:val="0"/>
              <w:jc w:val="left"/>
              <w:rPr>
                <w:noProof/>
                <w:sz w:val="16"/>
                <w:szCs w:val="16"/>
              </w:rPr>
            </w:pPr>
            <w:r w:rsidRPr="00D504DC">
              <w:rPr>
                <w:noProof/>
                <w:sz w:val="16"/>
                <w:szCs w:val="16"/>
              </w:rPr>
              <w:t>Рехабилитационни интервенции на местната и провинциалната пътна мрежа за определен брой километри, определени в наредбите на комисаря по извънредните ситуации,</w:t>
            </w:r>
          </w:p>
          <w:p w14:paraId="5B24547A" w14:textId="68EC3DE3" w:rsidR="006054AA" w:rsidRPr="00D504DC" w:rsidRDefault="001F7667">
            <w:pPr>
              <w:pStyle w:val="P68B1DB1-ListParagraph13"/>
              <w:numPr>
                <w:ilvl w:val="0"/>
                <w:numId w:val="97"/>
              </w:numPr>
              <w:spacing w:before="0"/>
              <w:jc w:val="left"/>
              <w:rPr>
                <w:noProof/>
                <w:sz w:val="16"/>
                <w:szCs w:val="16"/>
              </w:rPr>
            </w:pPr>
            <w:r w:rsidRPr="00D504DC">
              <w:rPr>
                <w:noProof/>
                <w:sz w:val="16"/>
                <w:szCs w:val="16"/>
              </w:rPr>
              <w:t>Най-малко 90 % от интервенциите за възстановяване на обществени сгради, включително обществени домове и здравни центрове, както е посочено в наредбите на комисаря по извънредните ситуации.</w:t>
            </w:r>
          </w:p>
        </w:tc>
      </w:tr>
      <w:tr w:rsidR="006054AA" w:rsidRPr="00D504DC" w14:paraId="331DDF85" w14:textId="77777777">
        <w:trPr>
          <w:trHeight w:val="313"/>
          <w:jc w:val="center"/>
        </w:trPr>
        <w:tc>
          <w:tcPr>
            <w:tcW w:w="1130" w:type="dxa"/>
            <w:shd w:val="clear" w:color="auto" w:fill="C6EFCE"/>
            <w:noWrap/>
            <w:vAlign w:val="center"/>
          </w:tcPr>
          <w:p w14:paraId="23B010C8" w14:textId="77777777" w:rsidR="006054AA" w:rsidRPr="00D504DC" w:rsidRDefault="001F7667">
            <w:pPr>
              <w:pStyle w:val="P68B1DB1-Normal11"/>
              <w:spacing w:after="120"/>
              <w:jc w:val="center"/>
              <w:rPr>
                <w:noProof/>
                <w:sz w:val="16"/>
                <w:szCs w:val="16"/>
              </w:rPr>
            </w:pPr>
            <w:r w:rsidRPr="00D504DC">
              <w:rPr>
                <w:noProof/>
                <w:sz w:val="16"/>
                <w:szCs w:val="16"/>
              </w:rPr>
              <w:t>M2C4—12</w:t>
            </w:r>
          </w:p>
        </w:tc>
        <w:tc>
          <w:tcPr>
            <w:tcW w:w="1560" w:type="dxa"/>
            <w:shd w:val="clear" w:color="auto" w:fill="C6EFCE"/>
            <w:noWrap/>
            <w:vAlign w:val="center"/>
          </w:tcPr>
          <w:p w14:paraId="34809156" w14:textId="77777777" w:rsidR="006054AA" w:rsidRPr="00D504DC" w:rsidRDefault="001F7667">
            <w:pPr>
              <w:pStyle w:val="P68B1DB1-Normal11"/>
              <w:spacing w:after="120"/>
              <w:jc w:val="center"/>
              <w:rPr>
                <w:noProof/>
                <w:sz w:val="16"/>
                <w:szCs w:val="16"/>
              </w:rPr>
            </w:pPr>
            <w:r w:rsidRPr="00D504DC">
              <w:rPr>
                <w:noProof/>
                <w:sz w:val="16"/>
                <w:szCs w:val="16"/>
              </w:rPr>
              <w:t>Инвестиция 2.1.б. Мерки за намаляване на риска от наводнения и хидрогеоложки рискове</w:t>
            </w:r>
          </w:p>
        </w:tc>
        <w:tc>
          <w:tcPr>
            <w:tcW w:w="1134" w:type="dxa"/>
            <w:shd w:val="clear" w:color="auto" w:fill="C6EFCE"/>
            <w:noWrap/>
            <w:vAlign w:val="center"/>
          </w:tcPr>
          <w:p w14:paraId="4354716D" w14:textId="77777777" w:rsidR="006054AA" w:rsidRPr="00D504DC" w:rsidRDefault="001F7667">
            <w:pPr>
              <w:pStyle w:val="P68B1DB1-Normal11"/>
              <w:spacing w:after="120"/>
              <w:jc w:val="center"/>
              <w:rPr>
                <w:noProof/>
                <w:sz w:val="16"/>
                <w:szCs w:val="16"/>
              </w:rPr>
            </w:pPr>
            <w:r w:rsidRPr="00D504DC">
              <w:rPr>
                <w:noProof/>
                <w:sz w:val="16"/>
                <w:szCs w:val="16"/>
              </w:rPr>
              <w:t>Ключов етап</w:t>
            </w:r>
          </w:p>
        </w:tc>
        <w:tc>
          <w:tcPr>
            <w:tcW w:w="1559" w:type="dxa"/>
            <w:shd w:val="clear" w:color="auto" w:fill="C6EFCE"/>
            <w:noWrap/>
            <w:vAlign w:val="center"/>
          </w:tcPr>
          <w:p w14:paraId="19902CA1" w14:textId="77777777" w:rsidR="006054AA" w:rsidRPr="00D504DC" w:rsidRDefault="001F7667">
            <w:pPr>
              <w:pStyle w:val="P68B1DB1-Normal11"/>
              <w:spacing w:after="120"/>
              <w:jc w:val="center"/>
              <w:rPr>
                <w:noProof/>
                <w:sz w:val="16"/>
                <w:szCs w:val="16"/>
              </w:rPr>
            </w:pPr>
            <w:r w:rsidRPr="00D504DC">
              <w:rPr>
                <w:noProof/>
                <w:sz w:val="16"/>
                <w:szCs w:val="16"/>
              </w:rPr>
              <w:t>Влизане в сила на преразгледаната правна рамка за интервенции срещу рискове от наводнения и хидрогеоложки рискове</w:t>
            </w:r>
          </w:p>
        </w:tc>
        <w:tc>
          <w:tcPr>
            <w:tcW w:w="1383" w:type="dxa"/>
            <w:shd w:val="clear" w:color="auto" w:fill="C6EFCE"/>
            <w:noWrap/>
            <w:vAlign w:val="center"/>
          </w:tcPr>
          <w:p w14:paraId="4B0CE1A6" w14:textId="73D0775D" w:rsidR="006054AA" w:rsidRPr="00D504DC" w:rsidRDefault="001F7667">
            <w:pPr>
              <w:pStyle w:val="P68B1DB1-Normal11"/>
              <w:spacing w:after="120"/>
              <w:jc w:val="center"/>
              <w:rPr>
                <w:noProof/>
                <w:sz w:val="16"/>
                <w:szCs w:val="16"/>
              </w:rPr>
            </w:pPr>
            <w:r w:rsidRPr="00D504DC">
              <w:rPr>
                <w:noProof/>
                <w:sz w:val="16"/>
                <w:szCs w:val="16"/>
              </w:rPr>
              <w:t>Разпоредби в наредбите, указващи влизането в сила</w:t>
            </w:r>
          </w:p>
        </w:tc>
        <w:tc>
          <w:tcPr>
            <w:tcW w:w="1094" w:type="dxa"/>
            <w:shd w:val="clear" w:color="auto" w:fill="C6EFCE"/>
            <w:noWrap/>
            <w:vAlign w:val="center"/>
          </w:tcPr>
          <w:p w14:paraId="483969E2" w14:textId="77777777" w:rsidR="006054AA" w:rsidRPr="00D504DC" w:rsidRDefault="001F7667">
            <w:pPr>
              <w:pStyle w:val="P68B1DB1-Normal11"/>
              <w:spacing w:after="120"/>
              <w:jc w:val="center"/>
              <w:rPr>
                <w:noProof/>
                <w:sz w:val="16"/>
                <w:szCs w:val="16"/>
              </w:rPr>
            </w:pPr>
            <w:r w:rsidRPr="00D504DC">
              <w:rPr>
                <w:noProof/>
                <w:sz w:val="16"/>
                <w:szCs w:val="16"/>
              </w:rPr>
              <w:t>НЯМА</w:t>
            </w:r>
          </w:p>
        </w:tc>
        <w:tc>
          <w:tcPr>
            <w:tcW w:w="1290" w:type="dxa"/>
            <w:shd w:val="clear" w:color="auto" w:fill="C6EFCE"/>
            <w:noWrap/>
            <w:vAlign w:val="center"/>
          </w:tcPr>
          <w:p w14:paraId="5D9FCF01" w14:textId="77777777" w:rsidR="006054AA" w:rsidRPr="00D504DC" w:rsidRDefault="001F7667">
            <w:pPr>
              <w:pStyle w:val="P68B1DB1-Normal11"/>
              <w:spacing w:after="120"/>
              <w:jc w:val="center"/>
              <w:rPr>
                <w:noProof/>
                <w:sz w:val="16"/>
                <w:szCs w:val="16"/>
              </w:rPr>
            </w:pPr>
            <w:r w:rsidRPr="00D504DC">
              <w:rPr>
                <w:noProof/>
                <w:sz w:val="16"/>
                <w:szCs w:val="16"/>
              </w:rPr>
              <w:t>НЯМА</w:t>
            </w:r>
          </w:p>
        </w:tc>
        <w:tc>
          <w:tcPr>
            <w:tcW w:w="1194" w:type="dxa"/>
            <w:shd w:val="clear" w:color="auto" w:fill="C6EFCE"/>
            <w:noWrap/>
            <w:vAlign w:val="center"/>
          </w:tcPr>
          <w:p w14:paraId="56D53347" w14:textId="77777777" w:rsidR="006054AA" w:rsidRPr="00D504DC" w:rsidRDefault="001F7667">
            <w:pPr>
              <w:pStyle w:val="P68B1DB1-Normal11"/>
              <w:spacing w:after="120"/>
              <w:jc w:val="center"/>
              <w:rPr>
                <w:noProof/>
                <w:sz w:val="16"/>
                <w:szCs w:val="16"/>
              </w:rPr>
            </w:pPr>
            <w:r w:rsidRPr="00D504DC">
              <w:rPr>
                <w:noProof/>
                <w:sz w:val="16"/>
                <w:szCs w:val="16"/>
              </w:rPr>
              <w:t>НЯМА</w:t>
            </w:r>
          </w:p>
        </w:tc>
        <w:tc>
          <w:tcPr>
            <w:tcW w:w="916" w:type="dxa"/>
            <w:shd w:val="clear" w:color="auto" w:fill="C6EFCE"/>
            <w:noWrap/>
            <w:vAlign w:val="center"/>
          </w:tcPr>
          <w:p w14:paraId="4C1D036F" w14:textId="77777777" w:rsidR="006054AA" w:rsidRPr="00D504DC" w:rsidRDefault="001F7667">
            <w:pPr>
              <w:pStyle w:val="P68B1DB1-Normal11"/>
              <w:spacing w:after="120"/>
              <w:jc w:val="center"/>
              <w:rPr>
                <w:noProof/>
                <w:sz w:val="16"/>
                <w:szCs w:val="16"/>
              </w:rPr>
            </w:pPr>
            <w:r w:rsidRPr="00D504DC">
              <w:rPr>
                <w:noProof/>
                <w:sz w:val="16"/>
                <w:szCs w:val="16"/>
              </w:rPr>
              <w:t>Т4 Г.</w:t>
            </w:r>
          </w:p>
        </w:tc>
        <w:tc>
          <w:tcPr>
            <w:tcW w:w="638" w:type="dxa"/>
            <w:shd w:val="clear" w:color="auto" w:fill="C6EFCE"/>
            <w:noWrap/>
            <w:vAlign w:val="center"/>
          </w:tcPr>
          <w:p w14:paraId="10198E99" w14:textId="77777777" w:rsidR="006054AA" w:rsidRPr="00D504DC" w:rsidRDefault="001F7667">
            <w:pPr>
              <w:pStyle w:val="P68B1DB1-Normal11"/>
              <w:spacing w:after="120"/>
              <w:jc w:val="center"/>
              <w:rPr>
                <w:noProof/>
                <w:sz w:val="16"/>
                <w:szCs w:val="16"/>
              </w:rPr>
            </w:pPr>
            <w:r w:rsidRPr="00D504DC">
              <w:rPr>
                <w:noProof/>
                <w:sz w:val="16"/>
                <w:szCs w:val="16"/>
              </w:rPr>
              <w:t>2021</w:t>
            </w:r>
          </w:p>
        </w:tc>
        <w:tc>
          <w:tcPr>
            <w:tcW w:w="4116" w:type="dxa"/>
            <w:shd w:val="clear" w:color="auto" w:fill="C6EFCE"/>
            <w:noWrap/>
            <w:vAlign w:val="center"/>
          </w:tcPr>
          <w:p w14:paraId="3F802BD2" w14:textId="5FBC8943" w:rsidR="006054AA" w:rsidRPr="00D504DC" w:rsidRDefault="001F7667">
            <w:pPr>
              <w:pStyle w:val="P68B1DB1-Normal11"/>
              <w:spacing w:after="120"/>
              <w:rPr>
                <w:noProof/>
                <w:sz w:val="16"/>
                <w:szCs w:val="16"/>
              </w:rPr>
            </w:pPr>
            <w:r w:rsidRPr="00D504DC">
              <w:rPr>
                <w:noProof/>
                <w:sz w:val="16"/>
                <w:szCs w:val="16"/>
              </w:rPr>
              <w:t>Постановленията на Националната служба за гражданска защита за одобряване на първия план за намеса и инвестиции за намаляване на риска от наводнения и хидрогеоложки рискове имат за цел да възстановят началото на първоначалните условия и да гарантират устойчивостта на териториите на природни бедствия.</w:t>
            </w:r>
          </w:p>
        </w:tc>
      </w:tr>
      <w:tr w:rsidR="006054AA" w:rsidRPr="00D504DC" w14:paraId="6C7BB271" w14:textId="77777777">
        <w:trPr>
          <w:trHeight w:val="313"/>
          <w:jc w:val="center"/>
        </w:trPr>
        <w:tc>
          <w:tcPr>
            <w:tcW w:w="1130" w:type="dxa"/>
            <w:shd w:val="clear" w:color="auto" w:fill="C6EFCE"/>
            <w:noWrap/>
            <w:vAlign w:val="center"/>
          </w:tcPr>
          <w:p w14:paraId="1C14CF0E" w14:textId="77777777" w:rsidR="006054AA" w:rsidRPr="00D504DC" w:rsidRDefault="001F7667">
            <w:pPr>
              <w:pStyle w:val="P68B1DB1-Normal11"/>
              <w:spacing w:after="120"/>
              <w:jc w:val="center"/>
              <w:rPr>
                <w:noProof/>
                <w:sz w:val="16"/>
                <w:szCs w:val="16"/>
              </w:rPr>
            </w:pPr>
            <w:r w:rsidRPr="00D504DC">
              <w:rPr>
                <w:noProof/>
                <w:sz w:val="16"/>
                <w:szCs w:val="16"/>
              </w:rPr>
              <w:t>M2C4—13</w:t>
            </w:r>
          </w:p>
        </w:tc>
        <w:tc>
          <w:tcPr>
            <w:tcW w:w="1560" w:type="dxa"/>
            <w:shd w:val="clear" w:color="auto" w:fill="C6EFCE"/>
            <w:noWrap/>
            <w:vAlign w:val="center"/>
          </w:tcPr>
          <w:p w14:paraId="6558087A" w14:textId="77777777" w:rsidR="006054AA" w:rsidRPr="00D504DC" w:rsidRDefault="001F7667">
            <w:pPr>
              <w:pStyle w:val="P68B1DB1-Normal11"/>
              <w:spacing w:after="120"/>
              <w:jc w:val="center"/>
              <w:rPr>
                <w:noProof/>
                <w:sz w:val="16"/>
                <w:szCs w:val="16"/>
              </w:rPr>
            </w:pPr>
            <w:r w:rsidRPr="00D504DC">
              <w:rPr>
                <w:noProof/>
                <w:sz w:val="16"/>
                <w:szCs w:val="16"/>
              </w:rPr>
              <w:t>Инвестиция 2.1б — Мерки за намаляване на риска от наводнения и хидрогеоложки рискове</w:t>
            </w:r>
          </w:p>
        </w:tc>
        <w:tc>
          <w:tcPr>
            <w:tcW w:w="1134" w:type="dxa"/>
            <w:shd w:val="clear" w:color="auto" w:fill="C6EFCE"/>
            <w:noWrap/>
            <w:vAlign w:val="center"/>
          </w:tcPr>
          <w:p w14:paraId="7D4A1997" w14:textId="77777777" w:rsidR="006054AA" w:rsidRPr="00D504DC" w:rsidRDefault="001F7667">
            <w:pPr>
              <w:pStyle w:val="P68B1DB1-Normal11"/>
              <w:spacing w:after="120"/>
              <w:jc w:val="center"/>
              <w:rPr>
                <w:noProof/>
                <w:sz w:val="16"/>
                <w:szCs w:val="16"/>
              </w:rPr>
            </w:pPr>
            <w:r w:rsidRPr="00D504DC">
              <w:rPr>
                <w:noProof/>
                <w:sz w:val="16"/>
                <w:szCs w:val="16"/>
              </w:rPr>
              <w:t>Целеви</w:t>
            </w:r>
          </w:p>
        </w:tc>
        <w:tc>
          <w:tcPr>
            <w:tcW w:w="1559" w:type="dxa"/>
            <w:shd w:val="clear" w:color="auto" w:fill="C6EFCE"/>
            <w:noWrap/>
            <w:vAlign w:val="center"/>
          </w:tcPr>
          <w:p w14:paraId="1EC4BDED" w14:textId="000E2619" w:rsidR="006054AA" w:rsidRPr="00D504DC" w:rsidRDefault="001F7667">
            <w:pPr>
              <w:pStyle w:val="P68B1DB1-Normal11"/>
              <w:spacing w:after="120"/>
              <w:jc w:val="center"/>
              <w:rPr>
                <w:noProof/>
                <w:sz w:val="16"/>
                <w:szCs w:val="16"/>
              </w:rPr>
            </w:pPr>
            <w:r w:rsidRPr="00D504DC">
              <w:rPr>
                <w:noProof/>
                <w:sz w:val="16"/>
                <w:szCs w:val="16"/>
              </w:rPr>
              <w:t>Приключване на интервенции от тип Г и тип Д</w:t>
            </w:r>
          </w:p>
        </w:tc>
        <w:tc>
          <w:tcPr>
            <w:tcW w:w="1383" w:type="dxa"/>
            <w:shd w:val="clear" w:color="auto" w:fill="C6EFCE"/>
            <w:noWrap/>
            <w:vAlign w:val="center"/>
          </w:tcPr>
          <w:p w14:paraId="7CB7018A" w14:textId="77777777" w:rsidR="006054AA" w:rsidRPr="00D504DC" w:rsidRDefault="001F7667">
            <w:pPr>
              <w:pStyle w:val="P68B1DB1-Normal11"/>
              <w:spacing w:after="120"/>
              <w:jc w:val="center"/>
              <w:rPr>
                <w:noProof/>
                <w:sz w:val="16"/>
                <w:szCs w:val="16"/>
              </w:rPr>
            </w:pPr>
            <w:r w:rsidRPr="00D504DC">
              <w:rPr>
                <w:noProof/>
                <w:sz w:val="16"/>
                <w:szCs w:val="16"/>
              </w:rPr>
              <w:t>НЯМА</w:t>
            </w:r>
          </w:p>
        </w:tc>
        <w:tc>
          <w:tcPr>
            <w:tcW w:w="1094" w:type="dxa"/>
            <w:shd w:val="clear" w:color="auto" w:fill="C6EFCE"/>
            <w:noWrap/>
            <w:vAlign w:val="center"/>
          </w:tcPr>
          <w:p w14:paraId="13C3002D" w14:textId="77777777" w:rsidR="006054AA" w:rsidRPr="00D504DC" w:rsidRDefault="001F7667">
            <w:pPr>
              <w:pStyle w:val="P68B1DB1-Normal11"/>
              <w:spacing w:after="120"/>
              <w:jc w:val="center"/>
              <w:rPr>
                <w:noProof/>
                <w:sz w:val="16"/>
                <w:szCs w:val="16"/>
              </w:rPr>
            </w:pPr>
            <w:r w:rsidRPr="00D504DC">
              <w:rPr>
                <w:noProof/>
                <w:sz w:val="16"/>
                <w:szCs w:val="16"/>
              </w:rPr>
              <w:t>Проценти</w:t>
            </w:r>
          </w:p>
        </w:tc>
        <w:tc>
          <w:tcPr>
            <w:tcW w:w="1290" w:type="dxa"/>
            <w:shd w:val="clear" w:color="auto" w:fill="C6EFCE"/>
            <w:noWrap/>
            <w:vAlign w:val="center"/>
          </w:tcPr>
          <w:p w14:paraId="3AEA6756" w14:textId="77777777" w:rsidR="006054AA" w:rsidRPr="00D504DC" w:rsidRDefault="001F7667">
            <w:pPr>
              <w:pStyle w:val="P68B1DB1-Normal11"/>
              <w:spacing w:after="120"/>
              <w:jc w:val="center"/>
              <w:rPr>
                <w:noProof/>
                <w:sz w:val="16"/>
                <w:szCs w:val="16"/>
              </w:rPr>
            </w:pPr>
            <w:r w:rsidRPr="00D504DC">
              <w:rPr>
                <w:noProof/>
                <w:sz w:val="16"/>
                <w:szCs w:val="16"/>
              </w:rPr>
              <w:t>0</w:t>
            </w:r>
          </w:p>
        </w:tc>
        <w:tc>
          <w:tcPr>
            <w:tcW w:w="1194" w:type="dxa"/>
            <w:shd w:val="clear" w:color="auto" w:fill="C6EFCE"/>
            <w:noWrap/>
            <w:vAlign w:val="center"/>
          </w:tcPr>
          <w:p w14:paraId="4D8B0F6E" w14:textId="77777777" w:rsidR="006054AA" w:rsidRPr="00D504DC" w:rsidRDefault="001F7667">
            <w:pPr>
              <w:pStyle w:val="P68B1DB1-Normal11"/>
              <w:spacing w:after="120"/>
              <w:jc w:val="center"/>
              <w:rPr>
                <w:noProof/>
                <w:sz w:val="16"/>
                <w:szCs w:val="16"/>
              </w:rPr>
            </w:pPr>
            <w:r w:rsidRPr="00D504DC">
              <w:rPr>
                <w:noProof/>
                <w:sz w:val="16"/>
                <w:szCs w:val="16"/>
              </w:rPr>
              <w:t>90</w:t>
            </w:r>
          </w:p>
        </w:tc>
        <w:tc>
          <w:tcPr>
            <w:tcW w:w="916" w:type="dxa"/>
            <w:shd w:val="clear" w:color="auto" w:fill="C6EFCE"/>
            <w:noWrap/>
            <w:vAlign w:val="center"/>
          </w:tcPr>
          <w:p w14:paraId="6ADBC9D9" w14:textId="36E8ABE9" w:rsidR="006054AA" w:rsidRPr="00D504DC" w:rsidRDefault="001F7667">
            <w:pPr>
              <w:pStyle w:val="P68B1DB1-Normal11"/>
              <w:spacing w:after="120"/>
              <w:jc w:val="center"/>
              <w:rPr>
                <w:noProof/>
                <w:sz w:val="16"/>
                <w:szCs w:val="16"/>
              </w:rPr>
            </w:pPr>
            <w:r w:rsidRPr="00D504DC">
              <w:rPr>
                <w:noProof/>
                <w:sz w:val="16"/>
                <w:szCs w:val="16"/>
              </w:rPr>
              <w:t>Т2 Г.</w:t>
            </w:r>
          </w:p>
        </w:tc>
        <w:tc>
          <w:tcPr>
            <w:tcW w:w="638" w:type="dxa"/>
            <w:shd w:val="clear" w:color="auto" w:fill="C6EFCE"/>
            <w:noWrap/>
            <w:vAlign w:val="center"/>
          </w:tcPr>
          <w:p w14:paraId="0CDB7056" w14:textId="3E4979F3" w:rsidR="006054AA" w:rsidRPr="00D504DC" w:rsidRDefault="001F7667">
            <w:pPr>
              <w:pStyle w:val="P68B1DB1-Normal11"/>
              <w:spacing w:after="120"/>
              <w:jc w:val="center"/>
              <w:rPr>
                <w:noProof/>
                <w:sz w:val="16"/>
                <w:szCs w:val="16"/>
              </w:rPr>
            </w:pPr>
            <w:r w:rsidRPr="00D504DC">
              <w:rPr>
                <w:noProof/>
                <w:sz w:val="16"/>
                <w:szCs w:val="16"/>
              </w:rPr>
              <w:t>2026</w:t>
            </w:r>
          </w:p>
        </w:tc>
        <w:tc>
          <w:tcPr>
            <w:tcW w:w="4116" w:type="dxa"/>
            <w:shd w:val="clear" w:color="auto" w:fill="C6EFCE"/>
            <w:noWrap/>
            <w:vAlign w:val="center"/>
          </w:tcPr>
          <w:p w14:paraId="5971594D" w14:textId="096F4883" w:rsidR="006054AA" w:rsidRPr="00D504DC" w:rsidRDefault="001F7667">
            <w:pPr>
              <w:pStyle w:val="P68B1DB1-Normal11"/>
              <w:spacing w:after="120"/>
              <w:rPr>
                <w:noProof/>
                <w:sz w:val="16"/>
                <w:szCs w:val="16"/>
              </w:rPr>
            </w:pPr>
            <w:r w:rsidRPr="00D504DC">
              <w:rPr>
                <w:noProof/>
                <w:sz w:val="16"/>
                <w:szCs w:val="16"/>
              </w:rPr>
              <w:t>Приключване на 90 % от интервенциите от тип Д и тип Г, насочени към възстановяване на увредените публични структури, както е посочено в наредбите на Националната служба за гражданска защита.</w:t>
            </w:r>
          </w:p>
        </w:tc>
      </w:tr>
      <w:tr w:rsidR="006054AA" w:rsidRPr="00D504DC" w14:paraId="1EC5960F" w14:textId="77777777">
        <w:trPr>
          <w:trHeight w:val="313"/>
          <w:jc w:val="center"/>
        </w:trPr>
        <w:tc>
          <w:tcPr>
            <w:tcW w:w="1130" w:type="dxa"/>
            <w:shd w:val="clear" w:color="auto" w:fill="C6EFCE"/>
            <w:noWrap/>
            <w:vAlign w:val="center"/>
            <w:hideMark/>
          </w:tcPr>
          <w:p w14:paraId="6079803A" w14:textId="77777777" w:rsidR="006054AA" w:rsidRPr="00D504DC" w:rsidRDefault="001F7667">
            <w:pPr>
              <w:pStyle w:val="P68B1DB1-Normal11"/>
              <w:spacing w:line="276" w:lineRule="auto"/>
              <w:jc w:val="center"/>
              <w:rPr>
                <w:noProof/>
                <w:sz w:val="16"/>
                <w:szCs w:val="16"/>
              </w:rPr>
            </w:pPr>
            <w:r w:rsidRPr="00D504DC">
              <w:rPr>
                <w:noProof/>
                <w:sz w:val="16"/>
                <w:szCs w:val="16"/>
              </w:rPr>
              <w:t>M2C4—18</w:t>
            </w:r>
          </w:p>
        </w:tc>
        <w:tc>
          <w:tcPr>
            <w:tcW w:w="1560" w:type="dxa"/>
            <w:shd w:val="clear" w:color="auto" w:fill="C6EFCE"/>
            <w:noWrap/>
            <w:vAlign w:val="center"/>
            <w:hideMark/>
          </w:tcPr>
          <w:p w14:paraId="30390F8E"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Инвестиции. 3.1: Опазване и подобряване на градските и крайградските гори</w:t>
            </w:r>
          </w:p>
        </w:tc>
        <w:tc>
          <w:tcPr>
            <w:tcW w:w="1134" w:type="dxa"/>
            <w:shd w:val="clear" w:color="auto" w:fill="C6EFCE"/>
            <w:noWrap/>
            <w:vAlign w:val="center"/>
            <w:hideMark/>
          </w:tcPr>
          <w:p w14:paraId="1816964D"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hideMark/>
          </w:tcPr>
          <w:p w14:paraId="0E56E6BA" w14:textId="685A7F32" w:rsidR="006054AA" w:rsidRPr="00D504DC" w:rsidRDefault="001F7667">
            <w:pPr>
              <w:pStyle w:val="P68B1DB1-Normal11"/>
              <w:spacing w:line="276" w:lineRule="auto"/>
              <w:jc w:val="center"/>
              <w:rPr>
                <w:noProof/>
                <w:sz w:val="16"/>
                <w:szCs w:val="16"/>
              </w:rPr>
            </w:pPr>
            <w:r w:rsidRPr="00D504DC">
              <w:rPr>
                <w:noProof/>
                <w:sz w:val="16"/>
                <w:szCs w:val="16"/>
              </w:rPr>
              <w:t>Влизане в сила на преразгледаните правни промени за защита и валоризация на градските и крайградските зелени площи</w:t>
            </w:r>
          </w:p>
        </w:tc>
        <w:tc>
          <w:tcPr>
            <w:tcW w:w="1383" w:type="dxa"/>
            <w:shd w:val="clear" w:color="auto" w:fill="C6EFCE"/>
            <w:noWrap/>
            <w:vAlign w:val="center"/>
            <w:hideMark/>
          </w:tcPr>
          <w:p w14:paraId="36DE1ECD" w14:textId="77777777" w:rsidR="006054AA" w:rsidRPr="00D504DC" w:rsidRDefault="001F7667">
            <w:pPr>
              <w:pStyle w:val="P68B1DB1-Normal11"/>
              <w:spacing w:line="276" w:lineRule="auto"/>
              <w:jc w:val="center"/>
              <w:rPr>
                <w:noProof/>
                <w:sz w:val="16"/>
                <w:szCs w:val="16"/>
              </w:rPr>
            </w:pPr>
            <w:r w:rsidRPr="00D504DC">
              <w:rPr>
                <w:noProof/>
                <w:sz w:val="16"/>
                <w:szCs w:val="16"/>
              </w:rPr>
              <w:t>Разпоредба в съответните законодателни актове, указваща приемането на градоустройствения план</w:t>
            </w:r>
          </w:p>
        </w:tc>
        <w:tc>
          <w:tcPr>
            <w:tcW w:w="1094" w:type="dxa"/>
            <w:shd w:val="clear" w:color="auto" w:fill="C6EFCE"/>
            <w:noWrap/>
            <w:vAlign w:val="center"/>
            <w:hideMark/>
          </w:tcPr>
          <w:p w14:paraId="02505EEA"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hideMark/>
          </w:tcPr>
          <w:p w14:paraId="6055F293"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194" w:type="dxa"/>
            <w:shd w:val="clear" w:color="auto" w:fill="C6EFCE"/>
            <w:noWrap/>
            <w:vAlign w:val="center"/>
            <w:hideMark/>
          </w:tcPr>
          <w:p w14:paraId="5C47DAC1"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916" w:type="dxa"/>
            <w:shd w:val="clear" w:color="auto" w:fill="C6EFCE"/>
            <w:noWrap/>
            <w:vAlign w:val="center"/>
            <w:hideMark/>
          </w:tcPr>
          <w:p w14:paraId="4B9FF76D"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52E3FE38" w14:textId="77777777" w:rsidR="006054AA" w:rsidRPr="00D504DC" w:rsidRDefault="001F7667">
            <w:pPr>
              <w:pStyle w:val="P68B1DB1-Normal11"/>
              <w:spacing w:line="276" w:lineRule="auto"/>
              <w:jc w:val="center"/>
              <w:rPr>
                <w:noProof/>
                <w:sz w:val="16"/>
                <w:szCs w:val="16"/>
              </w:rPr>
            </w:pPr>
            <w:r w:rsidRPr="00D504DC">
              <w:rPr>
                <w:noProof/>
                <w:sz w:val="16"/>
                <w:szCs w:val="16"/>
              </w:rPr>
              <w:t>2021</w:t>
            </w:r>
          </w:p>
        </w:tc>
        <w:tc>
          <w:tcPr>
            <w:tcW w:w="4116" w:type="dxa"/>
            <w:shd w:val="clear" w:color="auto" w:fill="C6EFCE"/>
            <w:noWrap/>
            <w:vAlign w:val="center"/>
            <w:hideMark/>
          </w:tcPr>
          <w:p w14:paraId="0F9C7A38" w14:textId="77777777" w:rsidR="006054AA" w:rsidRPr="00D504DC" w:rsidRDefault="001F7667">
            <w:pPr>
              <w:pStyle w:val="P68B1DB1-Normal11"/>
              <w:spacing w:line="276" w:lineRule="auto"/>
              <w:rPr>
                <w:noProof/>
                <w:sz w:val="16"/>
                <w:szCs w:val="16"/>
              </w:rPr>
            </w:pPr>
            <w:r w:rsidRPr="00D504DC">
              <w:rPr>
                <w:noProof/>
                <w:sz w:val="16"/>
                <w:szCs w:val="16"/>
              </w:rPr>
              <w:t>Градоустройственият план е в съответствие с целите на Закона от 12 декември 2019 г. от 141 г. („закон за климата“) и следва етап на планиране, който трябва да бъде осъществен от метрополните градове. В плана следва да се определят най-малко следните цели:</w:t>
            </w:r>
          </w:p>
          <w:p w14:paraId="010981F3" w14:textId="77777777" w:rsidR="006054AA" w:rsidRPr="00D504DC" w:rsidRDefault="001F7667">
            <w:pPr>
              <w:pStyle w:val="P68B1DB1-ListParagraph13"/>
              <w:numPr>
                <w:ilvl w:val="0"/>
                <w:numId w:val="69"/>
              </w:numPr>
              <w:spacing w:before="0" w:after="0" w:line="276" w:lineRule="auto"/>
              <w:ind w:left="446"/>
              <w:jc w:val="left"/>
              <w:rPr>
                <w:noProof/>
                <w:sz w:val="16"/>
                <w:szCs w:val="16"/>
              </w:rPr>
            </w:pPr>
            <w:r w:rsidRPr="00D504DC">
              <w:rPr>
                <w:noProof/>
                <w:sz w:val="16"/>
                <w:szCs w:val="16"/>
              </w:rPr>
              <w:t>Опазване и подобряване на дифузното биологично разнообразие в съответствие с Европейската стратегия за биологичното разнообразие,</w:t>
            </w:r>
          </w:p>
          <w:p w14:paraId="64CB0551" w14:textId="77777777" w:rsidR="006054AA" w:rsidRPr="00D504DC" w:rsidRDefault="001F7667">
            <w:pPr>
              <w:pStyle w:val="P68B1DB1-ListParagraph13"/>
              <w:numPr>
                <w:ilvl w:val="0"/>
                <w:numId w:val="69"/>
              </w:numPr>
              <w:spacing w:before="0" w:after="0" w:line="276" w:lineRule="auto"/>
              <w:ind w:left="446"/>
              <w:jc w:val="left"/>
              <w:rPr>
                <w:noProof/>
                <w:sz w:val="16"/>
                <w:szCs w:val="16"/>
              </w:rPr>
            </w:pPr>
            <w:r w:rsidRPr="00D504DC">
              <w:rPr>
                <w:noProof/>
                <w:sz w:val="16"/>
                <w:szCs w:val="16"/>
              </w:rPr>
              <w:t>Допринасяне за намаляване на замърсяването на въздуха в метрополните области,</w:t>
            </w:r>
          </w:p>
          <w:p w14:paraId="5B97DD8D" w14:textId="77777777" w:rsidR="006054AA" w:rsidRPr="00D504DC" w:rsidRDefault="001F7667">
            <w:pPr>
              <w:pStyle w:val="P68B1DB1-ListParagraph13"/>
              <w:numPr>
                <w:ilvl w:val="0"/>
                <w:numId w:val="69"/>
              </w:numPr>
              <w:spacing w:before="0" w:after="0" w:line="276" w:lineRule="auto"/>
              <w:ind w:left="446"/>
              <w:jc w:val="left"/>
              <w:rPr>
                <w:noProof/>
                <w:sz w:val="16"/>
                <w:szCs w:val="16"/>
              </w:rPr>
            </w:pPr>
            <w:r w:rsidRPr="00D504DC">
              <w:rPr>
                <w:noProof/>
                <w:sz w:val="16"/>
                <w:szCs w:val="16"/>
              </w:rPr>
              <w:t>Намаляване на производствата за установяване на нарушение във връзка с качеството на въздуха;</w:t>
            </w:r>
          </w:p>
          <w:p w14:paraId="6C1B4974" w14:textId="77777777" w:rsidR="006054AA" w:rsidRPr="00D504DC" w:rsidRDefault="001F7667">
            <w:pPr>
              <w:pStyle w:val="P68B1DB1-ListParagraph13"/>
              <w:numPr>
                <w:ilvl w:val="0"/>
                <w:numId w:val="69"/>
              </w:numPr>
              <w:spacing w:before="0" w:after="0" w:line="276" w:lineRule="auto"/>
              <w:ind w:left="446"/>
              <w:jc w:val="left"/>
              <w:rPr>
                <w:noProof/>
                <w:sz w:val="16"/>
                <w:szCs w:val="16"/>
              </w:rPr>
            </w:pPr>
            <w:r w:rsidRPr="00D504DC">
              <w:rPr>
                <w:noProof/>
                <w:sz w:val="16"/>
                <w:szCs w:val="16"/>
              </w:rPr>
              <w:t>Възстановяване на създадени от човека ландшафти и подобряване на защитените зони, намиращи се в непосредствена близост до метрополните райони;</w:t>
            </w:r>
          </w:p>
          <w:p w14:paraId="6DDDE22C" w14:textId="77777777" w:rsidR="006054AA" w:rsidRPr="00D504DC" w:rsidRDefault="006054AA">
            <w:pPr>
              <w:spacing w:line="276" w:lineRule="auto"/>
              <w:rPr>
                <w:rFonts w:ascii="Arial Narrow" w:hAnsi="Arial Narrow"/>
                <w:noProof/>
                <w:color w:val="006100"/>
                <w:sz w:val="16"/>
                <w:szCs w:val="16"/>
              </w:rPr>
            </w:pPr>
          </w:p>
          <w:p w14:paraId="068E5E55" w14:textId="230D98FC" w:rsidR="006054AA" w:rsidRPr="00D504DC" w:rsidRDefault="001F7667">
            <w:pPr>
              <w:pStyle w:val="P68B1DB1-Normal11"/>
              <w:spacing w:line="276" w:lineRule="auto"/>
              <w:rPr>
                <w:noProof/>
                <w:sz w:val="16"/>
                <w:szCs w:val="16"/>
              </w:rPr>
            </w:pPr>
            <w:r w:rsidRPr="00D504DC">
              <w:rPr>
                <w:noProof/>
                <w:sz w:val="16"/>
                <w:szCs w:val="16"/>
              </w:rPr>
              <w:t>Ограничаване на потреблението на почви и възстановяване на полезните почви.</w:t>
            </w:r>
          </w:p>
        </w:tc>
      </w:tr>
      <w:tr w:rsidR="006054AA" w:rsidRPr="00D504DC" w14:paraId="06F1E9AE" w14:textId="77777777">
        <w:trPr>
          <w:trHeight w:val="313"/>
          <w:jc w:val="center"/>
        </w:trPr>
        <w:tc>
          <w:tcPr>
            <w:tcW w:w="1130" w:type="dxa"/>
            <w:shd w:val="clear" w:color="auto" w:fill="C6EFCE"/>
            <w:noWrap/>
            <w:vAlign w:val="center"/>
            <w:hideMark/>
          </w:tcPr>
          <w:p w14:paraId="1D1A7340" w14:textId="77777777" w:rsidR="006054AA" w:rsidRPr="00D504DC" w:rsidRDefault="001F7667">
            <w:pPr>
              <w:pStyle w:val="P68B1DB1-Normal11"/>
              <w:spacing w:line="276" w:lineRule="auto"/>
              <w:jc w:val="center"/>
              <w:rPr>
                <w:noProof/>
                <w:sz w:val="16"/>
                <w:szCs w:val="16"/>
              </w:rPr>
            </w:pPr>
            <w:r w:rsidRPr="00D504DC">
              <w:rPr>
                <w:noProof/>
                <w:sz w:val="16"/>
                <w:szCs w:val="16"/>
              </w:rPr>
              <w:t>M2C4—19</w:t>
            </w:r>
          </w:p>
        </w:tc>
        <w:tc>
          <w:tcPr>
            <w:tcW w:w="1560" w:type="dxa"/>
            <w:shd w:val="clear" w:color="auto" w:fill="C6EFCE"/>
            <w:noWrap/>
            <w:vAlign w:val="center"/>
            <w:hideMark/>
          </w:tcPr>
          <w:p w14:paraId="1AC421C3"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Инвестиции. 3.1: Опазване и подобряване на градските и крайградските гори</w:t>
            </w:r>
          </w:p>
        </w:tc>
        <w:tc>
          <w:tcPr>
            <w:tcW w:w="1134" w:type="dxa"/>
            <w:shd w:val="clear" w:color="auto" w:fill="C6EFCE"/>
            <w:noWrap/>
            <w:vAlign w:val="center"/>
            <w:hideMark/>
          </w:tcPr>
          <w:p w14:paraId="71500290"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257F4E84" w14:textId="77777777" w:rsidR="006054AA" w:rsidRPr="00D504DC" w:rsidRDefault="001F7667">
            <w:pPr>
              <w:pStyle w:val="P68B1DB1-Normal11"/>
              <w:spacing w:line="276" w:lineRule="auto"/>
              <w:jc w:val="center"/>
              <w:rPr>
                <w:noProof/>
                <w:sz w:val="16"/>
                <w:szCs w:val="16"/>
              </w:rPr>
            </w:pPr>
            <w:r w:rsidRPr="00D504DC">
              <w:rPr>
                <w:noProof/>
                <w:sz w:val="16"/>
                <w:szCs w:val="16"/>
              </w:rPr>
              <w:t>Растителни дървета за защита и валоризация на градски и крайградски зелени площи T1</w:t>
            </w:r>
          </w:p>
        </w:tc>
        <w:tc>
          <w:tcPr>
            <w:tcW w:w="1383" w:type="dxa"/>
            <w:shd w:val="clear" w:color="auto" w:fill="C6EFCE"/>
            <w:noWrap/>
            <w:vAlign w:val="center"/>
            <w:hideMark/>
          </w:tcPr>
          <w:p w14:paraId="1FF3EFB4"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6C3F8662"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5C134E11"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hideMark/>
          </w:tcPr>
          <w:p w14:paraId="6BA6D4BD" w14:textId="76BEFE81" w:rsidR="006054AA" w:rsidRPr="00D504DC" w:rsidRDefault="001F7667">
            <w:pPr>
              <w:pStyle w:val="P68B1DB1-Normal12"/>
              <w:spacing w:line="276" w:lineRule="auto"/>
              <w:jc w:val="center"/>
              <w:rPr>
                <w:rFonts w:ascii="Arial Narrow" w:hAnsi="Arial Narrow"/>
                <w:noProof/>
                <w:sz w:val="16"/>
                <w:szCs w:val="16"/>
              </w:rPr>
            </w:pPr>
            <w:r w:rsidRPr="00D504DC">
              <w:rPr>
                <w:rFonts w:ascii="Arial Narrow" w:hAnsi="Arial Narrow"/>
                <w:noProof/>
                <w:sz w:val="16"/>
                <w:szCs w:val="16"/>
              </w:rPr>
              <w:t>1</w:t>
            </w:r>
            <w:r w:rsidRPr="00D504DC">
              <w:rPr>
                <w:noProof/>
                <w:sz w:val="16"/>
                <w:szCs w:val="16"/>
              </w:rPr>
              <w:t xml:space="preserve"> </w:t>
            </w:r>
            <w:r w:rsidRPr="00D504DC">
              <w:rPr>
                <w:rFonts w:ascii="Arial Narrow" w:hAnsi="Arial Narrow"/>
                <w:noProof/>
                <w:sz w:val="16"/>
                <w:szCs w:val="16"/>
              </w:rPr>
              <w:t>650</w:t>
            </w:r>
            <w:r w:rsidRPr="00D504DC">
              <w:rPr>
                <w:noProof/>
                <w:sz w:val="16"/>
                <w:szCs w:val="16"/>
              </w:rPr>
              <w:t xml:space="preserve"> </w:t>
            </w:r>
            <w:r w:rsidRPr="00D504DC">
              <w:rPr>
                <w:rFonts w:ascii="Arial Narrow" w:hAnsi="Arial Narrow"/>
                <w:noProof/>
                <w:sz w:val="16"/>
                <w:szCs w:val="16"/>
              </w:rPr>
              <w:t>000</w:t>
            </w:r>
          </w:p>
        </w:tc>
        <w:tc>
          <w:tcPr>
            <w:tcW w:w="916" w:type="dxa"/>
            <w:shd w:val="clear" w:color="auto" w:fill="C6EFCE"/>
            <w:noWrap/>
            <w:vAlign w:val="center"/>
            <w:hideMark/>
          </w:tcPr>
          <w:p w14:paraId="7A3C4C72"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764D9FEE" w14:textId="77777777" w:rsidR="006054AA" w:rsidRPr="00D504DC" w:rsidRDefault="001F7667">
            <w:pPr>
              <w:pStyle w:val="P68B1DB1-Normal11"/>
              <w:spacing w:line="276" w:lineRule="auto"/>
              <w:jc w:val="center"/>
              <w:rPr>
                <w:noProof/>
                <w:sz w:val="16"/>
                <w:szCs w:val="16"/>
              </w:rPr>
            </w:pPr>
            <w:r w:rsidRPr="00D504DC">
              <w:rPr>
                <w:noProof/>
                <w:sz w:val="16"/>
                <w:szCs w:val="16"/>
              </w:rPr>
              <w:t>2022</w:t>
            </w:r>
          </w:p>
        </w:tc>
        <w:tc>
          <w:tcPr>
            <w:tcW w:w="4116" w:type="dxa"/>
            <w:shd w:val="clear" w:color="auto" w:fill="C6EFCE"/>
            <w:noWrap/>
            <w:vAlign w:val="center"/>
            <w:hideMark/>
          </w:tcPr>
          <w:p w14:paraId="1AFD6AAB" w14:textId="1EEB3221" w:rsidR="006054AA" w:rsidRPr="00D504DC" w:rsidRDefault="001F7667">
            <w:pPr>
              <w:pStyle w:val="P68B1DB1-Normal12"/>
              <w:spacing w:line="276" w:lineRule="auto"/>
              <w:rPr>
                <w:rFonts w:ascii="Arial Narrow" w:hAnsi="Arial Narrow"/>
                <w:noProof/>
                <w:sz w:val="16"/>
                <w:szCs w:val="16"/>
              </w:rPr>
            </w:pPr>
            <w:r w:rsidRPr="00D504DC">
              <w:rPr>
                <w:rFonts w:ascii="Arial Narrow" w:hAnsi="Arial Narrow"/>
                <w:noProof/>
                <w:sz w:val="16"/>
                <w:szCs w:val="16"/>
              </w:rPr>
              <w:t>Засаждане на най-малко 1</w:t>
            </w:r>
            <w:r w:rsidRPr="00D504DC">
              <w:rPr>
                <w:noProof/>
                <w:sz w:val="16"/>
                <w:szCs w:val="16"/>
              </w:rPr>
              <w:t xml:space="preserve"> </w:t>
            </w:r>
            <w:r w:rsidRPr="00D504DC">
              <w:rPr>
                <w:rFonts w:ascii="Arial Narrow" w:hAnsi="Arial Narrow"/>
                <w:noProof/>
                <w:sz w:val="16"/>
                <w:szCs w:val="16"/>
              </w:rPr>
              <w:t>650</w:t>
            </w:r>
            <w:r w:rsidRPr="00D504DC">
              <w:rPr>
                <w:noProof/>
                <w:sz w:val="16"/>
                <w:szCs w:val="16"/>
              </w:rPr>
              <w:t xml:space="preserve"> </w:t>
            </w:r>
            <w:r w:rsidRPr="00D504DC">
              <w:rPr>
                <w:rFonts w:ascii="Arial Narrow" w:hAnsi="Arial Narrow"/>
                <w:noProof/>
                <w:sz w:val="16"/>
                <w:szCs w:val="16"/>
              </w:rPr>
              <w:t>000 дървета за повторно залесяване на градски и крайградски райони съгласно член 4 от Закона от 12 декември 2019 г. от 141 г. (т.нар. закон за климата)</w:t>
            </w:r>
            <w:r w:rsidRPr="00D504DC">
              <w:rPr>
                <w:noProof/>
                <w:sz w:val="16"/>
                <w:szCs w:val="16"/>
              </w:rPr>
              <w:t>.</w:t>
            </w:r>
          </w:p>
        </w:tc>
      </w:tr>
      <w:tr w:rsidR="006054AA" w:rsidRPr="00D504DC" w14:paraId="77ED1231" w14:textId="77777777">
        <w:trPr>
          <w:trHeight w:val="313"/>
          <w:jc w:val="center"/>
        </w:trPr>
        <w:tc>
          <w:tcPr>
            <w:tcW w:w="1130" w:type="dxa"/>
            <w:shd w:val="clear" w:color="auto" w:fill="C6EFCE"/>
            <w:noWrap/>
            <w:vAlign w:val="center"/>
            <w:hideMark/>
          </w:tcPr>
          <w:p w14:paraId="099E7D99" w14:textId="77777777" w:rsidR="006054AA" w:rsidRPr="00D504DC" w:rsidRDefault="001F7667">
            <w:pPr>
              <w:pStyle w:val="P68B1DB1-Normal11"/>
              <w:spacing w:line="276" w:lineRule="auto"/>
              <w:jc w:val="center"/>
              <w:rPr>
                <w:noProof/>
                <w:sz w:val="16"/>
                <w:szCs w:val="16"/>
              </w:rPr>
            </w:pPr>
            <w:r w:rsidRPr="00D504DC">
              <w:rPr>
                <w:noProof/>
                <w:sz w:val="16"/>
                <w:szCs w:val="16"/>
              </w:rPr>
              <w:t>M2C4—20</w:t>
            </w:r>
          </w:p>
        </w:tc>
        <w:tc>
          <w:tcPr>
            <w:tcW w:w="1560" w:type="dxa"/>
            <w:shd w:val="clear" w:color="auto" w:fill="C6EFCE"/>
            <w:noWrap/>
            <w:vAlign w:val="center"/>
            <w:hideMark/>
          </w:tcPr>
          <w:p w14:paraId="204511B4"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Инвестиции. 3.1: Опазване и подобряване на градските и крайградските гори</w:t>
            </w:r>
          </w:p>
        </w:tc>
        <w:tc>
          <w:tcPr>
            <w:tcW w:w="1134" w:type="dxa"/>
            <w:shd w:val="clear" w:color="auto" w:fill="C6EFCE"/>
            <w:noWrap/>
            <w:vAlign w:val="center"/>
            <w:hideMark/>
          </w:tcPr>
          <w:p w14:paraId="14C4E5EF"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36271A94" w14:textId="749DB606" w:rsidR="006054AA" w:rsidRPr="00D504DC" w:rsidRDefault="001F7667">
            <w:pPr>
              <w:pStyle w:val="P68B1DB1-Normal11"/>
              <w:spacing w:line="276" w:lineRule="auto"/>
              <w:jc w:val="center"/>
              <w:rPr>
                <w:noProof/>
                <w:sz w:val="16"/>
                <w:szCs w:val="16"/>
              </w:rPr>
            </w:pPr>
            <w:r w:rsidRPr="00D504DC">
              <w:rPr>
                <w:noProof/>
                <w:sz w:val="16"/>
                <w:szCs w:val="16"/>
              </w:rPr>
              <w:t>Растителни дървета за защита и валоризация на градски и крайградски зелени площи T2</w:t>
            </w:r>
          </w:p>
        </w:tc>
        <w:tc>
          <w:tcPr>
            <w:tcW w:w="1383" w:type="dxa"/>
            <w:shd w:val="clear" w:color="auto" w:fill="C6EFCE"/>
            <w:noWrap/>
            <w:vAlign w:val="center"/>
            <w:hideMark/>
          </w:tcPr>
          <w:p w14:paraId="15335D96"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6E99F159"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22CCC378" w14:textId="0CD4DE17" w:rsidR="006054AA" w:rsidRPr="00D504DC" w:rsidRDefault="001F7667">
            <w:pPr>
              <w:pStyle w:val="P68B1DB1-Normal12"/>
              <w:spacing w:line="276" w:lineRule="auto"/>
              <w:jc w:val="center"/>
              <w:rPr>
                <w:rFonts w:ascii="Arial Narrow" w:hAnsi="Arial Narrow"/>
                <w:noProof/>
                <w:sz w:val="16"/>
                <w:szCs w:val="16"/>
              </w:rPr>
            </w:pPr>
            <w:r w:rsidRPr="00D504DC">
              <w:rPr>
                <w:rFonts w:ascii="Arial Narrow" w:hAnsi="Arial Narrow"/>
                <w:noProof/>
                <w:sz w:val="16"/>
                <w:szCs w:val="16"/>
              </w:rPr>
              <w:t>1</w:t>
            </w:r>
            <w:r w:rsidRPr="00D504DC">
              <w:rPr>
                <w:noProof/>
                <w:sz w:val="16"/>
                <w:szCs w:val="16"/>
              </w:rPr>
              <w:t xml:space="preserve"> </w:t>
            </w:r>
            <w:r w:rsidRPr="00D504DC">
              <w:rPr>
                <w:rFonts w:ascii="Arial Narrow" w:hAnsi="Arial Narrow"/>
                <w:noProof/>
                <w:sz w:val="16"/>
                <w:szCs w:val="16"/>
              </w:rPr>
              <w:t>650</w:t>
            </w:r>
            <w:r w:rsidRPr="00D504DC">
              <w:rPr>
                <w:noProof/>
                <w:sz w:val="16"/>
                <w:szCs w:val="16"/>
              </w:rPr>
              <w:t xml:space="preserve"> </w:t>
            </w:r>
            <w:r w:rsidRPr="00D504DC">
              <w:rPr>
                <w:rFonts w:ascii="Arial Narrow" w:hAnsi="Arial Narrow"/>
                <w:noProof/>
                <w:sz w:val="16"/>
                <w:szCs w:val="16"/>
              </w:rPr>
              <w:t>000</w:t>
            </w:r>
          </w:p>
        </w:tc>
        <w:tc>
          <w:tcPr>
            <w:tcW w:w="1194" w:type="dxa"/>
            <w:shd w:val="clear" w:color="auto" w:fill="C6EFCE"/>
            <w:noWrap/>
            <w:vAlign w:val="center"/>
            <w:hideMark/>
          </w:tcPr>
          <w:p w14:paraId="247387DF" w14:textId="00CA16A7" w:rsidR="006054AA" w:rsidRPr="00D504DC" w:rsidRDefault="001F7667">
            <w:pPr>
              <w:pStyle w:val="P68B1DB1-Normal12"/>
              <w:spacing w:line="276" w:lineRule="auto"/>
              <w:jc w:val="center"/>
              <w:rPr>
                <w:rFonts w:ascii="Arial Narrow" w:hAnsi="Arial Narrow"/>
                <w:noProof/>
                <w:sz w:val="16"/>
                <w:szCs w:val="16"/>
              </w:rPr>
            </w:pPr>
            <w:r w:rsidRPr="00D504DC">
              <w:rPr>
                <w:rFonts w:ascii="Arial Narrow" w:hAnsi="Arial Narrow"/>
                <w:noProof/>
                <w:sz w:val="16"/>
                <w:szCs w:val="16"/>
              </w:rPr>
              <w:t>4</w:t>
            </w:r>
            <w:r w:rsidRPr="00D504DC">
              <w:rPr>
                <w:noProof/>
                <w:sz w:val="16"/>
                <w:szCs w:val="16"/>
              </w:rPr>
              <w:t xml:space="preserve"> </w:t>
            </w:r>
            <w:r w:rsidRPr="00D504DC">
              <w:rPr>
                <w:rFonts w:ascii="Arial Narrow" w:hAnsi="Arial Narrow"/>
                <w:noProof/>
                <w:sz w:val="16"/>
                <w:szCs w:val="16"/>
              </w:rPr>
              <w:t>500</w:t>
            </w:r>
            <w:r w:rsidRPr="00D504DC">
              <w:rPr>
                <w:noProof/>
                <w:sz w:val="16"/>
                <w:szCs w:val="16"/>
              </w:rPr>
              <w:t xml:space="preserve"> </w:t>
            </w:r>
            <w:r w:rsidRPr="00D504DC">
              <w:rPr>
                <w:rFonts w:ascii="Arial Narrow" w:hAnsi="Arial Narrow"/>
                <w:noProof/>
                <w:sz w:val="16"/>
                <w:szCs w:val="16"/>
              </w:rPr>
              <w:t>000</w:t>
            </w:r>
          </w:p>
        </w:tc>
        <w:tc>
          <w:tcPr>
            <w:tcW w:w="916" w:type="dxa"/>
            <w:shd w:val="clear" w:color="auto" w:fill="C6EFCE"/>
            <w:noWrap/>
            <w:vAlign w:val="center"/>
            <w:hideMark/>
          </w:tcPr>
          <w:p w14:paraId="7F302F1B" w14:textId="77777777" w:rsidR="006054AA" w:rsidRPr="00D504DC" w:rsidRDefault="001F7667">
            <w:pPr>
              <w:pStyle w:val="P68B1DB1-Normal11"/>
              <w:spacing w:line="276" w:lineRule="auto"/>
              <w:jc w:val="center"/>
              <w:rPr>
                <w:noProof/>
                <w:sz w:val="16"/>
                <w:szCs w:val="16"/>
              </w:rPr>
            </w:pPr>
            <w:r w:rsidRPr="00D504DC">
              <w:rPr>
                <w:noProof/>
                <w:sz w:val="16"/>
                <w:szCs w:val="16"/>
              </w:rPr>
              <w:t>Т2 Г.</w:t>
            </w:r>
          </w:p>
        </w:tc>
        <w:tc>
          <w:tcPr>
            <w:tcW w:w="638" w:type="dxa"/>
            <w:shd w:val="clear" w:color="auto" w:fill="C6EFCE"/>
            <w:noWrap/>
            <w:vAlign w:val="center"/>
            <w:hideMark/>
          </w:tcPr>
          <w:p w14:paraId="768C0861" w14:textId="77777777"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shd w:val="clear" w:color="auto" w:fill="C6EFCE"/>
            <w:noWrap/>
            <w:vAlign w:val="center"/>
            <w:hideMark/>
          </w:tcPr>
          <w:p w14:paraId="752A6EE4" w14:textId="37E4682B" w:rsidR="006054AA" w:rsidRPr="00D504DC" w:rsidRDefault="001F7667">
            <w:pPr>
              <w:pStyle w:val="P68B1DB1-Normal12"/>
              <w:spacing w:line="276" w:lineRule="auto"/>
              <w:rPr>
                <w:rFonts w:ascii="Arial Narrow" w:hAnsi="Arial Narrow"/>
                <w:noProof/>
                <w:sz w:val="16"/>
                <w:szCs w:val="16"/>
              </w:rPr>
            </w:pPr>
            <w:r w:rsidRPr="00D504DC">
              <w:rPr>
                <w:rFonts w:ascii="Arial Narrow" w:hAnsi="Arial Narrow"/>
                <w:noProof/>
                <w:sz w:val="16"/>
                <w:szCs w:val="16"/>
              </w:rPr>
              <w:t>Засаждане на горски репродуктивен материал (семена или растения) за най-малко 4</w:t>
            </w:r>
            <w:r w:rsidRPr="00D504DC">
              <w:rPr>
                <w:noProof/>
                <w:sz w:val="16"/>
                <w:szCs w:val="16"/>
              </w:rPr>
              <w:t xml:space="preserve"> </w:t>
            </w:r>
            <w:r w:rsidRPr="00D504DC">
              <w:rPr>
                <w:rFonts w:ascii="Arial Narrow" w:hAnsi="Arial Narrow"/>
                <w:noProof/>
                <w:sz w:val="16"/>
                <w:szCs w:val="16"/>
              </w:rPr>
              <w:t>500</w:t>
            </w:r>
            <w:r w:rsidRPr="00D504DC">
              <w:rPr>
                <w:noProof/>
                <w:sz w:val="16"/>
                <w:szCs w:val="16"/>
              </w:rPr>
              <w:t xml:space="preserve"> </w:t>
            </w:r>
            <w:r w:rsidRPr="00D504DC">
              <w:rPr>
                <w:rFonts w:ascii="Arial Narrow" w:hAnsi="Arial Narrow"/>
                <w:noProof/>
                <w:sz w:val="16"/>
                <w:szCs w:val="16"/>
              </w:rPr>
              <w:t>дървета и храсти за повторно залесяване на градски и крайградски райони съгласно член 4 от закона от 12 декември 2019 г., 141 г. (т.нар. закон за климата)</w:t>
            </w:r>
            <w:r w:rsidRPr="00D504DC">
              <w:rPr>
                <w:noProof/>
                <w:sz w:val="16"/>
                <w:szCs w:val="16"/>
              </w:rPr>
              <w:t>.</w:t>
            </w:r>
          </w:p>
        </w:tc>
      </w:tr>
      <w:tr w:rsidR="006054AA" w:rsidRPr="00D504DC" w14:paraId="284FAA43"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FDB42" w14:textId="77777777" w:rsidR="006054AA" w:rsidRPr="00D504DC" w:rsidRDefault="001F7667">
            <w:pPr>
              <w:pStyle w:val="P68B1DB1-Normal11"/>
              <w:spacing w:line="276" w:lineRule="auto"/>
              <w:jc w:val="center"/>
              <w:rPr>
                <w:noProof/>
                <w:sz w:val="16"/>
                <w:szCs w:val="16"/>
              </w:rPr>
            </w:pPr>
            <w:r w:rsidRPr="00D504DC">
              <w:rPr>
                <w:noProof/>
                <w:sz w:val="16"/>
                <w:szCs w:val="16"/>
              </w:rPr>
              <w:t>M2C4—20bis</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B5DC1"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Инвестиции. 3.1: Опазване и подобряване на градските и крайградските гори</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8625E"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AD183" w14:textId="5415BEF3" w:rsidR="006054AA" w:rsidRPr="00D504DC" w:rsidRDefault="001F7667">
            <w:pPr>
              <w:pStyle w:val="P68B1DB1-Normal11"/>
              <w:spacing w:line="276" w:lineRule="auto"/>
              <w:jc w:val="center"/>
              <w:rPr>
                <w:noProof/>
                <w:sz w:val="16"/>
                <w:szCs w:val="16"/>
              </w:rPr>
            </w:pPr>
            <w:r w:rsidRPr="00D504DC">
              <w:rPr>
                <w:noProof/>
                <w:sz w:val="16"/>
                <w:szCs w:val="16"/>
              </w:rPr>
              <w:t>Растителни дървета за защита и валоризация на градски и крайградски зелени площи T3</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F43DB9"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09F59"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1DFB90"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8A22C" w14:textId="624D1021" w:rsidR="006054AA" w:rsidRPr="00D504DC" w:rsidRDefault="001F7667">
            <w:pPr>
              <w:pStyle w:val="P68B1DB1-Normal12"/>
              <w:spacing w:line="276" w:lineRule="auto"/>
              <w:jc w:val="center"/>
              <w:rPr>
                <w:rFonts w:ascii="Arial Narrow" w:hAnsi="Arial Narrow"/>
                <w:noProof/>
                <w:sz w:val="16"/>
                <w:szCs w:val="16"/>
              </w:rPr>
            </w:pPr>
            <w:r w:rsidRPr="00D504DC">
              <w:rPr>
                <w:rFonts w:ascii="Arial Narrow" w:hAnsi="Arial Narrow"/>
                <w:noProof/>
                <w:sz w:val="16"/>
                <w:szCs w:val="16"/>
              </w:rPr>
              <w:t>3</w:t>
            </w:r>
            <w:r w:rsidRPr="00D504DC">
              <w:rPr>
                <w:noProof/>
                <w:sz w:val="16"/>
                <w:szCs w:val="16"/>
              </w:rPr>
              <w:t xml:space="preserve"> </w:t>
            </w:r>
            <w:r w:rsidRPr="00D504DC">
              <w:rPr>
                <w:rFonts w:ascii="Arial Narrow" w:hAnsi="Arial Narrow"/>
                <w:noProof/>
                <w:sz w:val="16"/>
                <w:szCs w:val="16"/>
              </w:rPr>
              <w:t>500</w:t>
            </w:r>
            <w:r w:rsidRPr="00D504DC">
              <w:rPr>
                <w:noProof/>
                <w:sz w:val="16"/>
                <w:szCs w:val="16"/>
              </w:rPr>
              <w:t xml:space="preserve"> </w:t>
            </w:r>
            <w:r w:rsidRPr="00D504DC">
              <w:rPr>
                <w:rFonts w:ascii="Arial Narrow" w:hAnsi="Arial Narrow"/>
                <w:noProof/>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7EAEBE" w14:textId="523830D2" w:rsidR="006054AA" w:rsidRPr="00D504DC" w:rsidRDefault="001F7667">
            <w:pPr>
              <w:pStyle w:val="P68B1DB1-Normal11"/>
              <w:spacing w:line="276" w:lineRule="auto"/>
              <w:jc w:val="center"/>
              <w:rPr>
                <w:noProof/>
                <w:sz w:val="16"/>
                <w:szCs w:val="16"/>
              </w:rPr>
            </w:pPr>
            <w:r w:rsidRPr="00D504DC">
              <w:rPr>
                <w:noProof/>
                <w:sz w:val="16"/>
                <w:szCs w:val="16"/>
              </w:rPr>
              <w:t>Т2 Г.</w:t>
            </w:r>
          </w:p>
        </w:tc>
        <w:tc>
          <w:tcPr>
            <w:tcW w:w="638" w:type="dxa"/>
            <w:tcBorders>
              <w:top w:val="single" w:sz="4" w:space="0" w:color="auto"/>
              <w:left w:val="single" w:sz="4" w:space="0" w:color="auto"/>
              <w:bottom w:val="single" w:sz="4" w:space="0" w:color="auto"/>
              <w:right w:val="single" w:sz="4" w:space="0" w:color="auto"/>
            </w:tcBorders>
            <w:shd w:val="clear" w:color="auto" w:fill="C6EFCE"/>
            <w:vAlign w:val="center"/>
          </w:tcPr>
          <w:p w14:paraId="3B64722C" w14:textId="03B2F2F2" w:rsidR="006054AA" w:rsidRPr="00D504DC" w:rsidRDefault="001F7667">
            <w:pPr>
              <w:pStyle w:val="P68B1DB1-Normal11"/>
              <w:spacing w:line="276" w:lineRule="auto"/>
              <w:jc w:val="center"/>
              <w:rPr>
                <w:noProof/>
                <w:sz w:val="16"/>
                <w:szCs w:val="16"/>
              </w:rPr>
            </w:pPr>
            <w:r w:rsidRPr="00D504DC">
              <w:rPr>
                <w:noProof/>
                <w:sz w:val="16"/>
                <w:szCs w:val="16"/>
              </w:rPr>
              <w:t>2026</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C2F3" w14:textId="3558A1EE" w:rsidR="006054AA" w:rsidRPr="00D504DC" w:rsidRDefault="001F7667">
            <w:pPr>
              <w:pStyle w:val="P68B1DB1-Normal12"/>
              <w:spacing w:line="276" w:lineRule="auto"/>
              <w:rPr>
                <w:rFonts w:ascii="Arial Narrow" w:hAnsi="Arial Narrow"/>
                <w:noProof/>
                <w:sz w:val="16"/>
                <w:szCs w:val="16"/>
              </w:rPr>
            </w:pPr>
            <w:r w:rsidRPr="00D504DC">
              <w:rPr>
                <w:rFonts w:ascii="Arial Narrow" w:hAnsi="Arial Narrow"/>
                <w:noProof/>
                <w:sz w:val="16"/>
                <w:szCs w:val="16"/>
              </w:rPr>
              <w:t>Презасаждане на горски репродуктивен материал (семена или растения) за най-малко 3</w:t>
            </w:r>
            <w:r w:rsidRPr="00D504DC">
              <w:rPr>
                <w:noProof/>
                <w:sz w:val="16"/>
                <w:szCs w:val="16"/>
              </w:rPr>
              <w:t xml:space="preserve"> </w:t>
            </w:r>
            <w:r w:rsidRPr="00D504DC">
              <w:rPr>
                <w:rFonts w:ascii="Arial Narrow" w:hAnsi="Arial Narrow"/>
                <w:noProof/>
                <w:sz w:val="16"/>
                <w:szCs w:val="16"/>
              </w:rPr>
              <w:t>500</w:t>
            </w:r>
            <w:r w:rsidRPr="00D504DC">
              <w:rPr>
                <w:noProof/>
                <w:sz w:val="16"/>
                <w:szCs w:val="16"/>
              </w:rPr>
              <w:t xml:space="preserve"> </w:t>
            </w:r>
            <w:r w:rsidRPr="00D504DC">
              <w:rPr>
                <w:rFonts w:ascii="Arial Narrow" w:hAnsi="Arial Narrow"/>
                <w:noProof/>
                <w:sz w:val="16"/>
                <w:szCs w:val="16"/>
              </w:rPr>
              <w:t>дървета и храсти за повторно залесяване на градски и крайградски райони съгласно член 4 от Закона от 12 декември 2019 г., 141 г. (т.нар. закон за климата)</w:t>
            </w:r>
            <w:r w:rsidRPr="00D504DC">
              <w:rPr>
                <w:noProof/>
                <w:sz w:val="16"/>
                <w:szCs w:val="16"/>
              </w:rPr>
              <w:t>.</w:t>
            </w:r>
          </w:p>
        </w:tc>
      </w:tr>
      <w:tr w:rsidR="006054AA" w:rsidRPr="00D504DC" w14:paraId="366EAA78" w14:textId="77777777">
        <w:trPr>
          <w:trHeight w:val="313"/>
          <w:jc w:val="center"/>
        </w:trPr>
        <w:tc>
          <w:tcPr>
            <w:tcW w:w="1130" w:type="dxa"/>
            <w:shd w:val="clear" w:color="auto" w:fill="C6EFCE"/>
            <w:noWrap/>
            <w:vAlign w:val="center"/>
            <w:hideMark/>
          </w:tcPr>
          <w:p w14:paraId="134398D8" w14:textId="77777777" w:rsidR="006054AA" w:rsidRPr="00D504DC" w:rsidRDefault="001F7667">
            <w:pPr>
              <w:pStyle w:val="P68B1DB1-Normal11"/>
              <w:spacing w:line="276" w:lineRule="auto"/>
              <w:jc w:val="center"/>
              <w:rPr>
                <w:noProof/>
                <w:sz w:val="16"/>
                <w:szCs w:val="16"/>
              </w:rPr>
            </w:pPr>
            <w:r w:rsidRPr="00D504DC">
              <w:rPr>
                <w:noProof/>
                <w:sz w:val="16"/>
                <w:szCs w:val="16"/>
              </w:rPr>
              <w:t>M2C4—21</w:t>
            </w:r>
          </w:p>
        </w:tc>
        <w:tc>
          <w:tcPr>
            <w:tcW w:w="1560" w:type="dxa"/>
            <w:shd w:val="clear" w:color="auto" w:fill="C6EFCE"/>
            <w:noWrap/>
            <w:vAlign w:val="center"/>
            <w:hideMark/>
          </w:tcPr>
          <w:p w14:paraId="234B5B68"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3.3 — Възстановяване на натурализацията на района на По</w:t>
            </w:r>
          </w:p>
        </w:tc>
        <w:tc>
          <w:tcPr>
            <w:tcW w:w="1134" w:type="dxa"/>
            <w:shd w:val="clear" w:color="auto" w:fill="C6EFCE"/>
            <w:noWrap/>
            <w:vAlign w:val="center"/>
            <w:hideMark/>
          </w:tcPr>
          <w:p w14:paraId="1CFE5C75"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hideMark/>
          </w:tcPr>
          <w:p w14:paraId="2355BC93" w14:textId="60117F62" w:rsidR="006054AA" w:rsidRPr="00D504DC" w:rsidRDefault="001F7667">
            <w:pPr>
              <w:pStyle w:val="P68B1DB1-Normal11"/>
              <w:spacing w:line="276" w:lineRule="auto"/>
              <w:jc w:val="center"/>
              <w:rPr>
                <w:noProof/>
                <w:sz w:val="16"/>
                <w:szCs w:val="16"/>
              </w:rPr>
            </w:pPr>
            <w:r w:rsidRPr="00D504DC">
              <w:rPr>
                <w:noProof/>
                <w:sz w:val="16"/>
                <w:szCs w:val="16"/>
              </w:rPr>
              <w:t>Преразглеждане на правната рамка за интервенции за повторно натурализиране на района на По</w:t>
            </w:r>
          </w:p>
        </w:tc>
        <w:tc>
          <w:tcPr>
            <w:tcW w:w="1383" w:type="dxa"/>
            <w:shd w:val="clear" w:color="auto" w:fill="C6EFCE"/>
            <w:noWrap/>
            <w:vAlign w:val="center"/>
            <w:hideMark/>
          </w:tcPr>
          <w:p w14:paraId="2B30103F" w14:textId="77777777" w:rsidR="006054AA" w:rsidRPr="00D504DC" w:rsidRDefault="001F7667">
            <w:pPr>
              <w:pStyle w:val="P68B1DB1-Normal11"/>
              <w:spacing w:line="276" w:lineRule="auto"/>
              <w:jc w:val="center"/>
              <w:rPr>
                <w:noProof/>
                <w:sz w:val="16"/>
                <w:szCs w:val="16"/>
              </w:rPr>
            </w:pPr>
            <w:r w:rsidRPr="00D504DC">
              <w:rPr>
                <w:noProof/>
                <w:sz w:val="16"/>
                <w:szCs w:val="16"/>
              </w:rPr>
              <w:t>Разпоредба в съответния законодателен акт, указваща влизането в сила</w:t>
            </w:r>
          </w:p>
        </w:tc>
        <w:tc>
          <w:tcPr>
            <w:tcW w:w="1094" w:type="dxa"/>
            <w:shd w:val="clear" w:color="auto" w:fill="C6EFCE"/>
            <w:noWrap/>
            <w:vAlign w:val="center"/>
            <w:hideMark/>
          </w:tcPr>
          <w:p w14:paraId="6DEC073E"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hideMark/>
          </w:tcPr>
          <w:p w14:paraId="12DEC4DF"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194" w:type="dxa"/>
            <w:shd w:val="clear" w:color="auto" w:fill="C6EFCE"/>
            <w:noWrap/>
            <w:vAlign w:val="center"/>
            <w:hideMark/>
          </w:tcPr>
          <w:p w14:paraId="07334F7E"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916" w:type="dxa"/>
            <w:shd w:val="clear" w:color="auto" w:fill="C6EFCE"/>
            <w:noWrap/>
            <w:vAlign w:val="center"/>
            <w:hideMark/>
          </w:tcPr>
          <w:p w14:paraId="567D5C41" w14:textId="77777777" w:rsidR="006054AA" w:rsidRPr="00D504DC" w:rsidRDefault="001F7667">
            <w:pPr>
              <w:pStyle w:val="P68B1DB1-Normal11"/>
              <w:spacing w:line="276" w:lineRule="auto"/>
              <w:jc w:val="center"/>
              <w:rPr>
                <w:noProof/>
                <w:sz w:val="16"/>
                <w:szCs w:val="16"/>
              </w:rPr>
            </w:pPr>
            <w:r w:rsidRPr="00D504DC">
              <w:rPr>
                <w:noProof/>
                <w:sz w:val="16"/>
                <w:szCs w:val="16"/>
              </w:rPr>
              <w:t>Т2 Г.</w:t>
            </w:r>
          </w:p>
        </w:tc>
        <w:tc>
          <w:tcPr>
            <w:tcW w:w="638" w:type="dxa"/>
            <w:shd w:val="clear" w:color="auto" w:fill="C6EFCE"/>
            <w:noWrap/>
            <w:vAlign w:val="center"/>
            <w:hideMark/>
          </w:tcPr>
          <w:p w14:paraId="22490E65" w14:textId="77777777" w:rsidR="006054AA" w:rsidRPr="00D504DC" w:rsidRDefault="001F7667">
            <w:pPr>
              <w:pStyle w:val="P68B1DB1-Normal11"/>
              <w:spacing w:line="276" w:lineRule="auto"/>
              <w:jc w:val="center"/>
              <w:rPr>
                <w:noProof/>
                <w:sz w:val="16"/>
                <w:szCs w:val="16"/>
              </w:rPr>
            </w:pPr>
            <w:r w:rsidRPr="00D504DC">
              <w:rPr>
                <w:noProof/>
                <w:sz w:val="16"/>
                <w:szCs w:val="16"/>
              </w:rPr>
              <w:t>2023</w:t>
            </w:r>
          </w:p>
        </w:tc>
        <w:tc>
          <w:tcPr>
            <w:tcW w:w="4116" w:type="dxa"/>
            <w:shd w:val="clear" w:color="auto" w:fill="C6EFCE"/>
            <w:noWrap/>
            <w:vAlign w:val="center"/>
            <w:hideMark/>
          </w:tcPr>
          <w:p w14:paraId="64694AFD" w14:textId="4C800D1B" w:rsidR="006054AA" w:rsidRPr="00D504DC" w:rsidRDefault="001F7667">
            <w:pPr>
              <w:pStyle w:val="P68B1DB1-Normal11"/>
              <w:spacing w:line="276" w:lineRule="auto"/>
              <w:rPr>
                <w:noProof/>
                <w:sz w:val="16"/>
                <w:szCs w:val="16"/>
              </w:rPr>
            </w:pPr>
            <w:r w:rsidRPr="00D504DC">
              <w:rPr>
                <w:noProof/>
                <w:sz w:val="16"/>
                <w:szCs w:val="16"/>
              </w:rPr>
              <w:t>Влизане в сила на съответното законодателство с цел възстановяване на екологичния коридор, представен от речното корито, включително естествено повторно залесяване и интервенции за възстановяване и повторно активиране на странични разклонения и оксобили.</w:t>
            </w:r>
          </w:p>
        </w:tc>
      </w:tr>
      <w:tr w:rsidR="006054AA" w:rsidRPr="00D504DC" w14:paraId="07DC042E" w14:textId="77777777">
        <w:trPr>
          <w:trHeight w:val="313"/>
          <w:jc w:val="center"/>
        </w:trPr>
        <w:tc>
          <w:tcPr>
            <w:tcW w:w="1130" w:type="dxa"/>
            <w:shd w:val="clear" w:color="auto" w:fill="C6EFCE"/>
            <w:noWrap/>
            <w:vAlign w:val="center"/>
            <w:hideMark/>
          </w:tcPr>
          <w:p w14:paraId="4E8EA046" w14:textId="77777777" w:rsidR="006054AA" w:rsidRPr="00D504DC" w:rsidRDefault="001F7667">
            <w:pPr>
              <w:pStyle w:val="P68B1DB1-Normal11"/>
              <w:spacing w:line="276" w:lineRule="auto"/>
              <w:jc w:val="center"/>
              <w:rPr>
                <w:noProof/>
                <w:sz w:val="16"/>
                <w:szCs w:val="16"/>
              </w:rPr>
            </w:pPr>
            <w:r w:rsidRPr="00D504DC">
              <w:rPr>
                <w:noProof/>
                <w:sz w:val="16"/>
                <w:szCs w:val="16"/>
              </w:rPr>
              <w:t>M2C4—22</w:t>
            </w:r>
          </w:p>
        </w:tc>
        <w:tc>
          <w:tcPr>
            <w:tcW w:w="1560" w:type="dxa"/>
            <w:shd w:val="clear" w:color="auto" w:fill="C6EFCE"/>
            <w:noWrap/>
            <w:vAlign w:val="center"/>
            <w:hideMark/>
          </w:tcPr>
          <w:p w14:paraId="50A77FBC"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3.3 — Възстановяване на натурализацията на района на По</w:t>
            </w:r>
          </w:p>
        </w:tc>
        <w:tc>
          <w:tcPr>
            <w:tcW w:w="1134" w:type="dxa"/>
            <w:shd w:val="clear" w:color="auto" w:fill="C6EFCE"/>
            <w:noWrap/>
            <w:vAlign w:val="center"/>
            <w:hideMark/>
          </w:tcPr>
          <w:p w14:paraId="44DC3520"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3D2EDEDC" w14:textId="26EA0755" w:rsidR="006054AA" w:rsidRPr="00D504DC" w:rsidRDefault="001F7667">
            <w:pPr>
              <w:pStyle w:val="P68B1DB1-Normal11"/>
              <w:spacing w:line="276" w:lineRule="auto"/>
              <w:jc w:val="center"/>
              <w:rPr>
                <w:noProof/>
                <w:sz w:val="16"/>
                <w:szCs w:val="16"/>
              </w:rPr>
            </w:pPr>
            <w:r w:rsidRPr="00D504DC">
              <w:rPr>
                <w:noProof/>
                <w:sz w:val="16"/>
                <w:szCs w:val="16"/>
              </w:rPr>
              <w:t>Намаляване на изкуствеността на речното корито с цел повторно натурализиране на област Po T1</w:t>
            </w:r>
          </w:p>
        </w:tc>
        <w:tc>
          <w:tcPr>
            <w:tcW w:w="1383" w:type="dxa"/>
            <w:shd w:val="clear" w:color="auto" w:fill="C6EFCE"/>
            <w:noWrap/>
            <w:vAlign w:val="center"/>
            <w:hideMark/>
          </w:tcPr>
          <w:p w14:paraId="4A2881BA"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0F059451"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64178F70"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hideMark/>
          </w:tcPr>
          <w:p w14:paraId="76E69560" w14:textId="77777777" w:rsidR="006054AA" w:rsidRPr="00D504DC" w:rsidRDefault="001F7667">
            <w:pPr>
              <w:pStyle w:val="P68B1DB1-Normal11"/>
              <w:spacing w:line="276" w:lineRule="auto"/>
              <w:jc w:val="center"/>
              <w:rPr>
                <w:noProof/>
                <w:sz w:val="16"/>
                <w:szCs w:val="16"/>
              </w:rPr>
            </w:pPr>
            <w:r w:rsidRPr="00D504DC">
              <w:rPr>
                <w:noProof/>
                <w:sz w:val="16"/>
                <w:szCs w:val="16"/>
              </w:rPr>
              <w:t>13</w:t>
            </w:r>
          </w:p>
        </w:tc>
        <w:tc>
          <w:tcPr>
            <w:tcW w:w="916" w:type="dxa"/>
            <w:shd w:val="clear" w:color="auto" w:fill="C6EFCE"/>
            <w:noWrap/>
            <w:vAlign w:val="center"/>
            <w:hideMark/>
          </w:tcPr>
          <w:p w14:paraId="06FD6DFA"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4370CB17" w14:textId="77777777"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shd w:val="clear" w:color="auto" w:fill="C6EFCE"/>
            <w:noWrap/>
            <w:vAlign w:val="center"/>
            <w:hideMark/>
          </w:tcPr>
          <w:p w14:paraId="592BFED5" w14:textId="77777777" w:rsidR="006054AA" w:rsidRPr="00D504DC" w:rsidRDefault="001F7667">
            <w:pPr>
              <w:pStyle w:val="P68B1DB1-Normal11"/>
              <w:spacing w:line="276" w:lineRule="auto"/>
              <w:rPr>
                <w:noProof/>
                <w:sz w:val="16"/>
                <w:szCs w:val="16"/>
              </w:rPr>
            </w:pPr>
            <w:r w:rsidRPr="00D504DC">
              <w:rPr>
                <w:noProof/>
                <w:sz w:val="16"/>
                <w:szCs w:val="16"/>
              </w:rPr>
              <w:t>Намаляване на изкуствеността на речното корито с най-малко 13 км, върнато към оста на река По.</w:t>
            </w:r>
          </w:p>
        </w:tc>
      </w:tr>
      <w:tr w:rsidR="006054AA" w:rsidRPr="00D504DC" w14:paraId="7603C326" w14:textId="77777777">
        <w:trPr>
          <w:trHeight w:val="313"/>
          <w:jc w:val="center"/>
        </w:trPr>
        <w:tc>
          <w:tcPr>
            <w:tcW w:w="1130" w:type="dxa"/>
            <w:shd w:val="clear" w:color="auto" w:fill="C6EFCE"/>
            <w:noWrap/>
            <w:vAlign w:val="center"/>
            <w:hideMark/>
          </w:tcPr>
          <w:p w14:paraId="1E99012D" w14:textId="77777777" w:rsidR="006054AA" w:rsidRPr="00D504DC" w:rsidRDefault="001F7667">
            <w:pPr>
              <w:pStyle w:val="P68B1DB1-Normal11"/>
              <w:spacing w:line="276" w:lineRule="auto"/>
              <w:jc w:val="center"/>
              <w:rPr>
                <w:noProof/>
                <w:sz w:val="16"/>
                <w:szCs w:val="16"/>
              </w:rPr>
            </w:pPr>
            <w:r w:rsidRPr="00D504DC">
              <w:rPr>
                <w:noProof/>
                <w:sz w:val="16"/>
                <w:szCs w:val="16"/>
              </w:rPr>
              <w:t>M2C4—23</w:t>
            </w:r>
          </w:p>
        </w:tc>
        <w:tc>
          <w:tcPr>
            <w:tcW w:w="1560" w:type="dxa"/>
            <w:shd w:val="clear" w:color="auto" w:fill="C6EFCE"/>
            <w:noWrap/>
            <w:vAlign w:val="center"/>
            <w:hideMark/>
          </w:tcPr>
          <w:p w14:paraId="6ECED21E"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3.3 — Възстановяване на натурализацията на района на По</w:t>
            </w:r>
          </w:p>
        </w:tc>
        <w:tc>
          <w:tcPr>
            <w:tcW w:w="1134" w:type="dxa"/>
            <w:shd w:val="clear" w:color="auto" w:fill="C6EFCE"/>
            <w:noWrap/>
            <w:vAlign w:val="center"/>
            <w:hideMark/>
          </w:tcPr>
          <w:p w14:paraId="0F5FC0A3"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676DEAE1" w14:textId="77777777" w:rsidR="006054AA" w:rsidRPr="00D504DC" w:rsidRDefault="001F7667">
            <w:pPr>
              <w:pStyle w:val="P68B1DB1-Normal11"/>
              <w:spacing w:line="276" w:lineRule="auto"/>
              <w:jc w:val="center"/>
              <w:rPr>
                <w:noProof/>
                <w:sz w:val="16"/>
                <w:szCs w:val="16"/>
              </w:rPr>
            </w:pPr>
            <w:r w:rsidRPr="00D504DC">
              <w:rPr>
                <w:noProof/>
                <w:sz w:val="16"/>
                <w:szCs w:val="16"/>
              </w:rPr>
              <w:t>Намаляване на изкуствеността на речното корито с цел повторно натурализиране на област Po T2</w:t>
            </w:r>
          </w:p>
        </w:tc>
        <w:tc>
          <w:tcPr>
            <w:tcW w:w="1383" w:type="dxa"/>
            <w:shd w:val="clear" w:color="auto" w:fill="C6EFCE"/>
            <w:noWrap/>
            <w:vAlign w:val="center"/>
            <w:hideMark/>
          </w:tcPr>
          <w:p w14:paraId="7ED8A661"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5873E5FA"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714A82B5" w14:textId="77777777" w:rsidR="006054AA" w:rsidRPr="00D504DC" w:rsidRDefault="001F7667">
            <w:pPr>
              <w:pStyle w:val="P68B1DB1-Normal11"/>
              <w:spacing w:line="276" w:lineRule="auto"/>
              <w:jc w:val="center"/>
              <w:rPr>
                <w:noProof/>
                <w:sz w:val="16"/>
                <w:szCs w:val="16"/>
              </w:rPr>
            </w:pPr>
            <w:r w:rsidRPr="00D504DC">
              <w:rPr>
                <w:noProof/>
                <w:sz w:val="16"/>
                <w:szCs w:val="16"/>
              </w:rPr>
              <w:t>13</w:t>
            </w:r>
          </w:p>
        </w:tc>
        <w:tc>
          <w:tcPr>
            <w:tcW w:w="1194" w:type="dxa"/>
            <w:shd w:val="clear" w:color="auto" w:fill="C6EFCE"/>
            <w:noWrap/>
            <w:vAlign w:val="center"/>
            <w:hideMark/>
          </w:tcPr>
          <w:p w14:paraId="52854041" w14:textId="77777777" w:rsidR="006054AA" w:rsidRPr="00D504DC" w:rsidRDefault="001F7667">
            <w:pPr>
              <w:pStyle w:val="P68B1DB1-Normal11"/>
              <w:spacing w:line="276" w:lineRule="auto"/>
              <w:jc w:val="center"/>
              <w:rPr>
                <w:noProof/>
                <w:sz w:val="16"/>
                <w:szCs w:val="16"/>
              </w:rPr>
            </w:pPr>
            <w:r w:rsidRPr="00D504DC">
              <w:rPr>
                <w:noProof/>
                <w:sz w:val="16"/>
                <w:szCs w:val="16"/>
              </w:rPr>
              <w:t>37</w:t>
            </w:r>
          </w:p>
        </w:tc>
        <w:tc>
          <w:tcPr>
            <w:tcW w:w="916" w:type="dxa"/>
            <w:shd w:val="clear" w:color="auto" w:fill="C6EFCE"/>
            <w:noWrap/>
            <w:vAlign w:val="center"/>
            <w:hideMark/>
          </w:tcPr>
          <w:p w14:paraId="5CFEEA08" w14:textId="77777777" w:rsidR="006054AA" w:rsidRPr="00D504DC" w:rsidRDefault="001F7667">
            <w:pPr>
              <w:pStyle w:val="P68B1DB1-Normal11"/>
              <w:spacing w:line="276" w:lineRule="auto"/>
              <w:jc w:val="center"/>
              <w:rPr>
                <w:noProof/>
                <w:sz w:val="16"/>
                <w:szCs w:val="16"/>
              </w:rPr>
            </w:pPr>
            <w:r w:rsidRPr="00D504DC">
              <w:rPr>
                <w:noProof/>
                <w:sz w:val="16"/>
                <w:szCs w:val="16"/>
              </w:rPr>
              <w:t>Т1 Г.</w:t>
            </w:r>
          </w:p>
        </w:tc>
        <w:tc>
          <w:tcPr>
            <w:tcW w:w="638" w:type="dxa"/>
            <w:shd w:val="clear" w:color="auto" w:fill="C6EFCE"/>
            <w:noWrap/>
            <w:vAlign w:val="center"/>
            <w:hideMark/>
          </w:tcPr>
          <w:p w14:paraId="3A652EBE" w14:textId="77777777" w:rsidR="006054AA" w:rsidRPr="00D504DC" w:rsidRDefault="001F7667">
            <w:pPr>
              <w:pStyle w:val="P68B1DB1-Normal11"/>
              <w:spacing w:line="276" w:lineRule="auto"/>
              <w:jc w:val="center"/>
              <w:rPr>
                <w:noProof/>
                <w:sz w:val="16"/>
                <w:szCs w:val="16"/>
              </w:rPr>
            </w:pPr>
            <w:r w:rsidRPr="00D504DC">
              <w:rPr>
                <w:noProof/>
                <w:sz w:val="16"/>
                <w:szCs w:val="16"/>
              </w:rPr>
              <w:t>2026</w:t>
            </w:r>
          </w:p>
        </w:tc>
        <w:tc>
          <w:tcPr>
            <w:tcW w:w="4116" w:type="dxa"/>
            <w:shd w:val="clear" w:color="auto" w:fill="C6EFCE"/>
            <w:noWrap/>
            <w:vAlign w:val="center"/>
            <w:hideMark/>
          </w:tcPr>
          <w:p w14:paraId="56BEEFD6" w14:textId="77777777" w:rsidR="006054AA" w:rsidRPr="00D504DC" w:rsidRDefault="001F7667">
            <w:pPr>
              <w:pStyle w:val="P68B1DB1-Normal11"/>
              <w:spacing w:line="276" w:lineRule="auto"/>
              <w:rPr>
                <w:noProof/>
                <w:sz w:val="16"/>
                <w:szCs w:val="16"/>
              </w:rPr>
            </w:pPr>
            <w:r w:rsidRPr="00D504DC">
              <w:rPr>
                <w:noProof/>
                <w:sz w:val="16"/>
                <w:szCs w:val="16"/>
              </w:rPr>
              <w:t>Намаляване на изкуствеността на речното корито с най-малко 37 км, върнато към оста на река По.</w:t>
            </w:r>
          </w:p>
        </w:tc>
      </w:tr>
      <w:tr w:rsidR="006054AA" w:rsidRPr="00D504DC" w14:paraId="5D4A6183" w14:textId="77777777">
        <w:trPr>
          <w:trHeight w:val="313"/>
          <w:jc w:val="center"/>
        </w:trPr>
        <w:tc>
          <w:tcPr>
            <w:tcW w:w="1130" w:type="dxa"/>
            <w:shd w:val="clear" w:color="auto" w:fill="C6EFCE"/>
            <w:noWrap/>
            <w:vAlign w:val="center"/>
            <w:hideMark/>
          </w:tcPr>
          <w:p w14:paraId="096283EA" w14:textId="77777777" w:rsidR="006054AA" w:rsidRPr="00D504DC" w:rsidRDefault="001F7667">
            <w:pPr>
              <w:pStyle w:val="P68B1DB1-Normal11"/>
              <w:spacing w:line="276" w:lineRule="auto"/>
              <w:jc w:val="center"/>
              <w:rPr>
                <w:noProof/>
                <w:sz w:val="16"/>
                <w:szCs w:val="16"/>
              </w:rPr>
            </w:pPr>
            <w:r w:rsidRPr="00D504DC">
              <w:rPr>
                <w:noProof/>
                <w:sz w:val="16"/>
                <w:szCs w:val="16"/>
              </w:rPr>
              <w:t>M2C4—24</w:t>
            </w:r>
          </w:p>
        </w:tc>
        <w:tc>
          <w:tcPr>
            <w:tcW w:w="1560" w:type="dxa"/>
            <w:shd w:val="clear" w:color="auto" w:fill="C6EFCE"/>
            <w:noWrap/>
            <w:vAlign w:val="center"/>
            <w:hideMark/>
          </w:tcPr>
          <w:p w14:paraId="236B6C45"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3.4. Саниране на „почви сираци“</w:t>
            </w:r>
          </w:p>
        </w:tc>
        <w:tc>
          <w:tcPr>
            <w:tcW w:w="1134" w:type="dxa"/>
            <w:shd w:val="clear" w:color="auto" w:fill="C6EFCE"/>
            <w:noWrap/>
            <w:vAlign w:val="center"/>
            <w:hideMark/>
          </w:tcPr>
          <w:p w14:paraId="6B2558BF"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hideMark/>
          </w:tcPr>
          <w:p w14:paraId="12CA94BF" w14:textId="77777777" w:rsidR="006054AA" w:rsidRPr="00D504DC" w:rsidRDefault="001F7667">
            <w:pPr>
              <w:pStyle w:val="P68B1DB1-Normal11"/>
              <w:spacing w:line="276" w:lineRule="auto"/>
              <w:jc w:val="center"/>
              <w:rPr>
                <w:noProof/>
                <w:sz w:val="16"/>
                <w:szCs w:val="16"/>
              </w:rPr>
            </w:pPr>
            <w:r w:rsidRPr="00D504DC">
              <w:rPr>
                <w:noProof/>
                <w:sz w:val="16"/>
                <w:szCs w:val="16"/>
              </w:rPr>
              <w:t>Правна рамка за саниране на обекти сираци</w:t>
            </w:r>
          </w:p>
        </w:tc>
        <w:tc>
          <w:tcPr>
            <w:tcW w:w="1383" w:type="dxa"/>
            <w:shd w:val="clear" w:color="auto" w:fill="C6EFCE"/>
            <w:noWrap/>
            <w:vAlign w:val="center"/>
            <w:hideMark/>
          </w:tcPr>
          <w:p w14:paraId="00B91285" w14:textId="77777777" w:rsidR="006054AA" w:rsidRPr="00D504DC" w:rsidRDefault="001F7667">
            <w:pPr>
              <w:pStyle w:val="P68B1DB1-Normal11"/>
              <w:spacing w:line="276" w:lineRule="auto"/>
              <w:jc w:val="center"/>
              <w:rPr>
                <w:noProof/>
                <w:sz w:val="16"/>
                <w:szCs w:val="16"/>
              </w:rPr>
            </w:pPr>
            <w:r w:rsidRPr="00D504DC">
              <w:rPr>
                <w:noProof/>
                <w:sz w:val="16"/>
                <w:szCs w:val="16"/>
              </w:rPr>
              <w:t>Разпоредба в съответния законодателен акт, указваща приемането на плана за действие</w:t>
            </w:r>
          </w:p>
        </w:tc>
        <w:tc>
          <w:tcPr>
            <w:tcW w:w="1094" w:type="dxa"/>
            <w:shd w:val="clear" w:color="auto" w:fill="C6EFCE"/>
            <w:noWrap/>
            <w:vAlign w:val="center"/>
            <w:hideMark/>
          </w:tcPr>
          <w:p w14:paraId="57083575"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hideMark/>
          </w:tcPr>
          <w:p w14:paraId="70F7ABBC"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194" w:type="dxa"/>
            <w:shd w:val="clear" w:color="auto" w:fill="C6EFCE"/>
            <w:noWrap/>
            <w:vAlign w:val="center"/>
            <w:hideMark/>
          </w:tcPr>
          <w:p w14:paraId="6884359E"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916" w:type="dxa"/>
            <w:shd w:val="clear" w:color="auto" w:fill="C6EFCE"/>
            <w:noWrap/>
            <w:vAlign w:val="center"/>
            <w:hideMark/>
          </w:tcPr>
          <w:p w14:paraId="3309E503"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1DA36C2C" w14:textId="77777777" w:rsidR="006054AA" w:rsidRPr="00D504DC" w:rsidRDefault="001F7667">
            <w:pPr>
              <w:pStyle w:val="P68B1DB1-Normal11"/>
              <w:spacing w:line="276" w:lineRule="auto"/>
              <w:jc w:val="center"/>
              <w:rPr>
                <w:noProof/>
                <w:sz w:val="16"/>
                <w:szCs w:val="16"/>
              </w:rPr>
            </w:pPr>
            <w:r w:rsidRPr="00D504DC">
              <w:rPr>
                <w:noProof/>
                <w:sz w:val="16"/>
                <w:szCs w:val="16"/>
              </w:rPr>
              <w:t>2022</w:t>
            </w:r>
          </w:p>
        </w:tc>
        <w:tc>
          <w:tcPr>
            <w:tcW w:w="4116" w:type="dxa"/>
            <w:shd w:val="clear" w:color="auto" w:fill="C6EFCE"/>
            <w:noWrap/>
            <w:vAlign w:val="center"/>
            <w:hideMark/>
          </w:tcPr>
          <w:p w14:paraId="2179A3C9" w14:textId="77777777" w:rsidR="006054AA" w:rsidRPr="00D504DC" w:rsidRDefault="001F7667">
            <w:pPr>
              <w:pStyle w:val="P68B1DB1-Normal11"/>
              <w:spacing w:line="276" w:lineRule="auto"/>
              <w:rPr>
                <w:noProof/>
                <w:sz w:val="16"/>
                <w:szCs w:val="16"/>
              </w:rPr>
            </w:pPr>
            <w:r w:rsidRPr="00D504DC">
              <w:rPr>
                <w:noProof/>
                <w:sz w:val="16"/>
                <w:szCs w:val="16"/>
              </w:rPr>
              <w:t>Планът за действие за съживяване на обектите сираци намалява усвояването на земя и подобрява обновяването на градската среда. Тази покана включва като минимум:</w:t>
            </w:r>
          </w:p>
          <w:p w14:paraId="528D1AA7" w14:textId="77777777" w:rsidR="006054AA" w:rsidRPr="00D504DC" w:rsidRDefault="001F7667">
            <w:pPr>
              <w:pStyle w:val="P68B1DB1-ListParagraph13"/>
              <w:numPr>
                <w:ilvl w:val="0"/>
                <w:numId w:val="69"/>
              </w:numPr>
              <w:spacing w:before="0" w:after="0" w:line="276" w:lineRule="auto"/>
              <w:ind w:left="305"/>
              <w:jc w:val="left"/>
              <w:rPr>
                <w:noProof/>
                <w:sz w:val="16"/>
                <w:szCs w:val="16"/>
              </w:rPr>
            </w:pPr>
            <w:r w:rsidRPr="00D504DC">
              <w:rPr>
                <w:noProof/>
                <w:sz w:val="16"/>
                <w:szCs w:val="16"/>
              </w:rPr>
              <w:t>Определяне на обекти сираци във всички 21 региона и/или автономни провинции</w:t>
            </w:r>
          </w:p>
          <w:p w14:paraId="0A446132" w14:textId="77777777" w:rsidR="006054AA" w:rsidRPr="00D504DC" w:rsidRDefault="001F7667">
            <w:pPr>
              <w:pStyle w:val="P68B1DB1-ListParagraph13"/>
              <w:numPr>
                <w:ilvl w:val="0"/>
                <w:numId w:val="69"/>
              </w:numPr>
              <w:spacing w:before="0" w:after="0" w:line="276" w:lineRule="auto"/>
              <w:ind w:left="305"/>
              <w:jc w:val="left"/>
              <w:rPr>
                <w:noProof/>
                <w:sz w:val="16"/>
                <w:szCs w:val="16"/>
              </w:rPr>
            </w:pPr>
            <w:r w:rsidRPr="00D504DC">
              <w:rPr>
                <w:noProof/>
                <w:sz w:val="16"/>
                <w:szCs w:val="16"/>
              </w:rPr>
              <w:t>Конкретните интервенции, които трябва да се предприемат във всеки обект сирак, за да се намали усвояването на земя и да се подобри обновяването на градската среда</w:t>
            </w:r>
          </w:p>
          <w:p w14:paraId="7C517D8C" w14:textId="77777777" w:rsidR="006054AA" w:rsidRPr="00D504DC" w:rsidRDefault="006054AA">
            <w:pPr>
              <w:spacing w:line="276" w:lineRule="auto"/>
              <w:rPr>
                <w:rFonts w:ascii="Arial Narrow" w:hAnsi="Arial Narrow"/>
                <w:noProof/>
                <w:color w:val="006100"/>
                <w:sz w:val="16"/>
                <w:szCs w:val="16"/>
              </w:rPr>
            </w:pPr>
          </w:p>
        </w:tc>
      </w:tr>
      <w:tr w:rsidR="006054AA" w:rsidRPr="00D504DC" w14:paraId="4BFA96E7" w14:textId="77777777">
        <w:trPr>
          <w:trHeight w:val="313"/>
          <w:jc w:val="center"/>
        </w:trPr>
        <w:tc>
          <w:tcPr>
            <w:tcW w:w="1130" w:type="dxa"/>
            <w:shd w:val="clear" w:color="auto" w:fill="C6EFCE"/>
            <w:noWrap/>
            <w:vAlign w:val="center"/>
            <w:hideMark/>
          </w:tcPr>
          <w:p w14:paraId="098BCFF6" w14:textId="77777777" w:rsidR="006054AA" w:rsidRPr="00D504DC" w:rsidRDefault="001F7667">
            <w:pPr>
              <w:pStyle w:val="P68B1DB1-Normal11"/>
              <w:spacing w:line="276" w:lineRule="auto"/>
              <w:jc w:val="center"/>
              <w:rPr>
                <w:noProof/>
                <w:sz w:val="16"/>
                <w:szCs w:val="16"/>
              </w:rPr>
            </w:pPr>
            <w:r w:rsidRPr="00D504DC">
              <w:rPr>
                <w:noProof/>
                <w:sz w:val="16"/>
                <w:szCs w:val="16"/>
              </w:rPr>
              <w:t>M2C4—25</w:t>
            </w:r>
          </w:p>
        </w:tc>
        <w:tc>
          <w:tcPr>
            <w:tcW w:w="1560" w:type="dxa"/>
            <w:shd w:val="clear" w:color="auto" w:fill="C6EFCE"/>
            <w:noWrap/>
            <w:vAlign w:val="center"/>
            <w:hideMark/>
          </w:tcPr>
          <w:p w14:paraId="53B5BD06"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3.4. Саниране на „почви сираци“</w:t>
            </w:r>
          </w:p>
        </w:tc>
        <w:tc>
          <w:tcPr>
            <w:tcW w:w="1134" w:type="dxa"/>
            <w:shd w:val="clear" w:color="auto" w:fill="C6EFCE"/>
            <w:noWrap/>
            <w:vAlign w:val="center"/>
            <w:hideMark/>
          </w:tcPr>
          <w:p w14:paraId="7E2172E8"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58A24C84" w14:textId="10416210" w:rsidR="006054AA" w:rsidRPr="00D504DC" w:rsidRDefault="001F7667">
            <w:pPr>
              <w:pStyle w:val="P68B1DB1-Normal11"/>
              <w:spacing w:line="276" w:lineRule="auto"/>
              <w:jc w:val="center"/>
              <w:rPr>
                <w:noProof/>
                <w:sz w:val="16"/>
                <w:szCs w:val="16"/>
              </w:rPr>
            </w:pPr>
            <w:r w:rsidRPr="00D504DC">
              <w:rPr>
                <w:noProof/>
                <w:sz w:val="16"/>
                <w:szCs w:val="16"/>
              </w:rPr>
              <w:t>Съживяване на обектите сираци</w:t>
            </w:r>
          </w:p>
        </w:tc>
        <w:tc>
          <w:tcPr>
            <w:tcW w:w="1383" w:type="dxa"/>
            <w:shd w:val="clear" w:color="auto" w:fill="C6EFCE"/>
            <w:noWrap/>
            <w:vAlign w:val="center"/>
            <w:hideMark/>
          </w:tcPr>
          <w:p w14:paraId="655E4B34"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6D77EF44" w14:textId="77777777" w:rsidR="006054AA" w:rsidRPr="00D504DC" w:rsidRDefault="001F7667">
            <w:pPr>
              <w:pStyle w:val="P68B1DB1-Normal11"/>
              <w:spacing w:line="276" w:lineRule="auto"/>
              <w:jc w:val="center"/>
              <w:rPr>
                <w:noProof/>
                <w:sz w:val="16"/>
                <w:szCs w:val="16"/>
              </w:rPr>
            </w:pPr>
            <w:r w:rsidRPr="00D504DC">
              <w:rPr>
                <w:noProof/>
                <w:sz w:val="16"/>
                <w:szCs w:val="16"/>
              </w:rPr>
              <w:t>Проценти</w:t>
            </w:r>
          </w:p>
        </w:tc>
        <w:tc>
          <w:tcPr>
            <w:tcW w:w="1290" w:type="dxa"/>
            <w:shd w:val="clear" w:color="auto" w:fill="C6EFCE"/>
            <w:noWrap/>
            <w:vAlign w:val="center"/>
            <w:hideMark/>
          </w:tcPr>
          <w:p w14:paraId="2D22FAB1"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hideMark/>
          </w:tcPr>
          <w:p w14:paraId="31F81CDD" w14:textId="77777777" w:rsidR="006054AA" w:rsidRPr="00D504DC" w:rsidRDefault="001F7667">
            <w:pPr>
              <w:pStyle w:val="P68B1DB1-Normal11"/>
              <w:spacing w:line="276" w:lineRule="auto"/>
              <w:jc w:val="center"/>
              <w:rPr>
                <w:noProof/>
                <w:sz w:val="16"/>
                <w:szCs w:val="16"/>
              </w:rPr>
            </w:pPr>
            <w:r w:rsidRPr="00D504DC">
              <w:rPr>
                <w:noProof/>
                <w:sz w:val="16"/>
                <w:szCs w:val="16"/>
              </w:rPr>
              <w:t>70</w:t>
            </w:r>
          </w:p>
        </w:tc>
        <w:tc>
          <w:tcPr>
            <w:tcW w:w="916" w:type="dxa"/>
            <w:shd w:val="clear" w:color="auto" w:fill="C6EFCE"/>
            <w:noWrap/>
            <w:vAlign w:val="center"/>
            <w:hideMark/>
          </w:tcPr>
          <w:p w14:paraId="1678057B" w14:textId="77777777" w:rsidR="006054AA" w:rsidRPr="00D504DC" w:rsidRDefault="001F7667">
            <w:pPr>
              <w:pStyle w:val="P68B1DB1-Normal11"/>
              <w:spacing w:line="276" w:lineRule="auto"/>
              <w:jc w:val="center"/>
              <w:rPr>
                <w:noProof/>
                <w:sz w:val="16"/>
                <w:szCs w:val="16"/>
              </w:rPr>
            </w:pPr>
            <w:r w:rsidRPr="00D504DC">
              <w:rPr>
                <w:noProof/>
                <w:sz w:val="16"/>
                <w:szCs w:val="16"/>
              </w:rPr>
              <w:t>Т1 Г.</w:t>
            </w:r>
          </w:p>
        </w:tc>
        <w:tc>
          <w:tcPr>
            <w:tcW w:w="638" w:type="dxa"/>
            <w:shd w:val="clear" w:color="auto" w:fill="C6EFCE"/>
            <w:noWrap/>
            <w:vAlign w:val="center"/>
            <w:hideMark/>
          </w:tcPr>
          <w:p w14:paraId="15770632" w14:textId="77777777" w:rsidR="006054AA" w:rsidRPr="00D504DC" w:rsidRDefault="001F7667">
            <w:pPr>
              <w:pStyle w:val="P68B1DB1-Normal11"/>
              <w:spacing w:line="276" w:lineRule="auto"/>
              <w:jc w:val="center"/>
              <w:rPr>
                <w:noProof/>
                <w:sz w:val="16"/>
                <w:szCs w:val="16"/>
              </w:rPr>
            </w:pPr>
            <w:r w:rsidRPr="00D504DC">
              <w:rPr>
                <w:noProof/>
                <w:sz w:val="16"/>
                <w:szCs w:val="16"/>
              </w:rPr>
              <w:t>2026</w:t>
            </w:r>
          </w:p>
        </w:tc>
        <w:tc>
          <w:tcPr>
            <w:tcW w:w="4116" w:type="dxa"/>
            <w:shd w:val="clear" w:color="auto" w:fill="C6EFCE"/>
            <w:noWrap/>
            <w:vAlign w:val="center"/>
            <w:hideMark/>
          </w:tcPr>
          <w:p w14:paraId="2432CD4C" w14:textId="6977C314" w:rsidR="006054AA" w:rsidRPr="00D504DC" w:rsidRDefault="001F7667">
            <w:pPr>
              <w:pStyle w:val="P68B1DB1-Normal11"/>
              <w:spacing w:line="276" w:lineRule="auto"/>
              <w:rPr>
                <w:noProof/>
                <w:sz w:val="16"/>
                <w:szCs w:val="16"/>
              </w:rPr>
            </w:pPr>
            <w:r w:rsidRPr="00D504DC">
              <w:rPr>
                <w:noProof/>
                <w:sz w:val="16"/>
                <w:szCs w:val="16"/>
              </w:rPr>
              <w:t>Съживяване на най-малко 70 % от площта на „почвите сираци“, за да се намали усвояването на земя и да се подобри обновяването на градската среда.</w:t>
            </w:r>
          </w:p>
        </w:tc>
      </w:tr>
      <w:tr w:rsidR="006054AA" w:rsidRPr="00D504DC" w14:paraId="6E09D3C3" w14:textId="77777777">
        <w:trPr>
          <w:trHeight w:val="313"/>
          <w:jc w:val="center"/>
        </w:trPr>
        <w:tc>
          <w:tcPr>
            <w:tcW w:w="1130" w:type="dxa"/>
            <w:shd w:val="clear" w:color="auto" w:fill="C6EFCE"/>
            <w:noWrap/>
            <w:vAlign w:val="center"/>
            <w:hideMark/>
          </w:tcPr>
          <w:p w14:paraId="677C01E5" w14:textId="77777777" w:rsidR="006054AA" w:rsidRPr="00D504DC" w:rsidRDefault="001F7667">
            <w:pPr>
              <w:pStyle w:val="P68B1DB1-Normal11"/>
              <w:spacing w:line="276" w:lineRule="auto"/>
              <w:jc w:val="center"/>
              <w:rPr>
                <w:noProof/>
                <w:sz w:val="16"/>
                <w:szCs w:val="16"/>
              </w:rPr>
            </w:pPr>
            <w:r w:rsidRPr="00D504DC">
              <w:rPr>
                <w:noProof/>
                <w:sz w:val="16"/>
                <w:szCs w:val="16"/>
              </w:rPr>
              <w:t>M2C4—26</w:t>
            </w:r>
          </w:p>
        </w:tc>
        <w:tc>
          <w:tcPr>
            <w:tcW w:w="1560" w:type="dxa"/>
            <w:shd w:val="clear" w:color="auto" w:fill="C6EFCE"/>
            <w:noWrap/>
            <w:vAlign w:val="center"/>
            <w:hideMark/>
          </w:tcPr>
          <w:p w14:paraId="1B619033"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3.5. Възстановяване и опазване на морското дъно и морските местообитания</w:t>
            </w:r>
          </w:p>
        </w:tc>
        <w:tc>
          <w:tcPr>
            <w:tcW w:w="1134" w:type="dxa"/>
            <w:shd w:val="clear" w:color="auto" w:fill="C6EFCE"/>
            <w:noWrap/>
            <w:vAlign w:val="center"/>
            <w:hideMark/>
          </w:tcPr>
          <w:p w14:paraId="08E5BE7C"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777149DB" w14:textId="3BFD8310" w:rsidR="006054AA" w:rsidRPr="00D504DC" w:rsidRDefault="001F7667">
            <w:pPr>
              <w:pStyle w:val="P68B1DB1-Normal11"/>
              <w:spacing w:line="276" w:lineRule="auto"/>
              <w:jc w:val="center"/>
              <w:rPr>
                <w:noProof/>
                <w:sz w:val="16"/>
                <w:szCs w:val="16"/>
              </w:rPr>
            </w:pPr>
            <w:r w:rsidRPr="00D504DC">
              <w:rPr>
                <w:noProof/>
                <w:sz w:val="16"/>
                <w:szCs w:val="16"/>
              </w:rPr>
              <w:t>Възстановяване и опазване на морското дъно и морските местообитания</w:t>
            </w:r>
          </w:p>
        </w:tc>
        <w:tc>
          <w:tcPr>
            <w:tcW w:w="1383" w:type="dxa"/>
            <w:shd w:val="clear" w:color="auto" w:fill="C6EFCE"/>
            <w:noWrap/>
            <w:vAlign w:val="center"/>
            <w:hideMark/>
          </w:tcPr>
          <w:p w14:paraId="502B4886"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278A2129"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7926EB9F"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hideMark/>
          </w:tcPr>
          <w:p w14:paraId="652A28C6" w14:textId="77777777" w:rsidR="006054AA" w:rsidRPr="00D504DC" w:rsidRDefault="001F7667">
            <w:pPr>
              <w:pStyle w:val="P68B1DB1-Normal11"/>
              <w:spacing w:line="276" w:lineRule="auto"/>
              <w:jc w:val="center"/>
              <w:rPr>
                <w:noProof/>
                <w:sz w:val="16"/>
                <w:szCs w:val="16"/>
              </w:rPr>
            </w:pPr>
            <w:r w:rsidRPr="00D504DC">
              <w:rPr>
                <w:noProof/>
                <w:sz w:val="16"/>
                <w:szCs w:val="16"/>
              </w:rPr>
              <w:t>22</w:t>
            </w:r>
          </w:p>
        </w:tc>
        <w:tc>
          <w:tcPr>
            <w:tcW w:w="916" w:type="dxa"/>
            <w:shd w:val="clear" w:color="auto" w:fill="C6EFCE"/>
            <w:noWrap/>
            <w:vAlign w:val="center"/>
            <w:hideMark/>
          </w:tcPr>
          <w:p w14:paraId="1D6B1111" w14:textId="77777777" w:rsidR="006054AA" w:rsidRPr="00D504DC" w:rsidRDefault="001F7667">
            <w:pPr>
              <w:pStyle w:val="P68B1DB1-Normal11"/>
              <w:spacing w:line="276" w:lineRule="auto"/>
              <w:jc w:val="center"/>
              <w:rPr>
                <w:noProof/>
                <w:sz w:val="16"/>
                <w:szCs w:val="16"/>
              </w:rPr>
            </w:pPr>
            <w:r w:rsidRPr="00D504DC">
              <w:rPr>
                <w:noProof/>
                <w:sz w:val="16"/>
                <w:szCs w:val="16"/>
              </w:rPr>
              <w:t>Т2 Г.</w:t>
            </w:r>
          </w:p>
        </w:tc>
        <w:tc>
          <w:tcPr>
            <w:tcW w:w="638" w:type="dxa"/>
            <w:shd w:val="clear" w:color="auto" w:fill="C6EFCE"/>
            <w:noWrap/>
            <w:vAlign w:val="center"/>
            <w:hideMark/>
          </w:tcPr>
          <w:p w14:paraId="2F7A8A8D" w14:textId="77777777" w:rsidR="006054AA" w:rsidRPr="00D504DC" w:rsidRDefault="001F7667">
            <w:pPr>
              <w:pStyle w:val="P68B1DB1-Normal11"/>
              <w:spacing w:line="276" w:lineRule="auto"/>
              <w:jc w:val="center"/>
              <w:rPr>
                <w:noProof/>
                <w:sz w:val="16"/>
                <w:szCs w:val="16"/>
              </w:rPr>
            </w:pPr>
            <w:r w:rsidRPr="00D504DC">
              <w:rPr>
                <w:noProof/>
                <w:sz w:val="16"/>
                <w:szCs w:val="16"/>
              </w:rPr>
              <w:t>2025</w:t>
            </w:r>
          </w:p>
        </w:tc>
        <w:tc>
          <w:tcPr>
            <w:tcW w:w="4116" w:type="dxa"/>
            <w:shd w:val="clear" w:color="auto" w:fill="C6EFCE"/>
            <w:noWrap/>
            <w:vAlign w:val="center"/>
            <w:hideMark/>
          </w:tcPr>
          <w:p w14:paraId="3283315F" w14:textId="690523B0" w:rsidR="006054AA" w:rsidRPr="00D504DC" w:rsidRDefault="001F7667">
            <w:pPr>
              <w:pStyle w:val="P68B1DB1-Normal11"/>
              <w:spacing w:line="276" w:lineRule="auto"/>
              <w:rPr>
                <w:noProof/>
                <w:sz w:val="16"/>
                <w:szCs w:val="16"/>
              </w:rPr>
            </w:pPr>
            <w:r w:rsidRPr="00D504DC">
              <w:rPr>
                <w:noProof/>
                <w:sz w:val="16"/>
                <w:szCs w:val="16"/>
              </w:rPr>
              <w:t>Да завършат най-малко 22 широкомащабни интервенции за възстановяване и опазване на морското дъно и морските местообитания и бреговите системи за наблюдение.</w:t>
            </w:r>
          </w:p>
        </w:tc>
      </w:tr>
      <w:tr w:rsidR="006054AA" w:rsidRPr="00D504DC" w14:paraId="3B5D6AE9" w14:textId="77777777">
        <w:trPr>
          <w:trHeight w:val="313"/>
          <w:jc w:val="center"/>
        </w:trPr>
        <w:tc>
          <w:tcPr>
            <w:tcW w:w="1130" w:type="dxa"/>
            <w:shd w:val="clear" w:color="auto" w:fill="C6EFCE"/>
            <w:noWrap/>
            <w:vAlign w:val="center"/>
            <w:hideMark/>
          </w:tcPr>
          <w:p w14:paraId="0A0DE045" w14:textId="77777777" w:rsidR="006054AA" w:rsidRPr="00D504DC" w:rsidRDefault="001F7667">
            <w:pPr>
              <w:pStyle w:val="P68B1DB1-Normal11"/>
              <w:spacing w:line="276" w:lineRule="auto"/>
              <w:jc w:val="center"/>
              <w:rPr>
                <w:noProof/>
                <w:sz w:val="16"/>
                <w:szCs w:val="16"/>
              </w:rPr>
            </w:pPr>
            <w:r w:rsidRPr="00D504DC">
              <w:rPr>
                <w:noProof/>
                <w:sz w:val="16"/>
                <w:szCs w:val="16"/>
              </w:rPr>
              <w:t>M2C4—27</w:t>
            </w:r>
          </w:p>
        </w:tc>
        <w:tc>
          <w:tcPr>
            <w:tcW w:w="1560" w:type="dxa"/>
            <w:shd w:val="clear" w:color="auto" w:fill="C6EFCE"/>
            <w:noWrap/>
            <w:vAlign w:val="center"/>
            <w:hideMark/>
          </w:tcPr>
          <w:p w14:paraId="5161776E" w14:textId="77777777" w:rsidR="006054AA" w:rsidRPr="00D504DC" w:rsidRDefault="001F7667">
            <w:pPr>
              <w:pStyle w:val="P68B1DB1-Normal11"/>
              <w:spacing w:line="276" w:lineRule="auto"/>
              <w:jc w:val="center"/>
              <w:rPr>
                <w:noProof/>
                <w:sz w:val="16"/>
                <w:szCs w:val="16"/>
              </w:rPr>
            </w:pPr>
            <w:r w:rsidRPr="00D504DC">
              <w:rPr>
                <w:noProof/>
                <w:sz w:val="16"/>
                <w:szCs w:val="16"/>
              </w:rPr>
              <w:t>Реформа 4.1. Опростяване на законодателството и укрепване на управлението за осъществяване на инвестиции във водоснабдителната инфраструктура</w:t>
            </w:r>
          </w:p>
        </w:tc>
        <w:tc>
          <w:tcPr>
            <w:tcW w:w="1134" w:type="dxa"/>
            <w:shd w:val="clear" w:color="auto" w:fill="C6EFCE"/>
            <w:noWrap/>
            <w:vAlign w:val="center"/>
            <w:hideMark/>
          </w:tcPr>
          <w:p w14:paraId="232F91ED"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hideMark/>
          </w:tcPr>
          <w:p w14:paraId="1427CB32" w14:textId="08527F55" w:rsidR="006054AA" w:rsidRPr="00D504DC" w:rsidRDefault="001F7667">
            <w:pPr>
              <w:pStyle w:val="P68B1DB1-Normal11"/>
              <w:spacing w:line="276" w:lineRule="auto"/>
              <w:jc w:val="center"/>
              <w:rPr>
                <w:noProof/>
                <w:sz w:val="16"/>
                <w:szCs w:val="16"/>
              </w:rPr>
            </w:pPr>
            <w:r w:rsidRPr="00D504DC">
              <w:rPr>
                <w:noProof/>
                <w:sz w:val="16"/>
                <w:szCs w:val="16"/>
              </w:rPr>
              <w:t>Влизане в сила на опростяването на законодателството за интервенции в първичната водна инфраструктура за сигурността на водоснабдяването</w:t>
            </w:r>
          </w:p>
        </w:tc>
        <w:tc>
          <w:tcPr>
            <w:tcW w:w="1383" w:type="dxa"/>
            <w:shd w:val="clear" w:color="auto" w:fill="C6EFCE"/>
            <w:noWrap/>
            <w:vAlign w:val="center"/>
            <w:hideMark/>
          </w:tcPr>
          <w:p w14:paraId="55AAEAA5" w14:textId="77777777" w:rsidR="006054AA" w:rsidRPr="00D504DC" w:rsidRDefault="001F7667">
            <w:pPr>
              <w:pStyle w:val="P68B1DB1-Normal11"/>
              <w:spacing w:line="276" w:lineRule="auto"/>
              <w:jc w:val="center"/>
              <w:rPr>
                <w:noProof/>
                <w:sz w:val="16"/>
                <w:szCs w:val="16"/>
              </w:rPr>
            </w:pPr>
            <w:r w:rsidRPr="00D504DC">
              <w:rPr>
                <w:noProof/>
                <w:sz w:val="16"/>
                <w:szCs w:val="16"/>
              </w:rPr>
              <w:t>Разпоредба (и) в съответния (те) законодателен (ни) акт (и), указващ (и) влизането в сила</w:t>
            </w:r>
          </w:p>
        </w:tc>
        <w:tc>
          <w:tcPr>
            <w:tcW w:w="1094" w:type="dxa"/>
            <w:shd w:val="clear" w:color="auto" w:fill="C6EFCE"/>
            <w:noWrap/>
            <w:vAlign w:val="center"/>
            <w:hideMark/>
          </w:tcPr>
          <w:p w14:paraId="18F89F99"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hideMark/>
          </w:tcPr>
          <w:p w14:paraId="150F7A64"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194" w:type="dxa"/>
            <w:shd w:val="clear" w:color="auto" w:fill="C6EFCE"/>
            <w:noWrap/>
            <w:vAlign w:val="center"/>
            <w:hideMark/>
          </w:tcPr>
          <w:p w14:paraId="0DD6FE96"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916" w:type="dxa"/>
            <w:shd w:val="clear" w:color="auto" w:fill="C6EFCE"/>
            <w:noWrap/>
            <w:vAlign w:val="center"/>
            <w:hideMark/>
          </w:tcPr>
          <w:p w14:paraId="0BF17313" w14:textId="77777777" w:rsidR="006054AA" w:rsidRPr="00D504DC" w:rsidRDefault="001F7667">
            <w:pPr>
              <w:pStyle w:val="P68B1DB1-Normal11"/>
              <w:spacing w:line="276" w:lineRule="auto"/>
              <w:jc w:val="center"/>
              <w:rPr>
                <w:noProof/>
                <w:sz w:val="16"/>
                <w:szCs w:val="16"/>
              </w:rPr>
            </w:pPr>
            <w:r w:rsidRPr="00D504DC">
              <w:rPr>
                <w:noProof/>
                <w:sz w:val="16"/>
                <w:szCs w:val="16"/>
              </w:rPr>
              <w:t>Т1 Г.</w:t>
            </w:r>
          </w:p>
        </w:tc>
        <w:tc>
          <w:tcPr>
            <w:tcW w:w="638" w:type="dxa"/>
            <w:shd w:val="clear" w:color="auto" w:fill="C6EFCE"/>
            <w:noWrap/>
            <w:vAlign w:val="center"/>
            <w:hideMark/>
          </w:tcPr>
          <w:p w14:paraId="48D84451" w14:textId="77777777" w:rsidR="006054AA" w:rsidRPr="00D504DC" w:rsidRDefault="001F7667">
            <w:pPr>
              <w:pStyle w:val="P68B1DB1-Normal11"/>
              <w:spacing w:line="276" w:lineRule="auto"/>
              <w:jc w:val="center"/>
              <w:rPr>
                <w:noProof/>
                <w:sz w:val="16"/>
                <w:szCs w:val="16"/>
              </w:rPr>
            </w:pPr>
            <w:r w:rsidRPr="00D504DC">
              <w:rPr>
                <w:noProof/>
                <w:sz w:val="16"/>
                <w:szCs w:val="16"/>
              </w:rPr>
              <w:t>2022</w:t>
            </w:r>
          </w:p>
        </w:tc>
        <w:tc>
          <w:tcPr>
            <w:tcW w:w="4116" w:type="dxa"/>
            <w:shd w:val="clear" w:color="auto" w:fill="C6EFCE"/>
            <w:noWrap/>
            <w:vAlign w:val="center"/>
            <w:hideMark/>
          </w:tcPr>
          <w:p w14:paraId="2BC1BBE8" w14:textId="77777777" w:rsidR="006054AA" w:rsidRPr="00D504DC" w:rsidRDefault="001F7667">
            <w:pPr>
              <w:pStyle w:val="P68B1DB1-Normal11"/>
              <w:spacing w:line="276" w:lineRule="auto"/>
              <w:rPr>
                <w:noProof/>
                <w:sz w:val="16"/>
                <w:szCs w:val="16"/>
              </w:rPr>
            </w:pPr>
            <w:r w:rsidRPr="00D504DC">
              <w:rPr>
                <w:noProof/>
                <w:sz w:val="16"/>
                <w:szCs w:val="16"/>
              </w:rPr>
              <w:t>Преразгледаното законодателство укрепва управлението и опростява осъществяването на инвестиции във водоснабдителна инфраструктура. Новата правна рамка следва като минимум:</w:t>
            </w:r>
          </w:p>
          <w:p w14:paraId="42527D03" w14:textId="77777777" w:rsidR="006054AA" w:rsidRPr="00D504DC" w:rsidRDefault="006054AA">
            <w:pPr>
              <w:spacing w:line="276" w:lineRule="auto"/>
              <w:rPr>
                <w:rFonts w:ascii="Arial Narrow" w:hAnsi="Arial Narrow"/>
                <w:noProof/>
                <w:color w:val="006100"/>
                <w:sz w:val="16"/>
                <w:szCs w:val="16"/>
              </w:rPr>
            </w:pPr>
          </w:p>
          <w:p w14:paraId="7192ABBC" w14:textId="1CB3A85C" w:rsidR="006054AA" w:rsidRPr="00D504DC" w:rsidRDefault="001F7667">
            <w:pPr>
              <w:pStyle w:val="P68B1DB1-ListParagraph13"/>
              <w:spacing w:before="0" w:after="0" w:line="276" w:lineRule="auto"/>
              <w:ind w:left="0"/>
              <w:jc w:val="left"/>
              <w:rPr>
                <w:noProof/>
                <w:sz w:val="16"/>
                <w:szCs w:val="16"/>
              </w:rPr>
            </w:pPr>
            <w:r w:rsidRPr="00D504DC">
              <w:rPr>
                <w:noProof/>
                <w:sz w:val="16"/>
                <w:szCs w:val="16"/>
              </w:rPr>
              <w:t>Превръщане на националния план за интервенции във водния сектор в централен инструмент за финансиране на инвестициите във водния сектор.</w:t>
            </w:r>
          </w:p>
          <w:p w14:paraId="1F7FD9C3" w14:textId="1653452B" w:rsidR="006054AA" w:rsidRPr="00D504DC" w:rsidRDefault="001F7667">
            <w:pPr>
              <w:pStyle w:val="P68B1DB1-ListParagraph13"/>
              <w:spacing w:before="0" w:after="0" w:line="276" w:lineRule="auto"/>
              <w:ind w:left="0"/>
              <w:jc w:val="left"/>
              <w:rPr>
                <w:noProof/>
                <w:sz w:val="16"/>
                <w:szCs w:val="16"/>
              </w:rPr>
            </w:pPr>
            <w:r w:rsidRPr="00D504DC">
              <w:rPr>
                <w:noProof/>
                <w:sz w:val="16"/>
                <w:szCs w:val="16"/>
              </w:rPr>
              <w:t>— Потърсете становището и активно включете регулаторния орган („Autorità di Regolazione per Energia Reti e Ambiente“) във всяка промяна или актуализация на плана.</w:t>
            </w:r>
          </w:p>
          <w:p w14:paraId="06D1DD6B" w14:textId="77777777" w:rsidR="006054AA" w:rsidRPr="00D504DC" w:rsidRDefault="006054AA">
            <w:pPr>
              <w:spacing w:line="276" w:lineRule="auto"/>
              <w:ind w:left="-29" w:firstLine="29"/>
              <w:rPr>
                <w:rFonts w:ascii="Arial Narrow" w:hAnsi="Arial Narrow"/>
                <w:noProof/>
                <w:color w:val="006100"/>
                <w:sz w:val="16"/>
                <w:szCs w:val="16"/>
              </w:rPr>
            </w:pPr>
          </w:p>
          <w:p w14:paraId="3C28019A" w14:textId="1391398C" w:rsidR="006054AA" w:rsidRPr="00D504DC" w:rsidRDefault="001F7667">
            <w:pPr>
              <w:pStyle w:val="P68B1DB1-ListParagraph13"/>
              <w:spacing w:before="0" w:after="0" w:line="276" w:lineRule="auto"/>
              <w:ind w:left="0"/>
              <w:jc w:val="left"/>
              <w:rPr>
                <w:noProof/>
                <w:sz w:val="16"/>
                <w:szCs w:val="16"/>
              </w:rPr>
            </w:pPr>
            <w:r w:rsidRPr="00D504DC">
              <w:rPr>
                <w:noProof/>
                <w:sz w:val="16"/>
                <w:szCs w:val="16"/>
              </w:rPr>
              <w:t>Предоставяне на подкрепа и съпътстващи мерки за изпълнителните органи, които не са в състояние да осъществят инвестиции, свързани с първичните обществени поръчки, в рамките на предвидения срок.</w:t>
            </w:r>
          </w:p>
          <w:p w14:paraId="65D23F78" w14:textId="77777777" w:rsidR="006054AA" w:rsidRPr="00D504DC" w:rsidRDefault="006054AA">
            <w:pPr>
              <w:pStyle w:val="ListParagraph"/>
              <w:spacing w:before="0" w:after="0" w:line="276" w:lineRule="auto"/>
              <w:ind w:left="-29" w:firstLine="29"/>
              <w:jc w:val="left"/>
              <w:rPr>
                <w:rFonts w:ascii="Arial Narrow" w:hAnsi="Arial Narrow"/>
                <w:noProof/>
                <w:color w:val="006100"/>
                <w:sz w:val="16"/>
                <w:szCs w:val="16"/>
              </w:rPr>
            </w:pPr>
          </w:p>
          <w:p w14:paraId="4DD9C638" w14:textId="455968CE" w:rsidR="006054AA" w:rsidRPr="00D504DC" w:rsidRDefault="001F7667">
            <w:pPr>
              <w:pStyle w:val="P68B1DB1-ListParagraph13"/>
              <w:spacing w:before="0" w:after="0" w:line="276" w:lineRule="auto"/>
              <w:ind w:left="0"/>
              <w:jc w:val="left"/>
              <w:rPr>
                <w:noProof/>
                <w:sz w:val="16"/>
                <w:szCs w:val="16"/>
              </w:rPr>
            </w:pPr>
            <w:r w:rsidRPr="00D504DC">
              <w:rPr>
                <w:noProof/>
                <w:sz w:val="16"/>
                <w:szCs w:val="16"/>
              </w:rPr>
              <w:t>— Опростяване на процедурите за докладване и мониторинг на инвестициите, финансирани във водния сектор.</w:t>
            </w:r>
          </w:p>
          <w:p w14:paraId="36963433" w14:textId="77777777" w:rsidR="006054AA" w:rsidRPr="00D504DC" w:rsidRDefault="006054AA">
            <w:pPr>
              <w:spacing w:line="276" w:lineRule="auto"/>
              <w:rPr>
                <w:rFonts w:ascii="Arial Narrow" w:hAnsi="Arial Narrow"/>
                <w:noProof/>
                <w:color w:val="006100"/>
                <w:sz w:val="16"/>
                <w:szCs w:val="16"/>
              </w:rPr>
            </w:pPr>
          </w:p>
        </w:tc>
      </w:tr>
      <w:tr w:rsidR="006054AA" w:rsidRPr="00D504DC" w14:paraId="76F501A3" w14:textId="77777777">
        <w:trPr>
          <w:trHeight w:val="313"/>
          <w:jc w:val="center"/>
        </w:trPr>
        <w:tc>
          <w:tcPr>
            <w:tcW w:w="1130" w:type="dxa"/>
            <w:shd w:val="clear" w:color="auto" w:fill="C6EFCE"/>
            <w:noWrap/>
            <w:vAlign w:val="center"/>
            <w:hideMark/>
          </w:tcPr>
          <w:p w14:paraId="09DB3315" w14:textId="77777777" w:rsidR="006054AA" w:rsidRPr="00D504DC" w:rsidRDefault="001F7667">
            <w:pPr>
              <w:pStyle w:val="P68B1DB1-Normal11"/>
              <w:spacing w:line="276" w:lineRule="auto"/>
              <w:jc w:val="center"/>
              <w:rPr>
                <w:noProof/>
                <w:sz w:val="16"/>
                <w:szCs w:val="16"/>
              </w:rPr>
            </w:pPr>
            <w:r w:rsidRPr="00D504DC">
              <w:rPr>
                <w:noProof/>
                <w:sz w:val="16"/>
                <w:szCs w:val="16"/>
              </w:rPr>
              <w:t>M2C4—28</w:t>
            </w:r>
          </w:p>
        </w:tc>
        <w:tc>
          <w:tcPr>
            <w:tcW w:w="1560" w:type="dxa"/>
            <w:shd w:val="clear" w:color="auto" w:fill="C6EFCE"/>
            <w:noWrap/>
            <w:vAlign w:val="center"/>
            <w:hideMark/>
          </w:tcPr>
          <w:p w14:paraId="39435637"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4.1. Инвестиции в първични водни инфраструктури за сигурността на водоснабдяването</w:t>
            </w:r>
          </w:p>
        </w:tc>
        <w:tc>
          <w:tcPr>
            <w:tcW w:w="1134" w:type="dxa"/>
            <w:shd w:val="clear" w:color="auto" w:fill="C6EFCE"/>
            <w:noWrap/>
            <w:vAlign w:val="center"/>
            <w:hideMark/>
          </w:tcPr>
          <w:p w14:paraId="674F4E8D"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hideMark/>
          </w:tcPr>
          <w:p w14:paraId="5E7AD95C" w14:textId="08699133" w:rsidR="006054AA" w:rsidRPr="00D504DC" w:rsidRDefault="001F7667">
            <w:pPr>
              <w:pStyle w:val="P68B1DB1-Normal11"/>
              <w:spacing w:line="276" w:lineRule="auto"/>
              <w:jc w:val="center"/>
              <w:rPr>
                <w:noProof/>
                <w:sz w:val="16"/>
                <w:szCs w:val="16"/>
              </w:rPr>
            </w:pPr>
            <w:r w:rsidRPr="00D504DC">
              <w:rPr>
                <w:noProof/>
                <w:sz w:val="16"/>
                <w:szCs w:val="16"/>
              </w:rPr>
              <w:t>Възлагане на (всички) обществени поръчки за инвестиции в първична водна инфраструктура и за сигурност на водоснабдяването</w:t>
            </w:r>
          </w:p>
        </w:tc>
        <w:tc>
          <w:tcPr>
            <w:tcW w:w="1383" w:type="dxa"/>
            <w:shd w:val="clear" w:color="auto" w:fill="C6EFCE"/>
            <w:noWrap/>
            <w:vAlign w:val="center"/>
            <w:hideMark/>
          </w:tcPr>
          <w:p w14:paraId="29F19509" w14:textId="77777777" w:rsidR="006054AA" w:rsidRPr="00D504DC" w:rsidRDefault="001F7667">
            <w:pPr>
              <w:pStyle w:val="P68B1DB1-Normal11"/>
              <w:spacing w:line="276" w:lineRule="auto"/>
              <w:jc w:val="center"/>
              <w:rPr>
                <w:noProof/>
                <w:sz w:val="16"/>
                <w:szCs w:val="16"/>
              </w:rPr>
            </w:pPr>
            <w:r w:rsidRPr="00D504DC">
              <w:rPr>
                <w:noProof/>
                <w:sz w:val="16"/>
                <w:szCs w:val="16"/>
              </w:rPr>
              <w:t>Уведомление за възлагане на (всички) обществени поръчки за инвестиции в първична водна инфраструктура и за сигурност на водоснабдяването</w:t>
            </w:r>
          </w:p>
        </w:tc>
        <w:tc>
          <w:tcPr>
            <w:tcW w:w="1094" w:type="dxa"/>
            <w:shd w:val="clear" w:color="auto" w:fill="C6EFCE"/>
            <w:noWrap/>
            <w:vAlign w:val="center"/>
            <w:hideMark/>
          </w:tcPr>
          <w:p w14:paraId="33EF425A"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7CD1467E"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hideMark/>
          </w:tcPr>
          <w:p w14:paraId="038A3AC6" w14:textId="2F4F6075" w:rsidR="006054AA" w:rsidRPr="00D504DC" w:rsidRDefault="001F7667">
            <w:pPr>
              <w:pStyle w:val="P68B1DB1-Normal11"/>
              <w:spacing w:line="276" w:lineRule="auto"/>
              <w:jc w:val="center"/>
              <w:rPr>
                <w:noProof/>
                <w:sz w:val="16"/>
                <w:szCs w:val="16"/>
              </w:rPr>
            </w:pPr>
            <w:r w:rsidRPr="00D504DC">
              <w:rPr>
                <w:noProof/>
                <w:sz w:val="16"/>
                <w:szCs w:val="16"/>
              </w:rPr>
              <w:t>2 000 000 000</w:t>
            </w:r>
          </w:p>
        </w:tc>
        <w:tc>
          <w:tcPr>
            <w:tcW w:w="916" w:type="dxa"/>
            <w:shd w:val="clear" w:color="auto" w:fill="C6EFCE"/>
            <w:noWrap/>
            <w:vAlign w:val="center"/>
            <w:hideMark/>
          </w:tcPr>
          <w:p w14:paraId="68FD8017" w14:textId="77777777" w:rsidR="006054AA" w:rsidRPr="00D504DC" w:rsidRDefault="001F7667">
            <w:pPr>
              <w:pStyle w:val="P68B1DB1-Normal11"/>
              <w:spacing w:line="276" w:lineRule="auto"/>
              <w:jc w:val="center"/>
              <w:rPr>
                <w:noProof/>
                <w:sz w:val="16"/>
                <w:szCs w:val="16"/>
              </w:rPr>
            </w:pPr>
            <w:r w:rsidRPr="00D504DC">
              <w:rPr>
                <w:noProof/>
                <w:sz w:val="16"/>
                <w:szCs w:val="16"/>
              </w:rPr>
              <w:t>Т3 Г.</w:t>
            </w:r>
          </w:p>
        </w:tc>
        <w:tc>
          <w:tcPr>
            <w:tcW w:w="638" w:type="dxa"/>
            <w:shd w:val="clear" w:color="auto" w:fill="C6EFCE"/>
            <w:noWrap/>
            <w:vAlign w:val="center"/>
            <w:hideMark/>
          </w:tcPr>
          <w:p w14:paraId="6027DB1B" w14:textId="77777777" w:rsidR="006054AA" w:rsidRPr="00D504DC" w:rsidRDefault="001F7667">
            <w:pPr>
              <w:pStyle w:val="P68B1DB1-Normal11"/>
              <w:spacing w:line="276" w:lineRule="auto"/>
              <w:jc w:val="center"/>
              <w:rPr>
                <w:noProof/>
                <w:sz w:val="16"/>
                <w:szCs w:val="16"/>
              </w:rPr>
            </w:pPr>
            <w:r w:rsidRPr="00D504DC">
              <w:rPr>
                <w:noProof/>
                <w:sz w:val="16"/>
                <w:szCs w:val="16"/>
              </w:rPr>
              <w:t>2023</w:t>
            </w:r>
          </w:p>
        </w:tc>
        <w:tc>
          <w:tcPr>
            <w:tcW w:w="4116" w:type="dxa"/>
            <w:shd w:val="clear" w:color="auto" w:fill="C6EFCE"/>
            <w:noWrap/>
            <w:vAlign w:val="center"/>
            <w:hideMark/>
          </w:tcPr>
          <w:p w14:paraId="740D7219" w14:textId="5C7654C0" w:rsidR="006054AA" w:rsidRPr="00D504DC" w:rsidRDefault="001F7667">
            <w:pPr>
              <w:pStyle w:val="P68B1DB1-Normal11"/>
              <w:suppressAutoHyphens/>
              <w:spacing w:line="276" w:lineRule="auto"/>
              <w:rPr>
                <w:noProof/>
                <w:sz w:val="16"/>
                <w:szCs w:val="16"/>
              </w:rPr>
            </w:pPr>
            <w:r w:rsidRPr="00D504DC">
              <w:rPr>
                <w:noProof/>
                <w:sz w:val="16"/>
                <w:szCs w:val="16"/>
              </w:rPr>
              <w:t>Уведомление за възлагане на всички обществени поръчки на обща стойност 2 000 000 000 EUR за инвестиции в първична водна инфраструктура и за сигурност на водоснабдяването.</w:t>
            </w:r>
          </w:p>
          <w:p w14:paraId="42DF1A60" w14:textId="77777777" w:rsidR="006054AA" w:rsidRPr="00D504DC" w:rsidRDefault="001F7667">
            <w:pPr>
              <w:pStyle w:val="P68B1DB1-Normal11"/>
              <w:suppressAutoHyphens/>
              <w:spacing w:line="276" w:lineRule="auto"/>
              <w:rPr>
                <w:noProof/>
                <w:sz w:val="16"/>
                <w:szCs w:val="16"/>
              </w:rPr>
            </w:pPr>
            <w:r w:rsidRPr="00D504DC">
              <w:rPr>
                <w:noProof/>
                <w:sz w:val="16"/>
                <w:szCs w:val="16"/>
              </w:rPr>
              <w:t>Обхватът на договорите е следният:</w:t>
            </w:r>
          </w:p>
          <w:p w14:paraId="0403A0EE" w14:textId="77777777" w:rsidR="006054AA" w:rsidRPr="00D504DC" w:rsidRDefault="006054AA">
            <w:pPr>
              <w:suppressAutoHyphens/>
              <w:spacing w:line="276" w:lineRule="auto"/>
              <w:rPr>
                <w:rFonts w:ascii="Arial Narrow" w:hAnsi="Arial Narrow"/>
                <w:noProof/>
                <w:color w:val="006100"/>
                <w:sz w:val="16"/>
                <w:szCs w:val="16"/>
              </w:rPr>
            </w:pPr>
          </w:p>
          <w:p w14:paraId="1A418BF3" w14:textId="77777777" w:rsidR="006054AA" w:rsidRPr="00D504DC" w:rsidRDefault="001F7667">
            <w:pPr>
              <w:pStyle w:val="P68B1DB1-ListParagraph13"/>
              <w:numPr>
                <w:ilvl w:val="0"/>
                <w:numId w:val="69"/>
              </w:numPr>
              <w:suppressAutoHyphens/>
              <w:spacing w:before="0" w:after="0" w:line="276" w:lineRule="auto"/>
              <w:ind w:left="305"/>
              <w:jc w:val="left"/>
              <w:rPr>
                <w:noProof/>
                <w:sz w:val="16"/>
                <w:szCs w:val="16"/>
              </w:rPr>
            </w:pPr>
            <w:r w:rsidRPr="00D504DC">
              <w:rPr>
                <w:noProof/>
                <w:sz w:val="16"/>
                <w:szCs w:val="16"/>
              </w:rPr>
              <w:t>Сигурност на водоснабдяването на важни градски райони;</w:t>
            </w:r>
          </w:p>
          <w:p w14:paraId="5FA2B9AC" w14:textId="77777777" w:rsidR="006054AA" w:rsidRPr="00D504DC" w:rsidRDefault="001F7667">
            <w:pPr>
              <w:pStyle w:val="P68B1DB1-ListParagraph13"/>
              <w:numPr>
                <w:ilvl w:val="0"/>
                <w:numId w:val="69"/>
              </w:numPr>
              <w:suppressAutoHyphens/>
              <w:spacing w:before="0" w:after="0" w:line="276" w:lineRule="auto"/>
              <w:ind w:left="305"/>
              <w:jc w:val="left"/>
              <w:rPr>
                <w:noProof/>
                <w:sz w:val="16"/>
                <w:szCs w:val="16"/>
              </w:rPr>
            </w:pPr>
            <w:r w:rsidRPr="00D504DC">
              <w:rPr>
                <w:noProof/>
                <w:sz w:val="16"/>
                <w:szCs w:val="16"/>
              </w:rPr>
              <w:t>Структурни работи за повишаване на безопасността и устойчивостта на мрежата, включително адаптиране към изменението на климата (с изключение на язовирите);</w:t>
            </w:r>
          </w:p>
          <w:p w14:paraId="00B9F7DF" w14:textId="77777777" w:rsidR="006054AA" w:rsidRPr="00D504DC" w:rsidRDefault="001F7667">
            <w:pPr>
              <w:pStyle w:val="P68B1DB1-ListParagraph13"/>
              <w:numPr>
                <w:ilvl w:val="0"/>
                <w:numId w:val="69"/>
              </w:numPr>
              <w:spacing w:before="0" w:after="0" w:line="276" w:lineRule="auto"/>
              <w:ind w:left="305"/>
              <w:jc w:val="left"/>
              <w:rPr>
                <w:noProof/>
                <w:sz w:val="16"/>
                <w:szCs w:val="16"/>
              </w:rPr>
            </w:pPr>
            <w:r w:rsidRPr="00D504DC">
              <w:rPr>
                <w:noProof/>
                <w:sz w:val="16"/>
                <w:szCs w:val="16"/>
              </w:rPr>
              <w:t>Увеличаване на капацитета за пренос на вода.</w:t>
            </w:r>
          </w:p>
          <w:p w14:paraId="7966C734" w14:textId="77777777" w:rsidR="006054AA" w:rsidRPr="00D504DC" w:rsidRDefault="001F7667">
            <w:pPr>
              <w:pStyle w:val="P68B1DB1-Normal11"/>
              <w:spacing w:line="276" w:lineRule="auto"/>
              <w:ind w:left="-55"/>
              <w:rPr>
                <w:noProof/>
                <w:sz w:val="16"/>
                <w:szCs w:val="16"/>
              </w:rPr>
            </w:pPr>
            <w:r w:rsidRPr="00D504DC">
              <w:rPr>
                <w:noProof/>
                <w:sz w:val="16"/>
                <w:szCs w:val="16"/>
              </w:rPr>
              <w:t>Критериите за подбор гарантират, че инвестицията допринася изцяло за целите във връзка с изменението на климата с коефициент за климата от 40 % в съответствие с приложение VI към Регламент (ЕС) 2021/241 относно Механизма за възстановяване и устойчивост.</w:t>
            </w:r>
          </w:p>
        </w:tc>
      </w:tr>
      <w:tr w:rsidR="006054AA" w:rsidRPr="00D504DC" w14:paraId="4BFF3F85"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CB73D" w14:textId="77777777" w:rsidR="006054AA" w:rsidRPr="00D504DC" w:rsidRDefault="001F7667">
            <w:pPr>
              <w:pStyle w:val="P68B1DB1-Normal11"/>
              <w:spacing w:line="276" w:lineRule="auto"/>
              <w:jc w:val="center"/>
              <w:rPr>
                <w:noProof/>
                <w:sz w:val="16"/>
                <w:szCs w:val="16"/>
              </w:rPr>
            </w:pPr>
            <w:r w:rsidRPr="00D504DC">
              <w:rPr>
                <w:noProof/>
                <w:sz w:val="16"/>
                <w:szCs w:val="16"/>
              </w:rPr>
              <w:t>M2C4—28bis</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1E5DBB"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4.1. Инвестиции в първични водни инфраструктури за сигурността на водоснабдяването</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FE75BF"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B8ECB" w14:textId="4A00B1C7" w:rsidR="006054AA" w:rsidRPr="00D504DC" w:rsidRDefault="001F7667">
            <w:pPr>
              <w:pStyle w:val="P68B1DB1-Normal11"/>
              <w:spacing w:line="276" w:lineRule="auto"/>
              <w:jc w:val="center"/>
              <w:rPr>
                <w:noProof/>
                <w:sz w:val="16"/>
                <w:szCs w:val="16"/>
              </w:rPr>
            </w:pPr>
            <w:r w:rsidRPr="00D504DC">
              <w:rPr>
                <w:noProof/>
                <w:sz w:val="16"/>
                <w:szCs w:val="16"/>
              </w:rPr>
              <w:t>Възлагане на (всички) обществени поръчки за инвестиции в първична водна инфраструктура и за сигурност на водоснабдяването</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1DD62" w14:textId="77777777" w:rsidR="006054AA" w:rsidRPr="00D504DC" w:rsidRDefault="001F7667">
            <w:pPr>
              <w:pStyle w:val="P68B1DB1-Normal11"/>
              <w:spacing w:line="276" w:lineRule="auto"/>
              <w:jc w:val="center"/>
              <w:rPr>
                <w:noProof/>
                <w:sz w:val="16"/>
                <w:szCs w:val="16"/>
              </w:rPr>
            </w:pPr>
            <w:r w:rsidRPr="00D504DC">
              <w:rPr>
                <w:noProof/>
                <w:sz w:val="16"/>
                <w:szCs w:val="16"/>
              </w:rPr>
              <w:t>Уведомление за възлагане на (всички) обществени поръчки за инвестиции в първична водна инфраструктура и за сигурност на водоснабдяването</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6D80F"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BA106" w14:textId="73B2DF54" w:rsidR="006054AA" w:rsidRPr="00D504DC" w:rsidRDefault="001F7667">
            <w:pPr>
              <w:pStyle w:val="P68B1DB1-Normal11"/>
              <w:spacing w:line="276" w:lineRule="auto"/>
              <w:jc w:val="center"/>
              <w:rPr>
                <w:noProof/>
                <w:sz w:val="16"/>
                <w:szCs w:val="16"/>
              </w:rPr>
            </w:pPr>
            <w:r w:rsidRPr="00D504DC">
              <w:rPr>
                <w:noProof/>
                <w:sz w:val="16"/>
                <w:szCs w:val="16"/>
              </w:rPr>
              <w:t>2 000 000 000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7D3A65" w14:textId="1F13BBA8" w:rsidR="006054AA" w:rsidRPr="00D504DC" w:rsidRDefault="001F7667">
            <w:pPr>
              <w:pStyle w:val="P68B1DB1-Normal11"/>
              <w:spacing w:line="276" w:lineRule="auto"/>
              <w:jc w:val="center"/>
              <w:rPr>
                <w:noProof/>
                <w:sz w:val="16"/>
                <w:szCs w:val="16"/>
              </w:rPr>
            </w:pPr>
            <w:r w:rsidRPr="00D504DC">
              <w:rPr>
                <w:noProof/>
                <w:sz w:val="16"/>
                <w:szCs w:val="16"/>
              </w:rPr>
              <w:t>2 500 000 000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61F03"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0ACA1" w14:textId="77777777"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B5DC1" w14:textId="715CD5E6" w:rsidR="006054AA" w:rsidRPr="00D504DC" w:rsidRDefault="001F7667">
            <w:pPr>
              <w:pStyle w:val="P68B1DB1-Normal11"/>
              <w:suppressAutoHyphens/>
              <w:spacing w:line="276" w:lineRule="auto"/>
              <w:rPr>
                <w:noProof/>
                <w:sz w:val="16"/>
                <w:szCs w:val="16"/>
              </w:rPr>
            </w:pPr>
            <w:r w:rsidRPr="00D504DC">
              <w:rPr>
                <w:noProof/>
                <w:sz w:val="16"/>
                <w:szCs w:val="16"/>
              </w:rPr>
              <w:t>Уведомление за възлагане на обществени поръчки на обща стойност 500 000 000 EUR за инвестиции в първична водна инфраструктура и за сигурност на водоснабдяването.</w:t>
            </w:r>
          </w:p>
          <w:p w14:paraId="6848709B" w14:textId="77777777" w:rsidR="006054AA" w:rsidRPr="00D504DC" w:rsidRDefault="001F7667">
            <w:pPr>
              <w:pStyle w:val="P68B1DB1-Normal11"/>
              <w:suppressAutoHyphens/>
              <w:spacing w:line="276" w:lineRule="auto"/>
              <w:rPr>
                <w:noProof/>
                <w:sz w:val="16"/>
                <w:szCs w:val="16"/>
              </w:rPr>
            </w:pPr>
            <w:r w:rsidRPr="00D504DC">
              <w:rPr>
                <w:noProof/>
                <w:sz w:val="16"/>
                <w:szCs w:val="16"/>
              </w:rPr>
              <w:t>Обхватът на договорите е следният:</w:t>
            </w:r>
          </w:p>
          <w:p w14:paraId="3E14CCB1" w14:textId="77777777" w:rsidR="006054AA" w:rsidRPr="00D504DC" w:rsidRDefault="006054AA">
            <w:pPr>
              <w:suppressAutoHyphens/>
              <w:spacing w:line="276" w:lineRule="auto"/>
              <w:rPr>
                <w:rFonts w:ascii="Arial Narrow" w:hAnsi="Arial Narrow"/>
                <w:noProof/>
                <w:color w:val="006100"/>
                <w:sz w:val="16"/>
                <w:szCs w:val="16"/>
              </w:rPr>
            </w:pPr>
          </w:p>
          <w:p w14:paraId="3EFD68BC" w14:textId="77777777" w:rsidR="006054AA" w:rsidRPr="00D504DC" w:rsidRDefault="001F7667">
            <w:pPr>
              <w:pStyle w:val="P68B1DB1-ListParagraph13"/>
              <w:numPr>
                <w:ilvl w:val="0"/>
                <w:numId w:val="69"/>
              </w:numPr>
              <w:suppressAutoHyphens/>
              <w:spacing w:before="0" w:after="0" w:line="276" w:lineRule="auto"/>
              <w:ind w:left="305"/>
              <w:jc w:val="left"/>
              <w:rPr>
                <w:noProof/>
                <w:sz w:val="16"/>
                <w:szCs w:val="16"/>
              </w:rPr>
            </w:pPr>
            <w:r w:rsidRPr="00D504DC">
              <w:rPr>
                <w:noProof/>
                <w:sz w:val="16"/>
                <w:szCs w:val="16"/>
              </w:rPr>
              <w:t>Сигурност на водоснабдяването на важни градски райони;</w:t>
            </w:r>
          </w:p>
          <w:p w14:paraId="1AA7C43F" w14:textId="77777777" w:rsidR="006054AA" w:rsidRPr="00D504DC" w:rsidRDefault="001F7667">
            <w:pPr>
              <w:pStyle w:val="P68B1DB1-ListParagraph13"/>
              <w:numPr>
                <w:ilvl w:val="0"/>
                <w:numId w:val="69"/>
              </w:numPr>
              <w:suppressAutoHyphens/>
              <w:spacing w:before="0" w:after="0" w:line="276" w:lineRule="auto"/>
              <w:ind w:left="305"/>
              <w:jc w:val="left"/>
              <w:rPr>
                <w:noProof/>
                <w:sz w:val="16"/>
                <w:szCs w:val="16"/>
              </w:rPr>
            </w:pPr>
            <w:r w:rsidRPr="00D504DC">
              <w:rPr>
                <w:noProof/>
                <w:sz w:val="16"/>
                <w:szCs w:val="16"/>
              </w:rPr>
              <w:t>Структурни работи за повишаване на безопасността и устойчивостта на мрежата, включително адаптиране към изменението на климата (с изключение на язовирите);</w:t>
            </w:r>
          </w:p>
          <w:p w14:paraId="31207775" w14:textId="77777777" w:rsidR="006054AA" w:rsidRPr="00D504DC" w:rsidRDefault="001F7667">
            <w:pPr>
              <w:pStyle w:val="P68B1DB1-ListParagraph13"/>
              <w:numPr>
                <w:ilvl w:val="0"/>
                <w:numId w:val="69"/>
              </w:numPr>
              <w:spacing w:before="0" w:after="0" w:line="276" w:lineRule="auto"/>
              <w:ind w:left="305"/>
              <w:jc w:val="left"/>
              <w:rPr>
                <w:noProof/>
                <w:sz w:val="16"/>
                <w:szCs w:val="16"/>
              </w:rPr>
            </w:pPr>
            <w:r w:rsidRPr="00D504DC">
              <w:rPr>
                <w:noProof/>
                <w:sz w:val="16"/>
                <w:szCs w:val="16"/>
              </w:rPr>
              <w:t>Увеличаване на капацитета за пренос на вода.</w:t>
            </w:r>
          </w:p>
          <w:p w14:paraId="4593A3C9" w14:textId="77777777" w:rsidR="006054AA" w:rsidRPr="00D504DC" w:rsidRDefault="001F7667">
            <w:pPr>
              <w:pStyle w:val="P68B1DB1-Normal11"/>
              <w:suppressAutoHyphens/>
              <w:spacing w:line="276" w:lineRule="auto"/>
              <w:rPr>
                <w:noProof/>
                <w:sz w:val="16"/>
                <w:szCs w:val="16"/>
              </w:rPr>
            </w:pPr>
            <w:r w:rsidRPr="00D504DC">
              <w:rPr>
                <w:noProof/>
                <w:sz w:val="16"/>
                <w:szCs w:val="16"/>
              </w:rPr>
              <w:t>Критериите за подбор гарантират, че инвестицията допринася изцяло за целите във връзка с изменението на климата с коефициент за климата от 40 % в съответствие с приложение VI към Регламент (ЕС) 2021/241 относно Механизма за възстановяване и устойчивост.</w:t>
            </w:r>
          </w:p>
        </w:tc>
      </w:tr>
      <w:tr w:rsidR="006054AA" w:rsidRPr="00D504DC" w14:paraId="1ADEEB75" w14:textId="77777777">
        <w:trPr>
          <w:trHeight w:val="313"/>
          <w:jc w:val="center"/>
        </w:trPr>
        <w:tc>
          <w:tcPr>
            <w:tcW w:w="1130" w:type="dxa"/>
            <w:shd w:val="clear" w:color="auto" w:fill="C6EFCE"/>
            <w:noWrap/>
            <w:vAlign w:val="center"/>
            <w:hideMark/>
          </w:tcPr>
          <w:p w14:paraId="1A34A191" w14:textId="77777777" w:rsidR="006054AA" w:rsidRPr="00D504DC" w:rsidRDefault="001F7667">
            <w:pPr>
              <w:pStyle w:val="P68B1DB1-Normal11"/>
              <w:spacing w:line="276" w:lineRule="auto"/>
              <w:jc w:val="center"/>
              <w:rPr>
                <w:noProof/>
                <w:sz w:val="16"/>
                <w:szCs w:val="16"/>
              </w:rPr>
            </w:pPr>
            <w:r w:rsidRPr="00D504DC">
              <w:rPr>
                <w:noProof/>
                <w:sz w:val="16"/>
                <w:szCs w:val="16"/>
              </w:rPr>
              <w:t>M2C4—29</w:t>
            </w:r>
          </w:p>
        </w:tc>
        <w:tc>
          <w:tcPr>
            <w:tcW w:w="1560" w:type="dxa"/>
            <w:shd w:val="clear" w:color="auto" w:fill="C6EFCE"/>
            <w:noWrap/>
            <w:vAlign w:val="center"/>
            <w:hideMark/>
          </w:tcPr>
          <w:p w14:paraId="7026FFC1"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4.1. Инвестиции в първични водни инфраструктури за сигурността на водоснабдяването</w:t>
            </w:r>
          </w:p>
        </w:tc>
        <w:tc>
          <w:tcPr>
            <w:tcW w:w="1134" w:type="dxa"/>
            <w:shd w:val="clear" w:color="auto" w:fill="C6EFCE"/>
            <w:noWrap/>
            <w:vAlign w:val="center"/>
            <w:hideMark/>
          </w:tcPr>
          <w:p w14:paraId="232E8547"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1EC852FF" w14:textId="7C7BF812" w:rsidR="006054AA" w:rsidRPr="00D504DC" w:rsidRDefault="001F7667">
            <w:pPr>
              <w:pStyle w:val="P68B1DB1-Normal11"/>
              <w:spacing w:line="276" w:lineRule="auto"/>
              <w:jc w:val="center"/>
              <w:rPr>
                <w:noProof/>
                <w:sz w:val="16"/>
                <w:szCs w:val="16"/>
              </w:rPr>
            </w:pPr>
            <w:r w:rsidRPr="00D504DC">
              <w:rPr>
                <w:noProof/>
                <w:sz w:val="16"/>
                <w:szCs w:val="16"/>
              </w:rPr>
              <w:t>Инвестиции в първична водна инфраструктура за сигурността на водоснабдяването</w:t>
            </w:r>
          </w:p>
        </w:tc>
        <w:tc>
          <w:tcPr>
            <w:tcW w:w="1383" w:type="dxa"/>
            <w:shd w:val="clear" w:color="auto" w:fill="C6EFCE"/>
            <w:noWrap/>
            <w:vAlign w:val="center"/>
            <w:hideMark/>
          </w:tcPr>
          <w:p w14:paraId="0624BEE8"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4ABC7B95"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3BDDF0E6"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hideMark/>
          </w:tcPr>
          <w:p w14:paraId="4C6F855D" w14:textId="77777777" w:rsidR="006054AA" w:rsidRPr="00D504DC" w:rsidRDefault="001F7667">
            <w:pPr>
              <w:pStyle w:val="P68B1DB1-Normal11"/>
              <w:spacing w:line="276" w:lineRule="auto"/>
              <w:jc w:val="center"/>
              <w:rPr>
                <w:noProof/>
                <w:sz w:val="16"/>
                <w:szCs w:val="16"/>
              </w:rPr>
            </w:pPr>
            <w:r w:rsidRPr="00D504DC">
              <w:rPr>
                <w:noProof/>
                <w:sz w:val="16"/>
                <w:szCs w:val="16"/>
              </w:rPr>
              <w:t>25</w:t>
            </w:r>
          </w:p>
        </w:tc>
        <w:tc>
          <w:tcPr>
            <w:tcW w:w="916" w:type="dxa"/>
            <w:shd w:val="clear" w:color="auto" w:fill="C6EFCE"/>
            <w:noWrap/>
            <w:vAlign w:val="center"/>
            <w:hideMark/>
          </w:tcPr>
          <w:p w14:paraId="6D5C2A82" w14:textId="77777777" w:rsidR="006054AA" w:rsidRPr="00D504DC" w:rsidRDefault="001F7667">
            <w:pPr>
              <w:pStyle w:val="P68B1DB1-Normal11"/>
              <w:spacing w:line="276" w:lineRule="auto"/>
              <w:jc w:val="center"/>
              <w:rPr>
                <w:noProof/>
                <w:sz w:val="16"/>
                <w:szCs w:val="16"/>
              </w:rPr>
            </w:pPr>
            <w:r w:rsidRPr="00D504DC">
              <w:rPr>
                <w:noProof/>
                <w:sz w:val="16"/>
                <w:szCs w:val="16"/>
              </w:rPr>
              <w:t>Т1 Г.</w:t>
            </w:r>
          </w:p>
        </w:tc>
        <w:tc>
          <w:tcPr>
            <w:tcW w:w="638" w:type="dxa"/>
            <w:shd w:val="clear" w:color="auto" w:fill="C6EFCE"/>
            <w:noWrap/>
            <w:vAlign w:val="center"/>
            <w:hideMark/>
          </w:tcPr>
          <w:p w14:paraId="03D7A262" w14:textId="77777777" w:rsidR="006054AA" w:rsidRPr="00D504DC" w:rsidRDefault="001F7667">
            <w:pPr>
              <w:pStyle w:val="P68B1DB1-Normal11"/>
              <w:spacing w:line="276" w:lineRule="auto"/>
              <w:jc w:val="center"/>
              <w:rPr>
                <w:noProof/>
                <w:sz w:val="16"/>
                <w:szCs w:val="16"/>
              </w:rPr>
            </w:pPr>
            <w:r w:rsidRPr="00D504DC">
              <w:rPr>
                <w:noProof/>
                <w:sz w:val="16"/>
                <w:szCs w:val="16"/>
              </w:rPr>
              <w:t>2026</w:t>
            </w:r>
          </w:p>
        </w:tc>
        <w:tc>
          <w:tcPr>
            <w:tcW w:w="4116" w:type="dxa"/>
            <w:shd w:val="clear" w:color="auto" w:fill="C6EFCE"/>
            <w:noWrap/>
            <w:vAlign w:val="center"/>
            <w:hideMark/>
          </w:tcPr>
          <w:p w14:paraId="027D4579" w14:textId="77777777" w:rsidR="006054AA" w:rsidRPr="00D504DC" w:rsidRDefault="001F7667">
            <w:pPr>
              <w:pStyle w:val="P68B1DB1-Normal11"/>
              <w:spacing w:line="276" w:lineRule="auto"/>
              <w:rPr>
                <w:noProof/>
                <w:sz w:val="16"/>
                <w:szCs w:val="16"/>
              </w:rPr>
            </w:pPr>
            <w:r w:rsidRPr="00D504DC">
              <w:rPr>
                <w:noProof/>
                <w:sz w:val="16"/>
                <w:szCs w:val="16"/>
              </w:rPr>
              <w:t>Повишаване на сигурността на водоснабдяването и устойчивостта на водната инфраструктура в поне 25 сложни водни системи</w:t>
            </w:r>
          </w:p>
        </w:tc>
      </w:tr>
      <w:tr w:rsidR="006054AA" w:rsidRPr="00D504DC" w14:paraId="39705B99" w14:textId="77777777">
        <w:trPr>
          <w:trHeight w:val="313"/>
          <w:jc w:val="center"/>
        </w:trPr>
        <w:tc>
          <w:tcPr>
            <w:tcW w:w="1130" w:type="dxa"/>
            <w:shd w:val="clear" w:color="auto" w:fill="C6EFCE"/>
            <w:noWrap/>
            <w:vAlign w:val="center"/>
            <w:hideMark/>
          </w:tcPr>
          <w:p w14:paraId="74FB9955" w14:textId="77777777" w:rsidR="006054AA" w:rsidRPr="00D504DC" w:rsidRDefault="001F7667">
            <w:pPr>
              <w:pStyle w:val="P68B1DB1-Normal11"/>
              <w:spacing w:line="276" w:lineRule="auto"/>
              <w:jc w:val="center"/>
              <w:rPr>
                <w:noProof/>
                <w:sz w:val="16"/>
                <w:szCs w:val="16"/>
              </w:rPr>
            </w:pPr>
            <w:r w:rsidRPr="00D504DC">
              <w:rPr>
                <w:noProof/>
                <w:sz w:val="16"/>
                <w:szCs w:val="16"/>
              </w:rPr>
              <w:t>M2C4—30</w:t>
            </w:r>
          </w:p>
        </w:tc>
        <w:tc>
          <w:tcPr>
            <w:tcW w:w="1560" w:type="dxa"/>
            <w:shd w:val="clear" w:color="auto" w:fill="C6EFCE"/>
            <w:noWrap/>
            <w:vAlign w:val="center"/>
            <w:hideMark/>
          </w:tcPr>
          <w:p w14:paraId="73363AB3"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4.2. Намаляване на загубите във водоразпределителните мрежи, включително цифровизация и мониторинг на мрежите</w:t>
            </w:r>
          </w:p>
        </w:tc>
        <w:tc>
          <w:tcPr>
            <w:tcW w:w="1134" w:type="dxa"/>
            <w:shd w:val="clear" w:color="auto" w:fill="C6EFCE"/>
            <w:noWrap/>
            <w:vAlign w:val="center"/>
            <w:hideMark/>
          </w:tcPr>
          <w:p w14:paraId="0276E9BB"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hideMark/>
          </w:tcPr>
          <w:p w14:paraId="26F1526C" w14:textId="77777777" w:rsidR="006054AA" w:rsidRPr="00D504DC" w:rsidRDefault="001F7667">
            <w:pPr>
              <w:pStyle w:val="P68B1DB1-Normal11"/>
              <w:spacing w:line="276" w:lineRule="auto"/>
              <w:jc w:val="center"/>
              <w:rPr>
                <w:noProof/>
                <w:sz w:val="16"/>
                <w:szCs w:val="16"/>
              </w:rPr>
            </w:pPr>
            <w:r w:rsidRPr="00D504DC">
              <w:rPr>
                <w:noProof/>
                <w:sz w:val="16"/>
                <w:szCs w:val="16"/>
              </w:rPr>
              <w:t>Възлагане на всички обществени поръчки за интервенции във водоснабдителните мрежи, включително цифровизация и мониторинг на мрежите</w:t>
            </w:r>
          </w:p>
        </w:tc>
        <w:tc>
          <w:tcPr>
            <w:tcW w:w="1383" w:type="dxa"/>
            <w:shd w:val="clear" w:color="auto" w:fill="C6EFCE"/>
            <w:noWrap/>
            <w:vAlign w:val="center"/>
            <w:hideMark/>
          </w:tcPr>
          <w:p w14:paraId="12F3C884" w14:textId="77777777" w:rsidR="006054AA" w:rsidRPr="00D504DC" w:rsidRDefault="001F7667">
            <w:pPr>
              <w:pStyle w:val="P68B1DB1-Normal11"/>
              <w:spacing w:line="276" w:lineRule="auto"/>
              <w:jc w:val="center"/>
              <w:rPr>
                <w:noProof/>
                <w:sz w:val="16"/>
                <w:szCs w:val="16"/>
              </w:rPr>
            </w:pPr>
            <w:r w:rsidRPr="00D504DC">
              <w:rPr>
                <w:noProof/>
                <w:sz w:val="16"/>
                <w:szCs w:val="16"/>
              </w:rPr>
              <w:t>Уведомяване за възлагането на всички обществени поръчки за интервенции във водоразпределителни мрежи, включително цифровизация и мониторинг на мрежите</w:t>
            </w:r>
          </w:p>
        </w:tc>
        <w:tc>
          <w:tcPr>
            <w:tcW w:w="1094" w:type="dxa"/>
            <w:shd w:val="clear" w:color="auto" w:fill="C6EFCE"/>
            <w:noWrap/>
            <w:vAlign w:val="center"/>
            <w:hideMark/>
          </w:tcPr>
          <w:p w14:paraId="2D601AD0"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hideMark/>
          </w:tcPr>
          <w:p w14:paraId="5AF17381"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194" w:type="dxa"/>
            <w:shd w:val="clear" w:color="auto" w:fill="C6EFCE"/>
            <w:noWrap/>
            <w:vAlign w:val="center"/>
            <w:hideMark/>
          </w:tcPr>
          <w:p w14:paraId="7BE902D0"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916" w:type="dxa"/>
            <w:shd w:val="clear" w:color="auto" w:fill="C6EFCE"/>
            <w:noWrap/>
            <w:vAlign w:val="center"/>
            <w:hideMark/>
          </w:tcPr>
          <w:p w14:paraId="351DD56E" w14:textId="77777777" w:rsidR="006054AA" w:rsidRPr="00D504DC" w:rsidRDefault="001F7667">
            <w:pPr>
              <w:pStyle w:val="P68B1DB1-Normal11"/>
              <w:spacing w:line="276" w:lineRule="auto"/>
              <w:jc w:val="center"/>
              <w:rPr>
                <w:noProof/>
                <w:sz w:val="16"/>
                <w:szCs w:val="16"/>
              </w:rPr>
            </w:pPr>
            <w:r w:rsidRPr="00D504DC">
              <w:rPr>
                <w:noProof/>
                <w:sz w:val="16"/>
                <w:szCs w:val="16"/>
              </w:rPr>
              <w:t>Т3 Г.</w:t>
            </w:r>
          </w:p>
        </w:tc>
        <w:tc>
          <w:tcPr>
            <w:tcW w:w="638" w:type="dxa"/>
            <w:shd w:val="clear" w:color="auto" w:fill="C6EFCE"/>
            <w:noWrap/>
            <w:vAlign w:val="center"/>
            <w:hideMark/>
          </w:tcPr>
          <w:p w14:paraId="5491BE24" w14:textId="77777777" w:rsidR="006054AA" w:rsidRPr="00D504DC" w:rsidRDefault="001F7667">
            <w:pPr>
              <w:pStyle w:val="P68B1DB1-Normal11"/>
              <w:spacing w:line="276" w:lineRule="auto"/>
              <w:jc w:val="center"/>
              <w:rPr>
                <w:noProof/>
                <w:sz w:val="16"/>
                <w:szCs w:val="16"/>
              </w:rPr>
            </w:pPr>
            <w:r w:rsidRPr="00D504DC">
              <w:rPr>
                <w:noProof/>
                <w:sz w:val="16"/>
                <w:szCs w:val="16"/>
              </w:rPr>
              <w:t>2023</w:t>
            </w:r>
          </w:p>
        </w:tc>
        <w:tc>
          <w:tcPr>
            <w:tcW w:w="4116" w:type="dxa"/>
            <w:shd w:val="clear" w:color="auto" w:fill="C6EFCE"/>
            <w:noWrap/>
            <w:vAlign w:val="center"/>
            <w:hideMark/>
          </w:tcPr>
          <w:p w14:paraId="76385B78" w14:textId="7B4D12F7" w:rsidR="006054AA" w:rsidRPr="00D504DC" w:rsidRDefault="001F7667">
            <w:pPr>
              <w:pStyle w:val="P68B1DB1-Normal11"/>
              <w:spacing w:line="276" w:lineRule="auto"/>
              <w:rPr>
                <w:noProof/>
                <w:sz w:val="16"/>
                <w:szCs w:val="16"/>
              </w:rPr>
            </w:pPr>
            <w:r w:rsidRPr="00D504DC">
              <w:rPr>
                <w:noProof/>
                <w:sz w:val="16"/>
                <w:szCs w:val="16"/>
              </w:rPr>
              <w:t>Уведомление за възлагане на всички договори на обща стойност 900 000 000 EUR за интервенции за модернизация и ефективност на водоразпределителните мрежи.</w:t>
            </w:r>
          </w:p>
          <w:p w14:paraId="6B19F61D" w14:textId="77777777" w:rsidR="006054AA" w:rsidRPr="00D504DC" w:rsidRDefault="006054AA">
            <w:pPr>
              <w:spacing w:line="276" w:lineRule="auto"/>
              <w:rPr>
                <w:rFonts w:ascii="Arial Narrow" w:hAnsi="Arial Narrow"/>
                <w:noProof/>
                <w:color w:val="006100"/>
                <w:sz w:val="16"/>
                <w:szCs w:val="16"/>
              </w:rPr>
            </w:pPr>
          </w:p>
          <w:p w14:paraId="4D8C592B" w14:textId="24391B19" w:rsidR="006054AA" w:rsidRPr="00D504DC" w:rsidRDefault="001F7667">
            <w:pPr>
              <w:pStyle w:val="P68B1DB1-Normal11"/>
              <w:spacing w:line="276" w:lineRule="auto"/>
              <w:rPr>
                <w:noProof/>
                <w:sz w:val="16"/>
                <w:szCs w:val="16"/>
              </w:rPr>
            </w:pPr>
            <w:r w:rsidRPr="00D504DC">
              <w:rPr>
                <w:noProof/>
                <w:sz w:val="16"/>
                <w:szCs w:val="16"/>
              </w:rPr>
              <w:t>Договорите имат следния обхват:</w:t>
            </w:r>
          </w:p>
          <w:p w14:paraId="3699BB7F" w14:textId="5E02CB1A" w:rsidR="006054AA" w:rsidRPr="00D504DC" w:rsidRDefault="001F7667">
            <w:pPr>
              <w:pStyle w:val="P68B1DB1-ListParagraph13"/>
              <w:numPr>
                <w:ilvl w:val="0"/>
                <w:numId w:val="69"/>
              </w:numPr>
              <w:spacing w:before="0" w:after="0" w:line="276" w:lineRule="auto"/>
              <w:ind w:left="305"/>
              <w:jc w:val="left"/>
              <w:textAlignment w:val="baseline"/>
              <w:rPr>
                <w:noProof/>
                <w:sz w:val="16"/>
                <w:szCs w:val="16"/>
              </w:rPr>
            </w:pPr>
            <w:r w:rsidRPr="00D504DC">
              <w:rPr>
                <w:noProof/>
                <w:sz w:val="16"/>
                <w:szCs w:val="16"/>
              </w:rPr>
              <w:t>Интервенции за намаляване на загубите в мрежите за питейна вода;</w:t>
            </w:r>
          </w:p>
          <w:p w14:paraId="12C7C5D1" w14:textId="340C69C1" w:rsidR="006054AA" w:rsidRPr="00D504DC" w:rsidRDefault="001F7667">
            <w:pPr>
              <w:pStyle w:val="P68B1DB1-ListParagraph13"/>
              <w:numPr>
                <w:ilvl w:val="0"/>
                <w:numId w:val="69"/>
              </w:numPr>
              <w:spacing w:before="0" w:after="0" w:line="276" w:lineRule="auto"/>
              <w:ind w:left="305"/>
              <w:jc w:val="left"/>
              <w:textAlignment w:val="baseline"/>
              <w:rPr>
                <w:noProof/>
                <w:sz w:val="16"/>
                <w:szCs w:val="16"/>
              </w:rPr>
            </w:pPr>
            <w:r w:rsidRPr="00D504DC">
              <w:rPr>
                <w:noProof/>
                <w:sz w:val="16"/>
                <w:szCs w:val="16"/>
              </w:rPr>
              <w:t>Повишаване на устойчивостта на водните системи спрямо изменението на климата;</w:t>
            </w:r>
          </w:p>
          <w:p w14:paraId="14FC986D" w14:textId="77777777" w:rsidR="006054AA" w:rsidRPr="00D504DC" w:rsidRDefault="001F7667">
            <w:pPr>
              <w:pStyle w:val="P68B1DB1-ListParagraph13"/>
              <w:numPr>
                <w:ilvl w:val="0"/>
                <w:numId w:val="69"/>
              </w:numPr>
              <w:spacing w:before="0" w:after="0" w:line="276" w:lineRule="auto"/>
              <w:ind w:left="305"/>
              <w:jc w:val="left"/>
              <w:textAlignment w:val="baseline"/>
              <w:rPr>
                <w:noProof/>
                <w:sz w:val="16"/>
                <w:szCs w:val="16"/>
              </w:rPr>
            </w:pPr>
            <w:r w:rsidRPr="00D504DC">
              <w:rPr>
                <w:noProof/>
                <w:sz w:val="16"/>
                <w:szCs w:val="16"/>
              </w:rPr>
              <w:t>Засилване на цифровизацията на мрежите с цел оптимално управление на водните ресурси, намаляване на отпадъците и ограничаване на неефективността</w:t>
            </w:r>
          </w:p>
        </w:tc>
      </w:tr>
      <w:tr w:rsidR="006054AA" w:rsidRPr="00D504DC" w14:paraId="6535A03C" w14:textId="77777777">
        <w:trPr>
          <w:trHeight w:val="313"/>
          <w:jc w:val="center"/>
        </w:trPr>
        <w:tc>
          <w:tcPr>
            <w:tcW w:w="1130" w:type="dxa"/>
            <w:shd w:val="clear" w:color="auto" w:fill="C6EFCE"/>
            <w:noWrap/>
            <w:vAlign w:val="center"/>
            <w:hideMark/>
          </w:tcPr>
          <w:p w14:paraId="2676D9CB" w14:textId="77777777" w:rsidR="006054AA" w:rsidRPr="00D504DC" w:rsidRDefault="001F7667">
            <w:pPr>
              <w:pStyle w:val="P68B1DB1-Normal11"/>
              <w:spacing w:line="276" w:lineRule="auto"/>
              <w:jc w:val="center"/>
              <w:rPr>
                <w:noProof/>
                <w:sz w:val="16"/>
                <w:szCs w:val="16"/>
              </w:rPr>
            </w:pPr>
            <w:r w:rsidRPr="00D504DC">
              <w:rPr>
                <w:noProof/>
                <w:sz w:val="16"/>
                <w:szCs w:val="16"/>
              </w:rPr>
              <w:t>M2C4—31</w:t>
            </w:r>
          </w:p>
        </w:tc>
        <w:tc>
          <w:tcPr>
            <w:tcW w:w="1560" w:type="dxa"/>
            <w:shd w:val="clear" w:color="auto" w:fill="C6EFCE"/>
            <w:noWrap/>
            <w:vAlign w:val="center"/>
            <w:hideMark/>
          </w:tcPr>
          <w:p w14:paraId="388E1916"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4.2. Намаляване на загубите във водоразпределителните мрежи, включително цифровизация и мониторинг на мрежите</w:t>
            </w:r>
          </w:p>
        </w:tc>
        <w:tc>
          <w:tcPr>
            <w:tcW w:w="1134" w:type="dxa"/>
            <w:shd w:val="clear" w:color="auto" w:fill="C6EFCE"/>
            <w:noWrap/>
            <w:vAlign w:val="center"/>
            <w:hideMark/>
          </w:tcPr>
          <w:p w14:paraId="3E6540C0"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4D71E4D5" w14:textId="77777777" w:rsidR="006054AA" w:rsidRPr="00D504DC" w:rsidRDefault="001F7667">
            <w:pPr>
              <w:pStyle w:val="P68B1DB1-Normal11"/>
              <w:spacing w:line="276" w:lineRule="auto"/>
              <w:jc w:val="center"/>
              <w:rPr>
                <w:noProof/>
                <w:sz w:val="16"/>
                <w:szCs w:val="16"/>
              </w:rPr>
            </w:pPr>
            <w:r w:rsidRPr="00D504DC">
              <w:rPr>
                <w:noProof/>
                <w:sz w:val="16"/>
                <w:szCs w:val="16"/>
              </w:rPr>
              <w:t>Интервенции във водоразпределителните мрежи, включително цифровизация и мониторинг на мрежите T1</w:t>
            </w:r>
          </w:p>
        </w:tc>
        <w:tc>
          <w:tcPr>
            <w:tcW w:w="1383" w:type="dxa"/>
            <w:shd w:val="clear" w:color="auto" w:fill="C6EFCE"/>
            <w:noWrap/>
            <w:vAlign w:val="center"/>
            <w:hideMark/>
          </w:tcPr>
          <w:p w14:paraId="2564AC7A"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223989C8"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14677FBF"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hideMark/>
          </w:tcPr>
          <w:p w14:paraId="619C7DCE" w14:textId="0D0256EB" w:rsidR="006054AA" w:rsidRPr="00D504DC" w:rsidRDefault="001F7667">
            <w:pPr>
              <w:pStyle w:val="P68B1DB1-Normal11"/>
              <w:spacing w:line="276" w:lineRule="auto"/>
              <w:jc w:val="center"/>
              <w:rPr>
                <w:noProof/>
                <w:sz w:val="16"/>
                <w:szCs w:val="16"/>
              </w:rPr>
            </w:pPr>
            <w:r w:rsidRPr="00D504DC">
              <w:rPr>
                <w:noProof/>
                <w:sz w:val="16"/>
                <w:szCs w:val="16"/>
              </w:rPr>
              <w:t>14 000</w:t>
            </w:r>
          </w:p>
        </w:tc>
        <w:tc>
          <w:tcPr>
            <w:tcW w:w="916" w:type="dxa"/>
            <w:shd w:val="clear" w:color="auto" w:fill="C6EFCE"/>
            <w:noWrap/>
            <w:vAlign w:val="center"/>
            <w:hideMark/>
          </w:tcPr>
          <w:p w14:paraId="4B932340"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66BC18CD" w14:textId="77777777"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shd w:val="clear" w:color="auto" w:fill="C6EFCE"/>
            <w:noWrap/>
            <w:vAlign w:val="center"/>
            <w:hideMark/>
          </w:tcPr>
          <w:p w14:paraId="59106669" w14:textId="34626A76" w:rsidR="006054AA" w:rsidRPr="00D504DC" w:rsidRDefault="001F7667">
            <w:pPr>
              <w:pStyle w:val="P68B1DB1-Normal11"/>
              <w:spacing w:line="276" w:lineRule="auto"/>
              <w:rPr>
                <w:noProof/>
                <w:sz w:val="16"/>
                <w:szCs w:val="16"/>
              </w:rPr>
            </w:pPr>
            <w:r w:rsidRPr="00D504DC">
              <w:rPr>
                <w:noProof/>
                <w:sz w:val="16"/>
                <w:szCs w:val="16"/>
              </w:rPr>
              <w:t>Район с най-малко 14 000 допълнителни километра водна мрежа</w:t>
            </w:r>
          </w:p>
        </w:tc>
      </w:tr>
      <w:tr w:rsidR="006054AA" w:rsidRPr="00D504DC" w14:paraId="5CDD7271" w14:textId="77777777">
        <w:trPr>
          <w:trHeight w:val="313"/>
          <w:jc w:val="center"/>
        </w:trPr>
        <w:tc>
          <w:tcPr>
            <w:tcW w:w="1130" w:type="dxa"/>
            <w:shd w:val="clear" w:color="auto" w:fill="C6EFCE"/>
            <w:noWrap/>
            <w:vAlign w:val="center"/>
            <w:hideMark/>
          </w:tcPr>
          <w:p w14:paraId="555112AF" w14:textId="77777777" w:rsidR="006054AA" w:rsidRPr="00D504DC" w:rsidRDefault="001F7667">
            <w:pPr>
              <w:pStyle w:val="P68B1DB1-Normal11"/>
              <w:spacing w:line="276" w:lineRule="auto"/>
              <w:jc w:val="center"/>
              <w:rPr>
                <w:noProof/>
                <w:sz w:val="16"/>
                <w:szCs w:val="16"/>
              </w:rPr>
            </w:pPr>
            <w:r w:rsidRPr="00D504DC">
              <w:rPr>
                <w:noProof/>
                <w:sz w:val="16"/>
                <w:szCs w:val="16"/>
              </w:rPr>
              <w:t>M2C4—32</w:t>
            </w:r>
          </w:p>
        </w:tc>
        <w:tc>
          <w:tcPr>
            <w:tcW w:w="1560" w:type="dxa"/>
            <w:shd w:val="clear" w:color="auto" w:fill="C6EFCE"/>
            <w:noWrap/>
            <w:vAlign w:val="center"/>
            <w:hideMark/>
          </w:tcPr>
          <w:p w14:paraId="2246AB34"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4.2. Намаляване на загубите във водоразпределителните мрежи, включително цифровизация и мониторинг на мрежите</w:t>
            </w:r>
          </w:p>
        </w:tc>
        <w:tc>
          <w:tcPr>
            <w:tcW w:w="1134" w:type="dxa"/>
            <w:shd w:val="clear" w:color="auto" w:fill="C6EFCE"/>
            <w:noWrap/>
            <w:vAlign w:val="center"/>
            <w:hideMark/>
          </w:tcPr>
          <w:p w14:paraId="0C22A563"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282F82FC" w14:textId="77777777" w:rsidR="006054AA" w:rsidRPr="00D504DC" w:rsidRDefault="001F7667">
            <w:pPr>
              <w:pStyle w:val="P68B1DB1-Normal11"/>
              <w:spacing w:line="276" w:lineRule="auto"/>
              <w:jc w:val="center"/>
              <w:rPr>
                <w:noProof/>
                <w:sz w:val="16"/>
                <w:szCs w:val="16"/>
              </w:rPr>
            </w:pPr>
            <w:r w:rsidRPr="00D504DC">
              <w:rPr>
                <w:noProof/>
                <w:sz w:val="16"/>
                <w:szCs w:val="16"/>
              </w:rPr>
              <w:t>Интервенции във водоразпределителните мрежи, включително цифровизация и мониторинг на мрежите T2</w:t>
            </w:r>
          </w:p>
        </w:tc>
        <w:tc>
          <w:tcPr>
            <w:tcW w:w="1383" w:type="dxa"/>
            <w:shd w:val="clear" w:color="auto" w:fill="C6EFCE"/>
            <w:noWrap/>
            <w:vAlign w:val="center"/>
            <w:hideMark/>
          </w:tcPr>
          <w:p w14:paraId="41C0C3FB"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1B2B4422"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65E19EEC" w14:textId="59281F44" w:rsidR="006054AA" w:rsidRPr="00D504DC" w:rsidRDefault="001F7667">
            <w:pPr>
              <w:pStyle w:val="P68B1DB1-Normal11"/>
              <w:spacing w:line="276" w:lineRule="auto"/>
              <w:jc w:val="center"/>
              <w:rPr>
                <w:noProof/>
                <w:sz w:val="16"/>
                <w:szCs w:val="16"/>
              </w:rPr>
            </w:pPr>
            <w:r w:rsidRPr="00D504DC">
              <w:rPr>
                <w:noProof/>
                <w:sz w:val="16"/>
                <w:szCs w:val="16"/>
              </w:rPr>
              <w:t>14 000</w:t>
            </w:r>
          </w:p>
        </w:tc>
        <w:tc>
          <w:tcPr>
            <w:tcW w:w="1194" w:type="dxa"/>
            <w:shd w:val="clear" w:color="auto" w:fill="C6EFCE"/>
            <w:noWrap/>
            <w:vAlign w:val="center"/>
            <w:hideMark/>
          </w:tcPr>
          <w:p w14:paraId="1B9AA405" w14:textId="20B2A466" w:rsidR="006054AA" w:rsidRPr="00D504DC" w:rsidRDefault="001F7667">
            <w:pPr>
              <w:pStyle w:val="P68B1DB1-Normal11"/>
              <w:spacing w:line="276" w:lineRule="auto"/>
              <w:jc w:val="center"/>
              <w:rPr>
                <w:noProof/>
                <w:sz w:val="16"/>
                <w:szCs w:val="16"/>
              </w:rPr>
            </w:pPr>
            <w:r w:rsidRPr="00D504DC">
              <w:rPr>
                <w:noProof/>
                <w:sz w:val="16"/>
                <w:szCs w:val="16"/>
              </w:rPr>
              <w:t>45 000</w:t>
            </w:r>
          </w:p>
        </w:tc>
        <w:tc>
          <w:tcPr>
            <w:tcW w:w="916" w:type="dxa"/>
            <w:shd w:val="clear" w:color="auto" w:fill="C6EFCE"/>
            <w:noWrap/>
            <w:vAlign w:val="center"/>
            <w:hideMark/>
          </w:tcPr>
          <w:p w14:paraId="169316F4" w14:textId="77777777" w:rsidR="006054AA" w:rsidRPr="00D504DC" w:rsidRDefault="001F7667">
            <w:pPr>
              <w:pStyle w:val="P68B1DB1-Normal11"/>
              <w:spacing w:line="276" w:lineRule="auto"/>
              <w:jc w:val="center"/>
              <w:rPr>
                <w:noProof/>
                <w:sz w:val="16"/>
                <w:szCs w:val="16"/>
              </w:rPr>
            </w:pPr>
            <w:r w:rsidRPr="00D504DC">
              <w:rPr>
                <w:noProof/>
                <w:sz w:val="16"/>
                <w:szCs w:val="16"/>
              </w:rPr>
              <w:t>Т1 Г.</w:t>
            </w:r>
          </w:p>
        </w:tc>
        <w:tc>
          <w:tcPr>
            <w:tcW w:w="638" w:type="dxa"/>
            <w:shd w:val="clear" w:color="auto" w:fill="C6EFCE"/>
            <w:noWrap/>
            <w:vAlign w:val="center"/>
            <w:hideMark/>
          </w:tcPr>
          <w:p w14:paraId="23E45EE4" w14:textId="77777777" w:rsidR="006054AA" w:rsidRPr="00D504DC" w:rsidRDefault="001F7667">
            <w:pPr>
              <w:pStyle w:val="P68B1DB1-Normal11"/>
              <w:spacing w:line="276" w:lineRule="auto"/>
              <w:jc w:val="center"/>
              <w:rPr>
                <w:noProof/>
                <w:sz w:val="16"/>
                <w:szCs w:val="16"/>
              </w:rPr>
            </w:pPr>
            <w:r w:rsidRPr="00D504DC">
              <w:rPr>
                <w:noProof/>
                <w:sz w:val="16"/>
                <w:szCs w:val="16"/>
              </w:rPr>
              <w:t>2026</w:t>
            </w:r>
          </w:p>
        </w:tc>
        <w:tc>
          <w:tcPr>
            <w:tcW w:w="4116" w:type="dxa"/>
            <w:shd w:val="clear" w:color="auto" w:fill="C6EFCE"/>
            <w:noWrap/>
            <w:vAlign w:val="center"/>
            <w:hideMark/>
          </w:tcPr>
          <w:p w14:paraId="0B1918EA" w14:textId="0B601129" w:rsidR="006054AA" w:rsidRPr="00D504DC" w:rsidRDefault="001F7667">
            <w:pPr>
              <w:pStyle w:val="P68B1DB1-Normal11"/>
              <w:spacing w:line="276" w:lineRule="auto"/>
              <w:rPr>
                <w:noProof/>
                <w:sz w:val="16"/>
                <w:szCs w:val="16"/>
              </w:rPr>
            </w:pPr>
            <w:r w:rsidRPr="00D504DC">
              <w:rPr>
                <w:noProof/>
                <w:sz w:val="16"/>
                <w:szCs w:val="16"/>
              </w:rPr>
              <w:t>Район с най-малко 45 000 допълнителни километра водна мрежа</w:t>
            </w:r>
          </w:p>
        </w:tc>
      </w:tr>
      <w:tr w:rsidR="006054AA" w:rsidRPr="00D504DC" w14:paraId="7A6C15AF" w14:textId="77777777">
        <w:trPr>
          <w:trHeight w:val="313"/>
          <w:jc w:val="center"/>
        </w:trPr>
        <w:tc>
          <w:tcPr>
            <w:tcW w:w="1130" w:type="dxa"/>
            <w:shd w:val="clear" w:color="auto" w:fill="C6EFCE"/>
            <w:noWrap/>
            <w:vAlign w:val="center"/>
            <w:hideMark/>
          </w:tcPr>
          <w:p w14:paraId="367C440D" w14:textId="77777777" w:rsidR="006054AA" w:rsidRPr="00D504DC" w:rsidRDefault="001F7667">
            <w:pPr>
              <w:pStyle w:val="P68B1DB1-Normal11"/>
              <w:spacing w:line="276" w:lineRule="auto"/>
              <w:jc w:val="center"/>
              <w:rPr>
                <w:noProof/>
                <w:sz w:val="16"/>
                <w:szCs w:val="16"/>
              </w:rPr>
            </w:pPr>
            <w:r w:rsidRPr="00D504DC">
              <w:rPr>
                <w:noProof/>
                <w:sz w:val="16"/>
                <w:szCs w:val="16"/>
              </w:rPr>
              <w:t>M2C4—33</w:t>
            </w:r>
          </w:p>
        </w:tc>
        <w:tc>
          <w:tcPr>
            <w:tcW w:w="1560" w:type="dxa"/>
            <w:shd w:val="clear" w:color="auto" w:fill="C6EFCE"/>
            <w:noWrap/>
            <w:vAlign w:val="center"/>
            <w:hideMark/>
          </w:tcPr>
          <w:p w14:paraId="584B68E2"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4.3 Инвестиции в устойчивостта на напоителната агросистема за по-добро управление на водните ресурси</w:t>
            </w:r>
          </w:p>
        </w:tc>
        <w:tc>
          <w:tcPr>
            <w:tcW w:w="1134" w:type="dxa"/>
            <w:shd w:val="clear" w:color="auto" w:fill="C6EFCE"/>
            <w:noWrap/>
            <w:vAlign w:val="center"/>
            <w:hideMark/>
          </w:tcPr>
          <w:p w14:paraId="60038EDA"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hideMark/>
          </w:tcPr>
          <w:p w14:paraId="038C187E" w14:textId="77777777" w:rsidR="006054AA" w:rsidRPr="00D504DC" w:rsidRDefault="001F7667">
            <w:pPr>
              <w:pStyle w:val="P68B1DB1-Normal11"/>
              <w:spacing w:line="276" w:lineRule="auto"/>
              <w:jc w:val="center"/>
              <w:rPr>
                <w:noProof/>
                <w:sz w:val="16"/>
                <w:szCs w:val="16"/>
              </w:rPr>
            </w:pPr>
            <w:r w:rsidRPr="00D504DC">
              <w:rPr>
                <w:noProof/>
                <w:sz w:val="16"/>
                <w:szCs w:val="16"/>
              </w:rPr>
              <w:t>Възлагане на всички обществени поръчки за устойчивост на напоителната агросистема за по-добро управление на водните ресурси</w:t>
            </w:r>
          </w:p>
        </w:tc>
        <w:tc>
          <w:tcPr>
            <w:tcW w:w="1383" w:type="dxa"/>
            <w:shd w:val="clear" w:color="auto" w:fill="C6EFCE"/>
            <w:noWrap/>
            <w:vAlign w:val="center"/>
            <w:hideMark/>
          </w:tcPr>
          <w:p w14:paraId="30943E57" w14:textId="08A40AD3" w:rsidR="006054AA" w:rsidRPr="00D504DC" w:rsidRDefault="001F7667">
            <w:pPr>
              <w:pStyle w:val="P68B1DB1-Normal11"/>
              <w:spacing w:line="276" w:lineRule="auto"/>
              <w:jc w:val="center"/>
              <w:rPr>
                <w:noProof/>
                <w:sz w:val="16"/>
                <w:szCs w:val="16"/>
              </w:rPr>
            </w:pPr>
            <w:r w:rsidRPr="00D504DC">
              <w:rPr>
                <w:noProof/>
                <w:sz w:val="16"/>
                <w:szCs w:val="16"/>
              </w:rPr>
              <w:t>Уведомление за възлагането на всички обществени поръчки на обща стойност 880 000 000 EUR за интервенциите в мрежите и напоителните системи и свързаната с тях система за цифровизация и мониторинг.</w:t>
            </w:r>
          </w:p>
        </w:tc>
        <w:tc>
          <w:tcPr>
            <w:tcW w:w="1094" w:type="dxa"/>
            <w:shd w:val="clear" w:color="auto" w:fill="C6EFCE"/>
            <w:noWrap/>
            <w:vAlign w:val="center"/>
            <w:hideMark/>
          </w:tcPr>
          <w:p w14:paraId="42285BA8"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hideMark/>
          </w:tcPr>
          <w:p w14:paraId="215123E2"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194" w:type="dxa"/>
            <w:shd w:val="clear" w:color="auto" w:fill="C6EFCE"/>
            <w:noWrap/>
            <w:vAlign w:val="center"/>
            <w:hideMark/>
          </w:tcPr>
          <w:p w14:paraId="40DA6580"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916" w:type="dxa"/>
            <w:shd w:val="clear" w:color="auto" w:fill="C6EFCE"/>
            <w:noWrap/>
            <w:vAlign w:val="center"/>
            <w:hideMark/>
          </w:tcPr>
          <w:p w14:paraId="1574B585"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396476E0" w14:textId="77777777" w:rsidR="006054AA" w:rsidRPr="00D504DC" w:rsidRDefault="001F7667">
            <w:pPr>
              <w:pStyle w:val="P68B1DB1-Normal11"/>
              <w:spacing w:line="276" w:lineRule="auto"/>
              <w:jc w:val="center"/>
              <w:rPr>
                <w:noProof/>
                <w:sz w:val="16"/>
                <w:szCs w:val="16"/>
              </w:rPr>
            </w:pPr>
            <w:r w:rsidRPr="00D504DC">
              <w:rPr>
                <w:noProof/>
                <w:sz w:val="16"/>
                <w:szCs w:val="16"/>
              </w:rPr>
              <w:t>2023</w:t>
            </w:r>
          </w:p>
        </w:tc>
        <w:tc>
          <w:tcPr>
            <w:tcW w:w="4116" w:type="dxa"/>
            <w:shd w:val="clear" w:color="auto" w:fill="C6EFCE"/>
            <w:noWrap/>
            <w:vAlign w:val="center"/>
            <w:hideMark/>
          </w:tcPr>
          <w:p w14:paraId="20C1D7F6" w14:textId="6BAF2B22" w:rsidR="006054AA" w:rsidRPr="00D504DC" w:rsidRDefault="001F7667">
            <w:pPr>
              <w:pStyle w:val="P68B1DB1-Normal11"/>
              <w:autoSpaceDE w:val="0"/>
              <w:autoSpaceDN w:val="0"/>
              <w:spacing w:line="276" w:lineRule="auto"/>
              <w:rPr>
                <w:noProof/>
                <w:sz w:val="16"/>
                <w:szCs w:val="16"/>
              </w:rPr>
            </w:pPr>
            <w:r w:rsidRPr="00D504DC">
              <w:rPr>
                <w:noProof/>
                <w:sz w:val="16"/>
                <w:szCs w:val="16"/>
              </w:rPr>
              <w:t>Уведомление за възлагането на всички обществени поръчки на обща стойност 880 000 000 EUR, за да се спазят окончателните цели на мерките, за интервенциите в мрежите и напоителните системи и за свързаната с тях система за цифровизация и мониторинг.</w:t>
            </w:r>
          </w:p>
          <w:p w14:paraId="4786B7E8" w14:textId="77777777" w:rsidR="006054AA" w:rsidRPr="00D504DC" w:rsidRDefault="001F7667">
            <w:pPr>
              <w:pStyle w:val="P68B1DB1-Normal11"/>
              <w:autoSpaceDE w:val="0"/>
              <w:autoSpaceDN w:val="0"/>
              <w:spacing w:line="276" w:lineRule="auto"/>
              <w:rPr>
                <w:noProof/>
                <w:sz w:val="16"/>
                <w:szCs w:val="16"/>
              </w:rPr>
            </w:pPr>
            <w:r w:rsidRPr="00D504DC">
              <w:rPr>
                <w:noProof/>
                <w:sz w:val="16"/>
                <w:szCs w:val="16"/>
              </w:rPr>
              <w:t>Договорите имат следния обхват:</w:t>
            </w:r>
          </w:p>
          <w:p w14:paraId="164A1A52" w14:textId="617C7912" w:rsidR="006054AA" w:rsidRPr="00D504DC" w:rsidRDefault="001F7667">
            <w:pPr>
              <w:pStyle w:val="P68B1DB1-ListParagraph31"/>
              <w:numPr>
                <w:ilvl w:val="0"/>
                <w:numId w:val="95"/>
              </w:numPr>
              <w:autoSpaceDE w:val="0"/>
              <w:autoSpaceDN w:val="0"/>
              <w:spacing w:before="0" w:after="0" w:line="276" w:lineRule="auto"/>
              <w:rPr>
                <w:noProof/>
                <w:color w:val="006100"/>
                <w:sz w:val="16"/>
                <w:szCs w:val="16"/>
              </w:rPr>
            </w:pPr>
            <w:r w:rsidRPr="00D504DC">
              <w:rPr>
                <w:noProof/>
                <w:color w:val="006100"/>
                <w:sz w:val="16"/>
                <w:szCs w:val="16"/>
              </w:rPr>
              <w:t>Насърчаване на измерването и мониторинга на използването в колективните мрежи (чрез инсталиране на измервателни уреди и системи за дистанционно управление),</w:t>
            </w:r>
            <w:r w:rsidRPr="00D504DC">
              <w:rPr>
                <w:noProof/>
                <w:sz w:val="16"/>
                <w:szCs w:val="16"/>
              </w:rPr>
              <w:t xml:space="preserve"> </w:t>
            </w:r>
            <w:r w:rsidRPr="00D504DC">
              <w:rPr>
                <w:noProof/>
                <w:color w:val="006100"/>
                <w:sz w:val="16"/>
                <w:szCs w:val="16"/>
              </w:rPr>
              <w:t>включително прехода от самостоятелно снабдяване към колективно ползване като предпоставка за завършване на въвеждането на политика за ценообразуване на водата въз основа на водните обеми с цел ефективно използване на водните ресурси в селското стопанство и съответно стимулиране на намаляването на незаконното отвеждане на вода в селските райони.</w:t>
            </w:r>
          </w:p>
          <w:p w14:paraId="33E089DE" w14:textId="77777777" w:rsidR="006054AA" w:rsidRPr="00D504DC" w:rsidRDefault="001F7667">
            <w:pPr>
              <w:pStyle w:val="P68B1DB1-Normal11"/>
              <w:autoSpaceDE w:val="0"/>
              <w:autoSpaceDN w:val="0"/>
              <w:spacing w:line="276" w:lineRule="auto"/>
              <w:rPr>
                <w:noProof/>
                <w:sz w:val="16"/>
                <w:szCs w:val="16"/>
              </w:rPr>
            </w:pPr>
            <w:r w:rsidRPr="00D504DC">
              <w:rPr>
                <w:noProof/>
                <w:sz w:val="16"/>
                <w:szCs w:val="16"/>
              </w:rPr>
              <w:t xml:space="preserve"> </w:t>
            </w:r>
          </w:p>
          <w:p w14:paraId="4815C777" w14:textId="77777777" w:rsidR="006054AA" w:rsidRPr="00D504DC" w:rsidRDefault="001F7667">
            <w:pPr>
              <w:pStyle w:val="P68B1DB1-ListParagraph13"/>
              <w:numPr>
                <w:ilvl w:val="0"/>
                <w:numId w:val="95"/>
              </w:numPr>
              <w:autoSpaceDE w:val="0"/>
              <w:autoSpaceDN w:val="0"/>
              <w:spacing w:before="0" w:after="0" w:line="276" w:lineRule="auto"/>
              <w:rPr>
                <w:noProof/>
                <w:sz w:val="16"/>
                <w:szCs w:val="16"/>
              </w:rPr>
            </w:pPr>
            <w:r w:rsidRPr="00D504DC">
              <w:rPr>
                <w:noProof/>
                <w:sz w:val="16"/>
                <w:szCs w:val="16"/>
              </w:rPr>
              <w:t xml:space="preserve">Инвестициите в напояване следва да са насочени към повишаване на ефективността на съществуващото напояване, дори ако съответният воден обект е в добро състояние. </w:t>
            </w:r>
          </w:p>
          <w:p w14:paraId="0691F474" w14:textId="77777777" w:rsidR="006054AA" w:rsidRPr="00D504DC" w:rsidRDefault="001F7667">
            <w:pPr>
              <w:pStyle w:val="P68B1DB1-Normal11"/>
              <w:autoSpaceDE w:val="0"/>
              <w:autoSpaceDN w:val="0"/>
              <w:spacing w:line="276" w:lineRule="auto"/>
              <w:rPr>
                <w:noProof/>
                <w:sz w:val="16"/>
                <w:szCs w:val="16"/>
              </w:rPr>
            </w:pPr>
            <w:r w:rsidRPr="00D504DC">
              <w:rPr>
                <w:noProof/>
                <w:sz w:val="16"/>
                <w:szCs w:val="16"/>
              </w:rPr>
              <w:t xml:space="preserve"> </w:t>
            </w:r>
          </w:p>
          <w:p w14:paraId="285BBFEA" w14:textId="77777777" w:rsidR="006054AA" w:rsidRPr="00D504DC" w:rsidRDefault="001F7667">
            <w:pPr>
              <w:pStyle w:val="P68B1DB1-Normal11"/>
              <w:autoSpaceDE w:val="0"/>
              <w:autoSpaceDN w:val="0"/>
              <w:spacing w:line="276" w:lineRule="auto"/>
              <w:rPr>
                <w:noProof/>
                <w:sz w:val="16"/>
                <w:szCs w:val="16"/>
              </w:rPr>
            </w:pPr>
            <w:r w:rsidRPr="00D504DC">
              <w:rPr>
                <w:noProof/>
                <w:sz w:val="16"/>
                <w:szCs w:val="16"/>
              </w:rPr>
              <w:t>Очаква се тази мярка да не нанася значителни вреди на екологичните цели по смисъла на член 17 от Регламент (ЕС) 2020/852, като се вземат предвид описанието на мярката и стъпките за смекчаване, определени в плана за възстановяване и устойчивост в съответствие с техническите насоки за ненанасяне на значителни вреди.</w:t>
            </w:r>
          </w:p>
          <w:p w14:paraId="62DE2935" w14:textId="77777777" w:rsidR="006054AA" w:rsidRPr="00D504DC" w:rsidRDefault="001F7667">
            <w:pPr>
              <w:pStyle w:val="P68B1DB1-Normal11"/>
              <w:autoSpaceDE w:val="0"/>
              <w:autoSpaceDN w:val="0"/>
              <w:spacing w:line="276" w:lineRule="auto"/>
              <w:rPr>
                <w:noProof/>
                <w:sz w:val="16"/>
                <w:szCs w:val="16"/>
              </w:rPr>
            </w:pPr>
            <w:r w:rsidRPr="00D504DC">
              <w:rPr>
                <w:noProof/>
                <w:sz w:val="16"/>
                <w:szCs w:val="16"/>
              </w:rPr>
              <w:t xml:space="preserve">(2021/C58/01). По-специално, за всяка подинвестиция се осигурява пълно съответствие с изискванията на правото на ЕС, включително Рамковата директива за водите, преди, по време на и след започване на строителните работи. </w:t>
            </w:r>
          </w:p>
          <w:p w14:paraId="7FDFAEBE" w14:textId="77777777" w:rsidR="006054AA" w:rsidRPr="00D504DC" w:rsidRDefault="001F7667">
            <w:pPr>
              <w:pStyle w:val="P68B1DB1-Normal11"/>
              <w:autoSpaceDE w:val="0"/>
              <w:autoSpaceDN w:val="0"/>
              <w:spacing w:line="276" w:lineRule="auto"/>
              <w:rPr>
                <w:noProof/>
                <w:sz w:val="16"/>
                <w:szCs w:val="16"/>
              </w:rPr>
            </w:pPr>
            <w:r w:rsidRPr="00D504DC">
              <w:rPr>
                <w:noProof/>
                <w:sz w:val="16"/>
                <w:szCs w:val="16"/>
              </w:rPr>
              <w:t xml:space="preserve"> </w:t>
            </w:r>
          </w:p>
          <w:p w14:paraId="433F9CB8" w14:textId="097D5E15" w:rsidR="006054AA" w:rsidRPr="00D504DC" w:rsidRDefault="001F7667">
            <w:pPr>
              <w:pStyle w:val="P68B1DB1-Normal11"/>
              <w:autoSpaceDE w:val="0"/>
              <w:autoSpaceDN w:val="0"/>
              <w:spacing w:line="276" w:lineRule="auto"/>
              <w:rPr>
                <w:noProof/>
                <w:sz w:val="16"/>
                <w:szCs w:val="16"/>
              </w:rPr>
            </w:pPr>
            <w:r w:rsidRPr="00D504DC">
              <w:rPr>
                <w:noProof/>
                <w:sz w:val="16"/>
                <w:szCs w:val="16"/>
              </w:rPr>
              <w:t>Освен това интервенциите, когато са приложими съгласно националното право, подлежат на оценка на въздействието върху околната среда (ОВОС) съгласно Директива 2011/92/ЕС, както и на съответни оценки в контекста на Директива 2000/60/ЕО и Директива 92/43/ЕИО, включително прилагането на необходимите мерки за смекчаване на последиците.</w:t>
            </w:r>
          </w:p>
        </w:tc>
      </w:tr>
      <w:tr w:rsidR="006054AA" w:rsidRPr="00D504DC" w14:paraId="5717CDEE" w14:textId="77777777">
        <w:trPr>
          <w:trHeight w:val="313"/>
          <w:jc w:val="center"/>
        </w:trPr>
        <w:tc>
          <w:tcPr>
            <w:tcW w:w="1130" w:type="dxa"/>
            <w:shd w:val="clear" w:color="auto" w:fill="C6EFCE"/>
            <w:noWrap/>
            <w:vAlign w:val="center"/>
            <w:hideMark/>
          </w:tcPr>
          <w:p w14:paraId="1F88C86C" w14:textId="77777777" w:rsidR="006054AA" w:rsidRPr="00D504DC" w:rsidRDefault="001F7667">
            <w:pPr>
              <w:pStyle w:val="P68B1DB1-Normal11"/>
              <w:spacing w:line="276" w:lineRule="auto"/>
              <w:jc w:val="center"/>
              <w:rPr>
                <w:noProof/>
                <w:sz w:val="16"/>
                <w:szCs w:val="16"/>
              </w:rPr>
            </w:pPr>
            <w:r w:rsidRPr="00D504DC">
              <w:rPr>
                <w:noProof/>
                <w:sz w:val="16"/>
                <w:szCs w:val="16"/>
              </w:rPr>
              <w:t>M2C4—34</w:t>
            </w:r>
          </w:p>
        </w:tc>
        <w:tc>
          <w:tcPr>
            <w:tcW w:w="1560" w:type="dxa"/>
            <w:shd w:val="clear" w:color="auto" w:fill="C6EFCE"/>
            <w:noWrap/>
            <w:vAlign w:val="center"/>
            <w:hideMark/>
          </w:tcPr>
          <w:p w14:paraId="5D7D95CC"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4.3 Инвестиции в устойчивостта на напоителната агросистема за по-добро управление на водните ресурси</w:t>
            </w:r>
          </w:p>
        </w:tc>
        <w:tc>
          <w:tcPr>
            <w:tcW w:w="1134" w:type="dxa"/>
            <w:shd w:val="clear" w:color="auto" w:fill="C6EFCE"/>
            <w:noWrap/>
            <w:vAlign w:val="center"/>
            <w:hideMark/>
          </w:tcPr>
          <w:p w14:paraId="35E8A6A6"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394E0B97" w14:textId="77777777" w:rsidR="006054AA" w:rsidRPr="00D504DC" w:rsidRDefault="001F7667">
            <w:pPr>
              <w:pStyle w:val="P68B1DB1-Normal11"/>
              <w:spacing w:line="276" w:lineRule="auto"/>
              <w:jc w:val="center"/>
              <w:rPr>
                <w:noProof/>
                <w:sz w:val="16"/>
                <w:szCs w:val="16"/>
              </w:rPr>
            </w:pPr>
            <w:r w:rsidRPr="00D504DC">
              <w:rPr>
                <w:noProof/>
                <w:sz w:val="16"/>
                <w:szCs w:val="16"/>
              </w:rPr>
              <w:t>Интервенции за устойчивостта на напоителната агросистема за по-добро управление на водните ресурси Т1</w:t>
            </w:r>
          </w:p>
        </w:tc>
        <w:tc>
          <w:tcPr>
            <w:tcW w:w="1383" w:type="dxa"/>
            <w:shd w:val="clear" w:color="auto" w:fill="C6EFCE"/>
            <w:noWrap/>
            <w:vAlign w:val="center"/>
            <w:hideMark/>
          </w:tcPr>
          <w:p w14:paraId="021F7F2B"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0D5E49E6" w14:textId="77777777" w:rsidR="006054AA" w:rsidRPr="00D504DC" w:rsidRDefault="001F7667">
            <w:pPr>
              <w:pStyle w:val="P68B1DB1-Normal11"/>
              <w:spacing w:line="276" w:lineRule="auto"/>
              <w:jc w:val="center"/>
              <w:rPr>
                <w:noProof/>
                <w:sz w:val="16"/>
                <w:szCs w:val="16"/>
              </w:rPr>
            </w:pPr>
            <w:r w:rsidRPr="00D504DC">
              <w:rPr>
                <w:noProof/>
                <w:sz w:val="16"/>
                <w:szCs w:val="16"/>
              </w:rPr>
              <w:t>Проценти</w:t>
            </w:r>
          </w:p>
        </w:tc>
        <w:tc>
          <w:tcPr>
            <w:tcW w:w="1290" w:type="dxa"/>
            <w:shd w:val="clear" w:color="auto" w:fill="C6EFCE"/>
            <w:noWrap/>
            <w:vAlign w:val="center"/>
            <w:hideMark/>
          </w:tcPr>
          <w:p w14:paraId="7545B5A6" w14:textId="77777777" w:rsidR="006054AA" w:rsidRPr="00D504DC" w:rsidRDefault="001F7667">
            <w:pPr>
              <w:pStyle w:val="P68B1DB1-Normal11"/>
              <w:spacing w:line="276" w:lineRule="auto"/>
              <w:jc w:val="center"/>
              <w:rPr>
                <w:noProof/>
                <w:sz w:val="16"/>
                <w:szCs w:val="16"/>
              </w:rPr>
            </w:pPr>
            <w:r w:rsidRPr="00D504DC">
              <w:rPr>
                <w:noProof/>
                <w:sz w:val="16"/>
                <w:szCs w:val="16"/>
              </w:rPr>
              <w:t>24</w:t>
            </w:r>
          </w:p>
        </w:tc>
        <w:tc>
          <w:tcPr>
            <w:tcW w:w="1194" w:type="dxa"/>
            <w:shd w:val="clear" w:color="auto" w:fill="C6EFCE"/>
            <w:noWrap/>
            <w:vAlign w:val="center"/>
            <w:hideMark/>
          </w:tcPr>
          <w:p w14:paraId="0E56A1E3" w14:textId="77777777" w:rsidR="006054AA" w:rsidRPr="00D504DC" w:rsidRDefault="001F7667">
            <w:pPr>
              <w:pStyle w:val="P68B1DB1-Normal11"/>
              <w:spacing w:line="276" w:lineRule="auto"/>
              <w:jc w:val="center"/>
              <w:rPr>
                <w:noProof/>
                <w:sz w:val="16"/>
                <w:szCs w:val="16"/>
              </w:rPr>
            </w:pPr>
            <w:r w:rsidRPr="00D504DC">
              <w:rPr>
                <w:noProof/>
                <w:sz w:val="16"/>
                <w:szCs w:val="16"/>
              </w:rPr>
              <w:t>26</w:t>
            </w:r>
          </w:p>
        </w:tc>
        <w:tc>
          <w:tcPr>
            <w:tcW w:w="916" w:type="dxa"/>
            <w:shd w:val="clear" w:color="auto" w:fill="C6EFCE"/>
            <w:noWrap/>
            <w:vAlign w:val="center"/>
            <w:hideMark/>
          </w:tcPr>
          <w:p w14:paraId="2C8D2941"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3E746766" w14:textId="77777777"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shd w:val="clear" w:color="auto" w:fill="C6EFCE"/>
            <w:noWrap/>
            <w:vAlign w:val="center"/>
            <w:hideMark/>
          </w:tcPr>
          <w:p w14:paraId="12AF8428" w14:textId="77777777" w:rsidR="006054AA" w:rsidRPr="00D504DC" w:rsidRDefault="001F7667">
            <w:pPr>
              <w:pStyle w:val="P68B1DB1-Normal11"/>
              <w:spacing w:line="276" w:lineRule="auto"/>
              <w:rPr>
                <w:noProof/>
                <w:sz w:val="16"/>
                <w:szCs w:val="16"/>
              </w:rPr>
            </w:pPr>
            <w:r w:rsidRPr="00D504DC">
              <w:rPr>
                <w:noProof/>
                <w:sz w:val="16"/>
                <w:szCs w:val="16"/>
              </w:rPr>
              <w:t>Увеличаване до поне 26 % на процента на отвеждащите източници, оборудвани с измервателни уреди.</w:t>
            </w:r>
          </w:p>
          <w:p w14:paraId="726DACAC" w14:textId="77777777" w:rsidR="006054AA" w:rsidRPr="00D504DC" w:rsidRDefault="001F7667">
            <w:pPr>
              <w:pStyle w:val="P68B1DB1-Normal11"/>
              <w:spacing w:line="276" w:lineRule="auto"/>
              <w:rPr>
                <w:noProof/>
                <w:sz w:val="16"/>
                <w:szCs w:val="16"/>
              </w:rPr>
            </w:pPr>
            <w:r w:rsidRPr="00D504DC">
              <w:rPr>
                <w:noProof/>
                <w:sz w:val="16"/>
                <w:szCs w:val="16"/>
              </w:rPr>
              <w:t>Общите интервенции във връзка с ефективността на мрежата включват също инсталирането на:</w:t>
            </w:r>
          </w:p>
          <w:p w14:paraId="748640E3" w14:textId="77777777" w:rsidR="006054AA" w:rsidRPr="00D504DC" w:rsidRDefault="001F7667">
            <w:pPr>
              <w:pStyle w:val="P68B1DB1-ListParagraph13"/>
              <w:numPr>
                <w:ilvl w:val="0"/>
                <w:numId w:val="94"/>
              </w:numPr>
              <w:spacing w:before="0" w:after="0" w:line="276" w:lineRule="auto"/>
              <w:rPr>
                <w:noProof/>
                <w:sz w:val="16"/>
                <w:szCs w:val="16"/>
              </w:rPr>
            </w:pPr>
            <w:r w:rsidRPr="00D504DC">
              <w:rPr>
                <w:noProof/>
                <w:sz w:val="16"/>
                <w:szCs w:val="16"/>
              </w:rPr>
              <w:t>150 метра за трето ниво;</w:t>
            </w:r>
          </w:p>
          <w:p w14:paraId="5D742EC9" w14:textId="6A6B31CD" w:rsidR="006054AA" w:rsidRPr="00D504DC" w:rsidRDefault="001F7667">
            <w:pPr>
              <w:pStyle w:val="P68B1DB1-ListParagraph13"/>
              <w:numPr>
                <w:ilvl w:val="0"/>
                <w:numId w:val="94"/>
              </w:numPr>
              <w:spacing w:before="0" w:after="0" w:line="276" w:lineRule="auto"/>
              <w:rPr>
                <w:noProof/>
                <w:sz w:val="16"/>
                <w:szCs w:val="16"/>
              </w:rPr>
            </w:pPr>
            <w:r w:rsidRPr="00D504DC">
              <w:rPr>
                <w:noProof/>
                <w:sz w:val="16"/>
                <w:szCs w:val="16"/>
              </w:rPr>
              <w:t>7 500 метра за четвърто ниво;</w:t>
            </w:r>
          </w:p>
          <w:p w14:paraId="4D33CBA1" w14:textId="77777777" w:rsidR="006054AA" w:rsidRPr="00D504DC" w:rsidRDefault="001F7667">
            <w:pPr>
              <w:pStyle w:val="P68B1DB1-ListParagraph13"/>
              <w:numPr>
                <w:ilvl w:val="0"/>
                <w:numId w:val="94"/>
              </w:numPr>
              <w:spacing w:before="0" w:after="0" w:line="276" w:lineRule="auto"/>
              <w:rPr>
                <w:noProof/>
                <w:sz w:val="16"/>
                <w:szCs w:val="16"/>
              </w:rPr>
            </w:pPr>
            <w:r w:rsidRPr="00D504DC">
              <w:rPr>
                <w:noProof/>
                <w:sz w:val="16"/>
                <w:szCs w:val="16"/>
              </w:rPr>
              <w:t>Цифровизация и подобряване на мрежите.</w:t>
            </w:r>
          </w:p>
        </w:tc>
      </w:tr>
      <w:tr w:rsidR="006054AA" w:rsidRPr="00D504DC" w14:paraId="3FB36B7D" w14:textId="77777777">
        <w:trPr>
          <w:trHeight w:val="313"/>
          <w:jc w:val="center"/>
        </w:trPr>
        <w:tc>
          <w:tcPr>
            <w:tcW w:w="1130" w:type="dxa"/>
            <w:shd w:val="clear" w:color="auto" w:fill="C6EFCE"/>
            <w:noWrap/>
            <w:vAlign w:val="center"/>
            <w:hideMark/>
          </w:tcPr>
          <w:p w14:paraId="4744199F" w14:textId="77777777" w:rsidR="006054AA" w:rsidRPr="00D504DC" w:rsidRDefault="001F7667">
            <w:pPr>
              <w:pStyle w:val="P68B1DB1-Normal11"/>
              <w:spacing w:line="276" w:lineRule="auto"/>
              <w:jc w:val="center"/>
              <w:rPr>
                <w:noProof/>
                <w:sz w:val="16"/>
                <w:szCs w:val="16"/>
              </w:rPr>
            </w:pPr>
            <w:r w:rsidRPr="00D504DC">
              <w:rPr>
                <w:noProof/>
                <w:sz w:val="16"/>
                <w:szCs w:val="16"/>
              </w:rPr>
              <w:t>M2C4—34bis</w:t>
            </w:r>
          </w:p>
        </w:tc>
        <w:tc>
          <w:tcPr>
            <w:tcW w:w="1560" w:type="dxa"/>
            <w:shd w:val="clear" w:color="auto" w:fill="C6EFCE"/>
            <w:noWrap/>
            <w:vAlign w:val="center"/>
            <w:hideMark/>
          </w:tcPr>
          <w:p w14:paraId="1A97D3C3"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4.3 Инвестиции в устойчивостта на напоителната агросистема за по-добро управление на водните ресурси</w:t>
            </w:r>
          </w:p>
        </w:tc>
        <w:tc>
          <w:tcPr>
            <w:tcW w:w="1134" w:type="dxa"/>
            <w:shd w:val="clear" w:color="auto" w:fill="C6EFCE"/>
            <w:noWrap/>
            <w:vAlign w:val="center"/>
            <w:hideMark/>
          </w:tcPr>
          <w:p w14:paraId="4DA3A200"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198AC2C1" w14:textId="77777777" w:rsidR="006054AA" w:rsidRPr="00D504DC" w:rsidRDefault="001F7667">
            <w:pPr>
              <w:pStyle w:val="P68B1DB1-Normal11"/>
              <w:spacing w:line="276" w:lineRule="auto"/>
              <w:jc w:val="center"/>
              <w:rPr>
                <w:noProof/>
                <w:sz w:val="16"/>
                <w:szCs w:val="16"/>
              </w:rPr>
            </w:pPr>
            <w:r w:rsidRPr="00D504DC">
              <w:rPr>
                <w:noProof/>
                <w:sz w:val="16"/>
                <w:szCs w:val="16"/>
              </w:rPr>
              <w:t>Интервенции за устойчивостта на напоителната агросистема за по-добро управление на водните ресурси Т1</w:t>
            </w:r>
          </w:p>
        </w:tc>
        <w:tc>
          <w:tcPr>
            <w:tcW w:w="1383" w:type="dxa"/>
            <w:shd w:val="clear" w:color="auto" w:fill="C6EFCE"/>
            <w:noWrap/>
            <w:vAlign w:val="center"/>
            <w:hideMark/>
          </w:tcPr>
          <w:p w14:paraId="7B5E170A"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63A6CBEC" w14:textId="77777777" w:rsidR="006054AA" w:rsidRPr="00D504DC" w:rsidRDefault="001F7667">
            <w:pPr>
              <w:pStyle w:val="P68B1DB1-Normal11"/>
              <w:spacing w:line="276" w:lineRule="auto"/>
              <w:jc w:val="center"/>
              <w:rPr>
                <w:noProof/>
                <w:sz w:val="16"/>
                <w:szCs w:val="16"/>
              </w:rPr>
            </w:pPr>
            <w:r w:rsidRPr="00D504DC">
              <w:rPr>
                <w:noProof/>
                <w:sz w:val="16"/>
                <w:szCs w:val="16"/>
              </w:rPr>
              <w:t>Проценти</w:t>
            </w:r>
          </w:p>
        </w:tc>
        <w:tc>
          <w:tcPr>
            <w:tcW w:w="1290" w:type="dxa"/>
            <w:shd w:val="clear" w:color="auto" w:fill="C6EFCE"/>
            <w:noWrap/>
            <w:vAlign w:val="center"/>
            <w:hideMark/>
          </w:tcPr>
          <w:p w14:paraId="10EA0F27" w14:textId="77777777" w:rsidR="006054AA" w:rsidRPr="00D504DC" w:rsidRDefault="001F7667">
            <w:pPr>
              <w:pStyle w:val="P68B1DB1-Normal11"/>
              <w:spacing w:line="276" w:lineRule="auto"/>
              <w:jc w:val="center"/>
              <w:rPr>
                <w:noProof/>
                <w:sz w:val="16"/>
                <w:szCs w:val="16"/>
              </w:rPr>
            </w:pPr>
            <w:r w:rsidRPr="00D504DC">
              <w:rPr>
                <w:noProof/>
                <w:sz w:val="16"/>
                <w:szCs w:val="16"/>
              </w:rPr>
              <w:t>26</w:t>
            </w:r>
          </w:p>
        </w:tc>
        <w:tc>
          <w:tcPr>
            <w:tcW w:w="1194" w:type="dxa"/>
            <w:shd w:val="clear" w:color="auto" w:fill="C6EFCE"/>
            <w:noWrap/>
            <w:vAlign w:val="center"/>
            <w:hideMark/>
          </w:tcPr>
          <w:p w14:paraId="7E540CA7" w14:textId="77777777" w:rsidR="006054AA" w:rsidRPr="00D504DC" w:rsidRDefault="001F7667">
            <w:pPr>
              <w:pStyle w:val="P68B1DB1-Normal11"/>
              <w:spacing w:line="276" w:lineRule="auto"/>
              <w:jc w:val="center"/>
              <w:rPr>
                <w:noProof/>
                <w:sz w:val="16"/>
                <w:szCs w:val="16"/>
              </w:rPr>
            </w:pPr>
            <w:r w:rsidRPr="00D504DC">
              <w:rPr>
                <w:noProof/>
                <w:sz w:val="16"/>
                <w:szCs w:val="16"/>
              </w:rPr>
              <w:t>29</w:t>
            </w:r>
          </w:p>
        </w:tc>
        <w:tc>
          <w:tcPr>
            <w:tcW w:w="916" w:type="dxa"/>
            <w:shd w:val="clear" w:color="auto" w:fill="C6EFCE"/>
            <w:noWrap/>
            <w:vAlign w:val="center"/>
            <w:hideMark/>
          </w:tcPr>
          <w:p w14:paraId="7976596D" w14:textId="77777777" w:rsidR="006054AA" w:rsidRPr="00D504DC" w:rsidRDefault="001F7667">
            <w:pPr>
              <w:pStyle w:val="P68B1DB1-Normal11"/>
              <w:spacing w:line="276" w:lineRule="auto"/>
              <w:jc w:val="center"/>
              <w:rPr>
                <w:noProof/>
                <w:sz w:val="16"/>
                <w:szCs w:val="16"/>
              </w:rPr>
            </w:pPr>
            <w:r w:rsidRPr="00D504DC">
              <w:rPr>
                <w:noProof/>
                <w:sz w:val="16"/>
                <w:szCs w:val="16"/>
              </w:rPr>
              <w:t>Т2 Г.</w:t>
            </w:r>
          </w:p>
        </w:tc>
        <w:tc>
          <w:tcPr>
            <w:tcW w:w="638" w:type="dxa"/>
            <w:shd w:val="clear" w:color="auto" w:fill="C6EFCE"/>
            <w:noWrap/>
            <w:vAlign w:val="center"/>
            <w:hideMark/>
          </w:tcPr>
          <w:p w14:paraId="4C51A70E" w14:textId="77777777" w:rsidR="006054AA" w:rsidRPr="00D504DC" w:rsidRDefault="001F7667">
            <w:pPr>
              <w:pStyle w:val="P68B1DB1-Normal11"/>
              <w:spacing w:line="276" w:lineRule="auto"/>
              <w:jc w:val="center"/>
              <w:rPr>
                <w:noProof/>
                <w:sz w:val="16"/>
                <w:szCs w:val="16"/>
              </w:rPr>
            </w:pPr>
            <w:r w:rsidRPr="00D504DC">
              <w:rPr>
                <w:noProof/>
                <w:sz w:val="16"/>
                <w:szCs w:val="16"/>
              </w:rPr>
              <w:t>2026</w:t>
            </w:r>
          </w:p>
        </w:tc>
        <w:tc>
          <w:tcPr>
            <w:tcW w:w="4116" w:type="dxa"/>
            <w:shd w:val="clear" w:color="auto" w:fill="C6EFCE"/>
            <w:noWrap/>
            <w:vAlign w:val="center"/>
            <w:hideMark/>
          </w:tcPr>
          <w:p w14:paraId="738292AF" w14:textId="77777777" w:rsidR="006054AA" w:rsidRPr="00D504DC" w:rsidRDefault="001F7667">
            <w:pPr>
              <w:pStyle w:val="P68B1DB1-Normal11"/>
              <w:spacing w:line="276" w:lineRule="auto"/>
              <w:rPr>
                <w:noProof/>
                <w:sz w:val="16"/>
                <w:szCs w:val="16"/>
              </w:rPr>
            </w:pPr>
            <w:r w:rsidRPr="00D504DC">
              <w:rPr>
                <w:noProof/>
                <w:sz w:val="16"/>
                <w:szCs w:val="16"/>
              </w:rPr>
              <w:t>Увеличаване до поне 29 % на процента на отвеждащите източници, оборудвани с измервателни уреди.</w:t>
            </w:r>
          </w:p>
          <w:p w14:paraId="7342322A" w14:textId="77777777" w:rsidR="006054AA" w:rsidRPr="00D504DC" w:rsidRDefault="001F7667">
            <w:pPr>
              <w:pStyle w:val="P68B1DB1-Normal11"/>
              <w:spacing w:line="276" w:lineRule="auto"/>
              <w:rPr>
                <w:noProof/>
                <w:sz w:val="16"/>
                <w:szCs w:val="16"/>
              </w:rPr>
            </w:pPr>
            <w:r w:rsidRPr="00D504DC">
              <w:rPr>
                <w:noProof/>
                <w:sz w:val="16"/>
                <w:szCs w:val="16"/>
              </w:rPr>
              <w:t>Общите интервенции във връзка с ефективността на мрежата включват също инсталирането на:</w:t>
            </w:r>
          </w:p>
          <w:p w14:paraId="4D8B795B" w14:textId="77777777" w:rsidR="006054AA" w:rsidRPr="00D504DC" w:rsidRDefault="001F7667">
            <w:pPr>
              <w:pStyle w:val="P68B1DB1-ListParagraph13"/>
              <w:numPr>
                <w:ilvl w:val="0"/>
                <w:numId w:val="93"/>
              </w:numPr>
              <w:spacing w:before="0" w:after="0" w:line="276" w:lineRule="auto"/>
              <w:rPr>
                <w:noProof/>
                <w:sz w:val="16"/>
                <w:szCs w:val="16"/>
              </w:rPr>
            </w:pPr>
            <w:r w:rsidRPr="00D504DC">
              <w:rPr>
                <w:noProof/>
                <w:sz w:val="16"/>
                <w:szCs w:val="16"/>
              </w:rPr>
              <w:t>500 метра за трето ниво;</w:t>
            </w:r>
          </w:p>
          <w:p w14:paraId="7ABB7AE3" w14:textId="36BABA83" w:rsidR="006054AA" w:rsidRPr="00D504DC" w:rsidRDefault="001F7667">
            <w:pPr>
              <w:pStyle w:val="P68B1DB1-ListParagraph13"/>
              <w:numPr>
                <w:ilvl w:val="0"/>
                <w:numId w:val="93"/>
              </w:numPr>
              <w:spacing w:before="0" w:after="0" w:line="276" w:lineRule="auto"/>
              <w:rPr>
                <w:noProof/>
                <w:sz w:val="16"/>
                <w:szCs w:val="16"/>
              </w:rPr>
            </w:pPr>
            <w:r w:rsidRPr="00D504DC">
              <w:rPr>
                <w:noProof/>
                <w:sz w:val="16"/>
                <w:szCs w:val="16"/>
              </w:rPr>
              <w:t>20 000 метра за четвърто ниво;</w:t>
            </w:r>
          </w:p>
          <w:p w14:paraId="056646B6" w14:textId="77777777" w:rsidR="006054AA" w:rsidRPr="00D504DC" w:rsidRDefault="001F7667">
            <w:pPr>
              <w:pStyle w:val="P68B1DB1-ListParagraph13"/>
              <w:numPr>
                <w:ilvl w:val="0"/>
                <w:numId w:val="93"/>
              </w:numPr>
              <w:spacing w:before="0" w:after="0" w:line="276" w:lineRule="auto"/>
              <w:rPr>
                <w:noProof/>
                <w:sz w:val="16"/>
                <w:szCs w:val="16"/>
              </w:rPr>
            </w:pPr>
            <w:r w:rsidRPr="00D504DC">
              <w:rPr>
                <w:noProof/>
                <w:sz w:val="16"/>
                <w:szCs w:val="16"/>
              </w:rPr>
              <w:t>Цифровизация и подобряване на мрежите.</w:t>
            </w:r>
          </w:p>
        </w:tc>
      </w:tr>
      <w:tr w:rsidR="006054AA" w:rsidRPr="00D504DC" w14:paraId="64419A47" w14:textId="77777777">
        <w:trPr>
          <w:trHeight w:val="313"/>
          <w:jc w:val="center"/>
        </w:trPr>
        <w:tc>
          <w:tcPr>
            <w:tcW w:w="1130" w:type="dxa"/>
            <w:shd w:val="clear" w:color="auto" w:fill="C6EFCE"/>
            <w:noWrap/>
            <w:vAlign w:val="center"/>
          </w:tcPr>
          <w:p w14:paraId="612F7D2A" w14:textId="77777777" w:rsidR="006054AA" w:rsidRPr="00D504DC" w:rsidRDefault="001F7667">
            <w:pPr>
              <w:pStyle w:val="P68B1DB1-Normal11"/>
              <w:spacing w:line="276" w:lineRule="auto"/>
              <w:jc w:val="center"/>
              <w:rPr>
                <w:noProof/>
                <w:sz w:val="16"/>
                <w:szCs w:val="16"/>
              </w:rPr>
            </w:pPr>
            <w:r w:rsidRPr="00D504DC">
              <w:rPr>
                <w:noProof/>
                <w:sz w:val="16"/>
                <w:szCs w:val="16"/>
              </w:rPr>
              <w:t>M2C4—35</w:t>
            </w:r>
          </w:p>
        </w:tc>
        <w:tc>
          <w:tcPr>
            <w:tcW w:w="1560" w:type="dxa"/>
            <w:shd w:val="clear" w:color="auto" w:fill="C6EFCE"/>
            <w:noWrap/>
            <w:vAlign w:val="center"/>
          </w:tcPr>
          <w:p w14:paraId="75E19D87"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4.3 Инвестиции в устойчивостта на напоителната агросистема за по-добро управление на водните ресурси</w:t>
            </w:r>
          </w:p>
        </w:tc>
        <w:tc>
          <w:tcPr>
            <w:tcW w:w="1134" w:type="dxa"/>
            <w:shd w:val="clear" w:color="auto" w:fill="C6EFCE"/>
            <w:noWrap/>
            <w:vAlign w:val="center"/>
          </w:tcPr>
          <w:p w14:paraId="6B654C1C"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tcPr>
          <w:p w14:paraId="2825C8FB" w14:textId="77777777" w:rsidR="006054AA" w:rsidRPr="00D504DC" w:rsidRDefault="001F7667">
            <w:pPr>
              <w:pStyle w:val="P68B1DB1-Normal11"/>
              <w:spacing w:line="276" w:lineRule="auto"/>
              <w:jc w:val="center"/>
              <w:rPr>
                <w:noProof/>
                <w:sz w:val="16"/>
                <w:szCs w:val="16"/>
              </w:rPr>
            </w:pPr>
            <w:r w:rsidRPr="00D504DC">
              <w:rPr>
                <w:noProof/>
                <w:sz w:val="16"/>
                <w:szCs w:val="16"/>
              </w:rPr>
              <w:t>Интервенции за устойчивостта на напоителната агросистема за по-добро управление на водните ресурси Т1</w:t>
            </w:r>
          </w:p>
        </w:tc>
        <w:tc>
          <w:tcPr>
            <w:tcW w:w="1383" w:type="dxa"/>
            <w:shd w:val="clear" w:color="auto" w:fill="C6EFCE"/>
            <w:noWrap/>
            <w:vAlign w:val="center"/>
          </w:tcPr>
          <w:p w14:paraId="4C9C13EF"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tcPr>
          <w:p w14:paraId="1AB58DFF" w14:textId="77777777" w:rsidR="006054AA" w:rsidRPr="00D504DC" w:rsidRDefault="001F7667">
            <w:pPr>
              <w:pStyle w:val="P68B1DB1-Normal11"/>
              <w:spacing w:line="276" w:lineRule="auto"/>
              <w:jc w:val="center"/>
              <w:rPr>
                <w:noProof/>
                <w:sz w:val="16"/>
                <w:szCs w:val="16"/>
              </w:rPr>
            </w:pPr>
            <w:r w:rsidRPr="00D504DC">
              <w:rPr>
                <w:noProof/>
                <w:sz w:val="16"/>
                <w:szCs w:val="16"/>
              </w:rPr>
              <w:t>Проценти</w:t>
            </w:r>
          </w:p>
        </w:tc>
        <w:tc>
          <w:tcPr>
            <w:tcW w:w="1290" w:type="dxa"/>
            <w:shd w:val="clear" w:color="auto" w:fill="C6EFCE"/>
            <w:noWrap/>
            <w:vAlign w:val="center"/>
          </w:tcPr>
          <w:p w14:paraId="42151EC4" w14:textId="77777777" w:rsidR="006054AA" w:rsidRPr="00D504DC" w:rsidRDefault="001F7667">
            <w:pPr>
              <w:pStyle w:val="P68B1DB1-Normal11"/>
              <w:spacing w:line="276" w:lineRule="auto"/>
              <w:jc w:val="center"/>
              <w:rPr>
                <w:noProof/>
                <w:sz w:val="16"/>
                <w:szCs w:val="16"/>
              </w:rPr>
            </w:pPr>
            <w:r w:rsidRPr="00D504DC">
              <w:rPr>
                <w:noProof/>
                <w:sz w:val="16"/>
                <w:szCs w:val="16"/>
              </w:rPr>
              <w:t>8</w:t>
            </w:r>
          </w:p>
        </w:tc>
        <w:tc>
          <w:tcPr>
            <w:tcW w:w="1194" w:type="dxa"/>
            <w:shd w:val="clear" w:color="auto" w:fill="C6EFCE"/>
            <w:noWrap/>
            <w:vAlign w:val="center"/>
          </w:tcPr>
          <w:p w14:paraId="3F4A28B5" w14:textId="77777777" w:rsidR="006054AA" w:rsidRPr="00D504DC" w:rsidRDefault="001F7667">
            <w:pPr>
              <w:pStyle w:val="P68B1DB1-Normal11"/>
              <w:spacing w:line="276" w:lineRule="auto"/>
              <w:jc w:val="center"/>
              <w:rPr>
                <w:noProof/>
                <w:sz w:val="16"/>
                <w:szCs w:val="16"/>
              </w:rPr>
            </w:pPr>
            <w:r w:rsidRPr="00D504DC">
              <w:rPr>
                <w:noProof/>
                <w:sz w:val="16"/>
                <w:szCs w:val="16"/>
              </w:rPr>
              <w:t>12</w:t>
            </w:r>
          </w:p>
        </w:tc>
        <w:tc>
          <w:tcPr>
            <w:tcW w:w="916" w:type="dxa"/>
            <w:shd w:val="clear" w:color="auto" w:fill="C6EFCE"/>
            <w:noWrap/>
            <w:vAlign w:val="center"/>
          </w:tcPr>
          <w:p w14:paraId="1B0889FD"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tcPr>
          <w:p w14:paraId="31A26768" w14:textId="77777777"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shd w:val="clear" w:color="auto" w:fill="C6EFCE"/>
            <w:noWrap/>
            <w:vAlign w:val="center"/>
          </w:tcPr>
          <w:p w14:paraId="3E65D8F9" w14:textId="432B8D4B" w:rsidR="006054AA" w:rsidRPr="00D504DC" w:rsidRDefault="001F7667">
            <w:pPr>
              <w:pStyle w:val="P68B1DB1-Normal11"/>
              <w:spacing w:line="276" w:lineRule="auto"/>
              <w:rPr>
                <w:noProof/>
                <w:sz w:val="16"/>
                <w:szCs w:val="16"/>
              </w:rPr>
            </w:pPr>
            <w:r w:rsidRPr="00D504DC">
              <w:rPr>
                <w:noProof/>
                <w:sz w:val="16"/>
                <w:szCs w:val="16"/>
              </w:rPr>
              <w:t>Най-малко 12 % от процента напоявани площи се ползват от ефективно използване на напоителните ресурси.</w:t>
            </w:r>
          </w:p>
        </w:tc>
      </w:tr>
      <w:tr w:rsidR="006054AA" w:rsidRPr="00D504DC" w14:paraId="338CEEAC" w14:textId="77777777">
        <w:trPr>
          <w:trHeight w:val="313"/>
          <w:jc w:val="center"/>
        </w:trPr>
        <w:tc>
          <w:tcPr>
            <w:tcW w:w="1130" w:type="dxa"/>
            <w:shd w:val="clear" w:color="auto" w:fill="C6EFCE"/>
            <w:noWrap/>
            <w:vAlign w:val="center"/>
          </w:tcPr>
          <w:p w14:paraId="43C87D1F" w14:textId="77777777" w:rsidR="006054AA" w:rsidRPr="00D504DC" w:rsidRDefault="001F7667">
            <w:pPr>
              <w:pStyle w:val="P68B1DB1-Normal11"/>
              <w:spacing w:line="276" w:lineRule="auto"/>
              <w:jc w:val="center"/>
              <w:rPr>
                <w:noProof/>
                <w:sz w:val="16"/>
                <w:szCs w:val="16"/>
              </w:rPr>
            </w:pPr>
            <w:r w:rsidRPr="00D504DC">
              <w:rPr>
                <w:noProof/>
                <w:sz w:val="16"/>
                <w:szCs w:val="16"/>
              </w:rPr>
              <w:t>M2C4—35bis</w:t>
            </w:r>
          </w:p>
        </w:tc>
        <w:tc>
          <w:tcPr>
            <w:tcW w:w="1560" w:type="dxa"/>
            <w:shd w:val="clear" w:color="auto" w:fill="C6EFCE"/>
            <w:noWrap/>
            <w:vAlign w:val="center"/>
          </w:tcPr>
          <w:p w14:paraId="7D74D43E"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4.3 Инвестиции в устойчивостта на напоителната агросистема за по-добро управление на водните ресурси</w:t>
            </w:r>
          </w:p>
        </w:tc>
        <w:tc>
          <w:tcPr>
            <w:tcW w:w="1134" w:type="dxa"/>
            <w:shd w:val="clear" w:color="auto" w:fill="C6EFCE"/>
            <w:noWrap/>
            <w:vAlign w:val="center"/>
          </w:tcPr>
          <w:p w14:paraId="05FF4164"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tcPr>
          <w:p w14:paraId="2C7C5E57" w14:textId="77777777" w:rsidR="006054AA" w:rsidRPr="00D504DC" w:rsidRDefault="001F7667">
            <w:pPr>
              <w:pStyle w:val="P68B1DB1-Normal11"/>
              <w:spacing w:line="276" w:lineRule="auto"/>
              <w:jc w:val="center"/>
              <w:rPr>
                <w:noProof/>
                <w:sz w:val="16"/>
                <w:szCs w:val="16"/>
              </w:rPr>
            </w:pPr>
            <w:r w:rsidRPr="00D504DC">
              <w:rPr>
                <w:noProof/>
                <w:sz w:val="16"/>
                <w:szCs w:val="16"/>
              </w:rPr>
              <w:t>Интервенции за устойчивостта на напоителната агросистема за по-добро управление на водните ресурси Т2</w:t>
            </w:r>
          </w:p>
        </w:tc>
        <w:tc>
          <w:tcPr>
            <w:tcW w:w="1383" w:type="dxa"/>
            <w:shd w:val="clear" w:color="auto" w:fill="C6EFCE"/>
            <w:noWrap/>
            <w:vAlign w:val="center"/>
          </w:tcPr>
          <w:p w14:paraId="3A3BEE3F"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tcPr>
          <w:p w14:paraId="282FBB08" w14:textId="77777777" w:rsidR="006054AA" w:rsidRPr="00D504DC" w:rsidRDefault="001F7667">
            <w:pPr>
              <w:pStyle w:val="P68B1DB1-Normal11"/>
              <w:spacing w:line="276" w:lineRule="auto"/>
              <w:jc w:val="center"/>
              <w:rPr>
                <w:noProof/>
                <w:sz w:val="16"/>
                <w:szCs w:val="16"/>
              </w:rPr>
            </w:pPr>
            <w:r w:rsidRPr="00D504DC">
              <w:rPr>
                <w:noProof/>
                <w:sz w:val="16"/>
                <w:szCs w:val="16"/>
              </w:rPr>
              <w:t>Проценти</w:t>
            </w:r>
          </w:p>
        </w:tc>
        <w:tc>
          <w:tcPr>
            <w:tcW w:w="1290" w:type="dxa"/>
            <w:shd w:val="clear" w:color="auto" w:fill="C6EFCE"/>
            <w:noWrap/>
            <w:vAlign w:val="center"/>
          </w:tcPr>
          <w:p w14:paraId="4A26FB12" w14:textId="77777777" w:rsidR="006054AA" w:rsidRPr="00D504DC" w:rsidRDefault="001F7667">
            <w:pPr>
              <w:pStyle w:val="P68B1DB1-Normal11"/>
              <w:spacing w:line="276" w:lineRule="auto"/>
              <w:jc w:val="center"/>
              <w:rPr>
                <w:noProof/>
                <w:sz w:val="16"/>
                <w:szCs w:val="16"/>
              </w:rPr>
            </w:pPr>
            <w:r w:rsidRPr="00D504DC">
              <w:rPr>
                <w:noProof/>
                <w:sz w:val="16"/>
                <w:szCs w:val="16"/>
              </w:rPr>
              <w:t>12</w:t>
            </w:r>
          </w:p>
        </w:tc>
        <w:tc>
          <w:tcPr>
            <w:tcW w:w="1194" w:type="dxa"/>
            <w:shd w:val="clear" w:color="auto" w:fill="C6EFCE"/>
            <w:noWrap/>
            <w:vAlign w:val="center"/>
          </w:tcPr>
          <w:p w14:paraId="547AC139" w14:textId="77777777" w:rsidR="006054AA" w:rsidRPr="00D504DC" w:rsidRDefault="001F7667">
            <w:pPr>
              <w:pStyle w:val="P68B1DB1-Normal11"/>
              <w:spacing w:line="276" w:lineRule="auto"/>
              <w:jc w:val="center"/>
              <w:rPr>
                <w:noProof/>
                <w:sz w:val="16"/>
                <w:szCs w:val="16"/>
              </w:rPr>
            </w:pPr>
            <w:r w:rsidRPr="00D504DC">
              <w:rPr>
                <w:noProof/>
                <w:sz w:val="16"/>
                <w:szCs w:val="16"/>
              </w:rPr>
              <w:t>24</w:t>
            </w:r>
          </w:p>
        </w:tc>
        <w:tc>
          <w:tcPr>
            <w:tcW w:w="916" w:type="dxa"/>
            <w:shd w:val="clear" w:color="auto" w:fill="C6EFCE"/>
            <w:noWrap/>
            <w:vAlign w:val="center"/>
          </w:tcPr>
          <w:p w14:paraId="04537FD4" w14:textId="77777777" w:rsidR="006054AA" w:rsidRPr="00D504DC" w:rsidRDefault="001F7667">
            <w:pPr>
              <w:pStyle w:val="P68B1DB1-Normal11"/>
              <w:spacing w:line="276" w:lineRule="auto"/>
              <w:jc w:val="center"/>
              <w:rPr>
                <w:noProof/>
                <w:sz w:val="16"/>
                <w:szCs w:val="16"/>
              </w:rPr>
            </w:pPr>
            <w:r w:rsidRPr="00D504DC">
              <w:rPr>
                <w:noProof/>
                <w:sz w:val="16"/>
                <w:szCs w:val="16"/>
              </w:rPr>
              <w:t>Т1 Г.</w:t>
            </w:r>
          </w:p>
        </w:tc>
        <w:tc>
          <w:tcPr>
            <w:tcW w:w="638" w:type="dxa"/>
            <w:shd w:val="clear" w:color="auto" w:fill="C6EFCE"/>
            <w:noWrap/>
            <w:vAlign w:val="center"/>
          </w:tcPr>
          <w:p w14:paraId="125B8C82" w14:textId="77777777" w:rsidR="006054AA" w:rsidRPr="00D504DC" w:rsidRDefault="001F7667">
            <w:pPr>
              <w:pStyle w:val="P68B1DB1-Normal11"/>
              <w:spacing w:line="276" w:lineRule="auto"/>
              <w:jc w:val="center"/>
              <w:rPr>
                <w:noProof/>
                <w:sz w:val="16"/>
                <w:szCs w:val="16"/>
              </w:rPr>
            </w:pPr>
            <w:r w:rsidRPr="00D504DC">
              <w:rPr>
                <w:noProof/>
                <w:sz w:val="16"/>
                <w:szCs w:val="16"/>
              </w:rPr>
              <w:t>2026</w:t>
            </w:r>
          </w:p>
        </w:tc>
        <w:tc>
          <w:tcPr>
            <w:tcW w:w="4116" w:type="dxa"/>
            <w:shd w:val="clear" w:color="auto" w:fill="C6EFCE"/>
            <w:noWrap/>
            <w:vAlign w:val="center"/>
          </w:tcPr>
          <w:p w14:paraId="5D2A1C4F" w14:textId="5B21B077" w:rsidR="006054AA" w:rsidRPr="00D504DC" w:rsidRDefault="001F7667">
            <w:pPr>
              <w:pStyle w:val="P68B1DB1-Normal11"/>
              <w:spacing w:line="276" w:lineRule="auto"/>
              <w:rPr>
                <w:noProof/>
                <w:sz w:val="16"/>
                <w:szCs w:val="16"/>
              </w:rPr>
            </w:pPr>
            <w:r w:rsidRPr="00D504DC">
              <w:rPr>
                <w:noProof/>
                <w:sz w:val="16"/>
                <w:szCs w:val="16"/>
              </w:rPr>
              <w:t>Най-малко 24 % от процента напоявани площи, които се ползват от ефективно използване на напоителните ресурси</w:t>
            </w:r>
          </w:p>
        </w:tc>
      </w:tr>
      <w:tr w:rsidR="006054AA" w:rsidRPr="00D504DC" w14:paraId="6854DDC3" w14:textId="77777777">
        <w:trPr>
          <w:trHeight w:val="313"/>
          <w:jc w:val="center"/>
        </w:trPr>
        <w:tc>
          <w:tcPr>
            <w:tcW w:w="1130" w:type="dxa"/>
            <w:shd w:val="clear" w:color="auto" w:fill="C6EFCE"/>
            <w:noWrap/>
            <w:vAlign w:val="center"/>
            <w:hideMark/>
          </w:tcPr>
          <w:p w14:paraId="40AD0C82" w14:textId="77777777" w:rsidR="006054AA" w:rsidRPr="00D504DC" w:rsidRDefault="001F7667">
            <w:pPr>
              <w:pStyle w:val="P68B1DB1-Normal11"/>
              <w:spacing w:line="276" w:lineRule="auto"/>
              <w:jc w:val="center"/>
              <w:rPr>
                <w:noProof/>
                <w:sz w:val="16"/>
                <w:szCs w:val="16"/>
              </w:rPr>
            </w:pPr>
            <w:r w:rsidRPr="00D504DC">
              <w:rPr>
                <w:noProof/>
                <w:sz w:val="16"/>
                <w:szCs w:val="16"/>
              </w:rPr>
              <w:t>M2C4—36</w:t>
            </w:r>
          </w:p>
        </w:tc>
        <w:tc>
          <w:tcPr>
            <w:tcW w:w="1560" w:type="dxa"/>
            <w:shd w:val="clear" w:color="auto" w:fill="C6EFCE"/>
            <w:noWrap/>
            <w:vAlign w:val="center"/>
            <w:hideMark/>
          </w:tcPr>
          <w:p w14:paraId="49C5B0C4"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4.4 Инвестиции в канализация и пречистване</w:t>
            </w:r>
          </w:p>
        </w:tc>
        <w:tc>
          <w:tcPr>
            <w:tcW w:w="1134" w:type="dxa"/>
            <w:shd w:val="clear" w:color="auto" w:fill="C6EFCE"/>
            <w:noWrap/>
            <w:vAlign w:val="center"/>
            <w:hideMark/>
          </w:tcPr>
          <w:p w14:paraId="401B2B5E" w14:textId="77777777" w:rsidR="006054AA" w:rsidRPr="00D504DC" w:rsidRDefault="001F7667">
            <w:pPr>
              <w:pStyle w:val="P68B1DB1-Normal11"/>
              <w:spacing w:line="276" w:lineRule="auto"/>
              <w:jc w:val="center"/>
              <w:rPr>
                <w:noProof/>
                <w:sz w:val="16"/>
                <w:szCs w:val="16"/>
              </w:rPr>
            </w:pPr>
            <w:r w:rsidRPr="00D504DC">
              <w:rPr>
                <w:noProof/>
                <w:sz w:val="16"/>
                <w:szCs w:val="16"/>
              </w:rPr>
              <w:t>Ключов етап</w:t>
            </w:r>
          </w:p>
        </w:tc>
        <w:tc>
          <w:tcPr>
            <w:tcW w:w="1559" w:type="dxa"/>
            <w:shd w:val="clear" w:color="auto" w:fill="C6EFCE"/>
            <w:noWrap/>
            <w:vAlign w:val="center"/>
            <w:hideMark/>
          </w:tcPr>
          <w:p w14:paraId="6D5B78A8" w14:textId="77777777" w:rsidR="006054AA" w:rsidRPr="00D504DC" w:rsidRDefault="001F7667">
            <w:pPr>
              <w:pStyle w:val="P68B1DB1-Normal11"/>
              <w:spacing w:line="276" w:lineRule="auto"/>
              <w:jc w:val="center"/>
              <w:rPr>
                <w:noProof/>
                <w:sz w:val="16"/>
                <w:szCs w:val="16"/>
              </w:rPr>
            </w:pPr>
            <w:r w:rsidRPr="00D504DC">
              <w:rPr>
                <w:noProof/>
                <w:sz w:val="16"/>
                <w:szCs w:val="16"/>
              </w:rPr>
              <w:t>Възлагане на всички обществени поръчки за канализация и пречистване</w:t>
            </w:r>
          </w:p>
        </w:tc>
        <w:tc>
          <w:tcPr>
            <w:tcW w:w="1383" w:type="dxa"/>
            <w:shd w:val="clear" w:color="auto" w:fill="C6EFCE"/>
            <w:noWrap/>
            <w:vAlign w:val="center"/>
            <w:hideMark/>
          </w:tcPr>
          <w:p w14:paraId="6930B81E" w14:textId="77777777" w:rsidR="006054AA" w:rsidRPr="00D504DC" w:rsidRDefault="001F7667">
            <w:pPr>
              <w:pStyle w:val="P68B1DB1-Normal11"/>
              <w:spacing w:line="276" w:lineRule="auto"/>
              <w:jc w:val="center"/>
              <w:rPr>
                <w:noProof/>
                <w:sz w:val="16"/>
                <w:szCs w:val="16"/>
              </w:rPr>
            </w:pPr>
            <w:r w:rsidRPr="00D504DC">
              <w:rPr>
                <w:noProof/>
                <w:sz w:val="16"/>
                <w:szCs w:val="16"/>
              </w:rPr>
              <w:t>уведомяване за всички обществени поръчки за канализация и пречистване</w:t>
            </w:r>
          </w:p>
        </w:tc>
        <w:tc>
          <w:tcPr>
            <w:tcW w:w="1094" w:type="dxa"/>
            <w:shd w:val="clear" w:color="auto" w:fill="C6EFCE"/>
            <w:noWrap/>
            <w:vAlign w:val="center"/>
            <w:hideMark/>
          </w:tcPr>
          <w:p w14:paraId="0D14571B"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290" w:type="dxa"/>
            <w:shd w:val="clear" w:color="auto" w:fill="C6EFCE"/>
            <w:noWrap/>
            <w:vAlign w:val="center"/>
            <w:hideMark/>
          </w:tcPr>
          <w:p w14:paraId="605E521E" w14:textId="77777777" w:rsidR="006054AA" w:rsidRPr="00D504DC" w:rsidRDefault="001F7667">
            <w:pPr>
              <w:pStyle w:val="P68B1DB1-Normal11"/>
              <w:spacing w:line="276" w:lineRule="auto"/>
              <w:jc w:val="center"/>
              <w:rPr>
                <w:noProof/>
                <w:sz w:val="16"/>
                <w:szCs w:val="16"/>
              </w:rPr>
            </w:pPr>
            <w:r w:rsidRPr="00D504DC">
              <w:rPr>
                <w:noProof/>
                <w:sz w:val="16"/>
                <w:szCs w:val="16"/>
              </w:rPr>
              <w:t xml:space="preserve">НЯМА </w:t>
            </w:r>
          </w:p>
          <w:p w14:paraId="1D81224A" w14:textId="77777777" w:rsidR="006054AA" w:rsidRPr="00D504DC" w:rsidRDefault="006054AA">
            <w:pPr>
              <w:spacing w:line="276" w:lineRule="auto"/>
              <w:jc w:val="center"/>
              <w:rPr>
                <w:rFonts w:ascii="Arial Narrow" w:hAnsi="Arial Narrow"/>
                <w:noProof/>
                <w:color w:val="006100"/>
                <w:sz w:val="16"/>
                <w:szCs w:val="16"/>
              </w:rPr>
            </w:pPr>
          </w:p>
        </w:tc>
        <w:tc>
          <w:tcPr>
            <w:tcW w:w="1194" w:type="dxa"/>
            <w:shd w:val="clear" w:color="auto" w:fill="C6EFCE"/>
            <w:noWrap/>
            <w:vAlign w:val="center"/>
            <w:hideMark/>
          </w:tcPr>
          <w:p w14:paraId="7E0D3F1B" w14:textId="701FB616" w:rsidR="006054AA" w:rsidRPr="00D504DC" w:rsidRDefault="001F7667">
            <w:pPr>
              <w:pStyle w:val="P68B1DB1-Normal11"/>
              <w:spacing w:line="276" w:lineRule="auto"/>
              <w:jc w:val="center"/>
              <w:rPr>
                <w:noProof/>
                <w:sz w:val="16"/>
                <w:szCs w:val="16"/>
              </w:rPr>
            </w:pPr>
            <w:r w:rsidRPr="00D504DC">
              <w:rPr>
                <w:noProof/>
                <w:sz w:val="16"/>
                <w:szCs w:val="16"/>
              </w:rPr>
              <w:t>НЯМА</w:t>
            </w:r>
          </w:p>
          <w:p w14:paraId="5D3AE0EC" w14:textId="77777777" w:rsidR="006054AA" w:rsidRPr="00D504DC" w:rsidRDefault="006054AA">
            <w:pPr>
              <w:spacing w:line="276" w:lineRule="auto"/>
              <w:jc w:val="center"/>
              <w:rPr>
                <w:rFonts w:ascii="Arial Narrow" w:hAnsi="Arial Narrow"/>
                <w:noProof/>
                <w:color w:val="006100"/>
                <w:sz w:val="16"/>
                <w:szCs w:val="16"/>
              </w:rPr>
            </w:pPr>
          </w:p>
        </w:tc>
        <w:tc>
          <w:tcPr>
            <w:tcW w:w="916" w:type="dxa"/>
            <w:shd w:val="clear" w:color="auto" w:fill="C6EFCE"/>
            <w:noWrap/>
            <w:vAlign w:val="center"/>
            <w:hideMark/>
          </w:tcPr>
          <w:p w14:paraId="36D3B027"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721989A7" w14:textId="77777777" w:rsidR="006054AA" w:rsidRPr="00D504DC" w:rsidRDefault="001F7667">
            <w:pPr>
              <w:pStyle w:val="P68B1DB1-Normal11"/>
              <w:spacing w:line="276" w:lineRule="auto"/>
              <w:jc w:val="center"/>
              <w:rPr>
                <w:noProof/>
                <w:sz w:val="16"/>
                <w:szCs w:val="16"/>
              </w:rPr>
            </w:pPr>
            <w:r w:rsidRPr="00D504DC">
              <w:rPr>
                <w:noProof/>
                <w:sz w:val="16"/>
                <w:szCs w:val="16"/>
              </w:rPr>
              <w:t>2023</w:t>
            </w:r>
          </w:p>
        </w:tc>
        <w:tc>
          <w:tcPr>
            <w:tcW w:w="4116" w:type="dxa"/>
            <w:shd w:val="clear" w:color="auto" w:fill="C6EFCE"/>
            <w:noWrap/>
            <w:vAlign w:val="center"/>
            <w:hideMark/>
          </w:tcPr>
          <w:p w14:paraId="58C2C26E" w14:textId="77777777" w:rsidR="006054AA" w:rsidRPr="00D504DC" w:rsidRDefault="001F7667">
            <w:pPr>
              <w:pStyle w:val="P68B1DB1-Normal11"/>
              <w:spacing w:line="276" w:lineRule="auto"/>
              <w:rPr>
                <w:noProof/>
                <w:sz w:val="16"/>
                <w:szCs w:val="16"/>
              </w:rPr>
            </w:pPr>
            <w:r w:rsidRPr="00D504DC">
              <w:rPr>
                <w:noProof/>
                <w:sz w:val="16"/>
                <w:szCs w:val="16"/>
              </w:rPr>
              <w:t xml:space="preserve">Публикуване на постановлението за допускане с предоставянето (възлагането) на финансиране на проектните предложения.  </w:t>
            </w:r>
          </w:p>
          <w:p w14:paraId="42A9CC0E" w14:textId="77777777" w:rsidR="006054AA" w:rsidRPr="00D504DC" w:rsidRDefault="006054AA">
            <w:pPr>
              <w:spacing w:line="276" w:lineRule="auto"/>
              <w:rPr>
                <w:rFonts w:ascii="Arial Narrow" w:hAnsi="Arial Narrow"/>
                <w:noProof/>
                <w:color w:val="006100"/>
                <w:sz w:val="16"/>
                <w:szCs w:val="16"/>
              </w:rPr>
            </w:pPr>
          </w:p>
          <w:p w14:paraId="0706039D" w14:textId="77777777" w:rsidR="006054AA" w:rsidRPr="00D504DC" w:rsidRDefault="001F7667">
            <w:pPr>
              <w:pStyle w:val="P68B1DB1-Normal11"/>
              <w:spacing w:line="276" w:lineRule="auto"/>
              <w:rPr>
                <w:noProof/>
                <w:sz w:val="16"/>
                <w:szCs w:val="16"/>
              </w:rPr>
            </w:pPr>
            <w:r w:rsidRPr="00D504DC">
              <w:rPr>
                <w:noProof/>
                <w:sz w:val="16"/>
                <w:szCs w:val="16"/>
              </w:rPr>
              <w:t>Интервенциите:</w:t>
            </w:r>
          </w:p>
          <w:p w14:paraId="0CC55F4D" w14:textId="77777777" w:rsidR="006054AA" w:rsidRPr="00D504DC" w:rsidRDefault="006054AA">
            <w:pPr>
              <w:spacing w:line="276" w:lineRule="auto"/>
              <w:rPr>
                <w:rFonts w:ascii="Arial Narrow" w:hAnsi="Arial Narrow"/>
                <w:noProof/>
                <w:color w:val="006100"/>
                <w:sz w:val="16"/>
                <w:szCs w:val="16"/>
              </w:rPr>
            </w:pPr>
          </w:p>
          <w:p w14:paraId="0AE5C878" w14:textId="77777777" w:rsidR="006054AA" w:rsidRPr="00D504DC" w:rsidRDefault="001F7667">
            <w:pPr>
              <w:pStyle w:val="P68B1DB1-ListParagraph13"/>
              <w:numPr>
                <w:ilvl w:val="0"/>
                <w:numId w:val="69"/>
              </w:numPr>
              <w:spacing w:before="0" w:after="0" w:line="276" w:lineRule="auto"/>
              <w:ind w:left="468"/>
              <w:jc w:val="left"/>
              <w:rPr>
                <w:noProof/>
                <w:sz w:val="16"/>
                <w:szCs w:val="16"/>
              </w:rPr>
            </w:pPr>
            <w:r w:rsidRPr="00D504DC">
              <w:rPr>
                <w:noProof/>
                <w:sz w:val="16"/>
                <w:szCs w:val="16"/>
              </w:rPr>
              <w:t>Повишаване на ефективността на пречистването на отпадъчните води, зауствани в морските и вътрешните води, включително чрез технологични иновации;</w:t>
            </w:r>
          </w:p>
          <w:p w14:paraId="2C485F9D" w14:textId="77777777" w:rsidR="006054AA" w:rsidRPr="00D504DC" w:rsidRDefault="006054AA">
            <w:pPr>
              <w:spacing w:line="276" w:lineRule="auto"/>
              <w:ind w:left="468"/>
              <w:rPr>
                <w:rFonts w:ascii="Arial Narrow" w:hAnsi="Arial Narrow"/>
                <w:noProof/>
                <w:color w:val="006100"/>
                <w:sz w:val="16"/>
                <w:szCs w:val="16"/>
              </w:rPr>
            </w:pPr>
          </w:p>
          <w:p w14:paraId="6F88D077" w14:textId="77777777" w:rsidR="006054AA" w:rsidRPr="00D504DC" w:rsidRDefault="001F7667">
            <w:pPr>
              <w:pStyle w:val="P68B1DB1-ListParagraph13"/>
              <w:numPr>
                <w:ilvl w:val="0"/>
                <w:numId w:val="69"/>
              </w:numPr>
              <w:spacing w:before="0" w:after="0" w:line="276" w:lineRule="auto"/>
              <w:ind w:left="468"/>
              <w:jc w:val="left"/>
              <w:rPr>
                <w:noProof/>
                <w:sz w:val="16"/>
                <w:szCs w:val="16"/>
              </w:rPr>
            </w:pPr>
            <w:r w:rsidRPr="00D504DC">
              <w:rPr>
                <w:noProof/>
                <w:sz w:val="16"/>
                <w:szCs w:val="16"/>
              </w:rPr>
              <w:t>Трансформиране, когато е възможно, на някои пречиствателни станции в „зелени заводи“, които използват повторно пречистени отпадъчни води за напояване и промишлени цели.</w:t>
            </w:r>
          </w:p>
          <w:p w14:paraId="6EB25B8A" w14:textId="77777777" w:rsidR="006054AA" w:rsidRPr="00D504DC" w:rsidRDefault="006054AA">
            <w:pPr>
              <w:rPr>
                <w:rFonts w:ascii="Arial Narrow" w:hAnsi="Arial Narrow"/>
                <w:noProof/>
                <w:color w:val="006100"/>
                <w:sz w:val="16"/>
                <w:szCs w:val="16"/>
              </w:rPr>
            </w:pPr>
          </w:p>
          <w:p w14:paraId="4B6EB624" w14:textId="381E829E" w:rsidR="006054AA" w:rsidRPr="00D504DC" w:rsidRDefault="001F7667">
            <w:pPr>
              <w:pStyle w:val="P68B1DB1-Normal11"/>
              <w:rPr>
                <w:noProof/>
                <w:sz w:val="16"/>
                <w:szCs w:val="16"/>
              </w:rPr>
            </w:pPr>
            <w:r w:rsidRPr="00D504DC">
              <w:rPr>
                <w:noProof/>
                <w:sz w:val="16"/>
                <w:szCs w:val="16"/>
              </w:rPr>
              <w:t>Тази мярка не нанася значителни вреди на екологичните цели по смисъла на член 17 от Регламент (ЕС) 2020/852, като се вземат предвид описанието на мярката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По-специално изгарянето на утайки не е допустимо.</w:t>
            </w:r>
          </w:p>
          <w:p w14:paraId="714E6A67" w14:textId="77777777" w:rsidR="006054AA" w:rsidRPr="00D504DC" w:rsidRDefault="006054AA">
            <w:pPr>
              <w:spacing w:line="276" w:lineRule="auto"/>
              <w:rPr>
                <w:rFonts w:ascii="Arial Narrow" w:hAnsi="Arial Narrow"/>
                <w:noProof/>
                <w:color w:val="006100"/>
                <w:sz w:val="16"/>
                <w:szCs w:val="16"/>
              </w:rPr>
            </w:pPr>
          </w:p>
        </w:tc>
      </w:tr>
      <w:tr w:rsidR="006054AA" w:rsidRPr="00D504DC" w14:paraId="39E1D81A" w14:textId="77777777">
        <w:trPr>
          <w:trHeight w:val="313"/>
          <w:jc w:val="center"/>
        </w:trPr>
        <w:tc>
          <w:tcPr>
            <w:tcW w:w="1130" w:type="dxa"/>
            <w:shd w:val="clear" w:color="auto" w:fill="C6EFCE"/>
            <w:noWrap/>
            <w:vAlign w:val="center"/>
            <w:hideMark/>
          </w:tcPr>
          <w:p w14:paraId="1ACC74DB" w14:textId="77777777" w:rsidR="006054AA" w:rsidRPr="00D504DC" w:rsidRDefault="001F7667">
            <w:pPr>
              <w:pStyle w:val="P68B1DB1-Normal11"/>
              <w:spacing w:line="276" w:lineRule="auto"/>
              <w:jc w:val="center"/>
              <w:rPr>
                <w:noProof/>
                <w:sz w:val="16"/>
                <w:szCs w:val="16"/>
              </w:rPr>
            </w:pPr>
            <w:r w:rsidRPr="00D504DC">
              <w:rPr>
                <w:noProof/>
                <w:sz w:val="16"/>
                <w:szCs w:val="16"/>
              </w:rPr>
              <w:t>M2C4—37</w:t>
            </w:r>
          </w:p>
        </w:tc>
        <w:tc>
          <w:tcPr>
            <w:tcW w:w="1560" w:type="dxa"/>
            <w:shd w:val="clear" w:color="auto" w:fill="C6EFCE"/>
            <w:noWrap/>
            <w:vAlign w:val="center"/>
            <w:hideMark/>
          </w:tcPr>
          <w:p w14:paraId="30ABC86E"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4.4 Инвестиции в канализация и пречистване</w:t>
            </w:r>
          </w:p>
        </w:tc>
        <w:tc>
          <w:tcPr>
            <w:tcW w:w="1134" w:type="dxa"/>
            <w:shd w:val="clear" w:color="auto" w:fill="C6EFCE"/>
            <w:noWrap/>
            <w:vAlign w:val="center"/>
            <w:hideMark/>
          </w:tcPr>
          <w:p w14:paraId="4934F9C1"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105E3A22" w14:textId="77777777" w:rsidR="006054AA" w:rsidRPr="00D504DC" w:rsidRDefault="001F7667">
            <w:pPr>
              <w:pStyle w:val="P68B1DB1-Normal11"/>
              <w:spacing w:line="276" w:lineRule="auto"/>
              <w:jc w:val="center"/>
              <w:rPr>
                <w:noProof/>
                <w:sz w:val="16"/>
                <w:szCs w:val="16"/>
              </w:rPr>
            </w:pPr>
            <w:r w:rsidRPr="00D504DC">
              <w:rPr>
                <w:noProof/>
                <w:sz w:val="16"/>
                <w:szCs w:val="16"/>
              </w:rPr>
              <w:t>Интервенции за канализация и пречистване Т1</w:t>
            </w:r>
          </w:p>
        </w:tc>
        <w:tc>
          <w:tcPr>
            <w:tcW w:w="1383" w:type="dxa"/>
            <w:shd w:val="clear" w:color="auto" w:fill="C6EFCE"/>
            <w:noWrap/>
            <w:vAlign w:val="center"/>
            <w:hideMark/>
          </w:tcPr>
          <w:p w14:paraId="09E8D5BD"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445C6DA8"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28E79023" w14:textId="77777777" w:rsidR="006054AA" w:rsidRPr="00D504DC" w:rsidRDefault="001F7667">
            <w:pPr>
              <w:pStyle w:val="P68B1DB1-Normal11"/>
              <w:spacing w:line="276" w:lineRule="auto"/>
              <w:jc w:val="center"/>
              <w:rPr>
                <w:noProof/>
                <w:sz w:val="16"/>
                <w:szCs w:val="16"/>
              </w:rPr>
            </w:pPr>
            <w:r w:rsidRPr="00D504DC">
              <w:rPr>
                <w:noProof/>
                <w:sz w:val="16"/>
                <w:szCs w:val="16"/>
              </w:rPr>
              <w:t>0</w:t>
            </w:r>
          </w:p>
        </w:tc>
        <w:tc>
          <w:tcPr>
            <w:tcW w:w="1194" w:type="dxa"/>
            <w:shd w:val="clear" w:color="auto" w:fill="C6EFCE"/>
            <w:noWrap/>
            <w:vAlign w:val="center"/>
            <w:hideMark/>
          </w:tcPr>
          <w:p w14:paraId="56915AD7" w14:textId="4104CC55" w:rsidR="006054AA" w:rsidRPr="00D504DC" w:rsidRDefault="001F7667">
            <w:pPr>
              <w:pStyle w:val="P68B1DB1-Normal11"/>
              <w:spacing w:line="276" w:lineRule="auto"/>
              <w:jc w:val="center"/>
              <w:rPr>
                <w:noProof/>
                <w:sz w:val="16"/>
                <w:szCs w:val="16"/>
              </w:rPr>
            </w:pPr>
            <w:r w:rsidRPr="00D504DC">
              <w:rPr>
                <w:noProof/>
                <w:sz w:val="16"/>
                <w:szCs w:val="16"/>
              </w:rPr>
              <w:t>500 000</w:t>
            </w:r>
          </w:p>
        </w:tc>
        <w:tc>
          <w:tcPr>
            <w:tcW w:w="916" w:type="dxa"/>
            <w:shd w:val="clear" w:color="auto" w:fill="C6EFCE"/>
            <w:noWrap/>
            <w:vAlign w:val="center"/>
            <w:hideMark/>
          </w:tcPr>
          <w:p w14:paraId="2156D8ED" w14:textId="77777777" w:rsidR="006054AA" w:rsidRPr="00D504DC" w:rsidRDefault="001F7667">
            <w:pPr>
              <w:pStyle w:val="P68B1DB1-Normal11"/>
              <w:spacing w:line="276" w:lineRule="auto"/>
              <w:jc w:val="center"/>
              <w:rPr>
                <w:noProof/>
                <w:sz w:val="16"/>
                <w:szCs w:val="16"/>
              </w:rPr>
            </w:pPr>
            <w:r w:rsidRPr="00D504DC">
              <w:rPr>
                <w:noProof/>
                <w:sz w:val="16"/>
                <w:szCs w:val="16"/>
              </w:rPr>
              <w:t>Т4 Г.</w:t>
            </w:r>
          </w:p>
        </w:tc>
        <w:tc>
          <w:tcPr>
            <w:tcW w:w="638" w:type="dxa"/>
            <w:shd w:val="clear" w:color="auto" w:fill="C6EFCE"/>
            <w:noWrap/>
            <w:vAlign w:val="center"/>
            <w:hideMark/>
          </w:tcPr>
          <w:p w14:paraId="1BCCC861" w14:textId="77777777" w:rsidR="006054AA" w:rsidRPr="00D504DC" w:rsidRDefault="001F7667">
            <w:pPr>
              <w:pStyle w:val="P68B1DB1-Normal11"/>
              <w:spacing w:line="276" w:lineRule="auto"/>
              <w:jc w:val="center"/>
              <w:rPr>
                <w:noProof/>
                <w:sz w:val="16"/>
                <w:szCs w:val="16"/>
              </w:rPr>
            </w:pPr>
            <w:r w:rsidRPr="00D504DC">
              <w:rPr>
                <w:noProof/>
                <w:sz w:val="16"/>
                <w:szCs w:val="16"/>
              </w:rPr>
              <w:t>2024</w:t>
            </w:r>
          </w:p>
        </w:tc>
        <w:tc>
          <w:tcPr>
            <w:tcW w:w="4116" w:type="dxa"/>
            <w:shd w:val="clear" w:color="auto" w:fill="C6EFCE"/>
            <w:noWrap/>
            <w:vAlign w:val="center"/>
            <w:hideMark/>
          </w:tcPr>
          <w:p w14:paraId="1A2FE145" w14:textId="62C95EBE" w:rsidR="006054AA" w:rsidRPr="00D504DC" w:rsidRDefault="001F7667">
            <w:pPr>
              <w:pStyle w:val="P68B1DB1-Normal11"/>
              <w:spacing w:line="276" w:lineRule="auto"/>
              <w:rPr>
                <w:noProof/>
                <w:sz w:val="16"/>
                <w:szCs w:val="16"/>
              </w:rPr>
            </w:pPr>
            <w:r w:rsidRPr="00D504DC">
              <w:rPr>
                <w:noProof/>
                <w:sz w:val="16"/>
                <w:szCs w:val="16"/>
              </w:rPr>
              <w:t>Намаляване на броя на еквивалентните жители, живеещи в агломерации, които не отговарят на изискванията на Директива 91/271/ЕИО на Съвета, за недостатъчно събиране и пречистване на градските отпадъчни води най-малко до 500 000 г.</w:t>
            </w:r>
          </w:p>
        </w:tc>
      </w:tr>
      <w:tr w:rsidR="006054AA" w:rsidRPr="00D504DC" w14:paraId="50BF13D9" w14:textId="77777777">
        <w:trPr>
          <w:trHeight w:val="313"/>
          <w:jc w:val="center"/>
        </w:trPr>
        <w:tc>
          <w:tcPr>
            <w:tcW w:w="1130" w:type="dxa"/>
            <w:shd w:val="clear" w:color="auto" w:fill="C6EFCE"/>
            <w:noWrap/>
            <w:vAlign w:val="center"/>
            <w:hideMark/>
          </w:tcPr>
          <w:p w14:paraId="282C3497" w14:textId="77777777" w:rsidR="006054AA" w:rsidRPr="00D504DC" w:rsidRDefault="001F7667">
            <w:pPr>
              <w:pStyle w:val="P68B1DB1-Normal11"/>
              <w:spacing w:line="276" w:lineRule="auto"/>
              <w:jc w:val="center"/>
              <w:rPr>
                <w:noProof/>
                <w:sz w:val="16"/>
                <w:szCs w:val="16"/>
              </w:rPr>
            </w:pPr>
            <w:r w:rsidRPr="00D504DC">
              <w:rPr>
                <w:noProof/>
                <w:sz w:val="16"/>
                <w:szCs w:val="16"/>
              </w:rPr>
              <w:t>M2C4—38</w:t>
            </w:r>
          </w:p>
        </w:tc>
        <w:tc>
          <w:tcPr>
            <w:tcW w:w="1560" w:type="dxa"/>
            <w:shd w:val="clear" w:color="auto" w:fill="C6EFCE"/>
            <w:noWrap/>
            <w:vAlign w:val="center"/>
            <w:hideMark/>
          </w:tcPr>
          <w:p w14:paraId="42EA41D9" w14:textId="77777777" w:rsidR="006054AA" w:rsidRPr="00D504DC" w:rsidRDefault="001F7667">
            <w:pPr>
              <w:pStyle w:val="P68B1DB1-Normal11"/>
              <w:spacing w:line="276" w:lineRule="auto"/>
              <w:jc w:val="center"/>
              <w:rPr>
                <w:noProof/>
                <w:sz w:val="16"/>
                <w:szCs w:val="16"/>
              </w:rPr>
            </w:pPr>
            <w:r w:rsidRPr="00D504DC">
              <w:rPr>
                <w:noProof/>
                <w:sz w:val="16"/>
                <w:szCs w:val="16"/>
              </w:rPr>
              <w:t>Инвестиция 4.4 Инвестиции в канализация и пречистване</w:t>
            </w:r>
          </w:p>
        </w:tc>
        <w:tc>
          <w:tcPr>
            <w:tcW w:w="1134" w:type="dxa"/>
            <w:shd w:val="clear" w:color="auto" w:fill="C6EFCE"/>
            <w:noWrap/>
            <w:vAlign w:val="center"/>
            <w:hideMark/>
          </w:tcPr>
          <w:p w14:paraId="2FECF621" w14:textId="77777777" w:rsidR="006054AA" w:rsidRPr="00D504DC" w:rsidRDefault="001F7667">
            <w:pPr>
              <w:pStyle w:val="P68B1DB1-Normal11"/>
              <w:spacing w:line="276" w:lineRule="auto"/>
              <w:jc w:val="center"/>
              <w:rPr>
                <w:noProof/>
                <w:sz w:val="16"/>
                <w:szCs w:val="16"/>
              </w:rPr>
            </w:pPr>
            <w:r w:rsidRPr="00D504DC">
              <w:rPr>
                <w:noProof/>
                <w:sz w:val="16"/>
                <w:szCs w:val="16"/>
              </w:rPr>
              <w:t>Целеви</w:t>
            </w:r>
          </w:p>
        </w:tc>
        <w:tc>
          <w:tcPr>
            <w:tcW w:w="1559" w:type="dxa"/>
            <w:shd w:val="clear" w:color="auto" w:fill="C6EFCE"/>
            <w:noWrap/>
            <w:vAlign w:val="center"/>
            <w:hideMark/>
          </w:tcPr>
          <w:p w14:paraId="30AB10BA" w14:textId="77777777" w:rsidR="006054AA" w:rsidRPr="00D504DC" w:rsidRDefault="001F7667">
            <w:pPr>
              <w:pStyle w:val="P68B1DB1-Normal11"/>
              <w:spacing w:line="276" w:lineRule="auto"/>
              <w:jc w:val="center"/>
              <w:rPr>
                <w:noProof/>
                <w:sz w:val="16"/>
                <w:szCs w:val="16"/>
              </w:rPr>
            </w:pPr>
            <w:r w:rsidRPr="00D504DC">
              <w:rPr>
                <w:noProof/>
                <w:sz w:val="16"/>
                <w:szCs w:val="16"/>
              </w:rPr>
              <w:t>Интервенции за канализация и пречистване Т2</w:t>
            </w:r>
          </w:p>
        </w:tc>
        <w:tc>
          <w:tcPr>
            <w:tcW w:w="1383" w:type="dxa"/>
            <w:shd w:val="clear" w:color="auto" w:fill="C6EFCE"/>
            <w:noWrap/>
            <w:vAlign w:val="center"/>
            <w:hideMark/>
          </w:tcPr>
          <w:p w14:paraId="2DAD8703" w14:textId="77777777" w:rsidR="006054AA" w:rsidRPr="00D504DC" w:rsidRDefault="001F7667">
            <w:pPr>
              <w:pStyle w:val="P68B1DB1-Normal11"/>
              <w:spacing w:line="276" w:lineRule="auto"/>
              <w:jc w:val="center"/>
              <w:rPr>
                <w:noProof/>
                <w:sz w:val="16"/>
                <w:szCs w:val="16"/>
              </w:rPr>
            </w:pPr>
            <w:r w:rsidRPr="00D504DC">
              <w:rPr>
                <w:noProof/>
                <w:sz w:val="16"/>
                <w:szCs w:val="16"/>
              </w:rPr>
              <w:t>НЯМА</w:t>
            </w:r>
          </w:p>
        </w:tc>
        <w:tc>
          <w:tcPr>
            <w:tcW w:w="1094" w:type="dxa"/>
            <w:shd w:val="clear" w:color="auto" w:fill="C6EFCE"/>
            <w:noWrap/>
            <w:vAlign w:val="center"/>
            <w:hideMark/>
          </w:tcPr>
          <w:p w14:paraId="752156F4" w14:textId="77777777" w:rsidR="006054AA" w:rsidRPr="00D504DC" w:rsidRDefault="001F7667">
            <w:pPr>
              <w:pStyle w:val="P68B1DB1-Normal11"/>
              <w:spacing w:line="276" w:lineRule="auto"/>
              <w:jc w:val="center"/>
              <w:rPr>
                <w:noProof/>
                <w:sz w:val="16"/>
                <w:szCs w:val="16"/>
              </w:rPr>
            </w:pPr>
            <w:r w:rsidRPr="00D504DC">
              <w:rPr>
                <w:noProof/>
                <w:sz w:val="16"/>
                <w:szCs w:val="16"/>
              </w:rPr>
              <w:t>Брой</w:t>
            </w:r>
          </w:p>
        </w:tc>
        <w:tc>
          <w:tcPr>
            <w:tcW w:w="1290" w:type="dxa"/>
            <w:shd w:val="clear" w:color="auto" w:fill="C6EFCE"/>
            <w:noWrap/>
            <w:vAlign w:val="center"/>
            <w:hideMark/>
          </w:tcPr>
          <w:p w14:paraId="1B11B8D1" w14:textId="7A5E8B1D" w:rsidR="006054AA" w:rsidRPr="00D504DC" w:rsidRDefault="001F7667">
            <w:pPr>
              <w:pStyle w:val="P68B1DB1-Normal11"/>
              <w:spacing w:line="276" w:lineRule="auto"/>
              <w:jc w:val="center"/>
              <w:rPr>
                <w:noProof/>
                <w:sz w:val="16"/>
                <w:szCs w:val="16"/>
              </w:rPr>
            </w:pPr>
            <w:r w:rsidRPr="00D504DC">
              <w:rPr>
                <w:noProof/>
                <w:sz w:val="16"/>
                <w:szCs w:val="16"/>
              </w:rPr>
              <w:t>500 000</w:t>
            </w:r>
          </w:p>
        </w:tc>
        <w:tc>
          <w:tcPr>
            <w:tcW w:w="1194" w:type="dxa"/>
            <w:shd w:val="clear" w:color="auto" w:fill="C6EFCE"/>
            <w:noWrap/>
            <w:vAlign w:val="center"/>
            <w:hideMark/>
          </w:tcPr>
          <w:p w14:paraId="11EBEC3E" w14:textId="534EF601" w:rsidR="006054AA" w:rsidRPr="00D504DC" w:rsidRDefault="001F7667">
            <w:pPr>
              <w:pStyle w:val="P68B1DB1-Normal11"/>
              <w:spacing w:line="276" w:lineRule="auto"/>
              <w:jc w:val="center"/>
              <w:rPr>
                <w:noProof/>
                <w:sz w:val="16"/>
                <w:szCs w:val="16"/>
              </w:rPr>
            </w:pPr>
            <w:r w:rsidRPr="00D504DC">
              <w:rPr>
                <w:noProof/>
                <w:sz w:val="16"/>
                <w:szCs w:val="16"/>
              </w:rPr>
              <w:t>2 250 000</w:t>
            </w:r>
          </w:p>
        </w:tc>
        <w:tc>
          <w:tcPr>
            <w:tcW w:w="916" w:type="dxa"/>
            <w:shd w:val="clear" w:color="auto" w:fill="C6EFCE"/>
            <w:noWrap/>
            <w:vAlign w:val="center"/>
            <w:hideMark/>
          </w:tcPr>
          <w:p w14:paraId="22D2B07C" w14:textId="77777777" w:rsidR="006054AA" w:rsidRPr="00D504DC" w:rsidRDefault="001F7667">
            <w:pPr>
              <w:pStyle w:val="P68B1DB1-Normal11"/>
              <w:spacing w:line="276" w:lineRule="auto"/>
              <w:jc w:val="center"/>
              <w:rPr>
                <w:noProof/>
                <w:sz w:val="16"/>
                <w:szCs w:val="16"/>
              </w:rPr>
            </w:pPr>
            <w:r w:rsidRPr="00D504DC">
              <w:rPr>
                <w:noProof/>
                <w:sz w:val="16"/>
                <w:szCs w:val="16"/>
              </w:rPr>
              <w:t>Т1 Г.</w:t>
            </w:r>
          </w:p>
        </w:tc>
        <w:tc>
          <w:tcPr>
            <w:tcW w:w="638" w:type="dxa"/>
            <w:shd w:val="clear" w:color="auto" w:fill="C6EFCE"/>
            <w:noWrap/>
            <w:vAlign w:val="center"/>
            <w:hideMark/>
          </w:tcPr>
          <w:p w14:paraId="07C9541A" w14:textId="77777777" w:rsidR="006054AA" w:rsidRPr="00D504DC" w:rsidRDefault="001F7667">
            <w:pPr>
              <w:pStyle w:val="P68B1DB1-Normal11"/>
              <w:spacing w:line="276" w:lineRule="auto"/>
              <w:jc w:val="center"/>
              <w:rPr>
                <w:noProof/>
                <w:sz w:val="16"/>
                <w:szCs w:val="16"/>
              </w:rPr>
            </w:pPr>
            <w:r w:rsidRPr="00D504DC">
              <w:rPr>
                <w:noProof/>
                <w:sz w:val="16"/>
                <w:szCs w:val="16"/>
              </w:rPr>
              <w:t>2026</w:t>
            </w:r>
          </w:p>
        </w:tc>
        <w:tc>
          <w:tcPr>
            <w:tcW w:w="4116" w:type="dxa"/>
            <w:shd w:val="clear" w:color="auto" w:fill="C6EFCE"/>
            <w:noWrap/>
            <w:vAlign w:val="center"/>
            <w:hideMark/>
          </w:tcPr>
          <w:p w14:paraId="51AC0EC2" w14:textId="73CC6DBC" w:rsidR="006054AA" w:rsidRPr="00D504DC" w:rsidRDefault="001F7667">
            <w:pPr>
              <w:pStyle w:val="P68B1DB1-Normal11"/>
              <w:spacing w:line="276" w:lineRule="auto"/>
              <w:rPr>
                <w:noProof/>
                <w:sz w:val="16"/>
                <w:szCs w:val="16"/>
              </w:rPr>
            </w:pPr>
            <w:r w:rsidRPr="00D504DC">
              <w:rPr>
                <w:noProof/>
                <w:sz w:val="16"/>
                <w:szCs w:val="16"/>
              </w:rPr>
              <w:t>Намаляване на броя на еквивалентните жители, живеещи в агломерации, които не отговарят на изискванията на Директива 91/271/ЕИО на Съвета, за недостатъчно събиране и пречистване на градските отпадъчни води най-малко до 2 250 000 г.</w:t>
            </w:r>
          </w:p>
        </w:tc>
      </w:tr>
    </w:tbl>
    <w:p w14:paraId="4D6950D6" w14:textId="77777777" w:rsidR="006054AA" w:rsidRDefault="006054AA">
      <w:pPr>
        <w:tabs>
          <w:tab w:val="left" w:pos="4252"/>
        </w:tabs>
        <w:rPr>
          <w:i/>
          <w:noProof/>
        </w:rPr>
        <w:sectPr w:rsidR="006054AA">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57329DDB" w14:textId="50C69B98" w:rsidR="006054AA" w:rsidRDefault="001F7667">
      <w:pPr>
        <w:pStyle w:val="Heading2"/>
        <w:numPr>
          <w:ilvl w:val="0"/>
          <w:numId w:val="0"/>
        </w:numPr>
        <w:rPr>
          <w:noProof/>
        </w:rPr>
      </w:pPr>
      <w:r>
        <w:rPr>
          <w:noProof/>
        </w:rPr>
        <w:t>З. МИСИЯ 3 КОМПОНЕНТ 1: Устойчива транспортна инфраструктура</w:t>
      </w:r>
    </w:p>
    <w:p w14:paraId="4BDECF12" w14:textId="77777777" w:rsidR="006054AA" w:rsidRDefault="006054AA">
      <w:pPr>
        <w:spacing w:before="120" w:after="120"/>
        <w:jc w:val="both"/>
        <w:rPr>
          <w:noProof/>
        </w:rPr>
      </w:pPr>
    </w:p>
    <w:p w14:paraId="3DBAD0B0"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З.1. </w:t>
      </w:r>
      <w:r>
        <w:rPr>
          <w:noProof/>
        </w:rPr>
        <w:tab/>
      </w:r>
      <w:r>
        <w:rPr>
          <w:b/>
          <w:i w:val="0"/>
          <w:noProof/>
          <w:u w:val="single"/>
        </w:rPr>
        <w:t>Описание на реформите и инвестициите за безвъзмездна финансова подкрепа</w:t>
      </w:r>
    </w:p>
    <w:p w14:paraId="42E4C009" w14:textId="77777777" w:rsidR="006054AA" w:rsidRDefault="001F7667">
      <w:pPr>
        <w:pStyle w:val="P68B1DB1-Normal17"/>
        <w:spacing w:before="120" w:after="120"/>
        <w:jc w:val="both"/>
        <w:rPr>
          <w:noProof/>
        </w:rPr>
      </w:pPr>
      <w:r>
        <w:rPr>
          <w:noProof/>
        </w:rPr>
        <w:t>НЯМА</w:t>
      </w:r>
    </w:p>
    <w:p w14:paraId="5CA7F9C7" w14:textId="77777777" w:rsidR="006054AA" w:rsidRDefault="001F7667">
      <w:pPr>
        <w:pStyle w:val="Heading3"/>
        <w:numPr>
          <w:ilvl w:val="0"/>
          <w:numId w:val="0"/>
        </w:numPr>
        <w:ind w:left="850" w:hanging="850"/>
        <w:rPr>
          <w:b/>
          <w:i w:val="0"/>
          <w:noProof/>
          <w:u w:val="single"/>
        </w:rPr>
      </w:pPr>
      <w:r>
        <w:rPr>
          <w:b/>
          <w:i w:val="0"/>
          <w:noProof/>
          <w:u w:val="single"/>
        </w:rPr>
        <w:t xml:space="preserve">З.2.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33261F56" w14:textId="77777777" w:rsidR="006054AA" w:rsidRDefault="001F7667">
      <w:pPr>
        <w:pStyle w:val="P68B1DB1-Normal15"/>
        <w:spacing w:before="120" w:after="120"/>
        <w:jc w:val="both"/>
        <w:rPr>
          <w:noProof/>
        </w:rPr>
      </w:pPr>
      <w:r>
        <w:rPr>
          <w:noProof/>
        </w:rPr>
        <w:t>НЯМА</w:t>
      </w:r>
    </w:p>
    <w:p w14:paraId="588CEA20" w14:textId="77777777" w:rsidR="006054AA" w:rsidRDefault="006054AA">
      <w:pPr>
        <w:spacing w:before="120" w:after="120"/>
        <w:ind w:left="709"/>
        <w:jc w:val="both"/>
        <w:rPr>
          <w:noProof/>
        </w:rPr>
        <w:sectPr w:rsidR="006054AA">
          <w:headerReference w:type="even" r:id="rId188"/>
          <w:headerReference w:type="default" r:id="rId189"/>
          <w:footerReference w:type="even" r:id="rId190"/>
          <w:footerReference w:type="default" r:id="rId191"/>
          <w:headerReference w:type="first" r:id="rId192"/>
          <w:footerReference w:type="first" r:id="rId193"/>
          <w:pgSz w:w="11907" w:h="16839"/>
          <w:pgMar w:top="1440" w:right="1440" w:bottom="1440" w:left="1440" w:header="567" w:footer="567" w:gutter="0"/>
          <w:cols w:space="720"/>
          <w:docGrid w:linePitch="360"/>
        </w:sectPr>
      </w:pPr>
    </w:p>
    <w:p w14:paraId="30FEBD32"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З.3. </w:t>
      </w:r>
      <w:r>
        <w:rPr>
          <w:noProof/>
        </w:rPr>
        <w:tab/>
      </w:r>
      <w:r>
        <w:rPr>
          <w:b/>
          <w:i w:val="0"/>
          <w:noProof/>
          <w:u w:val="single"/>
        </w:rPr>
        <w:t xml:space="preserve">Описание на реформите и инвестициите за заема </w:t>
      </w:r>
    </w:p>
    <w:p w14:paraId="37ACEC66" w14:textId="77777777" w:rsidR="006054AA" w:rsidRDefault="001F7667">
      <w:pPr>
        <w:spacing w:before="120" w:after="120"/>
        <w:jc w:val="both"/>
        <w:rPr>
          <w:noProof/>
        </w:rPr>
      </w:pPr>
      <w:r>
        <w:rPr>
          <w:noProof/>
        </w:rPr>
        <w:t>Инвестициите в този компонент подкрепят разгръщането на железопътната инфраструктура (високоскоростна, товарна, регионални железопътни линии, Европейска система за управление на железопътното движение). Те са придружени от реформи за ускоряване на инвестициите в железопътната инфраструктура и за подобряване на качеството на пътната инфраструктура. Компонентът за реформа на бизнес средата съдържа мярка, която създава допълнителни стимули за регионите да участват в търгове за своите регионални договори за обществени железопътни услуги. Този компонент съдържа мерки за развитие на използването на водород в железопътния транспорт.</w:t>
      </w:r>
    </w:p>
    <w:p w14:paraId="7FF5D899" w14:textId="77777777" w:rsidR="006054AA" w:rsidRDefault="001F7667">
      <w:pPr>
        <w:spacing w:before="120" w:after="120"/>
        <w:jc w:val="both"/>
        <w:rPr>
          <w:noProof/>
        </w:rPr>
      </w:pPr>
      <w:r>
        <w:rPr>
          <w:noProof/>
        </w:rPr>
        <w:t>Този компонент подкрепя изпълнението на специфичната за държавата препоръка 3 от 2019 г., в която Италия се призовава да „съсредоточи икономическата политика, свързана с инвестициите, върху [...] качеството на инфраструктурата, като се вземат предвид регионалните различия „, и специфичната за държавата препоръка 3 относно „Предоставяне на ранен етап на проектите за публични инвестиции„и „Насочване на инвестициите към екологичния и цифровия преход, по-специално към чисто и ефективно производство и използване на енергия, научни изследвания и иновации, устойчив обществен транспорт, управление на отпадъците и водите, както и засилена цифрова инфраструктура, за да се гарантира предоставянето на основни услуги“.</w:t>
      </w:r>
    </w:p>
    <w:p w14:paraId="158353BB" w14:textId="77777777" w:rsidR="006054AA" w:rsidRDefault="001F7667">
      <w:pPr>
        <w:spacing w:before="120" w:after="120"/>
        <w:jc w:val="both"/>
        <w:rPr>
          <w:noProof/>
        </w:rPr>
      </w:pPr>
      <w:r>
        <w:rPr>
          <w:noProof/>
        </w:rPr>
        <w:t xml:space="preserve">Очаква се, че нито една мярка в този компонент не нанася значителни вреди на екологичните цели по смисъла на член 17 от Регламент (ЕС) 2020/852, като се вземе предвид описанието на мерките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w:t>
      </w:r>
    </w:p>
    <w:p w14:paraId="6A2FE102" w14:textId="77777777" w:rsidR="006054AA" w:rsidRDefault="001F7667">
      <w:pPr>
        <w:pStyle w:val="P68B1DB1-Normal2"/>
        <w:spacing w:before="120" w:after="120"/>
        <w:jc w:val="both"/>
        <w:rPr>
          <w:noProof/>
        </w:rPr>
      </w:pPr>
      <w:r>
        <w:rPr>
          <w:noProof/>
        </w:rPr>
        <w:t xml:space="preserve">Реформа 1.1 — Ускоряване на процеса на одобрение на договора между Министерството на инфраструктурата и транспорта (MIT) и управителя на железопътната инфраструктура </w:t>
      </w:r>
      <w:r>
        <w:rPr>
          <w:i/>
          <w:noProof/>
        </w:rPr>
        <w:t>Rete Ferroviaria Italiana</w:t>
      </w:r>
    </w:p>
    <w:p w14:paraId="49D7ECC8" w14:textId="77777777" w:rsidR="006054AA" w:rsidRDefault="001F7667">
      <w:pPr>
        <w:spacing w:before="120" w:after="120"/>
        <w:jc w:val="both"/>
        <w:rPr>
          <w:noProof/>
        </w:rPr>
      </w:pPr>
      <w:r>
        <w:rPr>
          <w:noProof/>
        </w:rPr>
        <w:t xml:space="preserve">Тази реформа се състои в премахване на изискването парламентарните комисии да изразяват становище относно списъка на инвестициите на </w:t>
      </w:r>
      <w:r>
        <w:rPr>
          <w:i/>
          <w:noProof/>
        </w:rPr>
        <w:t>Contratti di Programma (CdP)</w:t>
      </w:r>
      <w:r>
        <w:rPr>
          <w:noProof/>
        </w:rPr>
        <w:t xml:space="preserve"> на управителя на железопътната инфраструктура </w:t>
      </w:r>
      <w:r>
        <w:rPr>
          <w:i/>
          <w:noProof/>
        </w:rPr>
        <w:t>Rete Ferroviaria Italiana</w:t>
      </w:r>
      <w:r>
        <w:rPr>
          <w:noProof/>
        </w:rPr>
        <w:t>. Парламентарните комисии изразяват становище относно стратегическата програма за инвестиции.</w:t>
      </w:r>
    </w:p>
    <w:p w14:paraId="7BA39370" w14:textId="77777777" w:rsidR="006054AA" w:rsidRDefault="001F7667">
      <w:pPr>
        <w:pStyle w:val="P68B1DB1-Normal2"/>
        <w:spacing w:before="120" w:after="120"/>
        <w:jc w:val="both"/>
        <w:rPr>
          <w:noProof/>
        </w:rPr>
      </w:pPr>
      <w:r>
        <w:rPr>
          <w:noProof/>
        </w:rPr>
        <w:t>Реформа 1.2 — Ускоряване на процеса на издаване на разрешения за проекти</w:t>
      </w:r>
    </w:p>
    <w:p w14:paraId="4D5C2746" w14:textId="77777777" w:rsidR="006054AA" w:rsidRDefault="001F7667">
      <w:pPr>
        <w:spacing w:before="120" w:after="120"/>
        <w:jc w:val="both"/>
        <w:rPr>
          <w:noProof/>
        </w:rPr>
      </w:pPr>
      <w:r>
        <w:rPr>
          <w:noProof/>
        </w:rPr>
        <w:t>Тази реформа се състои в приемането на законодателство, което позволява да се предвиди мястото на работа по време на „Проекта за икономическа техническа осъществимост“ (PFTE), вместо да се изчака окончателната фаза на проектиране на проекта. Допълнителни разрешения, които не могат да бъдат придобити на PFTE, ще бъдат получени в следващите етапи на проектиране на проекта, без да се свиква „Conferenza dei Servizi“ като изключение от Закон № 241/1990. С тези промени се намалява срокът за разрешаване на проектите от 11 на 6 месеца.</w:t>
      </w:r>
    </w:p>
    <w:p w14:paraId="635B7E5F" w14:textId="77777777" w:rsidR="006054AA" w:rsidRDefault="001F7667">
      <w:pPr>
        <w:pStyle w:val="P68B1DB1-Normal2"/>
        <w:spacing w:before="120" w:after="120"/>
        <w:jc w:val="both"/>
        <w:rPr>
          <w:noProof/>
        </w:rPr>
      </w:pPr>
      <w:r>
        <w:rPr>
          <w:noProof/>
        </w:rPr>
        <w:t>Инвестиция 1.1 — Високоскоростни железопътни връзки на юг за пътници и товари</w:t>
      </w:r>
    </w:p>
    <w:p w14:paraId="480BE977" w14:textId="7E438F29" w:rsidR="006054AA" w:rsidRDefault="001F7667">
      <w:pPr>
        <w:spacing w:before="120" w:after="120"/>
        <w:jc w:val="both"/>
        <w:rPr>
          <w:noProof/>
        </w:rPr>
      </w:pPr>
      <w:r>
        <w:rPr>
          <w:noProof/>
        </w:rPr>
        <w:t xml:space="preserve">Тази инвестиция се състои в изграждането на 119 км високоскоростна железопътна инфраструктура за пътници и товари по линиите Наполи-Бари, Салерно-Реджо и Палермо-Катания. </w:t>
      </w:r>
    </w:p>
    <w:p w14:paraId="0C0843BD" w14:textId="77777777" w:rsidR="006054AA" w:rsidRDefault="001F7667">
      <w:pPr>
        <w:spacing w:before="120" w:after="120"/>
        <w:jc w:val="both"/>
        <w:rPr>
          <w:noProof/>
        </w:rPr>
      </w:pPr>
      <w:r>
        <w:rPr>
          <w:noProof/>
        </w:rPr>
        <w:t>При оценката и разрешаването на всеки съответен проект или/инвестиция се спазват всички правила и процедури, определени в членове 6.3 и 6.4 от Директива 92/43/CEE на ЕС, и се спазват националните насоки за оценка на въздействието, публикувани в Държавен вестник № 303 на Италианската република от 28 декември 2019 г.</w:t>
      </w:r>
    </w:p>
    <w:p w14:paraId="341B6468" w14:textId="77777777" w:rsidR="006054AA" w:rsidRDefault="001F7667">
      <w:pPr>
        <w:spacing w:before="120" w:after="120"/>
        <w:jc w:val="both"/>
        <w:rPr>
          <w:noProof/>
        </w:rPr>
      </w:pPr>
      <w:r>
        <w:rPr>
          <w:noProof/>
        </w:rPr>
        <w:t>Очаква се тази мярка да не нанася значителни вреди на екологичните цели по смисъла на член 17 от Регламент (ЕС) 2020/852, като се вземе предвид описанието на мярката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w:t>
      </w:r>
    </w:p>
    <w:p w14:paraId="19E7ACD8" w14:textId="77777777" w:rsidR="006054AA" w:rsidRDefault="001F7667">
      <w:pPr>
        <w:pStyle w:val="P68B1DB1-Normal2"/>
        <w:spacing w:before="120" w:after="120"/>
        <w:jc w:val="both"/>
        <w:rPr>
          <w:noProof/>
        </w:rPr>
      </w:pPr>
      <w:r>
        <w:rPr>
          <w:noProof/>
        </w:rPr>
        <w:t>Инвестиция 1.2 — Високоскоростни линии в северната част на страната, свързващи с останалата част на Европа</w:t>
      </w:r>
    </w:p>
    <w:p w14:paraId="67DEA3BF" w14:textId="7DE8ABCE" w:rsidR="006054AA" w:rsidRDefault="001F7667">
      <w:pPr>
        <w:spacing w:before="120" w:after="120"/>
        <w:jc w:val="both"/>
        <w:rPr>
          <w:noProof/>
        </w:rPr>
      </w:pPr>
      <w:r>
        <w:rPr>
          <w:noProof/>
        </w:rPr>
        <w:t>Тази инвестиция се състои в изграждането на 165 км високоскоростна железопътна инфраструктура за пътници и товари по линиите Brescia-Verona-Vicenza-Padova, Liguria-Alpi. При оценката и разрешаването на всеки съответен проект/инвестиция се спазват всички правила и процедури, определени в членове 6.3 и 6.4 от Директива 92/43/ЕИО на ЕС, и се следват националните насоки за оценка на въздействието, публикувани в Държавен вестник № 303 на Италианската република от 28 декември 2019 г.</w:t>
      </w:r>
    </w:p>
    <w:p w14:paraId="633CC8F3" w14:textId="77777777" w:rsidR="006054AA" w:rsidRDefault="001F7667">
      <w:pPr>
        <w:spacing w:before="120" w:after="120"/>
        <w:jc w:val="both"/>
        <w:rPr>
          <w:noProof/>
        </w:rPr>
      </w:pPr>
      <w:r>
        <w:rPr>
          <w:noProof/>
        </w:rPr>
        <w:t>Очаква се тази мярка да не нанася значителни вреди на екологичните цели по смисъла на член 17 от Регламент (ЕС) 2020/852, като се вземат предвид описанието на мярката и стъпките за смекчаване, определени в плана за възстановяване и устойчивост в съответствие с техническите насоки във връзка с принципа за ненанасяне на значителни вреди (2021/C58/01), и ключовите етапи и целите, които Италия трябва да изпълни.</w:t>
      </w:r>
    </w:p>
    <w:p w14:paraId="2DF60811" w14:textId="77777777" w:rsidR="006054AA" w:rsidRDefault="001F7667">
      <w:pPr>
        <w:spacing w:before="120" w:after="120"/>
        <w:jc w:val="both"/>
        <w:rPr>
          <w:noProof/>
        </w:rPr>
      </w:pPr>
      <w:r>
        <w:rPr>
          <w:noProof/>
        </w:rPr>
        <w:t>За сегмента Rho-Parabiago ще зависи от положителна оценка на въздействието върху околната среда, която напълно и по същество отговаря на правните критерии, като изцяло включва всички резултати и условия от оценката на въздействието върху околната среда, ако това се изисква за постигане на съответствие с техническите насоки съгласно принципа за ненанасяне на значителни вреди (2021/C58/01). ОВОС се публикува и приключва в съответствие с Директива 2011/92/ЕС, както и съответните оценки в контекста на Директива 2000/60/ЕО и Директива 92/43/ЕИО, включително прилагането на необходимите мерки за смекчаване на последиците. Всички мерки, определени в рамките на ОВОС като необходими за осигуряване на съответствие с техническите насоки за НЗВ (2021/C58/01), се интегрират в проекта и се спазват на етапите на изграждане, експлоатация и извеждане от експлоатация на инфраструктурата.</w:t>
      </w:r>
    </w:p>
    <w:p w14:paraId="52A03C55" w14:textId="77777777" w:rsidR="006054AA" w:rsidRDefault="001F7667">
      <w:pPr>
        <w:pStyle w:val="P68B1DB1-Normal2"/>
        <w:spacing w:before="120" w:after="120"/>
        <w:jc w:val="both"/>
        <w:rPr>
          <w:noProof/>
        </w:rPr>
      </w:pPr>
      <w:r>
        <w:rPr>
          <w:noProof/>
        </w:rPr>
        <w:t>Инвестиция 1.3 — Диагонални връзки</w:t>
      </w:r>
    </w:p>
    <w:p w14:paraId="68375FA5" w14:textId="73EA0093" w:rsidR="006054AA" w:rsidRDefault="001F7667">
      <w:pPr>
        <w:spacing w:before="120" w:after="120"/>
        <w:jc w:val="both"/>
        <w:rPr>
          <w:noProof/>
        </w:rPr>
      </w:pPr>
      <w:r>
        <w:rPr>
          <w:noProof/>
        </w:rPr>
        <w:t>Тази инвестиция се състои в изграждането на 27 км високоскоростни железопътни линии както за пътници, така и за товари по линиите Орте-Фалконара и Таранто -Метапонто-Потена-Батипаглия. При оценката и разрешаването на всеки съответен проект/инвестиция се спазват всички правила и процедури, определени в членове 6.3 и 6.4 от Директива 92/43/ЕИО на ЕС, и се следват националните насоки за оценка на въздействието, публикувани в Държавен вестник № 303 на Италианската република от 28 декември 2019 г.</w:t>
      </w:r>
    </w:p>
    <w:p w14:paraId="2F5D23D2" w14:textId="77777777" w:rsidR="006054AA" w:rsidRDefault="001F7667">
      <w:pPr>
        <w:pStyle w:val="P68B1DB1-Normal2"/>
        <w:spacing w:before="120" w:after="120"/>
        <w:jc w:val="both"/>
        <w:rPr>
          <w:noProof/>
        </w:rPr>
      </w:pPr>
      <w:r>
        <w:rPr>
          <w:noProof/>
        </w:rPr>
        <w:t>Инвестиция 1.4 — Европейска система за управление на железопътния транспорт (ERTMS)</w:t>
      </w:r>
    </w:p>
    <w:p w14:paraId="2333F1D4" w14:textId="77777777" w:rsidR="006054AA" w:rsidRDefault="001F7667">
      <w:pPr>
        <w:spacing w:before="120" w:after="120"/>
        <w:jc w:val="both"/>
        <w:rPr>
          <w:noProof/>
        </w:rPr>
      </w:pPr>
      <w:r>
        <w:rPr>
          <w:noProof/>
        </w:rPr>
        <w:t xml:space="preserve">Тази инвестиция се състои в оборудване на 2.785 км железопътни линии с Европейската система за управление на железопътния транспорт (ERTMS) в съответствие с Европейския план за внедряване на ERTMS.  </w:t>
      </w:r>
    </w:p>
    <w:p w14:paraId="1AD110E2" w14:textId="77777777" w:rsidR="006054AA" w:rsidRDefault="001F7667">
      <w:pPr>
        <w:pStyle w:val="P68B1DB1-Normal2"/>
        <w:spacing w:before="120" w:after="120"/>
        <w:jc w:val="both"/>
        <w:rPr>
          <w:noProof/>
        </w:rPr>
      </w:pPr>
      <w:r>
        <w:rPr>
          <w:noProof/>
        </w:rPr>
        <w:t>Инвестиция 1.5 — Укрепване на метрополните възли и основните национални връзки</w:t>
      </w:r>
    </w:p>
    <w:p w14:paraId="618170C9" w14:textId="01D2B5D2" w:rsidR="006054AA" w:rsidRDefault="001F7667">
      <w:pPr>
        <w:spacing w:before="120" w:after="120"/>
        <w:jc w:val="both"/>
        <w:rPr>
          <w:noProof/>
        </w:rPr>
      </w:pPr>
      <w:r>
        <w:rPr>
          <w:noProof/>
        </w:rPr>
        <w:t>Тази инвестиция се състои в модернизиране на най-малко 1.280 км участъци от железопътни линии, изградени върху 12 метрополни града и ключови национални връзки (Лигурия — Алпи, Болоня-Венеция-Триест/Удине, Болоня-Милано, Болоня-Верона-Бренеро, връзка Централна и Северна Тиренян, Адриатическо-Йонийска връзка, градски възли и регионални линии; Товарни терминали). При оценката и разрешаването на всеки съответен проект или инвестиция се спазват всички правила и процедури, определени в членове 6.3 и 6.4 от Директива 92/43/CEE на ЕС, и се спазват националните насоки за оценка на въздействието, публикувани в Държавен вестник № 303 на Италианската република от 28 декември 2019 г.</w:t>
      </w:r>
    </w:p>
    <w:p w14:paraId="3DD0C22F" w14:textId="77777777" w:rsidR="006054AA" w:rsidRDefault="001F7667">
      <w:pPr>
        <w:pStyle w:val="P68B1DB1-Normal2"/>
        <w:spacing w:before="120" w:after="120"/>
        <w:jc w:val="both"/>
        <w:rPr>
          <w:noProof/>
        </w:rPr>
      </w:pPr>
      <w:r>
        <w:rPr>
          <w:noProof/>
        </w:rPr>
        <w:t>Инвестиция 1.6 — Укрепване на регионалните линии — модернизиране на регионалните железопътни линии (управление на ИИ)</w:t>
      </w:r>
    </w:p>
    <w:p w14:paraId="0CB665E3" w14:textId="08519029" w:rsidR="006054AA" w:rsidRDefault="001F7667">
      <w:pPr>
        <w:spacing w:before="120" w:after="120"/>
        <w:jc w:val="both"/>
        <w:rPr>
          <w:noProof/>
        </w:rPr>
      </w:pPr>
      <w:r>
        <w:rPr>
          <w:noProof/>
        </w:rPr>
        <w:t xml:space="preserve">Тази инвестиция се състои в модернизиране на 646 км регионални линии, собствеността върху които е прехвърлена на </w:t>
      </w:r>
      <w:r>
        <w:rPr>
          <w:i/>
          <w:noProof/>
        </w:rPr>
        <w:t>Rete Ferroviaria Italiana (RFI)</w:t>
      </w:r>
      <w:r>
        <w:rPr>
          <w:noProof/>
        </w:rPr>
        <w:t xml:space="preserve"> или постепенно ще бъде прехвърлена на последното. При оценката и разрешаването на всеки съответен проект или инвестиция се спазват всички правила и процедури, определени в членове 6.3 и 6.4 от Директива 92/43/CEE на ЕС, и се спазват националните насоки за оценка на въздействието, публикувани в Държавен вестник № 303 на Италианската република от 28 декември 2019 г.</w:t>
      </w:r>
    </w:p>
    <w:p w14:paraId="4C6F5CA7" w14:textId="77777777" w:rsidR="006054AA" w:rsidRDefault="001F7667">
      <w:pPr>
        <w:spacing w:before="120" w:after="120"/>
        <w:jc w:val="both"/>
        <w:rPr>
          <w:noProof/>
        </w:rPr>
      </w:pPr>
      <w:r>
        <w:rPr>
          <w:noProof/>
        </w:rPr>
        <w:t>Интервенциите са планирани в следните редове:</w:t>
      </w:r>
    </w:p>
    <w:p w14:paraId="67424C6E" w14:textId="77777777" w:rsidR="006054AA" w:rsidRDefault="001F7667">
      <w:pPr>
        <w:numPr>
          <w:ilvl w:val="0"/>
          <w:numId w:val="48"/>
        </w:numPr>
        <w:spacing w:before="120" w:after="120" w:line="259" w:lineRule="auto"/>
        <w:ind w:left="360"/>
        <w:contextualSpacing/>
        <w:jc w:val="both"/>
        <w:rPr>
          <w:noProof/>
        </w:rPr>
      </w:pPr>
      <w:r>
        <w:rPr>
          <w:noProof/>
        </w:rPr>
        <w:t>Пиемонт: модернизиране и модернизиране на Торино — Канавесана: подобряване на редовността на транспортните потоци;</w:t>
      </w:r>
    </w:p>
    <w:p w14:paraId="757B0906" w14:textId="77777777" w:rsidR="006054AA" w:rsidRDefault="001F7667">
      <w:pPr>
        <w:numPr>
          <w:ilvl w:val="0"/>
          <w:numId w:val="48"/>
        </w:numPr>
        <w:spacing w:before="120" w:after="120" w:line="259" w:lineRule="auto"/>
        <w:ind w:left="360"/>
        <w:contextualSpacing/>
        <w:jc w:val="both"/>
        <w:rPr>
          <w:noProof/>
        </w:rPr>
      </w:pPr>
      <w:r>
        <w:rPr>
          <w:noProof/>
        </w:rPr>
        <w:t>Фриули Венеция Джулия: Железопътна линия FuC: инфраструктурни и технологични дейности по линията Udine-Cividale: подобряване на редовността на транспортните потоци;</w:t>
      </w:r>
    </w:p>
    <w:p w14:paraId="0C162F0F" w14:textId="77777777" w:rsidR="006054AA" w:rsidRDefault="001F7667">
      <w:pPr>
        <w:numPr>
          <w:ilvl w:val="0"/>
          <w:numId w:val="48"/>
        </w:numPr>
        <w:spacing w:before="120" w:after="120" w:line="259" w:lineRule="auto"/>
        <w:ind w:left="360"/>
        <w:contextualSpacing/>
        <w:jc w:val="both"/>
        <w:rPr>
          <w:noProof/>
        </w:rPr>
      </w:pPr>
      <w:r>
        <w:rPr>
          <w:noProof/>
        </w:rPr>
        <w:t>Умбрия: Umbrian Central Railway (FCU): инфраструктурни и технологични интервенции;</w:t>
      </w:r>
    </w:p>
    <w:p w14:paraId="4A17F9F0" w14:textId="77777777" w:rsidR="006054AA" w:rsidRDefault="001F7667">
      <w:pPr>
        <w:numPr>
          <w:ilvl w:val="0"/>
          <w:numId w:val="48"/>
        </w:numPr>
        <w:spacing w:before="120" w:after="120" w:line="259" w:lineRule="auto"/>
        <w:ind w:left="360"/>
        <w:contextualSpacing/>
        <w:jc w:val="both"/>
        <w:rPr>
          <w:noProof/>
        </w:rPr>
      </w:pPr>
      <w:r>
        <w:rPr>
          <w:noProof/>
        </w:rPr>
        <w:t>Кампания (EAV): Укрепване и модернизиране на линията Канцело-Беневенто: подобряване на стандартите за безопасност при железопътните операции;</w:t>
      </w:r>
    </w:p>
    <w:p w14:paraId="14DC3B77" w14:textId="77777777" w:rsidR="006054AA" w:rsidRDefault="001F7667">
      <w:pPr>
        <w:numPr>
          <w:ilvl w:val="0"/>
          <w:numId w:val="48"/>
        </w:numPr>
        <w:spacing w:before="120" w:after="120" w:line="259" w:lineRule="auto"/>
        <w:ind w:left="360"/>
        <w:contextualSpacing/>
        <w:jc w:val="both"/>
        <w:rPr>
          <w:noProof/>
        </w:rPr>
      </w:pPr>
      <w:r>
        <w:rPr>
          <w:noProof/>
        </w:rPr>
        <w:t>Пулия: Линията Bari-Bitritto: модернизиране на инфраструктурата: съответствие с техническите/регулаторните стандарти на Националната железопътна инфраструктура; Ferrovie del Sud Est (FSE): инфраструктурно модернизиране на линията Bari-Taranto: намесата позволява адаптиране към стандартите за ефективност на ИИ и към техническите спецификации за оперативна съвместимост; FSE: Завършване на оборудването SCMT/ERTMS в мрежата: подобряване на ефективността на движението, оптимизиране на капацитета, подобряване на стандартите за безопасност; FSE: Изграждане на интермодални центрове и модернизиране на 20 гари: целта на интервенцията е да се подобри достъпността на гарите и да се създадат зони за обмен между железопътен и автобусен, железопътен и частен автомобил и железопътен велосипед;</w:t>
      </w:r>
    </w:p>
    <w:p w14:paraId="5FE1FE73" w14:textId="77777777" w:rsidR="006054AA" w:rsidRDefault="001F7667">
      <w:pPr>
        <w:numPr>
          <w:ilvl w:val="0"/>
          <w:numId w:val="48"/>
        </w:numPr>
        <w:spacing w:before="120" w:after="120" w:line="259" w:lineRule="auto"/>
        <w:ind w:left="360"/>
        <w:contextualSpacing/>
        <w:jc w:val="both"/>
        <w:rPr>
          <w:noProof/>
        </w:rPr>
      </w:pPr>
      <w:r>
        <w:rPr>
          <w:noProof/>
        </w:rPr>
        <w:t>Калабрия: Линия на Rosarno-S. Ferdinando: модернизиране на оборудването на линиите Rosarno и San Ferdinando за свързване с Gioia Tauro.</w:t>
      </w:r>
    </w:p>
    <w:p w14:paraId="7BEB60C8" w14:textId="77777777" w:rsidR="006054AA" w:rsidRDefault="001F7667">
      <w:pPr>
        <w:pStyle w:val="P68B1DB1-Normal2"/>
        <w:spacing w:before="120" w:after="120"/>
        <w:jc w:val="both"/>
        <w:rPr>
          <w:noProof/>
        </w:rPr>
      </w:pPr>
      <w:r>
        <w:rPr>
          <w:noProof/>
        </w:rPr>
        <w:t>Инвестиция 1.7 — Осъвременяване, електрификация и устойчивост на железниците Юг</w:t>
      </w:r>
    </w:p>
    <w:p w14:paraId="0FECE526" w14:textId="56AE2D8B" w:rsidR="006054AA" w:rsidRDefault="001F7667">
      <w:pPr>
        <w:spacing w:before="120" w:after="120"/>
        <w:jc w:val="both"/>
        <w:rPr>
          <w:noProof/>
        </w:rPr>
      </w:pPr>
      <w:r>
        <w:rPr>
          <w:noProof/>
        </w:rPr>
        <w:t>Тази инвестиция се състои в модернизиране, електрификация и устойчивост на 650 км железопътни линии на юг. Договорите за тази инвестиция обхващат, наред с другото, летищната връзка в Олбия, пристанищната връзка Аугуста, удвояването на линията Decimomannu-Villamassargia, модернизирането на връзката Потенца — Фоджа, интермодалната връзка на Бриндизи. При оценката и разрешаването на всеки съответен проект или инвестиция се спазват всички правила и процедури, определени в членове 6.3 и 6.4 от Директива 92/43/CEE на ЕС, и се спазват националните насоки за оценка на въздействието, публикувани в Държавен вестник № 303 на Италианската република от 28 декември 2019 г.</w:t>
      </w:r>
    </w:p>
    <w:p w14:paraId="0E1FAC76" w14:textId="77777777" w:rsidR="006054AA" w:rsidRDefault="001F7667">
      <w:pPr>
        <w:pStyle w:val="P68B1DB1-Normal2"/>
        <w:spacing w:before="120" w:after="120"/>
        <w:jc w:val="both"/>
        <w:rPr>
          <w:noProof/>
        </w:rPr>
      </w:pPr>
      <w:r>
        <w:rPr>
          <w:noProof/>
        </w:rPr>
        <w:t>Инвестиция 1.8 — Управление на железопътни гари (</w:t>
      </w:r>
      <w:r>
        <w:rPr>
          <w:i/>
          <w:noProof/>
        </w:rPr>
        <w:t>Rete Ferroviaria Italiana (RFI)</w:t>
      </w:r>
      <w:r>
        <w:rPr>
          <w:noProof/>
        </w:rPr>
        <w:t>; на юг)</w:t>
      </w:r>
    </w:p>
    <w:p w14:paraId="7027F38C" w14:textId="77777777" w:rsidR="006054AA" w:rsidRDefault="001F7667">
      <w:pPr>
        <w:spacing w:before="120" w:after="120"/>
        <w:jc w:val="both"/>
        <w:rPr>
          <w:noProof/>
        </w:rPr>
      </w:pPr>
      <w:r>
        <w:rPr>
          <w:noProof/>
        </w:rPr>
        <w:t>Тази инвестиция се състои в модернизиране на 38 железопътни гари и осигуряването на достъп до тях в съответствие с Регламент (ЕО) № 1300/2014 на Комисията и регламентите на ЕС за безопасност на железопътния транспорт. При оценката и разрешаването на всеки съответен проект или инвестиция се спазват всички правила и процедури, определени в членове 6.3 и 6.4 от Директива 92/43/CEE на ЕС, и се спазват националните насоки за оценка на въздействието, публикувани в Държавен вестник № 303 на Италианската република от 28 декември 2019 г.</w:t>
      </w:r>
    </w:p>
    <w:p w14:paraId="47B7230B" w14:textId="77777777" w:rsidR="006054AA" w:rsidRDefault="001F7667">
      <w:pPr>
        <w:pStyle w:val="P68B1DB1-Normal2"/>
        <w:spacing w:before="120" w:after="120"/>
        <w:jc w:val="both"/>
        <w:rPr>
          <w:noProof/>
        </w:rPr>
      </w:pPr>
      <w:r>
        <w:rPr>
          <w:noProof/>
        </w:rPr>
        <w:t xml:space="preserve">Инвестиция 1.9 — Междурегионални връзки </w:t>
      </w:r>
    </w:p>
    <w:p w14:paraId="57C82719" w14:textId="77777777" w:rsidR="006054AA" w:rsidRDefault="001F7667">
      <w:pPr>
        <w:spacing w:before="120" w:after="120"/>
        <w:jc w:val="both"/>
        <w:rPr>
          <w:noProof/>
        </w:rPr>
      </w:pPr>
      <w:r>
        <w:rPr>
          <w:noProof/>
        </w:rPr>
        <w:t>Тази инвестиция се състои в ускоряване на интервенциите от 221 км от следните линии:</w:t>
      </w:r>
    </w:p>
    <w:p w14:paraId="3490DC93" w14:textId="77777777" w:rsidR="006054AA" w:rsidRDefault="001F7667">
      <w:pPr>
        <w:pStyle w:val="ListParagraph"/>
        <w:numPr>
          <w:ilvl w:val="0"/>
          <w:numId w:val="91"/>
        </w:numPr>
        <w:rPr>
          <w:noProof/>
        </w:rPr>
      </w:pPr>
      <w:r>
        <w:rPr>
          <w:noProof/>
        </w:rPr>
        <w:t>Милано — Генова</w:t>
      </w:r>
    </w:p>
    <w:p w14:paraId="346ABBDC" w14:textId="77777777" w:rsidR="006054AA" w:rsidRDefault="001F7667">
      <w:pPr>
        <w:pStyle w:val="ListParagraph"/>
        <w:numPr>
          <w:ilvl w:val="0"/>
          <w:numId w:val="91"/>
        </w:numPr>
        <w:rPr>
          <w:noProof/>
        </w:rPr>
      </w:pPr>
      <w:r>
        <w:rPr>
          <w:noProof/>
        </w:rPr>
        <w:t>Палермо — Катания (linea storica)</w:t>
      </w:r>
    </w:p>
    <w:p w14:paraId="7DB5B332" w14:textId="77777777" w:rsidR="006054AA" w:rsidRDefault="001F7667">
      <w:pPr>
        <w:pStyle w:val="ListParagraph"/>
        <w:numPr>
          <w:ilvl w:val="0"/>
          <w:numId w:val="91"/>
        </w:numPr>
        <w:rPr>
          <w:noProof/>
        </w:rPr>
      </w:pPr>
      <w:r>
        <w:rPr>
          <w:noProof/>
        </w:rPr>
        <w:t>Battipaglia-Potenza</w:t>
      </w:r>
    </w:p>
    <w:p w14:paraId="3EA881EC" w14:textId="77777777" w:rsidR="006054AA" w:rsidRDefault="001F7667">
      <w:pPr>
        <w:pStyle w:val="ListParagraph"/>
        <w:numPr>
          <w:ilvl w:val="0"/>
          <w:numId w:val="91"/>
        </w:numPr>
        <w:rPr>
          <w:noProof/>
        </w:rPr>
      </w:pPr>
      <w:r>
        <w:rPr>
          <w:noProof/>
        </w:rPr>
        <w:t>Orte — Falconara.</w:t>
      </w:r>
    </w:p>
    <w:p w14:paraId="618CFED8" w14:textId="77777777" w:rsidR="006054AA" w:rsidRDefault="001F7667">
      <w:pPr>
        <w:rPr>
          <w:noProof/>
        </w:rPr>
      </w:pPr>
      <w:r>
        <w:rPr>
          <w:noProof/>
        </w:rPr>
        <w:t>Инвестицията има за цел да повиши ефективността на настоящите инфраструктури чрез интервенции, които биха могли да включват:</w:t>
      </w:r>
    </w:p>
    <w:p w14:paraId="79198293" w14:textId="77777777" w:rsidR="006054AA" w:rsidRDefault="001F7667">
      <w:pPr>
        <w:pStyle w:val="ListParagraph"/>
        <w:numPr>
          <w:ilvl w:val="0"/>
          <w:numId w:val="92"/>
        </w:numPr>
        <w:rPr>
          <w:noProof/>
        </w:rPr>
      </w:pPr>
      <w:r>
        <w:rPr>
          <w:noProof/>
        </w:rPr>
        <w:t xml:space="preserve">промени в плановете за отпечатъка на станциите (PRG — Piano Regolatore Generale); </w:t>
      </w:r>
    </w:p>
    <w:p w14:paraId="62B346FF" w14:textId="77777777" w:rsidR="006054AA" w:rsidRDefault="001F7667">
      <w:pPr>
        <w:pStyle w:val="ListParagraph"/>
        <w:numPr>
          <w:ilvl w:val="0"/>
          <w:numId w:val="92"/>
        </w:numPr>
        <w:rPr>
          <w:noProof/>
        </w:rPr>
      </w:pPr>
      <w:r>
        <w:rPr>
          <w:noProof/>
        </w:rPr>
        <w:t>ERTMS;</w:t>
      </w:r>
    </w:p>
    <w:p w14:paraId="12B79FBF" w14:textId="77777777" w:rsidR="006054AA" w:rsidRDefault="001F7667">
      <w:pPr>
        <w:pStyle w:val="ListParagraph"/>
        <w:numPr>
          <w:ilvl w:val="0"/>
          <w:numId w:val="92"/>
        </w:numPr>
        <w:rPr>
          <w:noProof/>
        </w:rPr>
      </w:pPr>
      <w:r>
        <w:rPr>
          <w:noProof/>
        </w:rPr>
        <w:t>конфигурация и/или модификация на системата за контрол на движението като ACC (apparato Centrale Computerizzato) и ACCM (apparato Centrale a calcolatore Multistazione)</w:t>
      </w:r>
    </w:p>
    <w:p w14:paraId="29782693" w14:textId="7215F67E" w:rsidR="006054AA" w:rsidRDefault="001F7667">
      <w:pPr>
        <w:pStyle w:val="ListParagraph"/>
        <w:numPr>
          <w:ilvl w:val="0"/>
          <w:numId w:val="92"/>
        </w:numPr>
        <w:rPr>
          <w:noProof/>
        </w:rPr>
      </w:pPr>
      <w:r>
        <w:rPr>
          <w:noProof/>
        </w:rPr>
        <w:t>други подобрения на физическата инфраструктура, които могат да включват железопътни легла, оборудване и други интервенции, свързани с инфраструктурата.</w:t>
      </w:r>
    </w:p>
    <w:p w14:paraId="016C941F" w14:textId="77777777" w:rsidR="006054AA" w:rsidRDefault="001F7667">
      <w:pPr>
        <w:pStyle w:val="P68B1DB1-Normal2"/>
        <w:spacing w:before="120" w:after="120"/>
        <w:jc w:val="both"/>
        <w:rPr>
          <w:noProof/>
        </w:rPr>
      </w:pPr>
      <w:r>
        <w:rPr>
          <w:noProof/>
        </w:rPr>
        <w:t>Реформа 2.1 — Приемане на „Насоки за класифициране и управление на рисковете, оценка на сигурността и наблюдение на съществуващите мостове“</w:t>
      </w:r>
    </w:p>
    <w:p w14:paraId="3D7B1E03" w14:textId="77777777" w:rsidR="006054AA" w:rsidRDefault="001F7667">
      <w:pPr>
        <w:spacing w:before="120" w:after="120"/>
        <w:jc w:val="both"/>
        <w:rPr>
          <w:noProof/>
        </w:rPr>
      </w:pPr>
      <w:r>
        <w:rPr>
          <w:noProof/>
        </w:rPr>
        <w:t>Тази реформа се състои в приемането на насоки за класификацията и управлението на рисковете, оценката на сигурността и наблюдението на съществуващите мостове. Приемането на „насоки“, които позволяват прилагането на общи стандарти и методики за цялата национална пътна мрежа.</w:t>
      </w:r>
    </w:p>
    <w:p w14:paraId="373B2E23" w14:textId="77777777" w:rsidR="006054AA" w:rsidRDefault="001F7667">
      <w:pPr>
        <w:pStyle w:val="P68B1DB1-Normal2"/>
        <w:spacing w:before="120" w:after="120"/>
        <w:jc w:val="both"/>
        <w:rPr>
          <w:noProof/>
        </w:rPr>
      </w:pPr>
      <w:r>
        <w:rPr>
          <w:noProof/>
        </w:rPr>
        <w:t>Реформа 2.2 — Прехвърляне на собствеността на мостовете и виадуктите от пътищата, класирани на по-ниско ниво, към тези от по-високо ниво</w:t>
      </w:r>
    </w:p>
    <w:p w14:paraId="7465B9DF" w14:textId="77777777" w:rsidR="006054AA" w:rsidRDefault="001F7667">
      <w:pPr>
        <w:spacing w:before="120" w:after="120" w:line="300" w:lineRule="atLeast"/>
        <w:jc w:val="both"/>
        <w:rPr>
          <w:noProof/>
        </w:rPr>
      </w:pPr>
      <w:r>
        <w:rPr>
          <w:noProof/>
        </w:rPr>
        <w:t>Тази реформа се състои в прехвърляне на собствеността върху мостове, виадукти и надлези от пътища от по-нисък тип към пътища от по-висок тип (автомагистрали и главни крайградски пътища), което позволява повишаване на цялостната безопасност на пътната мрежа, тъй като мостовете, виадуктите и надградите се поддържат от ANAS и/или концесионерите на автомагистрали, които имат по-добър капацитет за планиране и поддръжка от отделните общини или провинции.</w:t>
      </w:r>
    </w:p>
    <w:p w14:paraId="7D9892F3" w14:textId="77777777" w:rsidR="006054AA" w:rsidRDefault="001F7667">
      <w:pPr>
        <w:pStyle w:val="Heading3"/>
        <w:numPr>
          <w:ilvl w:val="0"/>
          <w:numId w:val="0"/>
        </w:numPr>
        <w:ind w:left="850" w:hanging="850"/>
        <w:rPr>
          <w:b/>
          <w:i w:val="0"/>
          <w:noProof/>
          <w:u w:val="single"/>
        </w:rPr>
      </w:pPr>
      <w:r>
        <w:rPr>
          <w:b/>
          <w:i w:val="0"/>
          <w:noProof/>
          <w:u w:val="single"/>
        </w:rPr>
        <w:t xml:space="preserve">З.4. </w:t>
      </w:r>
      <w:r>
        <w:rPr>
          <w:noProof/>
        </w:rPr>
        <w:tab/>
      </w:r>
      <w:r>
        <w:rPr>
          <w:b/>
          <w:i w:val="0"/>
          <w:noProof/>
          <w:u w:val="single"/>
        </w:rPr>
        <w:t xml:space="preserve">Ключови етапи, цели, показатели и график за мониторинг и изпълнение на заема </w:t>
      </w:r>
    </w:p>
    <w:p w14:paraId="614A66B1" w14:textId="77777777" w:rsidR="006054AA" w:rsidRDefault="006054AA">
      <w:pPr>
        <w:spacing w:before="120" w:after="120"/>
        <w:ind w:left="709"/>
        <w:contextualSpacing/>
        <w:jc w:val="both"/>
        <w:rPr>
          <w:noProof/>
        </w:rPr>
      </w:pPr>
    </w:p>
    <w:p w14:paraId="7E527C39" w14:textId="77777777" w:rsidR="006054AA" w:rsidRDefault="006054AA">
      <w:pPr>
        <w:spacing w:before="120" w:after="120"/>
        <w:ind w:left="709"/>
        <w:contextualSpacing/>
        <w:jc w:val="both"/>
        <w:rPr>
          <w:noProof/>
        </w:rPr>
        <w:sectPr w:rsidR="006054AA" w:rsidSect="000D3774">
          <w:headerReference w:type="even" r:id="rId194"/>
          <w:headerReference w:type="default" r:id="rId195"/>
          <w:footerReference w:type="even" r:id="rId196"/>
          <w:footerReference w:type="default" r:id="rId197"/>
          <w:headerReference w:type="first" r:id="rId198"/>
          <w:footerReference w:type="first" r:id="rId199"/>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2"/>
        <w:gridCol w:w="1274"/>
        <w:gridCol w:w="1418"/>
        <w:gridCol w:w="1555"/>
        <w:gridCol w:w="993"/>
        <w:gridCol w:w="1134"/>
        <w:gridCol w:w="853"/>
        <w:gridCol w:w="850"/>
        <w:gridCol w:w="850"/>
        <w:gridCol w:w="3661"/>
      </w:tblGrid>
      <w:tr w:rsidR="006054AA" w14:paraId="13D8FF7B" w14:textId="77777777">
        <w:trPr>
          <w:trHeight w:val="939"/>
          <w:tblHeader/>
          <w:jc w:val="right"/>
        </w:trPr>
        <w:tc>
          <w:tcPr>
            <w:tcW w:w="369" w:type="pct"/>
            <w:vMerge w:val="restart"/>
            <w:shd w:val="clear" w:color="auto" w:fill="C6D9F1" w:themeFill="text2" w:themeFillTint="33"/>
            <w:vAlign w:val="center"/>
            <w:hideMark/>
          </w:tcPr>
          <w:p w14:paraId="3D749470" w14:textId="3637DCA1" w:rsidR="006054AA" w:rsidRDefault="001F7667">
            <w:pPr>
              <w:pStyle w:val="P68B1DB1-Normal9"/>
              <w:jc w:val="center"/>
              <w:rPr>
                <w:noProof/>
              </w:rPr>
            </w:pPr>
            <w:r>
              <w:rPr>
                <w:noProof/>
              </w:rPr>
              <w:t>Пореден номер</w:t>
            </w:r>
          </w:p>
        </w:tc>
        <w:tc>
          <w:tcPr>
            <w:tcW w:w="511" w:type="pct"/>
            <w:vMerge w:val="restart"/>
            <w:shd w:val="clear" w:color="auto" w:fill="C6D9F1" w:themeFill="text2" w:themeFillTint="33"/>
            <w:vAlign w:val="center"/>
            <w:hideMark/>
          </w:tcPr>
          <w:p w14:paraId="3C6F5EBC" w14:textId="77777777" w:rsidR="006054AA" w:rsidRDefault="001F7667">
            <w:pPr>
              <w:pStyle w:val="P68B1DB1-Normal9"/>
              <w:jc w:val="center"/>
              <w:rPr>
                <w:noProof/>
              </w:rPr>
            </w:pPr>
            <w:r>
              <w:rPr>
                <w:noProof/>
              </w:rPr>
              <w:t>Свързана мярка (реформа или инвестиции)</w:t>
            </w:r>
          </w:p>
        </w:tc>
        <w:tc>
          <w:tcPr>
            <w:tcW w:w="417" w:type="pct"/>
            <w:vMerge w:val="restart"/>
            <w:shd w:val="clear" w:color="auto" w:fill="C6D9F1" w:themeFill="text2" w:themeFillTint="33"/>
            <w:vAlign w:val="center"/>
            <w:hideMark/>
          </w:tcPr>
          <w:p w14:paraId="1792282B" w14:textId="77777777" w:rsidR="006054AA" w:rsidRDefault="001F7667">
            <w:pPr>
              <w:pStyle w:val="P68B1DB1-Normal9"/>
              <w:jc w:val="center"/>
              <w:rPr>
                <w:noProof/>
              </w:rPr>
            </w:pPr>
            <w:r>
              <w:rPr>
                <w:noProof/>
              </w:rPr>
              <w:t>Ключов етап/Цел</w:t>
            </w:r>
          </w:p>
        </w:tc>
        <w:tc>
          <w:tcPr>
            <w:tcW w:w="464" w:type="pct"/>
            <w:vMerge w:val="restart"/>
            <w:shd w:val="clear" w:color="auto" w:fill="C6D9F1" w:themeFill="text2" w:themeFillTint="33"/>
            <w:vAlign w:val="center"/>
            <w:hideMark/>
          </w:tcPr>
          <w:p w14:paraId="5D1BB33D" w14:textId="77777777" w:rsidR="006054AA" w:rsidRDefault="001F7667">
            <w:pPr>
              <w:pStyle w:val="P68B1DB1-Normal9"/>
              <w:jc w:val="center"/>
              <w:rPr>
                <w:noProof/>
              </w:rPr>
            </w:pPr>
            <w:r>
              <w:rPr>
                <w:noProof/>
              </w:rPr>
              <w:t>Име</w:t>
            </w:r>
          </w:p>
        </w:tc>
        <w:tc>
          <w:tcPr>
            <w:tcW w:w="509" w:type="pct"/>
            <w:vMerge w:val="restart"/>
            <w:shd w:val="clear" w:color="auto" w:fill="C6D9F1" w:themeFill="text2" w:themeFillTint="33"/>
            <w:vAlign w:val="center"/>
            <w:hideMark/>
          </w:tcPr>
          <w:p w14:paraId="0AB81F27"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975" w:type="pct"/>
            <w:gridSpan w:val="3"/>
            <w:shd w:val="clear" w:color="auto" w:fill="C6D9F1" w:themeFill="text2" w:themeFillTint="33"/>
            <w:vAlign w:val="center"/>
            <w:hideMark/>
          </w:tcPr>
          <w:p w14:paraId="548FD589"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556" w:type="pct"/>
            <w:gridSpan w:val="2"/>
            <w:shd w:val="clear" w:color="auto" w:fill="C6D9F1" w:themeFill="text2" w:themeFillTint="33"/>
            <w:vAlign w:val="center"/>
            <w:hideMark/>
          </w:tcPr>
          <w:p w14:paraId="2CFFD5B7" w14:textId="77777777" w:rsidR="006054AA" w:rsidRDefault="001F7667">
            <w:pPr>
              <w:pStyle w:val="P68B1DB1-Normal9"/>
              <w:jc w:val="center"/>
              <w:rPr>
                <w:noProof/>
              </w:rPr>
            </w:pPr>
            <w:r>
              <w:rPr>
                <w:noProof/>
              </w:rPr>
              <w:t>Примерен график за приключване</w:t>
            </w:r>
          </w:p>
        </w:tc>
        <w:tc>
          <w:tcPr>
            <w:tcW w:w="1198" w:type="pct"/>
            <w:vMerge w:val="restart"/>
            <w:shd w:val="clear" w:color="auto" w:fill="C6D9F1" w:themeFill="text2" w:themeFillTint="33"/>
            <w:vAlign w:val="center"/>
            <w:hideMark/>
          </w:tcPr>
          <w:p w14:paraId="6DB6AB5D" w14:textId="77777777" w:rsidR="006054AA" w:rsidRDefault="001F7667">
            <w:pPr>
              <w:pStyle w:val="P68B1DB1-Normal9"/>
              <w:jc w:val="center"/>
              <w:rPr>
                <w:noProof/>
              </w:rPr>
            </w:pPr>
            <w:r>
              <w:rPr>
                <w:noProof/>
              </w:rPr>
              <w:t>Описание на всеки ключов етап и цел</w:t>
            </w:r>
          </w:p>
        </w:tc>
      </w:tr>
      <w:tr w:rsidR="006054AA" w14:paraId="24260B7A" w14:textId="77777777">
        <w:trPr>
          <w:trHeight w:val="1027"/>
          <w:tblHeader/>
          <w:jc w:val="right"/>
        </w:trPr>
        <w:tc>
          <w:tcPr>
            <w:tcW w:w="369" w:type="pct"/>
            <w:vMerge/>
            <w:vAlign w:val="center"/>
            <w:hideMark/>
          </w:tcPr>
          <w:p w14:paraId="06CDCC5B" w14:textId="77777777" w:rsidR="006054AA" w:rsidRDefault="006054AA">
            <w:pPr>
              <w:jc w:val="center"/>
              <w:rPr>
                <w:rFonts w:ascii="Arial Narrow" w:hAnsi="Arial Narrow"/>
                <w:b/>
                <w:noProof/>
                <w:sz w:val="20"/>
              </w:rPr>
            </w:pPr>
          </w:p>
        </w:tc>
        <w:tc>
          <w:tcPr>
            <w:tcW w:w="511" w:type="pct"/>
            <w:vMerge/>
            <w:vAlign w:val="center"/>
            <w:hideMark/>
          </w:tcPr>
          <w:p w14:paraId="20257B27" w14:textId="77777777" w:rsidR="006054AA" w:rsidRDefault="006054AA">
            <w:pPr>
              <w:jc w:val="center"/>
              <w:rPr>
                <w:rFonts w:ascii="Arial Narrow" w:hAnsi="Arial Narrow"/>
                <w:b/>
                <w:noProof/>
                <w:sz w:val="20"/>
              </w:rPr>
            </w:pPr>
          </w:p>
        </w:tc>
        <w:tc>
          <w:tcPr>
            <w:tcW w:w="417" w:type="pct"/>
            <w:vMerge/>
            <w:vAlign w:val="center"/>
            <w:hideMark/>
          </w:tcPr>
          <w:p w14:paraId="58F25491" w14:textId="77777777" w:rsidR="006054AA" w:rsidRDefault="006054AA">
            <w:pPr>
              <w:jc w:val="center"/>
              <w:rPr>
                <w:rFonts w:ascii="Arial Narrow" w:hAnsi="Arial Narrow"/>
                <w:b/>
                <w:noProof/>
                <w:sz w:val="20"/>
              </w:rPr>
            </w:pPr>
          </w:p>
        </w:tc>
        <w:tc>
          <w:tcPr>
            <w:tcW w:w="464" w:type="pct"/>
            <w:vMerge/>
            <w:vAlign w:val="center"/>
            <w:hideMark/>
          </w:tcPr>
          <w:p w14:paraId="63A330DD" w14:textId="77777777" w:rsidR="006054AA" w:rsidRDefault="006054AA">
            <w:pPr>
              <w:jc w:val="center"/>
              <w:rPr>
                <w:rFonts w:ascii="Arial Narrow" w:hAnsi="Arial Narrow"/>
                <w:b/>
                <w:noProof/>
                <w:sz w:val="20"/>
              </w:rPr>
            </w:pPr>
          </w:p>
        </w:tc>
        <w:tc>
          <w:tcPr>
            <w:tcW w:w="509" w:type="pct"/>
            <w:vMerge/>
            <w:vAlign w:val="center"/>
            <w:hideMark/>
          </w:tcPr>
          <w:p w14:paraId="06968799" w14:textId="77777777" w:rsidR="006054AA" w:rsidRDefault="006054AA">
            <w:pPr>
              <w:jc w:val="center"/>
              <w:rPr>
                <w:rFonts w:ascii="Arial Narrow" w:hAnsi="Arial Narrow"/>
                <w:b/>
                <w:noProof/>
                <w:sz w:val="20"/>
              </w:rPr>
            </w:pPr>
          </w:p>
        </w:tc>
        <w:tc>
          <w:tcPr>
            <w:tcW w:w="325" w:type="pct"/>
            <w:shd w:val="clear" w:color="auto" w:fill="C6D9F1" w:themeFill="text2" w:themeFillTint="33"/>
            <w:vAlign w:val="center"/>
            <w:hideMark/>
          </w:tcPr>
          <w:p w14:paraId="57DCAEFB" w14:textId="77777777" w:rsidR="006054AA" w:rsidRDefault="001F7667">
            <w:pPr>
              <w:pStyle w:val="P68B1DB1-Normal9"/>
              <w:jc w:val="center"/>
              <w:rPr>
                <w:noProof/>
              </w:rPr>
            </w:pPr>
            <w:r>
              <w:rPr>
                <w:noProof/>
              </w:rPr>
              <w:t>Единица мярка</w:t>
            </w:r>
          </w:p>
        </w:tc>
        <w:tc>
          <w:tcPr>
            <w:tcW w:w="371" w:type="pct"/>
            <w:shd w:val="clear" w:color="auto" w:fill="C6D9F1" w:themeFill="text2" w:themeFillTint="33"/>
            <w:vAlign w:val="center"/>
            <w:hideMark/>
          </w:tcPr>
          <w:p w14:paraId="4831A814" w14:textId="77777777" w:rsidR="006054AA" w:rsidRDefault="001F7667">
            <w:pPr>
              <w:pStyle w:val="P68B1DB1-Normal9"/>
              <w:jc w:val="center"/>
              <w:rPr>
                <w:noProof/>
              </w:rPr>
            </w:pPr>
            <w:r>
              <w:rPr>
                <w:noProof/>
              </w:rPr>
              <w:t>Базова линия</w:t>
            </w:r>
          </w:p>
        </w:tc>
        <w:tc>
          <w:tcPr>
            <w:tcW w:w="279" w:type="pct"/>
            <w:shd w:val="clear" w:color="auto" w:fill="C6D9F1" w:themeFill="text2" w:themeFillTint="33"/>
            <w:vAlign w:val="center"/>
            <w:hideMark/>
          </w:tcPr>
          <w:p w14:paraId="3409D963" w14:textId="77777777" w:rsidR="006054AA" w:rsidRDefault="001F7667">
            <w:pPr>
              <w:pStyle w:val="P68B1DB1-Normal9"/>
              <w:jc w:val="center"/>
              <w:rPr>
                <w:noProof/>
              </w:rPr>
            </w:pPr>
            <w:r>
              <w:rPr>
                <w:noProof/>
              </w:rPr>
              <w:t>Цел</w:t>
            </w:r>
          </w:p>
        </w:tc>
        <w:tc>
          <w:tcPr>
            <w:tcW w:w="278" w:type="pct"/>
            <w:shd w:val="clear" w:color="auto" w:fill="C6D9F1" w:themeFill="text2" w:themeFillTint="33"/>
            <w:vAlign w:val="center"/>
            <w:hideMark/>
          </w:tcPr>
          <w:p w14:paraId="78E587CC" w14:textId="77777777" w:rsidR="006054AA" w:rsidRDefault="001F7667">
            <w:pPr>
              <w:pStyle w:val="P68B1DB1-Normal9"/>
              <w:jc w:val="center"/>
              <w:rPr>
                <w:noProof/>
              </w:rPr>
            </w:pPr>
            <w:r>
              <w:rPr>
                <w:noProof/>
              </w:rPr>
              <w:t>Тримесечие</w:t>
            </w:r>
          </w:p>
        </w:tc>
        <w:tc>
          <w:tcPr>
            <w:tcW w:w="278" w:type="pct"/>
            <w:shd w:val="clear" w:color="auto" w:fill="C6D9F1" w:themeFill="text2" w:themeFillTint="33"/>
            <w:vAlign w:val="center"/>
            <w:hideMark/>
          </w:tcPr>
          <w:p w14:paraId="18979F56" w14:textId="77777777" w:rsidR="006054AA" w:rsidRDefault="001F7667">
            <w:pPr>
              <w:pStyle w:val="P68B1DB1-Normal9"/>
              <w:jc w:val="center"/>
              <w:rPr>
                <w:noProof/>
              </w:rPr>
            </w:pPr>
            <w:r>
              <w:rPr>
                <w:noProof/>
              </w:rPr>
              <w:t>Година</w:t>
            </w:r>
          </w:p>
        </w:tc>
        <w:tc>
          <w:tcPr>
            <w:tcW w:w="1198" w:type="pct"/>
            <w:vMerge/>
            <w:vAlign w:val="center"/>
            <w:hideMark/>
          </w:tcPr>
          <w:p w14:paraId="0BC87465" w14:textId="77777777" w:rsidR="006054AA" w:rsidRDefault="006054AA">
            <w:pPr>
              <w:jc w:val="center"/>
              <w:rPr>
                <w:rFonts w:ascii="Arial Narrow" w:hAnsi="Arial Narrow"/>
                <w:b/>
                <w:noProof/>
                <w:sz w:val="20"/>
              </w:rPr>
            </w:pPr>
          </w:p>
        </w:tc>
      </w:tr>
      <w:tr w:rsidR="006054AA" w14:paraId="1B7C6295" w14:textId="77777777">
        <w:trPr>
          <w:trHeight w:val="2818"/>
          <w:jc w:val="right"/>
        </w:trPr>
        <w:tc>
          <w:tcPr>
            <w:tcW w:w="369" w:type="pct"/>
            <w:shd w:val="clear" w:color="auto" w:fill="C6EFCE"/>
            <w:noWrap/>
            <w:vAlign w:val="center"/>
            <w:hideMark/>
          </w:tcPr>
          <w:p w14:paraId="6293176B" w14:textId="77777777" w:rsidR="006054AA" w:rsidRDefault="001F7667">
            <w:pPr>
              <w:pStyle w:val="P68B1DB1-Normal11"/>
              <w:jc w:val="center"/>
              <w:rPr>
                <w:noProof/>
              </w:rPr>
            </w:pPr>
            <w:r>
              <w:rPr>
                <w:noProof/>
              </w:rPr>
              <w:t>M3C1—1</w:t>
            </w:r>
          </w:p>
        </w:tc>
        <w:tc>
          <w:tcPr>
            <w:tcW w:w="511" w:type="pct"/>
            <w:shd w:val="clear" w:color="auto" w:fill="C6EFCE"/>
            <w:noWrap/>
            <w:vAlign w:val="center"/>
          </w:tcPr>
          <w:p w14:paraId="3FF64461" w14:textId="77777777" w:rsidR="006054AA" w:rsidRDefault="001F7667">
            <w:pPr>
              <w:pStyle w:val="P68B1DB1-Normal11"/>
              <w:jc w:val="center"/>
              <w:rPr>
                <w:noProof/>
              </w:rPr>
            </w:pPr>
            <w:r>
              <w:rPr>
                <w:noProof/>
              </w:rPr>
              <w:t>Реформа 1.1 — Ускоряване на процеса на одобряване на договора между ПФИ и ИПИ</w:t>
            </w:r>
          </w:p>
        </w:tc>
        <w:tc>
          <w:tcPr>
            <w:tcW w:w="417" w:type="pct"/>
            <w:shd w:val="clear" w:color="auto" w:fill="C6EFCE"/>
            <w:noWrap/>
            <w:vAlign w:val="center"/>
            <w:hideMark/>
          </w:tcPr>
          <w:p w14:paraId="65AA1547" w14:textId="77777777" w:rsidR="006054AA" w:rsidRDefault="001F7667">
            <w:pPr>
              <w:pStyle w:val="P68B1DB1-Normal11"/>
              <w:jc w:val="center"/>
              <w:rPr>
                <w:noProof/>
              </w:rPr>
            </w:pPr>
            <w:r>
              <w:rPr>
                <w:noProof/>
              </w:rPr>
              <w:t>Ключов етап</w:t>
            </w:r>
          </w:p>
        </w:tc>
        <w:tc>
          <w:tcPr>
            <w:tcW w:w="464" w:type="pct"/>
            <w:shd w:val="clear" w:color="auto" w:fill="C6EFCE"/>
            <w:noWrap/>
            <w:vAlign w:val="center"/>
          </w:tcPr>
          <w:p w14:paraId="48FF2F0B" w14:textId="77777777" w:rsidR="006054AA" w:rsidRDefault="001F7667">
            <w:pPr>
              <w:pStyle w:val="P68B1DB1-Normal11"/>
              <w:jc w:val="center"/>
              <w:rPr>
                <w:noProof/>
              </w:rPr>
            </w:pPr>
            <w:r>
              <w:rPr>
                <w:noProof/>
              </w:rPr>
              <w:t>Влизане в сила на законодателно изменение относно процеса на одобрение на Contratti di Programma (CdP)</w:t>
            </w:r>
          </w:p>
        </w:tc>
        <w:tc>
          <w:tcPr>
            <w:tcW w:w="509" w:type="pct"/>
            <w:shd w:val="clear" w:color="auto" w:fill="C6EFCE"/>
            <w:noWrap/>
            <w:vAlign w:val="center"/>
            <w:hideMark/>
          </w:tcPr>
          <w:p w14:paraId="00BC8235" w14:textId="77777777" w:rsidR="006054AA" w:rsidRDefault="001F7667">
            <w:pPr>
              <w:pStyle w:val="P68B1DB1-Normal11"/>
              <w:jc w:val="center"/>
              <w:rPr>
                <w:noProof/>
              </w:rPr>
            </w:pPr>
            <w:r>
              <w:rPr>
                <w:noProof/>
              </w:rPr>
              <w:t>Законова разпоредба, указваща влизането в сила на законодателното изменение относно процеса на одобрение на Contratti di Programma</w:t>
            </w:r>
          </w:p>
        </w:tc>
        <w:tc>
          <w:tcPr>
            <w:tcW w:w="325" w:type="pct"/>
            <w:shd w:val="clear" w:color="auto" w:fill="C6EFCE"/>
            <w:noWrap/>
            <w:vAlign w:val="center"/>
            <w:hideMark/>
          </w:tcPr>
          <w:p w14:paraId="5ADBCA20" w14:textId="77777777" w:rsidR="006054AA" w:rsidRDefault="001F7667">
            <w:pPr>
              <w:pStyle w:val="P68B1DB1-Normal11"/>
              <w:jc w:val="center"/>
              <w:rPr>
                <w:noProof/>
              </w:rPr>
            </w:pPr>
            <w:r>
              <w:rPr>
                <w:noProof/>
              </w:rPr>
              <w:t>НЯМА</w:t>
            </w:r>
          </w:p>
        </w:tc>
        <w:tc>
          <w:tcPr>
            <w:tcW w:w="371" w:type="pct"/>
            <w:shd w:val="clear" w:color="auto" w:fill="C6EFCE"/>
            <w:noWrap/>
            <w:vAlign w:val="center"/>
          </w:tcPr>
          <w:p w14:paraId="3CE6012C" w14:textId="77777777" w:rsidR="006054AA" w:rsidRDefault="001F7667">
            <w:pPr>
              <w:pStyle w:val="P68B1DB1-Normal11"/>
              <w:jc w:val="center"/>
              <w:rPr>
                <w:noProof/>
              </w:rPr>
            </w:pPr>
            <w:r>
              <w:rPr>
                <w:noProof/>
              </w:rPr>
              <w:t>НЯМА</w:t>
            </w:r>
          </w:p>
        </w:tc>
        <w:tc>
          <w:tcPr>
            <w:tcW w:w="279" w:type="pct"/>
            <w:shd w:val="clear" w:color="auto" w:fill="C6EFCE"/>
            <w:noWrap/>
            <w:vAlign w:val="center"/>
          </w:tcPr>
          <w:p w14:paraId="5EC7C83A" w14:textId="77777777" w:rsidR="006054AA" w:rsidRDefault="001F7667">
            <w:pPr>
              <w:pStyle w:val="P68B1DB1-Normal11"/>
              <w:jc w:val="center"/>
              <w:rPr>
                <w:noProof/>
              </w:rPr>
            </w:pPr>
            <w:r>
              <w:rPr>
                <w:noProof/>
              </w:rPr>
              <w:t>НЯМА</w:t>
            </w:r>
          </w:p>
        </w:tc>
        <w:tc>
          <w:tcPr>
            <w:tcW w:w="278" w:type="pct"/>
            <w:shd w:val="clear" w:color="auto" w:fill="C6EFCE"/>
            <w:noWrap/>
            <w:vAlign w:val="center"/>
            <w:hideMark/>
          </w:tcPr>
          <w:p w14:paraId="315951B5" w14:textId="77777777" w:rsidR="006054AA" w:rsidRDefault="001F7667">
            <w:pPr>
              <w:pStyle w:val="P68B1DB1-Normal11"/>
              <w:jc w:val="center"/>
              <w:rPr>
                <w:noProof/>
              </w:rPr>
            </w:pPr>
            <w:r>
              <w:rPr>
                <w:noProof/>
              </w:rPr>
              <w:t>Т4 Г.</w:t>
            </w:r>
          </w:p>
        </w:tc>
        <w:tc>
          <w:tcPr>
            <w:tcW w:w="278" w:type="pct"/>
            <w:shd w:val="clear" w:color="auto" w:fill="C6EFCE"/>
            <w:noWrap/>
            <w:vAlign w:val="center"/>
            <w:hideMark/>
          </w:tcPr>
          <w:p w14:paraId="4AA0512A" w14:textId="77777777" w:rsidR="006054AA" w:rsidRDefault="001F7667">
            <w:pPr>
              <w:pStyle w:val="P68B1DB1-Normal11"/>
              <w:jc w:val="center"/>
              <w:rPr>
                <w:noProof/>
              </w:rPr>
            </w:pPr>
            <w:r>
              <w:rPr>
                <w:noProof/>
              </w:rPr>
              <w:t>2021</w:t>
            </w:r>
          </w:p>
        </w:tc>
        <w:tc>
          <w:tcPr>
            <w:tcW w:w="1198" w:type="pct"/>
            <w:shd w:val="clear" w:color="auto" w:fill="C6EFCE"/>
            <w:noWrap/>
            <w:vAlign w:val="center"/>
            <w:hideMark/>
          </w:tcPr>
          <w:p w14:paraId="03568BE2" w14:textId="77777777" w:rsidR="006054AA" w:rsidRDefault="001F7667">
            <w:pPr>
              <w:pStyle w:val="P68B1DB1-ListParagraph13"/>
              <w:ind w:left="40"/>
              <w:jc w:val="left"/>
              <w:rPr>
                <w:noProof/>
              </w:rPr>
            </w:pPr>
            <w:r>
              <w:rPr>
                <w:noProof/>
              </w:rPr>
              <w:t xml:space="preserve">Законодателното изменение намалява времето за одобрение на Contratti di Programma (CdP) на управителя на железопътната инфраструктура </w:t>
            </w:r>
            <w:r>
              <w:rPr>
                <w:i/>
                <w:noProof/>
              </w:rPr>
              <w:t>Rete Ferroviaria Italiana</w:t>
            </w:r>
          </w:p>
          <w:p w14:paraId="2A41057D" w14:textId="77777777" w:rsidR="006054AA" w:rsidRDefault="006054AA">
            <w:pPr>
              <w:rPr>
                <w:rFonts w:ascii="Arial Narrow" w:hAnsi="Arial Narrow"/>
                <w:noProof/>
                <w:color w:val="006100"/>
                <w:sz w:val="20"/>
              </w:rPr>
            </w:pPr>
          </w:p>
        </w:tc>
      </w:tr>
      <w:tr w:rsidR="006054AA" w14:paraId="20DBF3BC" w14:textId="77777777">
        <w:trPr>
          <w:trHeight w:val="3100"/>
          <w:jc w:val="right"/>
        </w:trPr>
        <w:tc>
          <w:tcPr>
            <w:tcW w:w="369" w:type="pct"/>
            <w:shd w:val="clear" w:color="auto" w:fill="C6EFCE"/>
            <w:noWrap/>
            <w:vAlign w:val="center"/>
            <w:hideMark/>
          </w:tcPr>
          <w:p w14:paraId="0DDE9D43" w14:textId="77777777" w:rsidR="006054AA" w:rsidRDefault="001F7667">
            <w:pPr>
              <w:pStyle w:val="P68B1DB1-Normal11"/>
              <w:jc w:val="center"/>
              <w:rPr>
                <w:noProof/>
              </w:rPr>
            </w:pPr>
            <w:r>
              <w:rPr>
                <w:noProof/>
              </w:rPr>
              <w:t>M3C1—2</w:t>
            </w:r>
          </w:p>
        </w:tc>
        <w:tc>
          <w:tcPr>
            <w:tcW w:w="511" w:type="pct"/>
            <w:shd w:val="clear" w:color="auto" w:fill="C6EFCE"/>
            <w:noWrap/>
            <w:vAlign w:val="center"/>
          </w:tcPr>
          <w:p w14:paraId="3043D07C" w14:textId="77777777" w:rsidR="006054AA" w:rsidRDefault="001F7667">
            <w:pPr>
              <w:pStyle w:val="P68B1DB1-Normal11"/>
              <w:jc w:val="center"/>
              <w:rPr>
                <w:noProof/>
              </w:rPr>
            </w:pPr>
            <w:r>
              <w:rPr>
                <w:noProof/>
              </w:rPr>
              <w:t>Реформа 1.2 — Ускоряване на процеса на издаване на разрешения за проекти</w:t>
            </w:r>
          </w:p>
        </w:tc>
        <w:tc>
          <w:tcPr>
            <w:tcW w:w="417" w:type="pct"/>
            <w:shd w:val="clear" w:color="auto" w:fill="C6EFCE"/>
            <w:noWrap/>
            <w:vAlign w:val="center"/>
            <w:hideMark/>
          </w:tcPr>
          <w:p w14:paraId="34A1E0EA" w14:textId="77777777" w:rsidR="006054AA" w:rsidRDefault="001F7667">
            <w:pPr>
              <w:pStyle w:val="P68B1DB1-Normal11"/>
              <w:jc w:val="center"/>
              <w:rPr>
                <w:noProof/>
              </w:rPr>
            </w:pPr>
            <w:r>
              <w:rPr>
                <w:noProof/>
              </w:rPr>
              <w:t>Ключов етап</w:t>
            </w:r>
          </w:p>
        </w:tc>
        <w:tc>
          <w:tcPr>
            <w:tcW w:w="464" w:type="pct"/>
            <w:shd w:val="clear" w:color="auto" w:fill="C6EFCE"/>
            <w:noWrap/>
            <w:vAlign w:val="center"/>
          </w:tcPr>
          <w:p w14:paraId="413E4FDE" w14:textId="77777777" w:rsidR="006054AA" w:rsidRDefault="001F7667">
            <w:pPr>
              <w:pStyle w:val="P68B1DB1-Normal11"/>
              <w:jc w:val="center"/>
              <w:rPr>
                <w:noProof/>
              </w:rPr>
            </w:pPr>
            <w:r>
              <w:rPr>
                <w:noProof/>
              </w:rPr>
              <w:t>Влизане в сила на регулаторна промяна, с която срокът за разрешаване на проектите се намалява от 11 на шест месеца</w:t>
            </w:r>
          </w:p>
        </w:tc>
        <w:tc>
          <w:tcPr>
            <w:tcW w:w="509" w:type="pct"/>
            <w:shd w:val="clear" w:color="auto" w:fill="C6EFCE"/>
            <w:noWrap/>
            <w:vAlign w:val="center"/>
            <w:hideMark/>
          </w:tcPr>
          <w:p w14:paraId="0E8ACFD8" w14:textId="77777777" w:rsidR="006054AA" w:rsidRDefault="001F7667">
            <w:pPr>
              <w:pStyle w:val="P68B1DB1-Normal11"/>
              <w:jc w:val="center"/>
              <w:rPr>
                <w:noProof/>
              </w:rPr>
            </w:pPr>
            <w:r>
              <w:rPr>
                <w:noProof/>
              </w:rPr>
              <w:t>Законова разпоредба, указваща влизането в сила на регулаторната промяна, с която срокът за издаване на разрешение се намалява от 11 на шест месеца.</w:t>
            </w:r>
          </w:p>
        </w:tc>
        <w:tc>
          <w:tcPr>
            <w:tcW w:w="325" w:type="pct"/>
            <w:shd w:val="clear" w:color="auto" w:fill="C6EFCE"/>
            <w:noWrap/>
            <w:vAlign w:val="center"/>
            <w:hideMark/>
          </w:tcPr>
          <w:p w14:paraId="7E543CEC" w14:textId="77777777" w:rsidR="006054AA" w:rsidRDefault="001F7667">
            <w:pPr>
              <w:pStyle w:val="P68B1DB1-Normal11"/>
              <w:jc w:val="center"/>
              <w:rPr>
                <w:noProof/>
              </w:rPr>
            </w:pPr>
            <w:r>
              <w:rPr>
                <w:noProof/>
              </w:rPr>
              <w:t>НЯМА</w:t>
            </w:r>
          </w:p>
        </w:tc>
        <w:tc>
          <w:tcPr>
            <w:tcW w:w="371" w:type="pct"/>
            <w:shd w:val="clear" w:color="auto" w:fill="C6EFCE"/>
            <w:noWrap/>
            <w:vAlign w:val="center"/>
          </w:tcPr>
          <w:p w14:paraId="00B2376E" w14:textId="77777777" w:rsidR="006054AA" w:rsidRDefault="001F7667">
            <w:pPr>
              <w:pStyle w:val="P68B1DB1-Normal11"/>
              <w:jc w:val="center"/>
              <w:rPr>
                <w:noProof/>
              </w:rPr>
            </w:pPr>
            <w:r>
              <w:rPr>
                <w:noProof/>
              </w:rPr>
              <w:t>НЯМА</w:t>
            </w:r>
          </w:p>
        </w:tc>
        <w:tc>
          <w:tcPr>
            <w:tcW w:w="279" w:type="pct"/>
            <w:shd w:val="clear" w:color="auto" w:fill="C6EFCE"/>
            <w:noWrap/>
            <w:vAlign w:val="center"/>
          </w:tcPr>
          <w:p w14:paraId="500516A8" w14:textId="77777777" w:rsidR="006054AA" w:rsidRDefault="001F7667">
            <w:pPr>
              <w:pStyle w:val="P68B1DB1-Normal11"/>
              <w:jc w:val="center"/>
              <w:rPr>
                <w:noProof/>
              </w:rPr>
            </w:pPr>
            <w:r>
              <w:rPr>
                <w:noProof/>
              </w:rPr>
              <w:t>НЯМА</w:t>
            </w:r>
          </w:p>
        </w:tc>
        <w:tc>
          <w:tcPr>
            <w:tcW w:w="278" w:type="pct"/>
            <w:shd w:val="clear" w:color="auto" w:fill="C6EFCE"/>
            <w:noWrap/>
            <w:vAlign w:val="center"/>
            <w:hideMark/>
          </w:tcPr>
          <w:p w14:paraId="6E42FE80" w14:textId="77777777" w:rsidR="006054AA" w:rsidRDefault="001F7667">
            <w:pPr>
              <w:pStyle w:val="P68B1DB1-Normal11"/>
              <w:jc w:val="center"/>
              <w:rPr>
                <w:noProof/>
              </w:rPr>
            </w:pPr>
            <w:r>
              <w:rPr>
                <w:noProof/>
              </w:rPr>
              <w:t>Т4 Г.</w:t>
            </w:r>
          </w:p>
        </w:tc>
        <w:tc>
          <w:tcPr>
            <w:tcW w:w="278" w:type="pct"/>
            <w:shd w:val="clear" w:color="auto" w:fill="C6EFCE"/>
            <w:noWrap/>
            <w:vAlign w:val="center"/>
            <w:hideMark/>
          </w:tcPr>
          <w:p w14:paraId="1B2A6725" w14:textId="77777777" w:rsidR="006054AA" w:rsidRDefault="001F7667">
            <w:pPr>
              <w:pStyle w:val="P68B1DB1-Normal11"/>
              <w:jc w:val="center"/>
              <w:rPr>
                <w:noProof/>
              </w:rPr>
            </w:pPr>
            <w:r>
              <w:rPr>
                <w:noProof/>
              </w:rPr>
              <w:t>2021</w:t>
            </w:r>
          </w:p>
        </w:tc>
        <w:tc>
          <w:tcPr>
            <w:tcW w:w="1198" w:type="pct"/>
            <w:shd w:val="clear" w:color="auto" w:fill="C6EFCE"/>
            <w:noWrap/>
            <w:vAlign w:val="center"/>
            <w:hideMark/>
          </w:tcPr>
          <w:p w14:paraId="44C3A69F" w14:textId="77777777" w:rsidR="006054AA" w:rsidRDefault="001F7667">
            <w:pPr>
              <w:pStyle w:val="P68B1DB1-Normal11"/>
              <w:spacing w:before="100" w:beforeAutospacing="1" w:after="165"/>
              <w:rPr>
                <w:noProof/>
              </w:rPr>
            </w:pPr>
            <w:r>
              <w:rPr>
                <w:noProof/>
              </w:rPr>
              <w:t>Регулаторната промяна намалява времето за издаване на разрешения за проекти от 11 на шест месеца.</w:t>
            </w:r>
          </w:p>
        </w:tc>
      </w:tr>
      <w:tr w:rsidR="006054AA" w14:paraId="2B8B5520" w14:textId="77777777">
        <w:trPr>
          <w:trHeight w:val="313"/>
          <w:jc w:val="right"/>
        </w:trPr>
        <w:tc>
          <w:tcPr>
            <w:tcW w:w="369" w:type="pct"/>
            <w:shd w:val="clear" w:color="auto" w:fill="C6EFCE"/>
            <w:noWrap/>
            <w:vAlign w:val="center"/>
            <w:hideMark/>
          </w:tcPr>
          <w:p w14:paraId="31224233" w14:textId="77777777" w:rsidR="006054AA" w:rsidRDefault="001F7667">
            <w:pPr>
              <w:pStyle w:val="P68B1DB1-Normal11"/>
              <w:jc w:val="center"/>
              <w:rPr>
                <w:noProof/>
              </w:rPr>
            </w:pPr>
            <w:r>
              <w:rPr>
                <w:noProof/>
              </w:rPr>
              <w:t>M3C1—3</w:t>
            </w:r>
          </w:p>
        </w:tc>
        <w:tc>
          <w:tcPr>
            <w:tcW w:w="511" w:type="pct"/>
            <w:shd w:val="clear" w:color="auto" w:fill="C6EFCE"/>
            <w:noWrap/>
            <w:vAlign w:val="center"/>
            <w:hideMark/>
          </w:tcPr>
          <w:p w14:paraId="0A525C46" w14:textId="77777777" w:rsidR="006054AA" w:rsidRDefault="001F7667">
            <w:pPr>
              <w:pStyle w:val="P68B1DB1-Normal11"/>
              <w:jc w:val="center"/>
              <w:rPr>
                <w:noProof/>
              </w:rPr>
            </w:pPr>
            <w:r>
              <w:rPr>
                <w:noProof/>
              </w:rPr>
              <w:t>Инвестиция 1.1 — Високоскоростни железопътни връзки на юг за пътници и товари</w:t>
            </w:r>
          </w:p>
        </w:tc>
        <w:tc>
          <w:tcPr>
            <w:tcW w:w="417" w:type="pct"/>
            <w:shd w:val="clear" w:color="auto" w:fill="C6EFCE"/>
            <w:noWrap/>
            <w:vAlign w:val="center"/>
            <w:hideMark/>
          </w:tcPr>
          <w:p w14:paraId="14AA9052" w14:textId="77777777" w:rsidR="006054AA" w:rsidRDefault="001F7667">
            <w:pPr>
              <w:pStyle w:val="P68B1DB1-Normal11"/>
              <w:jc w:val="center"/>
              <w:rPr>
                <w:noProof/>
              </w:rPr>
            </w:pPr>
            <w:r>
              <w:rPr>
                <w:noProof/>
              </w:rPr>
              <w:t>Ключов етап</w:t>
            </w:r>
          </w:p>
        </w:tc>
        <w:tc>
          <w:tcPr>
            <w:tcW w:w="464" w:type="pct"/>
            <w:shd w:val="clear" w:color="auto" w:fill="C6EFCE"/>
            <w:noWrap/>
            <w:vAlign w:val="center"/>
            <w:hideMark/>
          </w:tcPr>
          <w:p w14:paraId="6E6F57AD" w14:textId="77777777" w:rsidR="006054AA" w:rsidRDefault="001F7667">
            <w:pPr>
              <w:pStyle w:val="P68B1DB1-Normal11"/>
              <w:jc w:val="center"/>
              <w:rPr>
                <w:noProof/>
              </w:rPr>
            </w:pPr>
            <w:r>
              <w:rPr>
                <w:noProof/>
              </w:rPr>
              <w:t>Възлагане на поръчката (ите) за изграждане на високоскоростна железопътна линия по линиите Наполи-Бари и Палермо-Катания</w:t>
            </w:r>
          </w:p>
        </w:tc>
        <w:tc>
          <w:tcPr>
            <w:tcW w:w="509" w:type="pct"/>
            <w:shd w:val="clear" w:color="auto" w:fill="C6EFCE"/>
            <w:noWrap/>
            <w:vAlign w:val="center"/>
            <w:hideMark/>
          </w:tcPr>
          <w:p w14:paraId="40838966" w14:textId="77777777" w:rsidR="006054AA" w:rsidRDefault="001F7667">
            <w:pPr>
              <w:pStyle w:val="P68B1DB1-Normal11"/>
              <w:jc w:val="center"/>
              <w:rPr>
                <w:noProof/>
              </w:rPr>
            </w:pPr>
            <w:r>
              <w:rPr>
                <w:noProof/>
              </w:rPr>
              <w:t>Уведомление за възлагането на всички обществени поръчки за изграждане на високоскоростна железопътна линия по линиите Наполи-Бари и Палермо-Катания</w:t>
            </w:r>
          </w:p>
        </w:tc>
        <w:tc>
          <w:tcPr>
            <w:tcW w:w="325" w:type="pct"/>
            <w:shd w:val="clear" w:color="auto" w:fill="C6EFCE"/>
            <w:noWrap/>
            <w:vAlign w:val="center"/>
            <w:hideMark/>
          </w:tcPr>
          <w:p w14:paraId="113AEA25" w14:textId="77777777" w:rsidR="006054AA" w:rsidRDefault="001F7667">
            <w:pPr>
              <w:pStyle w:val="P68B1DB1-Normal11"/>
              <w:jc w:val="center"/>
              <w:rPr>
                <w:noProof/>
              </w:rPr>
            </w:pPr>
            <w:r>
              <w:rPr>
                <w:noProof/>
              </w:rPr>
              <w:t>НЯМА</w:t>
            </w:r>
          </w:p>
        </w:tc>
        <w:tc>
          <w:tcPr>
            <w:tcW w:w="371" w:type="pct"/>
            <w:shd w:val="clear" w:color="auto" w:fill="C6EFCE"/>
            <w:noWrap/>
            <w:vAlign w:val="center"/>
            <w:hideMark/>
          </w:tcPr>
          <w:p w14:paraId="1C3549FC" w14:textId="77777777" w:rsidR="006054AA" w:rsidRDefault="001F7667">
            <w:pPr>
              <w:pStyle w:val="P68B1DB1-Normal11"/>
              <w:jc w:val="center"/>
              <w:rPr>
                <w:noProof/>
              </w:rPr>
            </w:pPr>
            <w:r>
              <w:rPr>
                <w:noProof/>
              </w:rPr>
              <w:t>НЯМА</w:t>
            </w:r>
          </w:p>
        </w:tc>
        <w:tc>
          <w:tcPr>
            <w:tcW w:w="279" w:type="pct"/>
            <w:shd w:val="clear" w:color="auto" w:fill="C6EFCE"/>
            <w:noWrap/>
            <w:vAlign w:val="center"/>
            <w:hideMark/>
          </w:tcPr>
          <w:p w14:paraId="43641965" w14:textId="77777777" w:rsidR="006054AA" w:rsidRDefault="001F7667">
            <w:pPr>
              <w:pStyle w:val="P68B1DB1-Normal11"/>
              <w:jc w:val="center"/>
              <w:rPr>
                <w:noProof/>
              </w:rPr>
            </w:pPr>
            <w:r>
              <w:rPr>
                <w:noProof/>
              </w:rPr>
              <w:t>НЯМА</w:t>
            </w:r>
          </w:p>
        </w:tc>
        <w:tc>
          <w:tcPr>
            <w:tcW w:w="278" w:type="pct"/>
            <w:shd w:val="clear" w:color="auto" w:fill="C6EFCE"/>
            <w:noWrap/>
            <w:vAlign w:val="center"/>
            <w:hideMark/>
          </w:tcPr>
          <w:p w14:paraId="722F1127" w14:textId="77777777" w:rsidR="006054AA" w:rsidRDefault="001F7667">
            <w:pPr>
              <w:pStyle w:val="P68B1DB1-Normal11"/>
              <w:jc w:val="center"/>
              <w:rPr>
                <w:noProof/>
              </w:rPr>
            </w:pPr>
            <w:r>
              <w:rPr>
                <w:noProof/>
              </w:rPr>
              <w:t>Т4 Г.</w:t>
            </w:r>
          </w:p>
        </w:tc>
        <w:tc>
          <w:tcPr>
            <w:tcW w:w="278" w:type="pct"/>
            <w:shd w:val="clear" w:color="auto" w:fill="C6EFCE"/>
            <w:noWrap/>
            <w:vAlign w:val="center"/>
            <w:hideMark/>
          </w:tcPr>
          <w:p w14:paraId="12B200BA" w14:textId="77777777" w:rsidR="006054AA" w:rsidRDefault="001F7667">
            <w:pPr>
              <w:pStyle w:val="P68B1DB1-Normal11"/>
              <w:jc w:val="center"/>
              <w:rPr>
                <w:noProof/>
              </w:rPr>
            </w:pPr>
            <w:r>
              <w:rPr>
                <w:noProof/>
              </w:rPr>
              <w:t>2022</w:t>
            </w:r>
          </w:p>
        </w:tc>
        <w:tc>
          <w:tcPr>
            <w:tcW w:w="1198" w:type="pct"/>
            <w:shd w:val="clear" w:color="auto" w:fill="C6EFCE"/>
            <w:noWrap/>
            <w:vAlign w:val="center"/>
            <w:hideMark/>
          </w:tcPr>
          <w:p w14:paraId="51D2A747" w14:textId="77777777" w:rsidR="006054AA" w:rsidRDefault="001F7667">
            <w:pPr>
              <w:pStyle w:val="P68B1DB1-Normal11"/>
              <w:spacing w:before="120" w:after="120"/>
              <w:rPr>
                <w:noProof/>
              </w:rPr>
            </w:pPr>
            <w:r>
              <w:rPr>
                <w:noProof/>
              </w:rPr>
              <w:t>Уведомление за възлагането на всички обществени поръчки за изграждане на високоскоростна железопътна линия по линиите Наполи-Бари и Палермо-Катания при пълно спазване на правилата за възлагане на обществени поръчки</w:t>
            </w:r>
          </w:p>
          <w:p w14:paraId="1968221E" w14:textId="77777777" w:rsidR="006054AA" w:rsidRDefault="001F7667">
            <w:pPr>
              <w:pStyle w:val="P68B1DB1-Normal11"/>
              <w:spacing w:before="120" w:after="120"/>
              <w:rPr>
                <w:noProof/>
              </w:rPr>
            </w:pPr>
            <w:r>
              <w:rPr>
                <w:noProof/>
              </w:rPr>
              <w:t>Договорът (ите) се отнася (т) за следните части от тези редове:</w:t>
            </w:r>
          </w:p>
          <w:p w14:paraId="4AF18BC6" w14:textId="77777777" w:rsidR="006054AA" w:rsidRDefault="001F7667">
            <w:pPr>
              <w:pStyle w:val="P68B1DB1-Normal11"/>
              <w:spacing w:before="120" w:after="120"/>
              <w:rPr>
                <w:noProof/>
              </w:rPr>
            </w:pPr>
            <w:r>
              <w:rPr>
                <w:noProof/>
              </w:rPr>
              <w:t>Линия Наполи-Бари: Орсара-Бовино</w:t>
            </w:r>
          </w:p>
          <w:p w14:paraId="2F8C1195" w14:textId="4AF652BD" w:rsidR="006054AA" w:rsidRDefault="001F7667">
            <w:pPr>
              <w:pStyle w:val="P68B1DB1-Normal11"/>
              <w:spacing w:before="120" w:after="120"/>
              <w:rPr>
                <w:noProof/>
              </w:rPr>
            </w:pPr>
            <w:r>
              <w:rPr>
                <w:noProof/>
              </w:rPr>
              <w:t>Линия Палермо-Катания:  Катенуова — Дитино и Дитвино — Енна</w:t>
            </w:r>
          </w:p>
        </w:tc>
      </w:tr>
      <w:tr w:rsidR="006054AA" w14:paraId="1F16674D" w14:textId="77777777">
        <w:trPr>
          <w:trHeight w:val="313"/>
          <w:jc w:val="right"/>
        </w:trPr>
        <w:tc>
          <w:tcPr>
            <w:tcW w:w="369" w:type="pct"/>
            <w:shd w:val="clear" w:color="auto" w:fill="C6EFCE"/>
            <w:noWrap/>
            <w:vAlign w:val="center"/>
            <w:hideMark/>
          </w:tcPr>
          <w:p w14:paraId="1B4D77DB" w14:textId="77777777" w:rsidR="006054AA" w:rsidRDefault="001F7667">
            <w:pPr>
              <w:pStyle w:val="P68B1DB1-Normal11"/>
              <w:jc w:val="center"/>
              <w:rPr>
                <w:noProof/>
              </w:rPr>
            </w:pPr>
            <w:r>
              <w:rPr>
                <w:noProof/>
              </w:rPr>
              <w:t>M3C1—4</w:t>
            </w:r>
          </w:p>
        </w:tc>
        <w:tc>
          <w:tcPr>
            <w:tcW w:w="511" w:type="pct"/>
            <w:shd w:val="clear" w:color="auto" w:fill="C6EFCE"/>
            <w:noWrap/>
            <w:vAlign w:val="center"/>
            <w:hideMark/>
          </w:tcPr>
          <w:p w14:paraId="05FBCE20" w14:textId="77777777" w:rsidR="006054AA" w:rsidRDefault="001F7667">
            <w:pPr>
              <w:pStyle w:val="P68B1DB1-Normal11"/>
              <w:jc w:val="center"/>
              <w:rPr>
                <w:noProof/>
              </w:rPr>
            </w:pPr>
            <w:r>
              <w:rPr>
                <w:noProof/>
              </w:rPr>
              <w:t>Инвестиция 1.1 — Високоскоростни железопътни връзки на юг за пътници и товари</w:t>
            </w:r>
          </w:p>
        </w:tc>
        <w:tc>
          <w:tcPr>
            <w:tcW w:w="417" w:type="pct"/>
            <w:shd w:val="clear" w:color="auto" w:fill="C6EFCE"/>
            <w:noWrap/>
            <w:vAlign w:val="center"/>
            <w:hideMark/>
          </w:tcPr>
          <w:p w14:paraId="281F52A1" w14:textId="77777777" w:rsidR="006054AA" w:rsidRDefault="001F7667">
            <w:pPr>
              <w:pStyle w:val="P68B1DB1-Normal11"/>
              <w:jc w:val="center"/>
              <w:rPr>
                <w:noProof/>
              </w:rPr>
            </w:pPr>
            <w:r>
              <w:rPr>
                <w:noProof/>
              </w:rPr>
              <w:t>Ключов етап</w:t>
            </w:r>
          </w:p>
        </w:tc>
        <w:tc>
          <w:tcPr>
            <w:tcW w:w="464" w:type="pct"/>
            <w:shd w:val="clear" w:color="auto" w:fill="C6EFCE"/>
            <w:noWrap/>
            <w:vAlign w:val="center"/>
            <w:hideMark/>
          </w:tcPr>
          <w:p w14:paraId="54B1BC62" w14:textId="77777777" w:rsidR="006054AA" w:rsidRDefault="001F7667">
            <w:pPr>
              <w:pStyle w:val="P68B1DB1-Normal11"/>
              <w:jc w:val="center"/>
              <w:rPr>
                <w:noProof/>
              </w:rPr>
            </w:pPr>
            <w:r>
              <w:rPr>
                <w:noProof/>
              </w:rPr>
              <w:t>Възлагане на поръчката за изграждане на високоскоростна железопътна линия по линиите Салерно Реджо Калабрия</w:t>
            </w:r>
          </w:p>
        </w:tc>
        <w:tc>
          <w:tcPr>
            <w:tcW w:w="509" w:type="pct"/>
            <w:shd w:val="clear" w:color="auto" w:fill="C6EFCE"/>
            <w:noWrap/>
            <w:vAlign w:val="center"/>
            <w:hideMark/>
          </w:tcPr>
          <w:p w14:paraId="4194E9E5" w14:textId="77777777" w:rsidR="006054AA" w:rsidRDefault="001F7667">
            <w:pPr>
              <w:pStyle w:val="P68B1DB1-Normal19"/>
              <w:jc w:val="center"/>
              <w:rPr>
                <w:noProof/>
                <w:color w:val="006100"/>
              </w:rPr>
            </w:pPr>
            <w:r>
              <w:rPr>
                <w:noProof/>
                <w:color w:val="006100"/>
              </w:rPr>
              <w:t>Уведомление за възлагането на  мултидисциплинарен договор за изграждане на високоскоростна железопътна линия по линията Салерно Реджо Калабрия</w:t>
            </w:r>
          </w:p>
        </w:tc>
        <w:tc>
          <w:tcPr>
            <w:tcW w:w="325" w:type="pct"/>
            <w:shd w:val="clear" w:color="auto" w:fill="C6EFCE"/>
            <w:noWrap/>
            <w:vAlign w:val="center"/>
            <w:hideMark/>
          </w:tcPr>
          <w:p w14:paraId="08DDDE6C" w14:textId="77777777" w:rsidR="006054AA" w:rsidRDefault="001F7667">
            <w:pPr>
              <w:pStyle w:val="P68B1DB1-Normal11"/>
              <w:jc w:val="center"/>
              <w:rPr>
                <w:noProof/>
              </w:rPr>
            </w:pPr>
            <w:r>
              <w:rPr>
                <w:noProof/>
              </w:rPr>
              <w:t>НЯМА</w:t>
            </w:r>
          </w:p>
        </w:tc>
        <w:tc>
          <w:tcPr>
            <w:tcW w:w="371" w:type="pct"/>
            <w:shd w:val="clear" w:color="auto" w:fill="C6EFCE"/>
            <w:noWrap/>
            <w:vAlign w:val="center"/>
            <w:hideMark/>
          </w:tcPr>
          <w:p w14:paraId="42AA7BBF" w14:textId="77777777" w:rsidR="006054AA" w:rsidRDefault="001F7667">
            <w:pPr>
              <w:pStyle w:val="P68B1DB1-Normal11"/>
              <w:jc w:val="center"/>
              <w:rPr>
                <w:noProof/>
              </w:rPr>
            </w:pPr>
            <w:r>
              <w:rPr>
                <w:noProof/>
              </w:rPr>
              <w:t>НЯМА</w:t>
            </w:r>
          </w:p>
        </w:tc>
        <w:tc>
          <w:tcPr>
            <w:tcW w:w="279" w:type="pct"/>
            <w:shd w:val="clear" w:color="auto" w:fill="C6EFCE"/>
            <w:noWrap/>
            <w:vAlign w:val="center"/>
            <w:hideMark/>
          </w:tcPr>
          <w:p w14:paraId="215A362A" w14:textId="77777777" w:rsidR="006054AA" w:rsidRDefault="001F7667">
            <w:pPr>
              <w:pStyle w:val="P68B1DB1-Normal11"/>
              <w:jc w:val="center"/>
              <w:rPr>
                <w:noProof/>
              </w:rPr>
            </w:pPr>
            <w:r>
              <w:rPr>
                <w:noProof/>
              </w:rPr>
              <w:t>НЯМА</w:t>
            </w:r>
          </w:p>
        </w:tc>
        <w:tc>
          <w:tcPr>
            <w:tcW w:w="278" w:type="pct"/>
            <w:shd w:val="clear" w:color="auto" w:fill="C6EFCE"/>
            <w:noWrap/>
            <w:vAlign w:val="center"/>
            <w:hideMark/>
          </w:tcPr>
          <w:p w14:paraId="1CDCB2B1" w14:textId="6BC256D1" w:rsidR="006054AA" w:rsidRDefault="001F7667">
            <w:pPr>
              <w:pStyle w:val="P68B1DB1-Normal11"/>
              <w:jc w:val="center"/>
              <w:rPr>
                <w:noProof/>
              </w:rPr>
            </w:pPr>
            <w:r>
              <w:rPr>
                <w:noProof/>
              </w:rPr>
              <w:t>Т4 Г.</w:t>
            </w:r>
          </w:p>
        </w:tc>
        <w:tc>
          <w:tcPr>
            <w:tcW w:w="278" w:type="pct"/>
            <w:shd w:val="clear" w:color="auto" w:fill="C6EFCE"/>
            <w:noWrap/>
            <w:vAlign w:val="center"/>
            <w:hideMark/>
          </w:tcPr>
          <w:p w14:paraId="59BFE413" w14:textId="4A78EC8B" w:rsidR="006054AA" w:rsidRDefault="001F7667">
            <w:pPr>
              <w:pStyle w:val="P68B1DB1-Normal11"/>
              <w:jc w:val="center"/>
              <w:rPr>
                <w:noProof/>
              </w:rPr>
            </w:pPr>
            <w:r>
              <w:rPr>
                <w:noProof/>
              </w:rPr>
              <w:t>2023</w:t>
            </w:r>
          </w:p>
        </w:tc>
        <w:tc>
          <w:tcPr>
            <w:tcW w:w="1198" w:type="pct"/>
            <w:shd w:val="clear" w:color="auto" w:fill="C6EFCE"/>
            <w:noWrap/>
            <w:vAlign w:val="center"/>
            <w:hideMark/>
          </w:tcPr>
          <w:p w14:paraId="319D9A73" w14:textId="77777777" w:rsidR="006054AA" w:rsidRDefault="001F7667">
            <w:pPr>
              <w:pStyle w:val="P68B1DB1-Normal11"/>
              <w:spacing w:before="120" w:after="120"/>
              <w:rPr>
                <w:noProof/>
              </w:rPr>
            </w:pPr>
            <w:r>
              <w:rPr>
                <w:noProof/>
              </w:rPr>
              <w:t>Уведомление за възлагането на мултидисциплинарния договор за изграждане на високоскоростна железопътна линия по линията Салерно Реджо Калабрия.</w:t>
            </w:r>
          </w:p>
          <w:p w14:paraId="063AF6B0" w14:textId="77777777" w:rsidR="006054AA" w:rsidRDefault="001F7667">
            <w:pPr>
              <w:pStyle w:val="P68B1DB1-Normal11"/>
              <w:spacing w:before="120" w:after="120"/>
              <w:rPr>
                <w:noProof/>
              </w:rPr>
            </w:pPr>
            <w:r>
              <w:rPr>
                <w:noProof/>
              </w:rPr>
              <w:t>В договора се посочват следните части от този ред: Battipaglia — Romagnano</w:t>
            </w:r>
          </w:p>
        </w:tc>
      </w:tr>
      <w:tr w:rsidR="006054AA" w14:paraId="57ACAA29" w14:textId="77777777">
        <w:trPr>
          <w:trHeight w:val="309"/>
          <w:jc w:val="right"/>
        </w:trPr>
        <w:tc>
          <w:tcPr>
            <w:tcW w:w="369" w:type="pct"/>
            <w:shd w:val="clear" w:color="auto" w:fill="C6EFCE"/>
            <w:noWrap/>
            <w:vAlign w:val="center"/>
          </w:tcPr>
          <w:p w14:paraId="3985B2A4" w14:textId="77777777" w:rsidR="006054AA" w:rsidRDefault="001F7667">
            <w:pPr>
              <w:pStyle w:val="P68B1DB1-Normal11"/>
              <w:jc w:val="center"/>
              <w:rPr>
                <w:noProof/>
              </w:rPr>
            </w:pPr>
            <w:r>
              <w:rPr>
                <w:noProof/>
              </w:rPr>
              <w:t>M3C1—6</w:t>
            </w:r>
          </w:p>
        </w:tc>
        <w:tc>
          <w:tcPr>
            <w:tcW w:w="511" w:type="pct"/>
            <w:shd w:val="clear" w:color="auto" w:fill="C6EFCE"/>
            <w:noWrap/>
            <w:vAlign w:val="center"/>
          </w:tcPr>
          <w:p w14:paraId="592303DC" w14:textId="77777777" w:rsidR="006054AA" w:rsidRDefault="001F7667">
            <w:pPr>
              <w:pStyle w:val="P68B1DB1-Normal11"/>
              <w:jc w:val="center"/>
              <w:rPr>
                <w:noProof/>
              </w:rPr>
            </w:pPr>
            <w:r>
              <w:rPr>
                <w:noProof/>
              </w:rPr>
              <w:t>Инвестиция 1.1 — Високоскоростни железопътни връзки на юг за пътници и товари</w:t>
            </w:r>
          </w:p>
        </w:tc>
        <w:tc>
          <w:tcPr>
            <w:tcW w:w="417" w:type="pct"/>
            <w:shd w:val="clear" w:color="auto" w:fill="C6EFCE"/>
            <w:noWrap/>
            <w:vAlign w:val="center"/>
          </w:tcPr>
          <w:p w14:paraId="2F57F74C"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5CB6F96C" w14:textId="77777777" w:rsidR="006054AA" w:rsidRDefault="001F7667">
            <w:pPr>
              <w:pStyle w:val="P68B1DB1-Normal11"/>
              <w:jc w:val="center"/>
              <w:rPr>
                <w:noProof/>
              </w:rPr>
            </w:pPr>
            <w:r>
              <w:rPr>
                <w:noProof/>
              </w:rPr>
              <w:t>Високоскоростен железопътен транспорт както за пътници, така и за товари по линиите Наполи-Бари, Салерно-Реджо Калабрия, Палермо-Катания</w:t>
            </w:r>
          </w:p>
        </w:tc>
        <w:tc>
          <w:tcPr>
            <w:tcW w:w="509" w:type="pct"/>
            <w:shd w:val="clear" w:color="auto" w:fill="C6EFCE"/>
            <w:noWrap/>
            <w:vAlign w:val="center"/>
          </w:tcPr>
          <w:p w14:paraId="728B83C4"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6D4AE6BE"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6D8300A1" w14:textId="77777777" w:rsidR="006054AA" w:rsidRDefault="001F7667">
            <w:pPr>
              <w:pStyle w:val="P68B1DB1-Normal11"/>
              <w:jc w:val="center"/>
              <w:rPr>
                <w:noProof/>
              </w:rPr>
            </w:pPr>
            <w:r>
              <w:rPr>
                <w:noProof/>
              </w:rPr>
              <w:t>37</w:t>
            </w:r>
          </w:p>
        </w:tc>
        <w:tc>
          <w:tcPr>
            <w:tcW w:w="279" w:type="pct"/>
            <w:shd w:val="clear" w:color="auto" w:fill="C6EFCE"/>
            <w:noWrap/>
            <w:vAlign w:val="center"/>
          </w:tcPr>
          <w:p w14:paraId="2C1F84FB" w14:textId="310EDAF0" w:rsidR="006054AA" w:rsidRDefault="001F7667">
            <w:pPr>
              <w:pStyle w:val="P68B1DB1-Normal11"/>
              <w:jc w:val="center"/>
              <w:rPr>
                <w:noProof/>
              </w:rPr>
            </w:pPr>
            <w:r>
              <w:rPr>
                <w:noProof/>
              </w:rPr>
              <w:t>119</w:t>
            </w:r>
          </w:p>
        </w:tc>
        <w:tc>
          <w:tcPr>
            <w:tcW w:w="278" w:type="pct"/>
            <w:shd w:val="clear" w:color="auto" w:fill="C6EFCE"/>
            <w:noWrap/>
            <w:vAlign w:val="center"/>
          </w:tcPr>
          <w:p w14:paraId="503D67A6"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5EBE3CAB"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432A6581" w14:textId="77777777" w:rsidR="006054AA" w:rsidRDefault="001F7667">
            <w:pPr>
              <w:pStyle w:val="P68B1DB1-Normal11"/>
              <w:spacing w:before="120" w:after="120"/>
              <w:rPr>
                <w:noProof/>
              </w:rPr>
            </w:pPr>
            <w:r>
              <w:rPr>
                <w:noProof/>
              </w:rPr>
              <w:t>119 км високоскоростна железопътна линия както за пътници, така и за товари по линиите Наполи-Бари, Салерно-Реджо Калабрия, Палермо-Катания са построени, готови за издаване на разрешение и оперативни фази.</w:t>
            </w:r>
          </w:p>
          <w:p w14:paraId="4C84E998" w14:textId="77777777" w:rsidR="006054AA" w:rsidRDefault="001F7667">
            <w:pPr>
              <w:pStyle w:val="P68B1DB1-Normal11"/>
              <w:rPr>
                <w:noProof/>
              </w:rPr>
            </w:pPr>
            <w:r>
              <w:rPr>
                <w:noProof/>
              </w:rPr>
              <w:t>Ориентировъчната разбивка е следната:</w:t>
            </w:r>
          </w:p>
          <w:p w14:paraId="22023CFE" w14:textId="77777777" w:rsidR="006054AA" w:rsidRDefault="006054AA">
            <w:pPr>
              <w:rPr>
                <w:rFonts w:ascii="Arial Narrow" w:hAnsi="Arial Narrow"/>
                <w:noProof/>
                <w:color w:val="006100"/>
                <w:sz w:val="20"/>
              </w:rPr>
            </w:pPr>
          </w:p>
          <w:p w14:paraId="4AEAAEC5" w14:textId="77777777" w:rsidR="006054AA" w:rsidRDefault="001F7667">
            <w:pPr>
              <w:pStyle w:val="P68B1DB1-Normal19"/>
              <w:rPr>
                <w:noProof/>
              </w:rPr>
            </w:pPr>
            <w:r>
              <w:rPr>
                <w:noProof/>
                <w:color w:val="006100"/>
              </w:rPr>
              <w:t>Линията Наполи-Бари 49 km;</w:t>
            </w:r>
            <w:r>
              <w:rPr>
                <w:noProof/>
              </w:rPr>
              <w:t xml:space="preserve"> </w:t>
            </w:r>
          </w:p>
          <w:p w14:paraId="11DD4392" w14:textId="77777777" w:rsidR="006054AA" w:rsidRDefault="001F7667">
            <w:pPr>
              <w:pStyle w:val="P68B1DB1-Normal11"/>
              <w:rPr>
                <w:noProof/>
              </w:rPr>
            </w:pPr>
            <w:r>
              <w:rPr>
                <w:noProof/>
              </w:rPr>
              <w:t>от които:</w:t>
            </w:r>
          </w:p>
          <w:p w14:paraId="283F94E2" w14:textId="1B3F0768" w:rsidR="006054AA" w:rsidRDefault="001F7667">
            <w:pPr>
              <w:pStyle w:val="P68B1DB1-Normal11"/>
              <w:rPr>
                <w:noProof/>
              </w:rPr>
            </w:pPr>
            <w:r>
              <w:rPr>
                <w:noProof/>
              </w:rPr>
              <w:t>Frasso — Telese 11</w:t>
            </w:r>
          </w:p>
          <w:p w14:paraId="2A3F695C" w14:textId="75612744" w:rsidR="006054AA" w:rsidRDefault="001F7667">
            <w:pPr>
              <w:pStyle w:val="P68B1DB1-Normal11"/>
              <w:rPr>
                <w:noProof/>
              </w:rPr>
            </w:pPr>
            <w:r>
              <w:rPr>
                <w:noProof/>
              </w:rPr>
              <w:t>Telese — Vitulano 19 km</w:t>
            </w:r>
          </w:p>
          <w:p w14:paraId="5DB9BE4B" w14:textId="38128373" w:rsidR="006054AA" w:rsidRDefault="001F7667">
            <w:pPr>
              <w:pStyle w:val="P68B1DB1-Normal11"/>
              <w:rPr>
                <w:noProof/>
              </w:rPr>
            </w:pPr>
            <w:r>
              <w:rPr>
                <w:noProof/>
              </w:rPr>
              <w:t>Apice — Hirpinia 19 km</w:t>
            </w:r>
          </w:p>
          <w:p w14:paraId="39C63536" w14:textId="77777777" w:rsidR="006054AA" w:rsidRDefault="006054AA">
            <w:pPr>
              <w:rPr>
                <w:rFonts w:ascii="Arial Narrow" w:hAnsi="Arial Narrow"/>
                <w:noProof/>
                <w:sz w:val="20"/>
              </w:rPr>
            </w:pPr>
          </w:p>
          <w:p w14:paraId="03F43D06" w14:textId="21F2044D" w:rsidR="006054AA" w:rsidRDefault="001F7667">
            <w:pPr>
              <w:pStyle w:val="P68B1DB1-Normal11"/>
              <w:rPr>
                <w:noProof/>
              </w:rPr>
            </w:pPr>
            <w:r>
              <w:rPr>
                <w:noProof/>
              </w:rPr>
              <w:t>Салерно — Реджо Калабрия 33 км</w:t>
            </w:r>
          </w:p>
          <w:p w14:paraId="4BD5D1F1" w14:textId="4A148F13" w:rsidR="006054AA" w:rsidRDefault="001F7667">
            <w:pPr>
              <w:pStyle w:val="P68B1DB1-Normal11"/>
              <w:rPr>
                <w:noProof/>
              </w:rPr>
            </w:pPr>
            <w:r>
              <w:rPr>
                <w:noProof/>
              </w:rPr>
              <w:t>от които Battipaglia-Romagnano 33 km</w:t>
            </w:r>
          </w:p>
          <w:p w14:paraId="64E3DE52" w14:textId="77777777" w:rsidR="006054AA" w:rsidRDefault="006054AA">
            <w:pPr>
              <w:rPr>
                <w:rFonts w:ascii="Arial Narrow" w:hAnsi="Arial Narrow"/>
                <w:noProof/>
                <w:color w:val="006100"/>
                <w:sz w:val="20"/>
              </w:rPr>
            </w:pPr>
          </w:p>
          <w:p w14:paraId="14D4CC7A" w14:textId="5524FE2A" w:rsidR="006054AA" w:rsidRDefault="001F7667">
            <w:pPr>
              <w:pStyle w:val="P68B1DB1-Normal11"/>
              <w:rPr>
                <w:noProof/>
              </w:rPr>
            </w:pPr>
            <w:r>
              <w:rPr>
                <w:noProof/>
              </w:rPr>
              <w:t>Линията Палермо — Катания, 37 km от които:</w:t>
            </w:r>
          </w:p>
          <w:p w14:paraId="3C557121" w14:textId="1D1B1630" w:rsidR="006054AA" w:rsidRDefault="001F7667">
            <w:pPr>
              <w:pStyle w:val="P68B1DB1-Normal11"/>
              <w:rPr>
                <w:noProof/>
              </w:rPr>
            </w:pPr>
            <w:r>
              <w:rPr>
                <w:noProof/>
              </w:rPr>
              <w:t>Катенунуова — Дитино 22 км</w:t>
            </w:r>
          </w:p>
          <w:p w14:paraId="34E1DB73" w14:textId="77777777" w:rsidR="006054AA" w:rsidRDefault="001F7667">
            <w:pPr>
              <w:pStyle w:val="P68B1DB1-Normal11"/>
              <w:rPr>
                <w:noProof/>
              </w:rPr>
            </w:pPr>
            <w:r>
              <w:rPr>
                <w:noProof/>
              </w:rPr>
              <w:t>Дитанио — Енна 15 км</w:t>
            </w:r>
          </w:p>
        </w:tc>
      </w:tr>
      <w:tr w:rsidR="006054AA" w14:paraId="3BE60C4E" w14:textId="77777777">
        <w:trPr>
          <w:trHeight w:val="309"/>
          <w:jc w:val="right"/>
        </w:trPr>
        <w:tc>
          <w:tcPr>
            <w:tcW w:w="369" w:type="pct"/>
            <w:shd w:val="clear" w:color="auto" w:fill="C6EFCE"/>
            <w:noWrap/>
            <w:vAlign w:val="center"/>
          </w:tcPr>
          <w:p w14:paraId="1608C981" w14:textId="237017B2" w:rsidR="006054AA" w:rsidRDefault="001F7667">
            <w:pPr>
              <w:pStyle w:val="P68B1DB1-Normal11"/>
              <w:jc w:val="center"/>
              <w:rPr>
                <w:noProof/>
              </w:rPr>
            </w:pPr>
            <w:r>
              <w:rPr>
                <w:noProof/>
              </w:rPr>
              <w:t>M3C1—23</w:t>
            </w:r>
          </w:p>
        </w:tc>
        <w:tc>
          <w:tcPr>
            <w:tcW w:w="511" w:type="pct"/>
            <w:shd w:val="clear" w:color="auto" w:fill="C6EFCE"/>
            <w:noWrap/>
            <w:vAlign w:val="center"/>
          </w:tcPr>
          <w:p w14:paraId="6A270ED6" w14:textId="77777777" w:rsidR="006054AA" w:rsidRDefault="001F7667">
            <w:pPr>
              <w:pStyle w:val="P68B1DB1-Normal11"/>
              <w:jc w:val="center"/>
              <w:rPr>
                <w:noProof/>
              </w:rPr>
            </w:pPr>
            <w:r>
              <w:rPr>
                <w:noProof/>
              </w:rPr>
              <w:t>Инвестиция 1.9</w:t>
            </w:r>
          </w:p>
          <w:p w14:paraId="777111B0" w14:textId="77777777" w:rsidR="006054AA" w:rsidRDefault="001F7667">
            <w:pPr>
              <w:pStyle w:val="P68B1DB1-Normal11"/>
              <w:jc w:val="center"/>
              <w:rPr>
                <w:noProof/>
              </w:rPr>
            </w:pPr>
            <w:r>
              <w:rPr>
                <w:noProof/>
              </w:rPr>
              <w:t>Междурегионални връзки</w:t>
            </w:r>
          </w:p>
        </w:tc>
        <w:tc>
          <w:tcPr>
            <w:tcW w:w="417" w:type="pct"/>
            <w:shd w:val="clear" w:color="auto" w:fill="C6EFCE"/>
            <w:noWrap/>
            <w:vAlign w:val="center"/>
          </w:tcPr>
          <w:p w14:paraId="47C086FF"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4007BA6E" w14:textId="77777777" w:rsidR="006054AA" w:rsidRDefault="001F7667">
            <w:pPr>
              <w:pStyle w:val="P68B1DB1-Normal11"/>
              <w:jc w:val="center"/>
              <w:rPr>
                <w:noProof/>
              </w:rPr>
            </w:pPr>
            <w:r>
              <w:rPr>
                <w:noProof/>
              </w:rPr>
              <w:t>Инвестиция 1.9</w:t>
            </w:r>
          </w:p>
          <w:p w14:paraId="0387E6FB" w14:textId="77777777" w:rsidR="006054AA" w:rsidRDefault="001F7667">
            <w:pPr>
              <w:pStyle w:val="P68B1DB1-Normal11"/>
              <w:jc w:val="center"/>
              <w:rPr>
                <w:noProof/>
              </w:rPr>
            </w:pPr>
            <w:r>
              <w:rPr>
                <w:noProof/>
              </w:rPr>
              <w:t>Междурегионални връзки</w:t>
            </w:r>
          </w:p>
        </w:tc>
        <w:tc>
          <w:tcPr>
            <w:tcW w:w="509" w:type="pct"/>
            <w:shd w:val="clear" w:color="auto" w:fill="C6EFCE"/>
            <w:noWrap/>
            <w:vAlign w:val="center"/>
          </w:tcPr>
          <w:p w14:paraId="0FB4D692"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27985909"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1A9C7860" w14:textId="77777777" w:rsidR="006054AA" w:rsidRDefault="001F7667">
            <w:pPr>
              <w:pStyle w:val="P68B1DB1-Normal11"/>
              <w:jc w:val="center"/>
              <w:rPr>
                <w:noProof/>
              </w:rPr>
            </w:pPr>
            <w:r>
              <w:rPr>
                <w:noProof/>
              </w:rPr>
              <w:t>0</w:t>
            </w:r>
          </w:p>
        </w:tc>
        <w:tc>
          <w:tcPr>
            <w:tcW w:w="279" w:type="pct"/>
            <w:shd w:val="clear" w:color="auto" w:fill="C6EFCE"/>
            <w:noWrap/>
            <w:vAlign w:val="center"/>
          </w:tcPr>
          <w:p w14:paraId="7FC2C700" w14:textId="77777777" w:rsidR="006054AA" w:rsidRDefault="001F7667">
            <w:pPr>
              <w:pStyle w:val="P68B1DB1-Normal11"/>
              <w:jc w:val="center"/>
              <w:rPr>
                <w:noProof/>
              </w:rPr>
            </w:pPr>
            <w:r>
              <w:rPr>
                <w:noProof/>
              </w:rPr>
              <w:t xml:space="preserve">70 </w:t>
            </w:r>
          </w:p>
        </w:tc>
        <w:tc>
          <w:tcPr>
            <w:tcW w:w="278" w:type="pct"/>
            <w:shd w:val="clear" w:color="auto" w:fill="C6EFCE"/>
            <w:noWrap/>
            <w:vAlign w:val="center"/>
          </w:tcPr>
          <w:p w14:paraId="6E5939D1" w14:textId="77777777" w:rsidR="006054AA" w:rsidRDefault="001F7667">
            <w:pPr>
              <w:pStyle w:val="P68B1DB1-Normal11"/>
              <w:jc w:val="center"/>
              <w:rPr>
                <w:noProof/>
              </w:rPr>
            </w:pPr>
            <w:r>
              <w:rPr>
                <w:noProof/>
              </w:rPr>
              <w:t>Т4 Г.</w:t>
            </w:r>
          </w:p>
        </w:tc>
        <w:tc>
          <w:tcPr>
            <w:tcW w:w="278" w:type="pct"/>
            <w:shd w:val="clear" w:color="auto" w:fill="C6EFCE"/>
            <w:noWrap/>
            <w:vAlign w:val="center"/>
          </w:tcPr>
          <w:p w14:paraId="700BF9A3" w14:textId="77777777" w:rsidR="006054AA" w:rsidRDefault="001F7667">
            <w:pPr>
              <w:pStyle w:val="P68B1DB1-Normal11"/>
              <w:jc w:val="center"/>
              <w:rPr>
                <w:noProof/>
              </w:rPr>
            </w:pPr>
            <w:r>
              <w:rPr>
                <w:noProof/>
              </w:rPr>
              <w:t>2025</w:t>
            </w:r>
          </w:p>
        </w:tc>
        <w:tc>
          <w:tcPr>
            <w:tcW w:w="1198" w:type="pct"/>
            <w:shd w:val="clear" w:color="auto" w:fill="C6EFCE"/>
            <w:noWrap/>
            <w:vAlign w:val="center"/>
          </w:tcPr>
          <w:p w14:paraId="1674E604" w14:textId="5C9BD304" w:rsidR="006054AA" w:rsidRDefault="001F7667">
            <w:pPr>
              <w:pStyle w:val="P68B1DB1-Normal11"/>
              <w:rPr>
                <w:noProof/>
              </w:rPr>
            </w:pPr>
            <w:r>
              <w:rPr>
                <w:noProof/>
              </w:rPr>
              <w:t>Ускоряване на 70 км междурегионални връзки</w:t>
            </w:r>
          </w:p>
          <w:p w14:paraId="1DA8EE6A" w14:textId="77777777" w:rsidR="006054AA" w:rsidRDefault="006054AA">
            <w:pPr>
              <w:rPr>
                <w:rFonts w:ascii="Arial Narrow" w:hAnsi="Arial Narrow"/>
                <w:noProof/>
                <w:color w:val="006100"/>
                <w:sz w:val="20"/>
              </w:rPr>
            </w:pPr>
          </w:p>
          <w:p w14:paraId="74CF0C81" w14:textId="77777777" w:rsidR="006054AA" w:rsidRDefault="001F7667">
            <w:pPr>
              <w:pStyle w:val="P68B1DB1-Normal11"/>
              <w:rPr>
                <w:noProof/>
              </w:rPr>
            </w:pPr>
            <w:r>
              <w:rPr>
                <w:noProof/>
              </w:rPr>
              <w:t>Линиите, които трябва да бъдат модернизирани, са сред следните:</w:t>
            </w:r>
          </w:p>
          <w:p w14:paraId="461FB350" w14:textId="77777777" w:rsidR="006054AA" w:rsidRDefault="006054AA">
            <w:pPr>
              <w:rPr>
                <w:rFonts w:ascii="Arial Narrow" w:hAnsi="Arial Narrow"/>
                <w:noProof/>
                <w:color w:val="006100"/>
                <w:sz w:val="20"/>
              </w:rPr>
            </w:pPr>
          </w:p>
          <w:p w14:paraId="492EE70B" w14:textId="77777777" w:rsidR="006054AA" w:rsidRDefault="001F7667">
            <w:pPr>
              <w:pStyle w:val="P68B1DB1-Normal11"/>
              <w:rPr>
                <w:noProof/>
              </w:rPr>
            </w:pPr>
            <w:r>
              <w:rPr>
                <w:noProof/>
              </w:rPr>
              <w:t xml:space="preserve">Милано Генуа </w:t>
            </w:r>
          </w:p>
          <w:p w14:paraId="571A9D10" w14:textId="77777777" w:rsidR="006054AA" w:rsidRDefault="001F7667">
            <w:pPr>
              <w:pStyle w:val="P68B1DB1-Normal11"/>
              <w:rPr>
                <w:noProof/>
              </w:rPr>
            </w:pPr>
            <w:r>
              <w:rPr>
                <w:noProof/>
              </w:rPr>
              <w:t>Палермо Катания (linea storica)</w:t>
            </w:r>
          </w:p>
          <w:p w14:paraId="055BC8E9" w14:textId="330848F4" w:rsidR="006054AA" w:rsidRDefault="001F7667">
            <w:pPr>
              <w:pStyle w:val="P68B1DB1-Normal11"/>
              <w:rPr>
                <w:noProof/>
              </w:rPr>
            </w:pPr>
            <w:r>
              <w:rPr>
                <w:noProof/>
              </w:rPr>
              <w:t xml:space="preserve">Battipaglia Potenza </w:t>
            </w:r>
          </w:p>
          <w:p w14:paraId="2D3741DA" w14:textId="77777777" w:rsidR="006054AA" w:rsidRDefault="001F7667">
            <w:pPr>
              <w:pStyle w:val="P68B1DB1-Normal11"/>
              <w:rPr>
                <w:noProof/>
              </w:rPr>
            </w:pPr>
            <w:r>
              <w:rPr>
                <w:noProof/>
              </w:rPr>
              <w:t xml:space="preserve">Орте Фалконара </w:t>
            </w:r>
          </w:p>
        </w:tc>
      </w:tr>
      <w:tr w:rsidR="006054AA" w14:paraId="098FEC64" w14:textId="77777777">
        <w:trPr>
          <w:trHeight w:val="309"/>
          <w:jc w:val="right"/>
        </w:trPr>
        <w:tc>
          <w:tcPr>
            <w:tcW w:w="369" w:type="pct"/>
            <w:shd w:val="clear" w:color="auto" w:fill="C6EFCE"/>
            <w:noWrap/>
            <w:vAlign w:val="center"/>
          </w:tcPr>
          <w:p w14:paraId="0372EA73" w14:textId="3E9DF4C2" w:rsidR="006054AA" w:rsidRDefault="001F7667">
            <w:pPr>
              <w:pStyle w:val="P68B1DB1-Normal11"/>
              <w:jc w:val="center"/>
              <w:rPr>
                <w:noProof/>
              </w:rPr>
            </w:pPr>
            <w:r>
              <w:rPr>
                <w:noProof/>
              </w:rPr>
              <w:t>M3C1—24</w:t>
            </w:r>
          </w:p>
        </w:tc>
        <w:tc>
          <w:tcPr>
            <w:tcW w:w="511" w:type="pct"/>
            <w:shd w:val="clear" w:color="auto" w:fill="C6EFCE"/>
            <w:noWrap/>
            <w:vAlign w:val="center"/>
          </w:tcPr>
          <w:p w14:paraId="6A98F6A5" w14:textId="77777777" w:rsidR="006054AA" w:rsidRDefault="001F7667">
            <w:pPr>
              <w:pStyle w:val="P68B1DB1-Normal11"/>
              <w:jc w:val="center"/>
              <w:rPr>
                <w:noProof/>
              </w:rPr>
            </w:pPr>
            <w:r>
              <w:rPr>
                <w:noProof/>
              </w:rPr>
              <w:t>Инвестиция 1.9</w:t>
            </w:r>
          </w:p>
          <w:p w14:paraId="093B12FA" w14:textId="77777777" w:rsidR="006054AA" w:rsidRDefault="001F7667">
            <w:pPr>
              <w:pStyle w:val="P68B1DB1-Normal11"/>
              <w:jc w:val="center"/>
              <w:rPr>
                <w:noProof/>
              </w:rPr>
            </w:pPr>
            <w:r>
              <w:rPr>
                <w:noProof/>
              </w:rPr>
              <w:t>Междурегионални връзки</w:t>
            </w:r>
          </w:p>
        </w:tc>
        <w:tc>
          <w:tcPr>
            <w:tcW w:w="417" w:type="pct"/>
            <w:shd w:val="clear" w:color="auto" w:fill="C6EFCE"/>
            <w:noWrap/>
            <w:vAlign w:val="center"/>
          </w:tcPr>
          <w:p w14:paraId="3A53BE0A"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39AE4878" w14:textId="77777777" w:rsidR="006054AA" w:rsidRDefault="001F7667">
            <w:pPr>
              <w:pStyle w:val="P68B1DB1-Normal11"/>
              <w:jc w:val="center"/>
              <w:rPr>
                <w:noProof/>
              </w:rPr>
            </w:pPr>
            <w:r>
              <w:rPr>
                <w:noProof/>
              </w:rPr>
              <w:t>Инвестиция 1.9</w:t>
            </w:r>
          </w:p>
          <w:p w14:paraId="6E1EFE54" w14:textId="77777777" w:rsidR="006054AA" w:rsidRDefault="001F7667">
            <w:pPr>
              <w:pStyle w:val="P68B1DB1-Normal11"/>
              <w:jc w:val="center"/>
              <w:rPr>
                <w:noProof/>
              </w:rPr>
            </w:pPr>
            <w:r>
              <w:rPr>
                <w:noProof/>
              </w:rPr>
              <w:t>Междурегионални връзки</w:t>
            </w:r>
          </w:p>
        </w:tc>
        <w:tc>
          <w:tcPr>
            <w:tcW w:w="509" w:type="pct"/>
            <w:shd w:val="clear" w:color="auto" w:fill="C6EFCE"/>
            <w:noWrap/>
            <w:vAlign w:val="center"/>
          </w:tcPr>
          <w:p w14:paraId="360FDB72"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196272DE"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70DD68F1" w14:textId="77777777" w:rsidR="006054AA" w:rsidRDefault="001F7667">
            <w:pPr>
              <w:pStyle w:val="P68B1DB1-Normal11"/>
              <w:jc w:val="center"/>
              <w:rPr>
                <w:noProof/>
              </w:rPr>
            </w:pPr>
            <w:r>
              <w:rPr>
                <w:noProof/>
              </w:rPr>
              <w:t>70</w:t>
            </w:r>
          </w:p>
        </w:tc>
        <w:tc>
          <w:tcPr>
            <w:tcW w:w="279" w:type="pct"/>
            <w:shd w:val="clear" w:color="auto" w:fill="C6EFCE"/>
            <w:noWrap/>
            <w:vAlign w:val="center"/>
          </w:tcPr>
          <w:p w14:paraId="790FCB86" w14:textId="77777777" w:rsidR="006054AA" w:rsidRDefault="001F7667">
            <w:pPr>
              <w:pStyle w:val="P68B1DB1-Normal11"/>
              <w:jc w:val="center"/>
              <w:rPr>
                <w:noProof/>
              </w:rPr>
            </w:pPr>
            <w:r>
              <w:rPr>
                <w:noProof/>
              </w:rPr>
              <w:t>221</w:t>
            </w:r>
          </w:p>
        </w:tc>
        <w:tc>
          <w:tcPr>
            <w:tcW w:w="278" w:type="pct"/>
            <w:shd w:val="clear" w:color="auto" w:fill="C6EFCE"/>
            <w:noWrap/>
            <w:vAlign w:val="center"/>
          </w:tcPr>
          <w:p w14:paraId="6DFFDC1F"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0BAC88A0"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7502233C" w14:textId="77777777" w:rsidR="006054AA" w:rsidRDefault="001F7667">
            <w:pPr>
              <w:pStyle w:val="P68B1DB1-Normal11"/>
              <w:rPr>
                <w:noProof/>
              </w:rPr>
            </w:pPr>
            <w:r>
              <w:rPr>
                <w:noProof/>
              </w:rPr>
              <w:t>Общо 221 км междурегионални връзки се увеличиха.</w:t>
            </w:r>
          </w:p>
          <w:p w14:paraId="6E0EAF14" w14:textId="77777777" w:rsidR="006054AA" w:rsidRDefault="006054AA">
            <w:pPr>
              <w:rPr>
                <w:rFonts w:ascii="Arial Narrow" w:hAnsi="Arial Narrow"/>
                <w:noProof/>
                <w:color w:val="006100"/>
                <w:sz w:val="20"/>
              </w:rPr>
            </w:pPr>
          </w:p>
          <w:p w14:paraId="445F7CE3" w14:textId="77777777" w:rsidR="006054AA" w:rsidRDefault="001F7667">
            <w:pPr>
              <w:pStyle w:val="P68B1DB1-Normal11"/>
              <w:rPr>
                <w:noProof/>
              </w:rPr>
            </w:pPr>
            <w:r>
              <w:rPr>
                <w:noProof/>
              </w:rPr>
              <w:t>Линиите, които трябва да бъдат модернизирани, са:</w:t>
            </w:r>
          </w:p>
          <w:p w14:paraId="1E46FC97" w14:textId="77777777" w:rsidR="006054AA" w:rsidRDefault="006054AA">
            <w:pPr>
              <w:rPr>
                <w:rFonts w:ascii="Arial Narrow" w:hAnsi="Arial Narrow"/>
                <w:noProof/>
                <w:color w:val="006100"/>
                <w:sz w:val="20"/>
              </w:rPr>
            </w:pPr>
          </w:p>
          <w:p w14:paraId="2454E474" w14:textId="77777777" w:rsidR="006054AA" w:rsidRDefault="001F7667">
            <w:pPr>
              <w:pStyle w:val="P68B1DB1-Normal11"/>
              <w:rPr>
                <w:noProof/>
              </w:rPr>
            </w:pPr>
            <w:r>
              <w:rPr>
                <w:noProof/>
              </w:rPr>
              <w:t>Милано Генуа (70 км)</w:t>
            </w:r>
          </w:p>
          <w:p w14:paraId="67CD0770" w14:textId="77777777" w:rsidR="006054AA" w:rsidRDefault="001F7667">
            <w:pPr>
              <w:pStyle w:val="P68B1DB1-Normal11"/>
              <w:rPr>
                <w:noProof/>
              </w:rPr>
            </w:pPr>
            <w:r>
              <w:rPr>
                <w:noProof/>
              </w:rPr>
              <w:t>Палермо Катания (linea storica) (84 km)</w:t>
            </w:r>
          </w:p>
          <w:p w14:paraId="3FA33099" w14:textId="77777777" w:rsidR="006054AA" w:rsidRDefault="001F7667">
            <w:pPr>
              <w:pStyle w:val="P68B1DB1-Normal11"/>
              <w:rPr>
                <w:noProof/>
              </w:rPr>
            </w:pPr>
            <w:r>
              <w:rPr>
                <w:noProof/>
              </w:rPr>
              <w:t>Battipaglia Potenza (60 km)</w:t>
            </w:r>
          </w:p>
          <w:p w14:paraId="728C4069" w14:textId="77777777" w:rsidR="006054AA" w:rsidRDefault="001F7667">
            <w:pPr>
              <w:pStyle w:val="P68B1DB1-Normal11"/>
              <w:rPr>
                <w:noProof/>
              </w:rPr>
            </w:pPr>
            <w:r>
              <w:rPr>
                <w:noProof/>
              </w:rPr>
              <w:t>Орте Фалконара (7 км)</w:t>
            </w:r>
          </w:p>
        </w:tc>
      </w:tr>
      <w:tr w:rsidR="006054AA" w14:paraId="7B4689C0" w14:textId="77777777">
        <w:trPr>
          <w:trHeight w:val="309"/>
          <w:jc w:val="right"/>
        </w:trPr>
        <w:tc>
          <w:tcPr>
            <w:tcW w:w="369" w:type="pct"/>
            <w:shd w:val="clear" w:color="auto" w:fill="C6EFCE"/>
            <w:noWrap/>
            <w:vAlign w:val="center"/>
          </w:tcPr>
          <w:p w14:paraId="716C6FB3" w14:textId="77777777" w:rsidR="006054AA" w:rsidRDefault="001F7667">
            <w:pPr>
              <w:pStyle w:val="P68B1DB1-Normal11"/>
              <w:jc w:val="center"/>
              <w:rPr>
                <w:noProof/>
              </w:rPr>
            </w:pPr>
            <w:r>
              <w:rPr>
                <w:noProof/>
              </w:rPr>
              <w:t>M3C1—9</w:t>
            </w:r>
          </w:p>
        </w:tc>
        <w:tc>
          <w:tcPr>
            <w:tcW w:w="511" w:type="pct"/>
            <w:shd w:val="clear" w:color="auto" w:fill="C6EFCE"/>
            <w:noWrap/>
            <w:vAlign w:val="center"/>
          </w:tcPr>
          <w:p w14:paraId="680608C8" w14:textId="77777777" w:rsidR="006054AA" w:rsidRDefault="001F7667">
            <w:pPr>
              <w:pStyle w:val="P68B1DB1-Normal11"/>
              <w:jc w:val="center"/>
              <w:rPr>
                <w:noProof/>
              </w:rPr>
            </w:pPr>
            <w:r>
              <w:rPr>
                <w:noProof/>
              </w:rPr>
              <w:t>Инвестиция 1.2 — Високоскоростни линии на север, свързващи със сцената на Европа</w:t>
            </w:r>
          </w:p>
        </w:tc>
        <w:tc>
          <w:tcPr>
            <w:tcW w:w="417" w:type="pct"/>
            <w:shd w:val="clear" w:color="auto" w:fill="C6EFCE"/>
            <w:noWrap/>
            <w:vAlign w:val="center"/>
          </w:tcPr>
          <w:p w14:paraId="4A8BCA14"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6FD450E8" w14:textId="74A1794A" w:rsidR="006054AA" w:rsidRDefault="001F7667">
            <w:pPr>
              <w:pStyle w:val="P68B1DB1-Normal11"/>
              <w:jc w:val="center"/>
              <w:rPr>
                <w:noProof/>
              </w:rPr>
            </w:pPr>
            <w:r>
              <w:rPr>
                <w:noProof/>
              </w:rPr>
              <w:t>Високоскоростен железопътен транспорт както за пътници, така и за товари по линиите Brescia-Verona-Vicenza-Padova; Лигурия — Алпи.</w:t>
            </w:r>
          </w:p>
        </w:tc>
        <w:tc>
          <w:tcPr>
            <w:tcW w:w="509" w:type="pct"/>
            <w:shd w:val="clear" w:color="auto" w:fill="C6EFCE"/>
            <w:noWrap/>
            <w:vAlign w:val="center"/>
          </w:tcPr>
          <w:p w14:paraId="3F30C6D9"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4D494255"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0E828602" w14:textId="77777777" w:rsidR="006054AA" w:rsidRDefault="001F7667">
            <w:pPr>
              <w:pStyle w:val="P68B1DB1-Normal11"/>
              <w:jc w:val="center"/>
              <w:rPr>
                <w:noProof/>
              </w:rPr>
            </w:pPr>
            <w:r>
              <w:rPr>
                <w:noProof/>
              </w:rPr>
              <w:t>0</w:t>
            </w:r>
          </w:p>
        </w:tc>
        <w:tc>
          <w:tcPr>
            <w:tcW w:w="279" w:type="pct"/>
            <w:shd w:val="clear" w:color="auto" w:fill="C6EFCE"/>
            <w:noWrap/>
            <w:vAlign w:val="center"/>
          </w:tcPr>
          <w:p w14:paraId="405BA702" w14:textId="77777777" w:rsidR="006054AA" w:rsidRDefault="001F7667">
            <w:pPr>
              <w:pStyle w:val="P68B1DB1-Normal11"/>
              <w:jc w:val="center"/>
              <w:rPr>
                <w:noProof/>
              </w:rPr>
            </w:pPr>
            <w:r>
              <w:rPr>
                <w:noProof/>
              </w:rPr>
              <w:t>165</w:t>
            </w:r>
          </w:p>
        </w:tc>
        <w:tc>
          <w:tcPr>
            <w:tcW w:w="278" w:type="pct"/>
            <w:shd w:val="clear" w:color="auto" w:fill="C6EFCE"/>
            <w:noWrap/>
            <w:vAlign w:val="center"/>
          </w:tcPr>
          <w:p w14:paraId="1722DEFB"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2FD10233"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004E2F28" w14:textId="3512941C" w:rsidR="006054AA" w:rsidRDefault="001F7667">
            <w:pPr>
              <w:pStyle w:val="P68B1DB1-Normal11"/>
              <w:rPr>
                <w:noProof/>
              </w:rPr>
            </w:pPr>
            <w:r>
              <w:rPr>
                <w:noProof/>
              </w:rPr>
              <w:t>165 км високоскоростна железопътна линия както за пътници, така и за товари по линиите Brescia-Verona-Vicenza-Padova; Liguria-Alpi е построен, готов за издаване на разрешение и етап на експлоатация.</w:t>
            </w:r>
          </w:p>
          <w:p w14:paraId="5273AFBA" w14:textId="77777777" w:rsidR="006054AA" w:rsidRDefault="006054AA">
            <w:pPr>
              <w:rPr>
                <w:rFonts w:ascii="Arial Narrow" w:hAnsi="Arial Narrow"/>
                <w:noProof/>
                <w:color w:val="006100"/>
                <w:sz w:val="20"/>
              </w:rPr>
            </w:pPr>
          </w:p>
          <w:p w14:paraId="3B295421" w14:textId="77777777" w:rsidR="006054AA" w:rsidRDefault="001F7667">
            <w:pPr>
              <w:pStyle w:val="P68B1DB1-Normal11"/>
              <w:rPr>
                <w:noProof/>
              </w:rPr>
            </w:pPr>
            <w:r>
              <w:rPr>
                <w:noProof/>
              </w:rPr>
              <w:t>Пробег от 165 km се изгражда в следните сегменти:</w:t>
            </w:r>
          </w:p>
          <w:p w14:paraId="3B8D4AE2" w14:textId="77777777" w:rsidR="006054AA" w:rsidRDefault="006054AA">
            <w:pPr>
              <w:rPr>
                <w:rFonts w:ascii="Arial Narrow" w:hAnsi="Arial Narrow"/>
                <w:noProof/>
                <w:color w:val="006100"/>
                <w:sz w:val="20"/>
              </w:rPr>
            </w:pPr>
          </w:p>
          <w:p w14:paraId="367E9239" w14:textId="77777777" w:rsidR="006054AA" w:rsidRDefault="001F7667">
            <w:pPr>
              <w:pStyle w:val="P68B1DB1-Normal11"/>
              <w:rPr>
                <w:noProof/>
              </w:rPr>
            </w:pPr>
            <w:r>
              <w:rPr>
                <w:noProof/>
              </w:rPr>
              <w:t>Brescia-Verona, 48 km</w:t>
            </w:r>
          </w:p>
          <w:p w14:paraId="30BC718B" w14:textId="77777777" w:rsidR="006054AA" w:rsidRDefault="001F7667">
            <w:pPr>
              <w:pStyle w:val="P68B1DB1-Normal11"/>
              <w:rPr>
                <w:noProof/>
              </w:rPr>
            </w:pPr>
            <w:r>
              <w:rPr>
                <w:noProof/>
              </w:rPr>
              <w:t>Верона-Бивио-Винченца, 44 км</w:t>
            </w:r>
          </w:p>
          <w:p w14:paraId="485CBD5C" w14:textId="77777777" w:rsidR="006054AA" w:rsidRDefault="001F7667">
            <w:pPr>
              <w:pStyle w:val="P68B1DB1-Normal11"/>
              <w:rPr>
                <w:noProof/>
              </w:rPr>
            </w:pPr>
            <w:r>
              <w:rPr>
                <w:noProof/>
              </w:rPr>
              <w:t>Генуа възел и трети гиеви, пресичащи се на 53 км</w:t>
            </w:r>
          </w:p>
          <w:p w14:paraId="28D9406D" w14:textId="77777777" w:rsidR="006054AA" w:rsidRDefault="001F7667">
            <w:pPr>
              <w:pStyle w:val="P68B1DB1-Normal11"/>
              <w:rPr>
                <w:noProof/>
              </w:rPr>
            </w:pPr>
            <w:r>
              <w:rPr>
                <w:noProof/>
              </w:rPr>
              <w:t>Rho-Parabiago 9 км</w:t>
            </w:r>
          </w:p>
          <w:p w14:paraId="31894C72" w14:textId="77777777" w:rsidR="006054AA" w:rsidRDefault="001F7667">
            <w:pPr>
              <w:pStyle w:val="P68B1DB1-Normal11"/>
              <w:rPr>
                <w:noProof/>
              </w:rPr>
            </w:pPr>
            <w:r>
              <w:rPr>
                <w:noProof/>
              </w:rPr>
              <w:t>Pavia-Milano-Rogoredo 11 km</w:t>
            </w:r>
          </w:p>
        </w:tc>
      </w:tr>
      <w:tr w:rsidR="006054AA" w14:paraId="418BDFAD" w14:textId="77777777">
        <w:trPr>
          <w:trHeight w:val="3419"/>
          <w:jc w:val="right"/>
        </w:trPr>
        <w:tc>
          <w:tcPr>
            <w:tcW w:w="369" w:type="pct"/>
            <w:shd w:val="clear" w:color="auto" w:fill="C6EFCE"/>
            <w:noWrap/>
            <w:vAlign w:val="center"/>
          </w:tcPr>
          <w:p w14:paraId="5C1F90DF" w14:textId="77777777" w:rsidR="006054AA" w:rsidRDefault="001F7667">
            <w:pPr>
              <w:pStyle w:val="P68B1DB1-Normal11"/>
              <w:jc w:val="center"/>
              <w:rPr>
                <w:noProof/>
              </w:rPr>
            </w:pPr>
            <w:r>
              <w:rPr>
                <w:noProof/>
              </w:rPr>
              <w:t>M3C1—10</w:t>
            </w:r>
          </w:p>
        </w:tc>
        <w:tc>
          <w:tcPr>
            <w:tcW w:w="511" w:type="pct"/>
            <w:shd w:val="clear" w:color="auto" w:fill="C6EFCE"/>
            <w:noWrap/>
            <w:vAlign w:val="center"/>
          </w:tcPr>
          <w:p w14:paraId="42059A3F" w14:textId="77777777" w:rsidR="006054AA" w:rsidRDefault="001F7667">
            <w:pPr>
              <w:pStyle w:val="P68B1DB1-Normal11"/>
              <w:jc w:val="center"/>
              <w:rPr>
                <w:noProof/>
              </w:rPr>
            </w:pPr>
            <w:r>
              <w:rPr>
                <w:noProof/>
              </w:rPr>
              <w:t>Инвестиция 1.3 — Диагонални връзки</w:t>
            </w:r>
          </w:p>
        </w:tc>
        <w:tc>
          <w:tcPr>
            <w:tcW w:w="417" w:type="pct"/>
            <w:shd w:val="clear" w:color="auto" w:fill="C6EFCE"/>
            <w:noWrap/>
            <w:vAlign w:val="center"/>
          </w:tcPr>
          <w:p w14:paraId="6BFB378E" w14:textId="77777777" w:rsidR="006054AA" w:rsidRDefault="001F7667">
            <w:pPr>
              <w:pStyle w:val="P68B1DB1-Normal11"/>
              <w:jc w:val="center"/>
              <w:rPr>
                <w:noProof/>
              </w:rPr>
            </w:pPr>
            <w:r>
              <w:rPr>
                <w:noProof/>
              </w:rPr>
              <w:t>Ключов етап</w:t>
            </w:r>
          </w:p>
        </w:tc>
        <w:tc>
          <w:tcPr>
            <w:tcW w:w="464" w:type="pct"/>
            <w:shd w:val="clear" w:color="auto" w:fill="C6EFCE"/>
            <w:noWrap/>
            <w:vAlign w:val="center"/>
          </w:tcPr>
          <w:p w14:paraId="1F8F262B" w14:textId="11AE10F9" w:rsidR="006054AA" w:rsidRDefault="001F7667">
            <w:pPr>
              <w:pStyle w:val="P68B1DB1-Normal11"/>
              <w:jc w:val="center"/>
              <w:rPr>
                <w:noProof/>
              </w:rPr>
            </w:pPr>
            <w:r>
              <w:rPr>
                <w:noProof/>
              </w:rPr>
              <w:t>Възлагане на поръчката (ите) за изграждане на връзките по линиите Орте-Фалконара и Таранто -Метапонто-Потена-Батипалия</w:t>
            </w:r>
          </w:p>
        </w:tc>
        <w:tc>
          <w:tcPr>
            <w:tcW w:w="509" w:type="pct"/>
            <w:shd w:val="clear" w:color="auto" w:fill="C6EFCE"/>
            <w:noWrap/>
            <w:vAlign w:val="center"/>
          </w:tcPr>
          <w:p w14:paraId="51B80288" w14:textId="0A4525EB" w:rsidR="006054AA" w:rsidRDefault="001F7667">
            <w:pPr>
              <w:pStyle w:val="P68B1DB1-Normal19"/>
              <w:jc w:val="center"/>
              <w:rPr>
                <w:noProof/>
                <w:color w:val="006100"/>
              </w:rPr>
            </w:pPr>
            <w:r>
              <w:rPr>
                <w:noProof/>
                <w:color w:val="006100"/>
              </w:rPr>
              <w:t>Уведомление за възлагане на</w:t>
            </w:r>
            <w:r>
              <w:rPr>
                <w:noProof/>
              </w:rPr>
              <w:t xml:space="preserve"> </w:t>
            </w:r>
            <w:r>
              <w:rPr>
                <w:noProof/>
                <w:color w:val="006100"/>
              </w:rPr>
              <w:t>мултидисциплинарен договор за изграждане на високоскоростна железопътна линия по линиите Орте-Фалконара и Таранто -Метапонто-Потена-Батипаглия</w:t>
            </w:r>
          </w:p>
        </w:tc>
        <w:tc>
          <w:tcPr>
            <w:tcW w:w="325" w:type="pct"/>
            <w:shd w:val="clear" w:color="auto" w:fill="C6EFCE"/>
            <w:noWrap/>
            <w:vAlign w:val="center"/>
          </w:tcPr>
          <w:p w14:paraId="1B45FD1E" w14:textId="77777777" w:rsidR="006054AA" w:rsidRDefault="001F7667">
            <w:pPr>
              <w:pStyle w:val="P68B1DB1-Normal11"/>
              <w:jc w:val="center"/>
              <w:rPr>
                <w:noProof/>
              </w:rPr>
            </w:pPr>
            <w:r>
              <w:rPr>
                <w:noProof/>
              </w:rPr>
              <w:t>НЯМА</w:t>
            </w:r>
          </w:p>
        </w:tc>
        <w:tc>
          <w:tcPr>
            <w:tcW w:w="371" w:type="pct"/>
            <w:shd w:val="clear" w:color="auto" w:fill="C6EFCE"/>
            <w:noWrap/>
            <w:vAlign w:val="center"/>
          </w:tcPr>
          <w:p w14:paraId="670C15FA" w14:textId="77777777" w:rsidR="006054AA" w:rsidRDefault="001F7667">
            <w:pPr>
              <w:pStyle w:val="P68B1DB1-Normal11"/>
              <w:jc w:val="center"/>
              <w:rPr>
                <w:noProof/>
              </w:rPr>
            </w:pPr>
            <w:r>
              <w:rPr>
                <w:noProof/>
              </w:rPr>
              <w:t>НЯМА</w:t>
            </w:r>
          </w:p>
        </w:tc>
        <w:tc>
          <w:tcPr>
            <w:tcW w:w="279" w:type="pct"/>
            <w:shd w:val="clear" w:color="auto" w:fill="C6EFCE"/>
            <w:noWrap/>
            <w:vAlign w:val="center"/>
          </w:tcPr>
          <w:p w14:paraId="55B40CDB" w14:textId="77777777" w:rsidR="006054AA" w:rsidRDefault="001F7667">
            <w:pPr>
              <w:pStyle w:val="P68B1DB1-Normal11"/>
              <w:jc w:val="center"/>
              <w:rPr>
                <w:noProof/>
              </w:rPr>
            </w:pPr>
            <w:r>
              <w:rPr>
                <w:noProof/>
              </w:rPr>
              <w:t>НЯМА</w:t>
            </w:r>
          </w:p>
        </w:tc>
        <w:tc>
          <w:tcPr>
            <w:tcW w:w="278" w:type="pct"/>
            <w:shd w:val="clear" w:color="auto" w:fill="C6EFCE"/>
            <w:noWrap/>
            <w:vAlign w:val="center"/>
          </w:tcPr>
          <w:p w14:paraId="775E231E" w14:textId="77777777" w:rsidR="006054AA" w:rsidRDefault="001F7667">
            <w:pPr>
              <w:pStyle w:val="P68B1DB1-Normal11"/>
              <w:jc w:val="center"/>
              <w:rPr>
                <w:noProof/>
              </w:rPr>
            </w:pPr>
            <w:r>
              <w:rPr>
                <w:noProof/>
              </w:rPr>
              <w:t>Т1 Г.</w:t>
            </w:r>
          </w:p>
        </w:tc>
        <w:tc>
          <w:tcPr>
            <w:tcW w:w="278" w:type="pct"/>
            <w:shd w:val="clear" w:color="auto" w:fill="C6EFCE"/>
            <w:noWrap/>
            <w:vAlign w:val="center"/>
          </w:tcPr>
          <w:p w14:paraId="717635E0" w14:textId="77777777" w:rsidR="006054AA" w:rsidRDefault="001F7667">
            <w:pPr>
              <w:pStyle w:val="P68B1DB1-Normal11"/>
              <w:jc w:val="center"/>
              <w:rPr>
                <w:noProof/>
              </w:rPr>
            </w:pPr>
            <w:r>
              <w:rPr>
                <w:noProof/>
              </w:rPr>
              <w:t>2024</w:t>
            </w:r>
          </w:p>
        </w:tc>
        <w:tc>
          <w:tcPr>
            <w:tcW w:w="1198" w:type="pct"/>
            <w:shd w:val="clear" w:color="auto" w:fill="C6EFCE"/>
            <w:noWrap/>
            <w:vAlign w:val="center"/>
          </w:tcPr>
          <w:p w14:paraId="5EFDB581" w14:textId="4785C734" w:rsidR="006054AA" w:rsidRDefault="001F7667">
            <w:pPr>
              <w:pStyle w:val="P68B1DB1-Normal11"/>
              <w:rPr>
                <w:noProof/>
              </w:rPr>
            </w:pPr>
            <w:r>
              <w:rPr>
                <w:noProof/>
              </w:rPr>
              <w:t>Уведомление за възлагането на мултидисциплинарен договор за изграждане на връзките по линиите Орте-Фалконара и Таранто -Метапонто-Потена-Батипаглия.</w:t>
            </w:r>
          </w:p>
          <w:p w14:paraId="4628FBB1" w14:textId="77777777" w:rsidR="006054AA" w:rsidRDefault="006054AA">
            <w:pPr>
              <w:rPr>
                <w:rFonts w:ascii="Arial Narrow" w:hAnsi="Arial Narrow"/>
                <w:noProof/>
                <w:color w:val="006100"/>
                <w:sz w:val="20"/>
              </w:rPr>
            </w:pPr>
          </w:p>
          <w:p w14:paraId="2D4C895F" w14:textId="77777777" w:rsidR="006054AA" w:rsidRDefault="001F7667">
            <w:pPr>
              <w:pStyle w:val="P68B1DB1-Normal11"/>
              <w:rPr>
                <w:noProof/>
              </w:rPr>
            </w:pPr>
            <w:r>
              <w:rPr>
                <w:noProof/>
              </w:rPr>
              <w:t xml:space="preserve">Договорът (ите) се позовава (т) на следните редове: </w:t>
            </w:r>
          </w:p>
          <w:p w14:paraId="6C3ED3B5" w14:textId="77777777" w:rsidR="006054AA" w:rsidRDefault="006054AA">
            <w:pPr>
              <w:rPr>
                <w:rFonts w:ascii="Arial Narrow" w:hAnsi="Arial Narrow"/>
                <w:noProof/>
                <w:color w:val="006100"/>
                <w:sz w:val="20"/>
              </w:rPr>
            </w:pPr>
          </w:p>
          <w:p w14:paraId="414CAA8F" w14:textId="08DBF8BA" w:rsidR="006054AA" w:rsidRDefault="001F7667">
            <w:pPr>
              <w:pStyle w:val="P68B1DB1-Normal11"/>
              <w:rPr>
                <w:noProof/>
              </w:rPr>
            </w:pPr>
            <w:r>
              <w:rPr>
                <w:noProof/>
              </w:rPr>
              <w:t>Орте-Фалконара</w:t>
            </w:r>
          </w:p>
          <w:p w14:paraId="353807B1" w14:textId="77777777" w:rsidR="006054AA" w:rsidRDefault="001F7667">
            <w:pPr>
              <w:pStyle w:val="P68B1DB1-Normal11"/>
              <w:rPr>
                <w:noProof/>
              </w:rPr>
            </w:pPr>
            <w:r>
              <w:rPr>
                <w:noProof/>
              </w:rPr>
              <w:t>Таранто -Metaponto-Potenza-Battipaglia</w:t>
            </w:r>
          </w:p>
        </w:tc>
      </w:tr>
      <w:tr w:rsidR="006054AA" w14:paraId="6B74F548" w14:textId="77777777">
        <w:trPr>
          <w:trHeight w:val="309"/>
          <w:jc w:val="right"/>
        </w:trPr>
        <w:tc>
          <w:tcPr>
            <w:tcW w:w="369" w:type="pct"/>
            <w:shd w:val="clear" w:color="auto" w:fill="C6EFCE"/>
            <w:noWrap/>
            <w:vAlign w:val="center"/>
          </w:tcPr>
          <w:p w14:paraId="2E10C98A" w14:textId="77777777" w:rsidR="006054AA" w:rsidRDefault="001F7667">
            <w:pPr>
              <w:pStyle w:val="P68B1DB1-Normal11"/>
              <w:jc w:val="center"/>
              <w:rPr>
                <w:noProof/>
              </w:rPr>
            </w:pPr>
            <w:r>
              <w:rPr>
                <w:noProof/>
              </w:rPr>
              <w:t>M3C1—11</w:t>
            </w:r>
          </w:p>
        </w:tc>
        <w:tc>
          <w:tcPr>
            <w:tcW w:w="511" w:type="pct"/>
            <w:shd w:val="clear" w:color="auto" w:fill="C6EFCE"/>
            <w:noWrap/>
            <w:vAlign w:val="center"/>
          </w:tcPr>
          <w:p w14:paraId="551076DE" w14:textId="77777777" w:rsidR="006054AA" w:rsidRDefault="001F7667">
            <w:pPr>
              <w:pStyle w:val="P68B1DB1-Normal11"/>
              <w:jc w:val="center"/>
              <w:rPr>
                <w:noProof/>
              </w:rPr>
            </w:pPr>
            <w:r>
              <w:rPr>
                <w:noProof/>
              </w:rPr>
              <w:t>Инвестиция 1.3 — Диагонални връзки</w:t>
            </w:r>
          </w:p>
        </w:tc>
        <w:tc>
          <w:tcPr>
            <w:tcW w:w="417" w:type="pct"/>
            <w:shd w:val="clear" w:color="auto" w:fill="C6EFCE"/>
            <w:noWrap/>
            <w:vAlign w:val="center"/>
          </w:tcPr>
          <w:p w14:paraId="73AD0447"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4F8A0BA2" w14:textId="77777777" w:rsidR="006054AA" w:rsidRDefault="001F7667">
            <w:pPr>
              <w:pStyle w:val="P68B1DB1-Normal11"/>
              <w:jc w:val="center"/>
              <w:rPr>
                <w:noProof/>
              </w:rPr>
            </w:pPr>
            <w:r>
              <w:rPr>
                <w:noProof/>
              </w:rPr>
              <w:t>Високоскоростен железопътен транспорт както за пътници, така и за товари по линията Орте-Фалконара и Таранто — Метапонто-Потенца-Батипалия</w:t>
            </w:r>
          </w:p>
        </w:tc>
        <w:tc>
          <w:tcPr>
            <w:tcW w:w="509" w:type="pct"/>
            <w:shd w:val="clear" w:color="auto" w:fill="C6EFCE"/>
            <w:noWrap/>
            <w:vAlign w:val="center"/>
          </w:tcPr>
          <w:p w14:paraId="7DED18CB"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0BDD26E0"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3E290E0E" w14:textId="77777777" w:rsidR="006054AA" w:rsidRDefault="001F7667">
            <w:pPr>
              <w:pStyle w:val="P68B1DB1-Normal11"/>
              <w:jc w:val="center"/>
              <w:rPr>
                <w:noProof/>
              </w:rPr>
            </w:pPr>
            <w:r>
              <w:rPr>
                <w:noProof/>
              </w:rPr>
              <w:t>0</w:t>
            </w:r>
          </w:p>
        </w:tc>
        <w:tc>
          <w:tcPr>
            <w:tcW w:w="279" w:type="pct"/>
            <w:shd w:val="clear" w:color="auto" w:fill="C6EFCE"/>
            <w:noWrap/>
            <w:vAlign w:val="center"/>
          </w:tcPr>
          <w:p w14:paraId="380AD309" w14:textId="31A81A0D" w:rsidR="006054AA" w:rsidRDefault="001F7667">
            <w:pPr>
              <w:pStyle w:val="P68B1DB1-Normal11"/>
              <w:jc w:val="center"/>
              <w:rPr>
                <w:noProof/>
              </w:rPr>
            </w:pPr>
            <w:r>
              <w:rPr>
                <w:noProof/>
              </w:rPr>
              <w:t>27</w:t>
            </w:r>
          </w:p>
        </w:tc>
        <w:tc>
          <w:tcPr>
            <w:tcW w:w="278" w:type="pct"/>
            <w:shd w:val="clear" w:color="auto" w:fill="C6EFCE"/>
            <w:noWrap/>
            <w:vAlign w:val="center"/>
          </w:tcPr>
          <w:p w14:paraId="124EDCE2"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767C910E"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23D5C6D1" w14:textId="77777777" w:rsidR="006054AA" w:rsidRDefault="001F7667">
            <w:pPr>
              <w:pStyle w:val="P68B1DB1-Normal11"/>
              <w:rPr>
                <w:noProof/>
              </w:rPr>
            </w:pPr>
            <w:r>
              <w:rPr>
                <w:noProof/>
              </w:rPr>
              <w:t>27 км високоскоростна железопътна линия както за пътници, така и за товари по линиите Орте-Фалконара и Таранто -Метапонто-Потенца — Батипалия е построена, готова за издаване на разрешение и фаза на експлоатация.</w:t>
            </w:r>
          </w:p>
          <w:p w14:paraId="5B38F5CC" w14:textId="77777777" w:rsidR="006054AA" w:rsidRDefault="006054AA">
            <w:pPr>
              <w:rPr>
                <w:rFonts w:ascii="Arial Narrow" w:hAnsi="Arial Narrow"/>
                <w:noProof/>
                <w:color w:val="006100"/>
                <w:sz w:val="20"/>
              </w:rPr>
            </w:pPr>
          </w:p>
          <w:p w14:paraId="333A83F4" w14:textId="77777777" w:rsidR="006054AA" w:rsidRDefault="001F7667">
            <w:pPr>
              <w:pStyle w:val="P68B1DB1-Normal11"/>
              <w:rPr>
                <w:noProof/>
              </w:rPr>
            </w:pPr>
            <w:r>
              <w:rPr>
                <w:noProof/>
              </w:rPr>
              <w:t>Разбивката за 27 km е следната:</w:t>
            </w:r>
          </w:p>
          <w:p w14:paraId="77E17B19" w14:textId="77777777" w:rsidR="006054AA" w:rsidRDefault="006054AA">
            <w:pPr>
              <w:rPr>
                <w:rFonts w:ascii="Arial Narrow" w:hAnsi="Arial Narrow"/>
                <w:noProof/>
                <w:color w:val="006100"/>
                <w:sz w:val="20"/>
              </w:rPr>
            </w:pPr>
          </w:p>
          <w:p w14:paraId="203C6299" w14:textId="6EEA46A1" w:rsidR="006054AA" w:rsidRDefault="001F7667">
            <w:pPr>
              <w:pStyle w:val="P68B1DB1-Normal11"/>
              <w:rPr>
                <w:noProof/>
              </w:rPr>
            </w:pPr>
            <w:r>
              <w:rPr>
                <w:noProof/>
              </w:rPr>
              <w:t>Орте-Фалконара, 13 км</w:t>
            </w:r>
          </w:p>
          <w:p w14:paraId="4544621E" w14:textId="77777777" w:rsidR="006054AA" w:rsidRDefault="001F7667">
            <w:pPr>
              <w:pStyle w:val="P68B1DB1-Normal11"/>
              <w:rPr>
                <w:noProof/>
              </w:rPr>
            </w:pPr>
            <w:r>
              <w:rPr>
                <w:noProof/>
              </w:rPr>
              <w:t>Таранто — Метапонто — Потенца — Батипалия, 14 км</w:t>
            </w:r>
          </w:p>
        </w:tc>
      </w:tr>
      <w:tr w:rsidR="006054AA" w14:paraId="4C5F9F6E" w14:textId="77777777">
        <w:trPr>
          <w:trHeight w:val="309"/>
          <w:jc w:val="right"/>
        </w:trPr>
        <w:tc>
          <w:tcPr>
            <w:tcW w:w="369" w:type="pct"/>
            <w:shd w:val="clear" w:color="auto" w:fill="C6EFCE"/>
            <w:noWrap/>
            <w:vAlign w:val="center"/>
          </w:tcPr>
          <w:p w14:paraId="00F2C9F0" w14:textId="77777777" w:rsidR="006054AA" w:rsidRDefault="001F7667">
            <w:pPr>
              <w:pStyle w:val="P68B1DB1-Normal11"/>
              <w:jc w:val="center"/>
              <w:rPr>
                <w:noProof/>
              </w:rPr>
            </w:pPr>
            <w:r>
              <w:rPr>
                <w:noProof/>
              </w:rPr>
              <w:t>M3C1—12</w:t>
            </w:r>
          </w:p>
        </w:tc>
        <w:tc>
          <w:tcPr>
            <w:tcW w:w="511" w:type="pct"/>
            <w:shd w:val="clear" w:color="auto" w:fill="C6EFCE"/>
            <w:noWrap/>
            <w:vAlign w:val="center"/>
          </w:tcPr>
          <w:p w14:paraId="7D39BC8C" w14:textId="77777777" w:rsidR="006054AA" w:rsidRDefault="001F7667">
            <w:pPr>
              <w:pStyle w:val="P68B1DB1-Normal11"/>
              <w:jc w:val="center"/>
              <w:rPr>
                <w:noProof/>
              </w:rPr>
            </w:pPr>
            <w:r>
              <w:rPr>
                <w:noProof/>
              </w:rPr>
              <w:t>Инвестиция 1.4 — Въвеждане на Европейската система за управление на железопътния транспорт (ERTMS)</w:t>
            </w:r>
          </w:p>
        </w:tc>
        <w:tc>
          <w:tcPr>
            <w:tcW w:w="417" w:type="pct"/>
            <w:shd w:val="clear" w:color="auto" w:fill="C6EFCE"/>
            <w:noWrap/>
            <w:vAlign w:val="center"/>
          </w:tcPr>
          <w:p w14:paraId="2B034830" w14:textId="77777777" w:rsidR="006054AA" w:rsidRDefault="001F7667">
            <w:pPr>
              <w:pStyle w:val="P68B1DB1-Normal11"/>
              <w:jc w:val="center"/>
              <w:rPr>
                <w:noProof/>
              </w:rPr>
            </w:pPr>
            <w:r>
              <w:rPr>
                <w:noProof/>
              </w:rPr>
              <w:t>Ключов етап</w:t>
            </w:r>
          </w:p>
        </w:tc>
        <w:tc>
          <w:tcPr>
            <w:tcW w:w="464" w:type="pct"/>
            <w:shd w:val="clear" w:color="auto" w:fill="C6EFCE"/>
            <w:noWrap/>
            <w:vAlign w:val="center"/>
          </w:tcPr>
          <w:p w14:paraId="37F52C16" w14:textId="77777777" w:rsidR="006054AA" w:rsidRDefault="001F7667">
            <w:pPr>
              <w:pStyle w:val="P68B1DB1-Normal11"/>
              <w:jc w:val="center"/>
              <w:rPr>
                <w:noProof/>
              </w:rPr>
            </w:pPr>
            <w:r>
              <w:rPr>
                <w:noProof/>
              </w:rPr>
              <w:t>Възлагане на договори за Европейската система за управление на железопътния транспорт</w:t>
            </w:r>
          </w:p>
        </w:tc>
        <w:tc>
          <w:tcPr>
            <w:tcW w:w="509" w:type="pct"/>
            <w:shd w:val="clear" w:color="auto" w:fill="C6EFCE"/>
            <w:noWrap/>
            <w:vAlign w:val="center"/>
          </w:tcPr>
          <w:p w14:paraId="53A908E1" w14:textId="77777777" w:rsidR="006054AA" w:rsidRDefault="001F7667">
            <w:pPr>
              <w:pStyle w:val="P68B1DB1-Normal11"/>
              <w:jc w:val="center"/>
              <w:rPr>
                <w:noProof/>
              </w:rPr>
            </w:pPr>
            <w:r>
              <w:rPr>
                <w:noProof/>
              </w:rPr>
              <w:t>Уведомяване за възлагането на всички обществени поръчки за въвеждане на Европейската система за управление на железопътния транспорт</w:t>
            </w:r>
          </w:p>
        </w:tc>
        <w:tc>
          <w:tcPr>
            <w:tcW w:w="325" w:type="pct"/>
            <w:shd w:val="clear" w:color="auto" w:fill="C6EFCE"/>
            <w:noWrap/>
            <w:vAlign w:val="center"/>
          </w:tcPr>
          <w:p w14:paraId="16C6851E" w14:textId="77777777" w:rsidR="006054AA" w:rsidRDefault="001F7667">
            <w:pPr>
              <w:pStyle w:val="P68B1DB1-Normal11"/>
              <w:jc w:val="center"/>
              <w:rPr>
                <w:noProof/>
              </w:rPr>
            </w:pPr>
            <w:r>
              <w:rPr>
                <w:noProof/>
              </w:rPr>
              <w:t>НЯМА</w:t>
            </w:r>
          </w:p>
        </w:tc>
        <w:tc>
          <w:tcPr>
            <w:tcW w:w="371" w:type="pct"/>
            <w:shd w:val="clear" w:color="auto" w:fill="C6EFCE"/>
            <w:noWrap/>
            <w:vAlign w:val="center"/>
          </w:tcPr>
          <w:p w14:paraId="58EDA085" w14:textId="77777777" w:rsidR="006054AA" w:rsidRDefault="001F7667">
            <w:pPr>
              <w:pStyle w:val="P68B1DB1-Normal11"/>
              <w:jc w:val="center"/>
              <w:rPr>
                <w:noProof/>
              </w:rPr>
            </w:pPr>
            <w:r>
              <w:rPr>
                <w:noProof/>
              </w:rPr>
              <w:t>НЯМА</w:t>
            </w:r>
          </w:p>
        </w:tc>
        <w:tc>
          <w:tcPr>
            <w:tcW w:w="279" w:type="pct"/>
            <w:shd w:val="clear" w:color="auto" w:fill="C6EFCE"/>
            <w:noWrap/>
            <w:vAlign w:val="center"/>
          </w:tcPr>
          <w:p w14:paraId="2F33F93E" w14:textId="77777777" w:rsidR="006054AA" w:rsidRDefault="001F7667">
            <w:pPr>
              <w:pStyle w:val="P68B1DB1-Normal11"/>
              <w:jc w:val="center"/>
              <w:rPr>
                <w:noProof/>
              </w:rPr>
            </w:pPr>
            <w:r>
              <w:rPr>
                <w:noProof/>
              </w:rPr>
              <w:t>НЯМА</w:t>
            </w:r>
          </w:p>
        </w:tc>
        <w:tc>
          <w:tcPr>
            <w:tcW w:w="278" w:type="pct"/>
            <w:shd w:val="clear" w:color="auto" w:fill="C6EFCE"/>
            <w:noWrap/>
            <w:vAlign w:val="center"/>
          </w:tcPr>
          <w:p w14:paraId="77ED7AB7" w14:textId="77777777" w:rsidR="006054AA" w:rsidRDefault="001F7667">
            <w:pPr>
              <w:pStyle w:val="P68B1DB1-Normal11"/>
              <w:jc w:val="center"/>
              <w:rPr>
                <w:noProof/>
              </w:rPr>
            </w:pPr>
            <w:r>
              <w:rPr>
                <w:noProof/>
              </w:rPr>
              <w:t>Т4 Г.</w:t>
            </w:r>
          </w:p>
        </w:tc>
        <w:tc>
          <w:tcPr>
            <w:tcW w:w="278" w:type="pct"/>
            <w:shd w:val="clear" w:color="auto" w:fill="C6EFCE"/>
            <w:noWrap/>
            <w:vAlign w:val="center"/>
          </w:tcPr>
          <w:p w14:paraId="6C89AB59" w14:textId="77777777" w:rsidR="006054AA" w:rsidRDefault="001F7667">
            <w:pPr>
              <w:pStyle w:val="P68B1DB1-Normal11"/>
              <w:jc w:val="center"/>
              <w:rPr>
                <w:noProof/>
              </w:rPr>
            </w:pPr>
            <w:r>
              <w:rPr>
                <w:noProof/>
              </w:rPr>
              <w:t>2022</w:t>
            </w:r>
          </w:p>
        </w:tc>
        <w:tc>
          <w:tcPr>
            <w:tcW w:w="1198" w:type="pct"/>
            <w:shd w:val="clear" w:color="auto" w:fill="C6EFCE"/>
            <w:noWrap/>
            <w:vAlign w:val="center"/>
          </w:tcPr>
          <w:p w14:paraId="787F72AF" w14:textId="77777777" w:rsidR="006054AA" w:rsidRDefault="001F7667">
            <w:pPr>
              <w:pStyle w:val="P68B1DB1-Normal11"/>
              <w:rPr>
                <w:noProof/>
              </w:rPr>
            </w:pPr>
            <w:r>
              <w:rPr>
                <w:noProof/>
              </w:rPr>
              <w:t>Уведомление за възлагането на всички обществени поръчки за въвеждане на Европейската система за управление на железопътния транспорт (ERTMS)</w:t>
            </w:r>
          </w:p>
        </w:tc>
      </w:tr>
      <w:tr w:rsidR="006054AA" w14:paraId="166C3B5C" w14:textId="77777777">
        <w:trPr>
          <w:trHeight w:val="309"/>
          <w:jc w:val="right"/>
        </w:trPr>
        <w:tc>
          <w:tcPr>
            <w:tcW w:w="369" w:type="pct"/>
            <w:shd w:val="clear" w:color="auto" w:fill="C6EFCE"/>
            <w:noWrap/>
            <w:vAlign w:val="center"/>
          </w:tcPr>
          <w:p w14:paraId="0B74228B" w14:textId="77777777" w:rsidR="006054AA" w:rsidRDefault="001F7667">
            <w:pPr>
              <w:pStyle w:val="P68B1DB1-Normal11"/>
              <w:jc w:val="center"/>
              <w:rPr>
                <w:noProof/>
              </w:rPr>
            </w:pPr>
            <w:r>
              <w:rPr>
                <w:noProof/>
              </w:rPr>
              <w:t>M3C1—13</w:t>
            </w:r>
          </w:p>
        </w:tc>
        <w:tc>
          <w:tcPr>
            <w:tcW w:w="511" w:type="pct"/>
            <w:shd w:val="clear" w:color="auto" w:fill="C6EFCE"/>
            <w:noWrap/>
            <w:vAlign w:val="center"/>
          </w:tcPr>
          <w:p w14:paraId="015DF156" w14:textId="77777777" w:rsidR="006054AA" w:rsidRDefault="001F7667">
            <w:pPr>
              <w:pStyle w:val="P68B1DB1-Normal11"/>
              <w:jc w:val="center"/>
              <w:rPr>
                <w:noProof/>
              </w:rPr>
            </w:pPr>
            <w:r>
              <w:rPr>
                <w:noProof/>
              </w:rPr>
              <w:t>Инвестиция 1.4 — Въвеждане на Европейската система за управление на железопътния транспорт (ERTMS)</w:t>
            </w:r>
          </w:p>
        </w:tc>
        <w:tc>
          <w:tcPr>
            <w:tcW w:w="417" w:type="pct"/>
            <w:shd w:val="clear" w:color="auto" w:fill="C6EFCE"/>
            <w:noWrap/>
            <w:vAlign w:val="center"/>
          </w:tcPr>
          <w:p w14:paraId="0C00249F"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7C8999F6" w14:textId="77777777" w:rsidR="006054AA" w:rsidRDefault="001F7667">
            <w:pPr>
              <w:pStyle w:val="P68B1DB1-Normal11"/>
              <w:jc w:val="center"/>
              <w:rPr>
                <w:noProof/>
              </w:rPr>
            </w:pPr>
            <w:r>
              <w:rPr>
                <w:noProof/>
              </w:rPr>
              <w:t>1 400 км железопътни линии, оборудвани с Европейската система за управление на железопътния транспорт</w:t>
            </w:r>
          </w:p>
        </w:tc>
        <w:tc>
          <w:tcPr>
            <w:tcW w:w="509" w:type="pct"/>
            <w:shd w:val="clear" w:color="auto" w:fill="C6EFCE"/>
            <w:noWrap/>
            <w:vAlign w:val="center"/>
          </w:tcPr>
          <w:p w14:paraId="45E47288"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680AACE3"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7C97665D" w14:textId="77777777" w:rsidR="006054AA" w:rsidRDefault="001F7667">
            <w:pPr>
              <w:pStyle w:val="P68B1DB1-Normal11"/>
              <w:jc w:val="center"/>
              <w:rPr>
                <w:noProof/>
              </w:rPr>
            </w:pPr>
            <w:r>
              <w:rPr>
                <w:noProof/>
              </w:rPr>
              <w:t>0</w:t>
            </w:r>
          </w:p>
        </w:tc>
        <w:tc>
          <w:tcPr>
            <w:tcW w:w="279" w:type="pct"/>
            <w:shd w:val="clear" w:color="auto" w:fill="C6EFCE"/>
            <w:noWrap/>
            <w:vAlign w:val="center"/>
          </w:tcPr>
          <w:p w14:paraId="573EFF2F" w14:textId="1DA02704" w:rsidR="006054AA" w:rsidRDefault="001F7667">
            <w:pPr>
              <w:pStyle w:val="P68B1DB1-Normal11"/>
              <w:jc w:val="center"/>
              <w:rPr>
                <w:noProof/>
              </w:rPr>
            </w:pPr>
            <w:r>
              <w:rPr>
                <w:noProof/>
              </w:rPr>
              <w:t>1 400</w:t>
            </w:r>
          </w:p>
        </w:tc>
        <w:tc>
          <w:tcPr>
            <w:tcW w:w="278" w:type="pct"/>
            <w:shd w:val="clear" w:color="auto" w:fill="C6EFCE"/>
            <w:noWrap/>
            <w:vAlign w:val="center"/>
          </w:tcPr>
          <w:p w14:paraId="26D0A297"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2CFA3FA4" w14:textId="77777777" w:rsidR="006054AA" w:rsidRDefault="001F7667">
            <w:pPr>
              <w:pStyle w:val="P68B1DB1-Normal11"/>
              <w:jc w:val="center"/>
              <w:rPr>
                <w:noProof/>
              </w:rPr>
            </w:pPr>
            <w:r>
              <w:rPr>
                <w:noProof/>
              </w:rPr>
              <w:t>2025</w:t>
            </w:r>
          </w:p>
        </w:tc>
        <w:tc>
          <w:tcPr>
            <w:tcW w:w="1198" w:type="pct"/>
            <w:shd w:val="clear" w:color="auto" w:fill="C6EFCE"/>
            <w:noWrap/>
            <w:vAlign w:val="center"/>
          </w:tcPr>
          <w:p w14:paraId="176846AE" w14:textId="035D7A0A" w:rsidR="006054AA" w:rsidRDefault="001F7667">
            <w:pPr>
              <w:pStyle w:val="P68B1DB1-Normal11"/>
              <w:rPr>
                <w:noProof/>
              </w:rPr>
            </w:pPr>
            <w:r>
              <w:rPr>
                <w:noProof/>
              </w:rPr>
              <w:t>1 400 km железопътни линии, оборудвани с Европейската система за управление на железопътния транспорт в съответствие с Европейския план за внедряване, готови за издаване на разрешение и оперативни фази.</w:t>
            </w:r>
          </w:p>
        </w:tc>
      </w:tr>
      <w:tr w:rsidR="006054AA" w14:paraId="284E6805" w14:textId="77777777">
        <w:trPr>
          <w:trHeight w:val="309"/>
          <w:jc w:val="right"/>
        </w:trPr>
        <w:tc>
          <w:tcPr>
            <w:tcW w:w="369" w:type="pct"/>
            <w:shd w:val="clear" w:color="auto" w:fill="C6EFCE"/>
            <w:noWrap/>
            <w:vAlign w:val="center"/>
          </w:tcPr>
          <w:p w14:paraId="512DEA19" w14:textId="77777777" w:rsidR="006054AA" w:rsidRDefault="001F7667">
            <w:pPr>
              <w:pStyle w:val="P68B1DB1-Normal11"/>
              <w:jc w:val="center"/>
              <w:rPr>
                <w:noProof/>
              </w:rPr>
            </w:pPr>
            <w:r>
              <w:rPr>
                <w:noProof/>
              </w:rPr>
              <w:t>M3C1—14</w:t>
            </w:r>
          </w:p>
        </w:tc>
        <w:tc>
          <w:tcPr>
            <w:tcW w:w="511" w:type="pct"/>
            <w:shd w:val="clear" w:color="auto" w:fill="C6EFCE"/>
            <w:noWrap/>
            <w:vAlign w:val="center"/>
          </w:tcPr>
          <w:p w14:paraId="697AAB54" w14:textId="77777777" w:rsidR="006054AA" w:rsidRDefault="001F7667">
            <w:pPr>
              <w:pStyle w:val="P68B1DB1-Normal11"/>
              <w:jc w:val="center"/>
              <w:rPr>
                <w:noProof/>
              </w:rPr>
            </w:pPr>
            <w:r>
              <w:rPr>
                <w:noProof/>
              </w:rPr>
              <w:t>Инвестиция 1.4 — Въвеждане на Европейската система за управление на железопътния транспорт (ERTMS)</w:t>
            </w:r>
          </w:p>
        </w:tc>
        <w:tc>
          <w:tcPr>
            <w:tcW w:w="417" w:type="pct"/>
            <w:shd w:val="clear" w:color="auto" w:fill="C6EFCE"/>
            <w:noWrap/>
            <w:vAlign w:val="center"/>
          </w:tcPr>
          <w:p w14:paraId="220BA516"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33C9023A" w14:textId="77777777" w:rsidR="006054AA" w:rsidRDefault="001F7667">
            <w:pPr>
              <w:pStyle w:val="P68B1DB1-Normal11"/>
              <w:jc w:val="center"/>
              <w:rPr>
                <w:noProof/>
              </w:rPr>
            </w:pPr>
            <w:r>
              <w:rPr>
                <w:noProof/>
              </w:rPr>
              <w:t xml:space="preserve"> 2 785 км железопътни линии, оборудвани с Европейската система за управление на железопътния транспорт</w:t>
            </w:r>
          </w:p>
        </w:tc>
        <w:tc>
          <w:tcPr>
            <w:tcW w:w="509" w:type="pct"/>
            <w:shd w:val="clear" w:color="auto" w:fill="C6EFCE"/>
            <w:noWrap/>
            <w:vAlign w:val="center"/>
          </w:tcPr>
          <w:p w14:paraId="41673E9E"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30D9FB2E"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3585EE00" w14:textId="373700DF" w:rsidR="006054AA" w:rsidRDefault="001F7667">
            <w:pPr>
              <w:pStyle w:val="P68B1DB1-Normal11"/>
              <w:jc w:val="center"/>
              <w:rPr>
                <w:noProof/>
              </w:rPr>
            </w:pPr>
            <w:r>
              <w:rPr>
                <w:noProof/>
              </w:rPr>
              <w:t>1 400</w:t>
            </w:r>
          </w:p>
        </w:tc>
        <w:tc>
          <w:tcPr>
            <w:tcW w:w="279" w:type="pct"/>
            <w:shd w:val="clear" w:color="auto" w:fill="C6EFCE"/>
            <w:noWrap/>
            <w:vAlign w:val="center"/>
          </w:tcPr>
          <w:p w14:paraId="6E084B1E" w14:textId="4E23924A" w:rsidR="006054AA" w:rsidRDefault="001F7667">
            <w:pPr>
              <w:pStyle w:val="P68B1DB1-Normal11"/>
              <w:jc w:val="center"/>
              <w:rPr>
                <w:noProof/>
              </w:rPr>
            </w:pPr>
            <w:r>
              <w:rPr>
                <w:noProof/>
              </w:rPr>
              <w:t>2 785</w:t>
            </w:r>
          </w:p>
        </w:tc>
        <w:tc>
          <w:tcPr>
            <w:tcW w:w="278" w:type="pct"/>
            <w:shd w:val="clear" w:color="auto" w:fill="C6EFCE"/>
            <w:noWrap/>
            <w:vAlign w:val="center"/>
          </w:tcPr>
          <w:p w14:paraId="4F36A4ED"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7E61E8A4"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0D26E5E6" w14:textId="1F299FD7" w:rsidR="006054AA" w:rsidRDefault="001F7667">
            <w:pPr>
              <w:pStyle w:val="P68B1DB1-Normal11"/>
              <w:spacing w:before="120" w:after="120"/>
              <w:rPr>
                <w:noProof/>
              </w:rPr>
            </w:pPr>
            <w:r>
              <w:rPr>
                <w:noProof/>
              </w:rPr>
              <w:t>2 785 km железопътни линии, оборудвани с Европейската система за управление на железопътния транспорт в съответствие с Европейската система за управление на железопътния транспорт в съответствие с Европейския план за внедряване, готови за издаване на разрешение и оперативни фази.</w:t>
            </w:r>
          </w:p>
        </w:tc>
      </w:tr>
      <w:tr w:rsidR="006054AA" w14:paraId="47967D1C" w14:textId="77777777">
        <w:trPr>
          <w:trHeight w:val="309"/>
          <w:jc w:val="right"/>
        </w:trPr>
        <w:tc>
          <w:tcPr>
            <w:tcW w:w="369" w:type="pct"/>
            <w:shd w:val="clear" w:color="auto" w:fill="C6EFCE"/>
            <w:noWrap/>
            <w:vAlign w:val="center"/>
          </w:tcPr>
          <w:p w14:paraId="62F95BE2" w14:textId="77777777" w:rsidR="006054AA" w:rsidRDefault="001F7667">
            <w:pPr>
              <w:pStyle w:val="P68B1DB1-Normal11"/>
              <w:jc w:val="center"/>
              <w:rPr>
                <w:noProof/>
              </w:rPr>
            </w:pPr>
            <w:r>
              <w:rPr>
                <w:noProof/>
              </w:rPr>
              <w:t>M3C1—15</w:t>
            </w:r>
          </w:p>
        </w:tc>
        <w:tc>
          <w:tcPr>
            <w:tcW w:w="511" w:type="pct"/>
            <w:shd w:val="clear" w:color="auto" w:fill="C6EFCE"/>
            <w:noWrap/>
            <w:vAlign w:val="center"/>
          </w:tcPr>
          <w:p w14:paraId="1346E5AA" w14:textId="77777777" w:rsidR="006054AA" w:rsidRDefault="001F7667">
            <w:pPr>
              <w:pStyle w:val="P68B1DB1-Normal11"/>
              <w:jc w:val="center"/>
              <w:rPr>
                <w:noProof/>
              </w:rPr>
            </w:pPr>
            <w:r>
              <w:rPr>
                <w:noProof/>
              </w:rPr>
              <w:t>Инвестиция 1.5 — Укрепване на метрополните възли и ключови национални връзки</w:t>
            </w:r>
          </w:p>
        </w:tc>
        <w:tc>
          <w:tcPr>
            <w:tcW w:w="417" w:type="pct"/>
            <w:shd w:val="clear" w:color="auto" w:fill="C6EFCE"/>
            <w:noWrap/>
            <w:vAlign w:val="center"/>
          </w:tcPr>
          <w:p w14:paraId="21E56834"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78DB4444" w14:textId="77777777" w:rsidR="006054AA" w:rsidRDefault="001F7667">
            <w:pPr>
              <w:pStyle w:val="P68B1DB1-Normal11"/>
              <w:jc w:val="center"/>
              <w:rPr>
                <w:noProof/>
              </w:rPr>
            </w:pPr>
            <w:r>
              <w:rPr>
                <w:noProof/>
              </w:rPr>
              <w:t>700 км модернизирани участъци от линии, изградени върху метрополни възли и ключови национални връзки</w:t>
            </w:r>
          </w:p>
        </w:tc>
        <w:tc>
          <w:tcPr>
            <w:tcW w:w="509" w:type="pct"/>
            <w:shd w:val="clear" w:color="auto" w:fill="C6EFCE"/>
            <w:noWrap/>
            <w:vAlign w:val="center"/>
          </w:tcPr>
          <w:p w14:paraId="0ED6D972"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63609DE3"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0C960581" w14:textId="77777777" w:rsidR="006054AA" w:rsidRDefault="001F7667">
            <w:pPr>
              <w:pStyle w:val="P68B1DB1-Normal11"/>
              <w:jc w:val="center"/>
              <w:rPr>
                <w:noProof/>
              </w:rPr>
            </w:pPr>
            <w:r>
              <w:rPr>
                <w:noProof/>
              </w:rPr>
              <w:t>0</w:t>
            </w:r>
          </w:p>
        </w:tc>
        <w:tc>
          <w:tcPr>
            <w:tcW w:w="279" w:type="pct"/>
            <w:shd w:val="clear" w:color="auto" w:fill="C6EFCE"/>
            <w:noWrap/>
            <w:vAlign w:val="center"/>
          </w:tcPr>
          <w:p w14:paraId="725DD8E3" w14:textId="77777777" w:rsidR="006054AA" w:rsidRDefault="001F7667">
            <w:pPr>
              <w:pStyle w:val="P68B1DB1-Normal11"/>
              <w:jc w:val="center"/>
              <w:rPr>
                <w:noProof/>
              </w:rPr>
            </w:pPr>
            <w:r>
              <w:rPr>
                <w:noProof/>
              </w:rPr>
              <w:t>700</w:t>
            </w:r>
          </w:p>
        </w:tc>
        <w:tc>
          <w:tcPr>
            <w:tcW w:w="278" w:type="pct"/>
            <w:shd w:val="clear" w:color="auto" w:fill="C6EFCE"/>
            <w:noWrap/>
            <w:vAlign w:val="center"/>
          </w:tcPr>
          <w:p w14:paraId="1556710E" w14:textId="77777777" w:rsidR="006054AA" w:rsidRDefault="001F7667">
            <w:pPr>
              <w:pStyle w:val="P68B1DB1-Normal11"/>
              <w:jc w:val="center"/>
              <w:rPr>
                <w:noProof/>
              </w:rPr>
            </w:pPr>
            <w:r>
              <w:rPr>
                <w:noProof/>
              </w:rPr>
              <w:t>Т4 Г.</w:t>
            </w:r>
          </w:p>
        </w:tc>
        <w:tc>
          <w:tcPr>
            <w:tcW w:w="278" w:type="pct"/>
            <w:shd w:val="clear" w:color="auto" w:fill="C6EFCE"/>
            <w:noWrap/>
            <w:vAlign w:val="center"/>
          </w:tcPr>
          <w:p w14:paraId="303BF1D7" w14:textId="77777777" w:rsidR="006054AA" w:rsidRDefault="001F7667">
            <w:pPr>
              <w:pStyle w:val="P68B1DB1-Normal11"/>
              <w:jc w:val="center"/>
              <w:rPr>
                <w:noProof/>
              </w:rPr>
            </w:pPr>
            <w:r>
              <w:rPr>
                <w:noProof/>
              </w:rPr>
              <w:t>2024</w:t>
            </w:r>
          </w:p>
        </w:tc>
        <w:tc>
          <w:tcPr>
            <w:tcW w:w="1198" w:type="pct"/>
            <w:shd w:val="clear" w:color="auto" w:fill="C6EFCE"/>
            <w:noWrap/>
            <w:vAlign w:val="center"/>
          </w:tcPr>
          <w:p w14:paraId="06B99116" w14:textId="77777777" w:rsidR="006054AA" w:rsidRDefault="001F7667">
            <w:pPr>
              <w:pStyle w:val="P68B1DB1-Normal11"/>
              <w:rPr>
                <w:noProof/>
              </w:rPr>
            </w:pPr>
            <w:r>
              <w:rPr>
                <w:noProof/>
              </w:rPr>
              <w:t>Най-малко 700 km модернизирани участъци от линии, изградени върху метрополни възли и ключови национални връзки, готови за етапа на издаване на разрешение и етапа на експлоатация.</w:t>
            </w:r>
          </w:p>
          <w:p w14:paraId="17FFB384" w14:textId="77777777" w:rsidR="006054AA" w:rsidRDefault="006054AA">
            <w:pPr>
              <w:rPr>
                <w:rFonts w:ascii="Arial Narrow" w:hAnsi="Arial Narrow"/>
                <w:noProof/>
                <w:color w:val="006100"/>
                <w:sz w:val="20"/>
              </w:rPr>
            </w:pPr>
          </w:p>
        </w:tc>
      </w:tr>
      <w:tr w:rsidR="006054AA" w14:paraId="7C3BDEBA" w14:textId="77777777">
        <w:trPr>
          <w:trHeight w:val="309"/>
          <w:jc w:val="right"/>
        </w:trPr>
        <w:tc>
          <w:tcPr>
            <w:tcW w:w="369" w:type="pct"/>
            <w:shd w:val="clear" w:color="auto" w:fill="C6EFCE"/>
            <w:noWrap/>
            <w:vAlign w:val="center"/>
          </w:tcPr>
          <w:p w14:paraId="734A70D0" w14:textId="77777777" w:rsidR="006054AA" w:rsidRDefault="001F7667">
            <w:pPr>
              <w:pStyle w:val="P68B1DB1-Normal11"/>
              <w:jc w:val="center"/>
              <w:rPr>
                <w:noProof/>
              </w:rPr>
            </w:pPr>
            <w:r>
              <w:rPr>
                <w:noProof/>
              </w:rPr>
              <w:t>M3C1—16</w:t>
            </w:r>
          </w:p>
        </w:tc>
        <w:tc>
          <w:tcPr>
            <w:tcW w:w="511" w:type="pct"/>
            <w:shd w:val="clear" w:color="auto" w:fill="C6EFCE"/>
            <w:noWrap/>
            <w:vAlign w:val="center"/>
          </w:tcPr>
          <w:p w14:paraId="09D6CD02" w14:textId="77777777" w:rsidR="006054AA" w:rsidRDefault="001F7667">
            <w:pPr>
              <w:pStyle w:val="P68B1DB1-Normal11"/>
              <w:jc w:val="center"/>
              <w:rPr>
                <w:noProof/>
              </w:rPr>
            </w:pPr>
            <w:r>
              <w:rPr>
                <w:noProof/>
              </w:rPr>
              <w:t>Инвестиция 1.5 — Укрепване на метрополните възли и ключови национални връзки</w:t>
            </w:r>
          </w:p>
        </w:tc>
        <w:tc>
          <w:tcPr>
            <w:tcW w:w="417" w:type="pct"/>
            <w:shd w:val="clear" w:color="auto" w:fill="C6EFCE"/>
            <w:noWrap/>
            <w:vAlign w:val="center"/>
          </w:tcPr>
          <w:p w14:paraId="10837981"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1ED9110C" w14:textId="77777777" w:rsidR="006054AA" w:rsidRDefault="001F7667">
            <w:pPr>
              <w:pStyle w:val="P68B1DB1-Normal11"/>
              <w:jc w:val="center"/>
              <w:rPr>
                <w:noProof/>
              </w:rPr>
            </w:pPr>
            <w:r>
              <w:rPr>
                <w:noProof/>
              </w:rPr>
              <w:t>1 280 км модернизирани участъци от линии, изградени върху метрополни възли и ключови национални връзки</w:t>
            </w:r>
          </w:p>
        </w:tc>
        <w:tc>
          <w:tcPr>
            <w:tcW w:w="509" w:type="pct"/>
            <w:shd w:val="clear" w:color="auto" w:fill="C6EFCE"/>
            <w:noWrap/>
            <w:vAlign w:val="center"/>
          </w:tcPr>
          <w:p w14:paraId="086FC245"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427C7A6D"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3C718BA1" w14:textId="77777777" w:rsidR="006054AA" w:rsidRDefault="001F7667">
            <w:pPr>
              <w:pStyle w:val="P68B1DB1-Normal11"/>
              <w:jc w:val="center"/>
              <w:rPr>
                <w:noProof/>
              </w:rPr>
            </w:pPr>
            <w:r>
              <w:rPr>
                <w:noProof/>
              </w:rPr>
              <w:t>700</w:t>
            </w:r>
          </w:p>
        </w:tc>
        <w:tc>
          <w:tcPr>
            <w:tcW w:w="279" w:type="pct"/>
            <w:shd w:val="clear" w:color="auto" w:fill="C6EFCE"/>
            <w:noWrap/>
            <w:vAlign w:val="center"/>
          </w:tcPr>
          <w:p w14:paraId="6B0665C5" w14:textId="20F73F89" w:rsidR="006054AA" w:rsidRDefault="001F7667">
            <w:pPr>
              <w:pStyle w:val="P68B1DB1-Normal11"/>
              <w:jc w:val="center"/>
              <w:rPr>
                <w:noProof/>
              </w:rPr>
            </w:pPr>
            <w:r>
              <w:rPr>
                <w:noProof/>
              </w:rPr>
              <w:t>1 280</w:t>
            </w:r>
          </w:p>
        </w:tc>
        <w:tc>
          <w:tcPr>
            <w:tcW w:w="278" w:type="pct"/>
            <w:shd w:val="clear" w:color="auto" w:fill="C6EFCE"/>
            <w:noWrap/>
            <w:vAlign w:val="center"/>
          </w:tcPr>
          <w:p w14:paraId="6F7B1EF0"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615EDE70"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0F885545" w14:textId="56AA0DB7" w:rsidR="006054AA" w:rsidRDefault="001F7667">
            <w:pPr>
              <w:pStyle w:val="P68B1DB1-Normal11"/>
              <w:rPr>
                <w:noProof/>
              </w:rPr>
            </w:pPr>
            <w:r>
              <w:rPr>
                <w:noProof/>
              </w:rPr>
              <w:t>Най-малко 1 280 km участъци от подобрени/модернизирани линии, изградени върху метрополни възли и ключови национални връзки, готови за разрешаване и оперативни фази</w:t>
            </w:r>
          </w:p>
        </w:tc>
      </w:tr>
      <w:tr w:rsidR="006054AA" w14:paraId="3EF9A146" w14:textId="77777777">
        <w:trPr>
          <w:trHeight w:val="309"/>
          <w:jc w:val="right"/>
        </w:trPr>
        <w:tc>
          <w:tcPr>
            <w:tcW w:w="369" w:type="pct"/>
            <w:shd w:val="clear" w:color="auto" w:fill="C6EFCE"/>
            <w:noWrap/>
            <w:vAlign w:val="center"/>
          </w:tcPr>
          <w:p w14:paraId="1FDC7B49" w14:textId="77777777" w:rsidR="006054AA" w:rsidRDefault="001F7667">
            <w:pPr>
              <w:pStyle w:val="P68B1DB1-Normal11"/>
              <w:jc w:val="center"/>
              <w:rPr>
                <w:noProof/>
              </w:rPr>
            </w:pPr>
            <w:r>
              <w:rPr>
                <w:noProof/>
              </w:rPr>
              <w:t>M3C1—17</w:t>
            </w:r>
          </w:p>
        </w:tc>
        <w:tc>
          <w:tcPr>
            <w:tcW w:w="511" w:type="pct"/>
            <w:shd w:val="clear" w:color="auto" w:fill="C6EFCE"/>
            <w:noWrap/>
            <w:vAlign w:val="center"/>
          </w:tcPr>
          <w:p w14:paraId="687260C8" w14:textId="77777777" w:rsidR="006054AA" w:rsidRDefault="001F7667">
            <w:pPr>
              <w:pStyle w:val="P68B1DB1-Normal11"/>
              <w:jc w:val="center"/>
              <w:rPr>
                <w:noProof/>
              </w:rPr>
            </w:pPr>
            <w:r>
              <w:rPr>
                <w:noProof/>
              </w:rPr>
              <w:t>Инвестиция 1.7 — Осъвременяване, електрификация и устойчивост на железопътния транспорт на юг</w:t>
            </w:r>
          </w:p>
        </w:tc>
        <w:tc>
          <w:tcPr>
            <w:tcW w:w="417" w:type="pct"/>
            <w:shd w:val="clear" w:color="auto" w:fill="C6EFCE"/>
            <w:noWrap/>
            <w:vAlign w:val="center"/>
          </w:tcPr>
          <w:p w14:paraId="06F7BA84" w14:textId="77777777" w:rsidR="006054AA" w:rsidRDefault="006054AA">
            <w:pPr>
              <w:jc w:val="center"/>
              <w:rPr>
                <w:rFonts w:ascii="Arial Narrow" w:hAnsi="Arial Narrow"/>
                <w:noProof/>
                <w:color w:val="006100"/>
                <w:sz w:val="20"/>
              </w:rPr>
            </w:pPr>
          </w:p>
          <w:p w14:paraId="68BB15F8" w14:textId="77777777" w:rsidR="006054AA" w:rsidRDefault="001F7667">
            <w:pPr>
              <w:pStyle w:val="P68B1DB1-Normal11"/>
              <w:jc w:val="center"/>
              <w:rPr>
                <w:noProof/>
              </w:rPr>
            </w:pPr>
            <w:r>
              <w:rPr>
                <w:noProof/>
              </w:rPr>
              <w:t xml:space="preserve">Целеви </w:t>
            </w:r>
          </w:p>
        </w:tc>
        <w:tc>
          <w:tcPr>
            <w:tcW w:w="464" w:type="pct"/>
            <w:shd w:val="clear" w:color="auto" w:fill="C6EFCE"/>
            <w:noWrap/>
            <w:vAlign w:val="center"/>
          </w:tcPr>
          <w:p w14:paraId="6C46B7E3" w14:textId="4ED18C18" w:rsidR="006054AA" w:rsidRDefault="001F7667">
            <w:pPr>
              <w:pStyle w:val="P68B1DB1-Normal11"/>
              <w:jc w:val="center"/>
              <w:rPr>
                <w:noProof/>
              </w:rPr>
            </w:pPr>
            <w:r>
              <w:rPr>
                <w:noProof/>
              </w:rPr>
              <w:t>Завършени са 150 км строителни работи, свързани с модернизирането, електрификацията и устойчивостта на железопътните линии на юг, готови за етапите на разрешаване и експлоатация.</w:t>
            </w:r>
          </w:p>
        </w:tc>
        <w:tc>
          <w:tcPr>
            <w:tcW w:w="509" w:type="pct"/>
            <w:shd w:val="clear" w:color="auto" w:fill="C6EFCE"/>
            <w:noWrap/>
            <w:vAlign w:val="center"/>
          </w:tcPr>
          <w:p w14:paraId="35F825F1"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6AFB40EF"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7655624F" w14:textId="77777777" w:rsidR="006054AA" w:rsidRDefault="001F7667">
            <w:pPr>
              <w:pStyle w:val="P68B1DB1-Normal11"/>
              <w:jc w:val="center"/>
              <w:rPr>
                <w:noProof/>
              </w:rPr>
            </w:pPr>
            <w:r>
              <w:rPr>
                <w:noProof/>
              </w:rPr>
              <w:t>0</w:t>
            </w:r>
          </w:p>
        </w:tc>
        <w:tc>
          <w:tcPr>
            <w:tcW w:w="279" w:type="pct"/>
            <w:shd w:val="clear" w:color="auto" w:fill="C6EFCE"/>
            <w:noWrap/>
            <w:vAlign w:val="center"/>
          </w:tcPr>
          <w:p w14:paraId="2F49AE89" w14:textId="77777777" w:rsidR="006054AA" w:rsidRDefault="001F7667">
            <w:pPr>
              <w:pStyle w:val="P68B1DB1-Normal11"/>
              <w:jc w:val="center"/>
              <w:rPr>
                <w:noProof/>
              </w:rPr>
            </w:pPr>
            <w:r>
              <w:rPr>
                <w:noProof/>
              </w:rPr>
              <w:t>150</w:t>
            </w:r>
          </w:p>
        </w:tc>
        <w:tc>
          <w:tcPr>
            <w:tcW w:w="278" w:type="pct"/>
            <w:shd w:val="clear" w:color="auto" w:fill="C6EFCE"/>
            <w:noWrap/>
            <w:vAlign w:val="center"/>
          </w:tcPr>
          <w:p w14:paraId="38B996EF" w14:textId="77777777" w:rsidR="006054AA" w:rsidRDefault="001F7667">
            <w:pPr>
              <w:pStyle w:val="P68B1DB1-Normal11"/>
              <w:jc w:val="center"/>
              <w:rPr>
                <w:noProof/>
              </w:rPr>
            </w:pPr>
            <w:r>
              <w:rPr>
                <w:noProof/>
              </w:rPr>
              <w:t>Т4 Г.</w:t>
            </w:r>
          </w:p>
        </w:tc>
        <w:tc>
          <w:tcPr>
            <w:tcW w:w="278" w:type="pct"/>
            <w:shd w:val="clear" w:color="auto" w:fill="C6EFCE"/>
            <w:noWrap/>
            <w:vAlign w:val="center"/>
          </w:tcPr>
          <w:p w14:paraId="42E02E82" w14:textId="77777777" w:rsidR="006054AA" w:rsidRDefault="001F7667">
            <w:pPr>
              <w:pStyle w:val="P68B1DB1-Normal11"/>
              <w:jc w:val="center"/>
              <w:rPr>
                <w:noProof/>
              </w:rPr>
            </w:pPr>
            <w:r>
              <w:rPr>
                <w:noProof/>
              </w:rPr>
              <w:t>2023</w:t>
            </w:r>
          </w:p>
        </w:tc>
        <w:tc>
          <w:tcPr>
            <w:tcW w:w="1198" w:type="pct"/>
            <w:shd w:val="clear" w:color="auto" w:fill="C6EFCE"/>
            <w:noWrap/>
            <w:vAlign w:val="center"/>
          </w:tcPr>
          <w:p w14:paraId="2D650958" w14:textId="77777777" w:rsidR="006054AA" w:rsidRDefault="001F7667">
            <w:pPr>
              <w:pStyle w:val="P68B1DB1-Normal11"/>
              <w:spacing w:before="120" w:after="120"/>
              <w:rPr>
                <w:noProof/>
              </w:rPr>
            </w:pPr>
            <w:r>
              <w:rPr>
                <w:noProof/>
              </w:rPr>
              <w:t xml:space="preserve">Приключване на работите за най-малко 150 км, свързани с модернизиране, електрификация и устойчивост на южните железопътни линии, готови за етапите на разрешаване и експлоатация. </w:t>
            </w:r>
          </w:p>
          <w:p w14:paraId="18243FD3" w14:textId="77777777" w:rsidR="006054AA" w:rsidRDefault="001F7667">
            <w:pPr>
              <w:pStyle w:val="P68B1DB1-Normal11"/>
              <w:spacing w:before="120" w:after="120"/>
              <w:rPr>
                <w:noProof/>
              </w:rPr>
            </w:pPr>
            <w:r>
              <w:rPr>
                <w:noProof/>
              </w:rPr>
              <w:t>150-километровата отсечка се отнася за следните линии:</w:t>
            </w:r>
          </w:p>
          <w:p w14:paraId="41B146BD" w14:textId="77777777" w:rsidR="006054AA" w:rsidRDefault="001F7667">
            <w:pPr>
              <w:pStyle w:val="P68B1DB1-Normal11"/>
              <w:spacing w:before="120" w:after="120"/>
              <w:rPr>
                <w:noProof/>
              </w:rPr>
            </w:pPr>
            <w:r>
              <w:rPr>
                <w:noProof/>
              </w:rPr>
              <w:t>Регион Molise</w:t>
            </w:r>
          </w:p>
          <w:p w14:paraId="48F38645" w14:textId="77777777" w:rsidR="006054AA" w:rsidRDefault="001F7667">
            <w:pPr>
              <w:pStyle w:val="P68B1DB1-ListParagraph13"/>
              <w:numPr>
                <w:ilvl w:val="0"/>
                <w:numId w:val="48"/>
              </w:numPr>
              <w:ind w:left="393"/>
              <w:jc w:val="left"/>
              <w:rPr>
                <w:noProof/>
              </w:rPr>
            </w:pPr>
            <w:r>
              <w:rPr>
                <w:noProof/>
              </w:rPr>
              <w:t>Rome-Venafro-Campobasso-Termoli;</w:t>
            </w:r>
          </w:p>
          <w:p w14:paraId="4172D517" w14:textId="77777777" w:rsidR="006054AA" w:rsidRDefault="001F7667">
            <w:pPr>
              <w:pStyle w:val="P68B1DB1-Normal11"/>
              <w:spacing w:before="120" w:after="120"/>
              <w:rPr>
                <w:noProof/>
              </w:rPr>
            </w:pPr>
            <w:r>
              <w:rPr>
                <w:noProof/>
              </w:rPr>
              <w:t>Област Пулия</w:t>
            </w:r>
          </w:p>
          <w:p w14:paraId="6D65ACE4" w14:textId="77777777" w:rsidR="006054AA" w:rsidRDefault="001F7667">
            <w:pPr>
              <w:pStyle w:val="P68B1DB1-ListParagraph13"/>
              <w:numPr>
                <w:ilvl w:val="0"/>
                <w:numId w:val="48"/>
              </w:numPr>
              <w:ind w:left="535"/>
              <w:jc w:val="left"/>
              <w:rPr>
                <w:noProof/>
              </w:rPr>
            </w:pPr>
            <w:r>
              <w:rPr>
                <w:noProof/>
              </w:rPr>
              <w:t>Пескара — Фоджа</w:t>
            </w:r>
          </w:p>
          <w:p w14:paraId="70A6A95A" w14:textId="77777777" w:rsidR="006054AA" w:rsidRDefault="001F7667">
            <w:pPr>
              <w:pStyle w:val="P68B1DB1-ListParagraph13"/>
              <w:numPr>
                <w:ilvl w:val="0"/>
                <w:numId w:val="48"/>
              </w:numPr>
              <w:ind w:left="535"/>
              <w:jc w:val="left"/>
              <w:rPr>
                <w:noProof/>
              </w:rPr>
            </w:pPr>
            <w:r>
              <w:rPr>
                <w:noProof/>
              </w:rPr>
              <w:t>Потена-Фоджа</w:t>
            </w:r>
          </w:p>
          <w:p w14:paraId="44BBCBB8" w14:textId="77777777" w:rsidR="006054AA" w:rsidRDefault="001F7667">
            <w:pPr>
              <w:pStyle w:val="P68B1DB1-ListParagraph13"/>
              <w:numPr>
                <w:ilvl w:val="0"/>
                <w:numId w:val="48"/>
              </w:numPr>
              <w:ind w:left="535"/>
              <w:jc w:val="left"/>
              <w:rPr>
                <w:noProof/>
              </w:rPr>
            </w:pPr>
            <w:r>
              <w:rPr>
                <w:noProof/>
              </w:rPr>
              <w:t>Връзки Бриндизи</w:t>
            </w:r>
          </w:p>
          <w:p w14:paraId="73832C94" w14:textId="77777777" w:rsidR="006054AA" w:rsidRDefault="001F7667">
            <w:pPr>
              <w:pStyle w:val="P68B1DB1-ListParagraph13"/>
              <w:numPr>
                <w:ilvl w:val="0"/>
                <w:numId w:val="48"/>
              </w:numPr>
              <w:ind w:left="535"/>
              <w:jc w:val="left"/>
              <w:rPr>
                <w:noProof/>
              </w:rPr>
            </w:pPr>
            <w:r>
              <w:rPr>
                <w:noProof/>
              </w:rPr>
              <w:t>Връзки Таранто</w:t>
            </w:r>
          </w:p>
          <w:p w14:paraId="0A5228B3" w14:textId="77777777" w:rsidR="006054AA" w:rsidRDefault="001F7667">
            <w:pPr>
              <w:pStyle w:val="P68B1DB1-Normal11"/>
              <w:spacing w:before="120" w:after="120"/>
              <w:rPr>
                <w:noProof/>
              </w:rPr>
            </w:pPr>
            <w:r>
              <w:rPr>
                <w:noProof/>
              </w:rPr>
              <w:t>Регион Калабрия</w:t>
            </w:r>
          </w:p>
          <w:p w14:paraId="0CF0031E" w14:textId="77777777" w:rsidR="006054AA" w:rsidRDefault="001F7667">
            <w:pPr>
              <w:pStyle w:val="P68B1DB1-ListParagraph13"/>
              <w:numPr>
                <w:ilvl w:val="0"/>
                <w:numId w:val="48"/>
              </w:numPr>
              <w:ind w:left="535"/>
              <w:jc w:val="left"/>
              <w:rPr>
                <w:noProof/>
              </w:rPr>
            </w:pPr>
            <w:r>
              <w:rPr>
                <w:noProof/>
              </w:rPr>
              <w:t>Йонийски Сибари-Катанзаро Лидо-/Ламеция Терме</w:t>
            </w:r>
          </w:p>
          <w:p w14:paraId="6EB45031" w14:textId="77777777" w:rsidR="006054AA" w:rsidRDefault="001F7667">
            <w:pPr>
              <w:pStyle w:val="P68B1DB1-Normal11"/>
              <w:spacing w:before="120" w:after="120"/>
              <w:rPr>
                <w:noProof/>
              </w:rPr>
            </w:pPr>
            <w:r>
              <w:rPr>
                <w:noProof/>
              </w:rPr>
              <w:t>Регион Базиликата</w:t>
            </w:r>
          </w:p>
          <w:p w14:paraId="16754DC8" w14:textId="77777777" w:rsidR="006054AA" w:rsidRDefault="001F7667">
            <w:pPr>
              <w:pStyle w:val="P68B1DB1-ListParagraph13"/>
              <w:numPr>
                <w:ilvl w:val="0"/>
                <w:numId w:val="48"/>
              </w:numPr>
              <w:ind w:left="535"/>
              <w:jc w:val="left"/>
              <w:rPr>
                <w:noProof/>
              </w:rPr>
            </w:pPr>
            <w:r>
              <w:rPr>
                <w:noProof/>
              </w:rPr>
              <w:t>Ферандина-Матера</w:t>
            </w:r>
          </w:p>
          <w:p w14:paraId="2D35AD60" w14:textId="77777777" w:rsidR="006054AA" w:rsidRDefault="001F7667">
            <w:pPr>
              <w:pStyle w:val="P68B1DB1-Normal11"/>
              <w:spacing w:before="120" w:after="120"/>
              <w:rPr>
                <w:noProof/>
              </w:rPr>
            </w:pPr>
            <w:r>
              <w:rPr>
                <w:noProof/>
              </w:rPr>
              <w:t>Регион Кампания</w:t>
            </w:r>
          </w:p>
          <w:p w14:paraId="7F490CCB" w14:textId="77777777" w:rsidR="006054AA" w:rsidRDefault="001F7667">
            <w:pPr>
              <w:pStyle w:val="P68B1DB1-ListParagraph13"/>
              <w:numPr>
                <w:ilvl w:val="0"/>
                <w:numId w:val="48"/>
              </w:numPr>
              <w:ind w:left="535"/>
              <w:jc w:val="left"/>
              <w:rPr>
                <w:noProof/>
              </w:rPr>
            </w:pPr>
            <w:r>
              <w:rPr>
                <w:noProof/>
              </w:rPr>
              <w:t>Salerno Arechi — Aeroporto Pontecagnano</w:t>
            </w:r>
          </w:p>
          <w:p w14:paraId="307CCE8B" w14:textId="77777777" w:rsidR="006054AA" w:rsidRDefault="001F7667">
            <w:pPr>
              <w:pStyle w:val="P68B1DB1-Normal11"/>
              <w:rPr>
                <w:noProof/>
              </w:rPr>
            </w:pPr>
            <w:r>
              <w:rPr>
                <w:noProof/>
              </w:rPr>
              <w:t>Регион Сицилия</w:t>
            </w:r>
          </w:p>
          <w:p w14:paraId="3F0C7BA5" w14:textId="77777777" w:rsidR="006054AA" w:rsidRDefault="006054AA">
            <w:pPr>
              <w:rPr>
                <w:rFonts w:ascii="Arial Narrow" w:hAnsi="Arial Narrow"/>
                <w:noProof/>
                <w:color w:val="006100"/>
                <w:sz w:val="20"/>
              </w:rPr>
            </w:pPr>
          </w:p>
          <w:p w14:paraId="5CF037EA" w14:textId="77777777" w:rsidR="006054AA" w:rsidRDefault="001F7667">
            <w:pPr>
              <w:pStyle w:val="P68B1DB1-ListParagraph13"/>
              <w:numPr>
                <w:ilvl w:val="0"/>
                <w:numId w:val="48"/>
              </w:numPr>
              <w:ind w:left="535"/>
              <w:jc w:val="left"/>
              <w:rPr>
                <w:noProof/>
              </w:rPr>
            </w:pPr>
            <w:r>
              <w:rPr>
                <w:noProof/>
              </w:rPr>
              <w:t>Палермо — Агридженто — Порто Емпедокле</w:t>
            </w:r>
          </w:p>
          <w:p w14:paraId="069DF716" w14:textId="77777777" w:rsidR="006054AA" w:rsidRDefault="001F7667">
            <w:pPr>
              <w:pStyle w:val="P68B1DB1-ListParagraph13"/>
              <w:numPr>
                <w:ilvl w:val="0"/>
                <w:numId w:val="48"/>
              </w:numPr>
              <w:ind w:left="535"/>
              <w:jc w:val="left"/>
              <w:rPr>
                <w:noProof/>
              </w:rPr>
            </w:pPr>
            <w:r>
              <w:rPr>
                <w:noProof/>
              </w:rPr>
              <w:t>Връзка към пристанище Аугуста</w:t>
            </w:r>
          </w:p>
          <w:p w14:paraId="751CA9C2" w14:textId="77777777" w:rsidR="006054AA" w:rsidRDefault="001F7667">
            <w:pPr>
              <w:pStyle w:val="P68B1DB1-ListParagraph13"/>
              <w:numPr>
                <w:ilvl w:val="0"/>
                <w:numId w:val="48"/>
              </w:numPr>
              <w:ind w:left="535"/>
              <w:jc w:val="left"/>
              <w:rPr>
                <w:noProof/>
              </w:rPr>
            </w:pPr>
            <w:r>
              <w:rPr>
                <w:noProof/>
              </w:rPr>
              <w:t>Връзка с летище Трапани Бирги</w:t>
            </w:r>
          </w:p>
          <w:p w14:paraId="67A95C1A" w14:textId="77777777" w:rsidR="006054AA" w:rsidRDefault="001F7667">
            <w:pPr>
              <w:pStyle w:val="P68B1DB1-Normal11"/>
              <w:rPr>
                <w:noProof/>
              </w:rPr>
            </w:pPr>
            <w:r>
              <w:rPr>
                <w:noProof/>
              </w:rPr>
              <w:t>Регион Sardegna</w:t>
            </w:r>
          </w:p>
          <w:p w14:paraId="673F4F8C" w14:textId="77777777" w:rsidR="006054AA" w:rsidRDefault="001F7667">
            <w:pPr>
              <w:pStyle w:val="P68B1DB1-ListParagraph13"/>
              <w:numPr>
                <w:ilvl w:val="0"/>
                <w:numId w:val="48"/>
              </w:numPr>
              <w:ind w:left="535"/>
              <w:jc w:val="left"/>
              <w:rPr>
                <w:noProof/>
              </w:rPr>
            </w:pPr>
            <w:r>
              <w:rPr>
                <w:noProof/>
              </w:rPr>
              <w:t xml:space="preserve">Железопътна връзка с летище Обия </w:t>
            </w:r>
          </w:p>
          <w:p w14:paraId="02DBA29A" w14:textId="77777777" w:rsidR="006054AA" w:rsidRDefault="001F7667">
            <w:pPr>
              <w:pStyle w:val="P68B1DB1-ListParagraph13"/>
              <w:numPr>
                <w:ilvl w:val="0"/>
                <w:numId w:val="48"/>
              </w:numPr>
              <w:ind w:left="535"/>
              <w:jc w:val="left"/>
              <w:rPr>
                <w:noProof/>
              </w:rPr>
            </w:pPr>
            <w:r>
              <w:rPr>
                <w:noProof/>
              </w:rPr>
              <w:t>Удвояване на коловозите Decimomannu-Villamassargia</w:t>
            </w:r>
          </w:p>
        </w:tc>
      </w:tr>
      <w:tr w:rsidR="006054AA" w14:paraId="108290E6" w14:textId="77777777">
        <w:trPr>
          <w:trHeight w:val="309"/>
          <w:jc w:val="right"/>
        </w:trPr>
        <w:tc>
          <w:tcPr>
            <w:tcW w:w="369" w:type="pct"/>
            <w:shd w:val="clear" w:color="auto" w:fill="C6EFCE"/>
            <w:noWrap/>
            <w:vAlign w:val="center"/>
          </w:tcPr>
          <w:p w14:paraId="09ACBE2C" w14:textId="77777777" w:rsidR="006054AA" w:rsidRDefault="001F7667">
            <w:pPr>
              <w:pStyle w:val="P68B1DB1-Normal11"/>
              <w:jc w:val="center"/>
              <w:rPr>
                <w:noProof/>
              </w:rPr>
            </w:pPr>
            <w:r>
              <w:rPr>
                <w:noProof/>
              </w:rPr>
              <w:t>M3C1—17bis</w:t>
            </w:r>
          </w:p>
        </w:tc>
        <w:tc>
          <w:tcPr>
            <w:tcW w:w="511" w:type="pct"/>
            <w:shd w:val="clear" w:color="auto" w:fill="C6EFCE"/>
            <w:noWrap/>
            <w:vAlign w:val="center"/>
          </w:tcPr>
          <w:p w14:paraId="430849E4" w14:textId="77777777" w:rsidR="006054AA" w:rsidRDefault="001F7667">
            <w:pPr>
              <w:pStyle w:val="P68B1DB1-Normal11"/>
              <w:jc w:val="center"/>
              <w:rPr>
                <w:noProof/>
              </w:rPr>
            </w:pPr>
            <w:r>
              <w:rPr>
                <w:noProof/>
              </w:rPr>
              <w:t>Инвестиция 1.7 — Осъвременяване, електрификация и устойчивост на железопътния транспорт на юг</w:t>
            </w:r>
          </w:p>
        </w:tc>
        <w:tc>
          <w:tcPr>
            <w:tcW w:w="417" w:type="pct"/>
            <w:shd w:val="clear" w:color="auto" w:fill="C6EFCE"/>
            <w:noWrap/>
            <w:vAlign w:val="center"/>
          </w:tcPr>
          <w:p w14:paraId="30079A9A"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2EC2D991" w14:textId="6E743864" w:rsidR="006054AA" w:rsidRDefault="001F7667">
            <w:pPr>
              <w:pStyle w:val="P68B1DB1-Normal11"/>
              <w:jc w:val="center"/>
              <w:rPr>
                <w:noProof/>
              </w:rPr>
            </w:pPr>
            <w:r>
              <w:rPr>
                <w:noProof/>
              </w:rPr>
              <w:t>Завършени са 650 км строителни работи, свързани с модернизирането, електрификацията и устойчивостта на железопътните линии на юг, готови за етапите на разрешаване и експлоатация.</w:t>
            </w:r>
          </w:p>
        </w:tc>
        <w:tc>
          <w:tcPr>
            <w:tcW w:w="509" w:type="pct"/>
            <w:shd w:val="clear" w:color="auto" w:fill="C6EFCE"/>
            <w:noWrap/>
            <w:vAlign w:val="center"/>
          </w:tcPr>
          <w:p w14:paraId="04215E6E"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0F3051C5"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4BBDA1B2" w14:textId="77777777" w:rsidR="006054AA" w:rsidRDefault="001F7667">
            <w:pPr>
              <w:pStyle w:val="P68B1DB1-Normal11"/>
              <w:jc w:val="center"/>
              <w:rPr>
                <w:noProof/>
              </w:rPr>
            </w:pPr>
            <w:r>
              <w:rPr>
                <w:noProof/>
              </w:rPr>
              <w:t>150</w:t>
            </w:r>
          </w:p>
        </w:tc>
        <w:tc>
          <w:tcPr>
            <w:tcW w:w="279" w:type="pct"/>
            <w:shd w:val="clear" w:color="auto" w:fill="C6EFCE"/>
            <w:noWrap/>
            <w:vAlign w:val="center"/>
          </w:tcPr>
          <w:p w14:paraId="44F10D2B" w14:textId="77777777" w:rsidR="006054AA" w:rsidRDefault="001F7667">
            <w:pPr>
              <w:pStyle w:val="P68B1DB1-Normal11"/>
              <w:jc w:val="center"/>
              <w:rPr>
                <w:noProof/>
              </w:rPr>
            </w:pPr>
            <w:r>
              <w:rPr>
                <w:noProof/>
              </w:rPr>
              <w:t>650</w:t>
            </w:r>
          </w:p>
        </w:tc>
        <w:tc>
          <w:tcPr>
            <w:tcW w:w="278" w:type="pct"/>
            <w:shd w:val="clear" w:color="auto" w:fill="C6EFCE"/>
            <w:noWrap/>
            <w:vAlign w:val="center"/>
          </w:tcPr>
          <w:p w14:paraId="6E930CD9"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1A60E60F"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12667F6E" w14:textId="77777777" w:rsidR="006054AA" w:rsidRDefault="001F7667">
            <w:pPr>
              <w:pStyle w:val="P68B1DB1-Normal11"/>
              <w:spacing w:before="120" w:after="120"/>
              <w:rPr>
                <w:noProof/>
              </w:rPr>
            </w:pPr>
            <w:r>
              <w:rPr>
                <w:noProof/>
              </w:rPr>
              <w:t xml:space="preserve">Приключване на работите за най-малко 650 км, свързани с модернизиране, електрификация и устойчивост на южните железопътни линии, готови за етапите на разрешаване и експлоатация. </w:t>
            </w:r>
          </w:p>
          <w:p w14:paraId="0133585C" w14:textId="77777777" w:rsidR="006054AA" w:rsidRDefault="001F7667">
            <w:pPr>
              <w:pStyle w:val="P68B1DB1-Normal11"/>
              <w:spacing w:before="120" w:after="120"/>
              <w:rPr>
                <w:noProof/>
              </w:rPr>
            </w:pPr>
            <w:r>
              <w:rPr>
                <w:noProof/>
              </w:rPr>
              <w:t>Интервенциите се отнасят до следните редове:</w:t>
            </w:r>
          </w:p>
          <w:p w14:paraId="29D17A25" w14:textId="77777777" w:rsidR="006054AA" w:rsidRDefault="001F7667">
            <w:pPr>
              <w:pStyle w:val="P68B1DB1-Normal11"/>
              <w:spacing w:before="120" w:after="120"/>
              <w:rPr>
                <w:noProof/>
              </w:rPr>
            </w:pPr>
            <w:r>
              <w:rPr>
                <w:noProof/>
              </w:rPr>
              <w:t>Регион Molise</w:t>
            </w:r>
          </w:p>
          <w:p w14:paraId="6447A42C" w14:textId="77777777" w:rsidR="006054AA" w:rsidRDefault="001F7667">
            <w:pPr>
              <w:pStyle w:val="P68B1DB1-ListParagraph13"/>
              <w:numPr>
                <w:ilvl w:val="0"/>
                <w:numId w:val="48"/>
              </w:numPr>
              <w:ind w:left="535"/>
              <w:jc w:val="left"/>
              <w:rPr>
                <w:noProof/>
              </w:rPr>
            </w:pPr>
            <w:r>
              <w:rPr>
                <w:noProof/>
              </w:rPr>
              <w:t>Rome-Venafro-Campobasso-Termoli;</w:t>
            </w:r>
          </w:p>
          <w:p w14:paraId="2B72234F" w14:textId="77777777" w:rsidR="006054AA" w:rsidRDefault="001F7667">
            <w:pPr>
              <w:pStyle w:val="P68B1DB1-Normal11"/>
              <w:spacing w:before="120" w:after="120"/>
              <w:rPr>
                <w:noProof/>
              </w:rPr>
            </w:pPr>
            <w:r>
              <w:rPr>
                <w:noProof/>
              </w:rPr>
              <w:t>Област Пулия</w:t>
            </w:r>
          </w:p>
          <w:p w14:paraId="54C15E79" w14:textId="77777777" w:rsidR="006054AA" w:rsidRDefault="001F7667">
            <w:pPr>
              <w:pStyle w:val="P68B1DB1-ListParagraph13"/>
              <w:numPr>
                <w:ilvl w:val="0"/>
                <w:numId w:val="48"/>
              </w:numPr>
              <w:ind w:left="535"/>
              <w:jc w:val="left"/>
              <w:rPr>
                <w:noProof/>
              </w:rPr>
            </w:pPr>
            <w:r>
              <w:rPr>
                <w:noProof/>
              </w:rPr>
              <w:t>Пескара — Фоджа</w:t>
            </w:r>
          </w:p>
          <w:p w14:paraId="19521A75" w14:textId="77777777" w:rsidR="006054AA" w:rsidRDefault="001F7667">
            <w:pPr>
              <w:pStyle w:val="P68B1DB1-ListParagraph13"/>
              <w:numPr>
                <w:ilvl w:val="0"/>
                <w:numId w:val="48"/>
              </w:numPr>
              <w:ind w:left="535"/>
              <w:jc w:val="left"/>
              <w:rPr>
                <w:noProof/>
              </w:rPr>
            </w:pPr>
            <w:r>
              <w:rPr>
                <w:noProof/>
              </w:rPr>
              <w:t>Потена-Фоджа</w:t>
            </w:r>
          </w:p>
          <w:p w14:paraId="7DCDAD74" w14:textId="77777777" w:rsidR="006054AA" w:rsidRDefault="001F7667">
            <w:pPr>
              <w:pStyle w:val="P68B1DB1-ListParagraph13"/>
              <w:numPr>
                <w:ilvl w:val="0"/>
                <w:numId w:val="48"/>
              </w:numPr>
              <w:ind w:left="535"/>
              <w:jc w:val="left"/>
              <w:rPr>
                <w:noProof/>
              </w:rPr>
            </w:pPr>
            <w:r>
              <w:rPr>
                <w:noProof/>
              </w:rPr>
              <w:t>Връзки Бриндизи</w:t>
            </w:r>
          </w:p>
          <w:p w14:paraId="568428C2" w14:textId="77777777" w:rsidR="006054AA" w:rsidRDefault="001F7667">
            <w:pPr>
              <w:pStyle w:val="P68B1DB1-ListParagraph13"/>
              <w:numPr>
                <w:ilvl w:val="0"/>
                <w:numId w:val="48"/>
              </w:numPr>
              <w:ind w:left="535"/>
              <w:jc w:val="left"/>
              <w:rPr>
                <w:noProof/>
              </w:rPr>
            </w:pPr>
            <w:r>
              <w:rPr>
                <w:noProof/>
              </w:rPr>
              <w:t>Връзки Таранто</w:t>
            </w:r>
          </w:p>
          <w:p w14:paraId="271C90CA" w14:textId="77777777" w:rsidR="006054AA" w:rsidRDefault="001F7667">
            <w:pPr>
              <w:pStyle w:val="P68B1DB1-Normal11"/>
              <w:spacing w:before="120" w:after="120"/>
              <w:rPr>
                <w:noProof/>
              </w:rPr>
            </w:pPr>
            <w:r>
              <w:rPr>
                <w:noProof/>
              </w:rPr>
              <w:t>Регион Калабрия</w:t>
            </w:r>
          </w:p>
          <w:p w14:paraId="0DEB67F5" w14:textId="77777777" w:rsidR="006054AA" w:rsidRDefault="001F7667">
            <w:pPr>
              <w:pStyle w:val="P68B1DB1-ListParagraph13"/>
              <w:numPr>
                <w:ilvl w:val="0"/>
                <w:numId w:val="48"/>
              </w:numPr>
              <w:ind w:left="535"/>
              <w:jc w:val="left"/>
              <w:rPr>
                <w:noProof/>
              </w:rPr>
            </w:pPr>
            <w:r>
              <w:rPr>
                <w:noProof/>
              </w:rPr>
              <w:t>Йонийски Сибари-Катанзаро Лидо- Ламеция Терме</w:t>
            </w:r>
          </w:p>
          <w:p w14:paraId="1AFFDBED" w14:textId="77777777" w:rsidR="006054AA" w:rsidRDefault="001F7667">
            <w:pPr>
              <w:pStyle w:val="P68B1DB1-Normal11"/>
              <w:spacing w:before="120" w:after="120"/>
              <w:rPr>
                <w:noProof/>
              </w:rPr>
            </w:pPr>
            <w:r>
              <w:rPr>
                <w:noProof/>
              </w:rPr>
              <w:t>Регион Базиликата</w:t>
            </w:r>
          </w:p>
          <w:p w14:paraId="64A4D63B" w14:textId="77777777" w:rsidR="006054AA" w:rsidRDefault="001F7667">
            <w:pPr>
              <w:pStyle w:val="P68B1DB1-ListParagraph13"/>
              <w:numPr>
                <w:ilvl w:val="0"/>
                <w:numId w:val="48"/>
              </w:numPr>
              <w:ind w:left="535"/>
              <w:jc w:val="left"/>
              <w:rPr>
                <w:noProof/>
              </w:rPr>
            </w:pPr>
            <w:r>
              <w:rPr>
                <w:noProof/>
              </w:rPr>
              <w:t>Ферандина-Матера</w:t>
            </w:r>
          </w:p>
          <w:p w14:paraId="22BB8C0C" w14:textId="77777777" w:rsidR="006054AA" w:rsidRDefault="001F7667">
            <w:pPr>
              <w:pStyle w:val="P68B1DB1-Normal11"/>
              <w:spacing w:before="120" w:after="120"/>
              <w:rPr>
                <w:noProof/>
              </w:rPr>
            </w:pPr>
            <w:r>
              <w:rPr>
                <w:noProof/>
              </w:rPr>
              <w:t>Регион Кампания</w:t>
            </w:r>
          </w:p>
          <w:p w14:paraId="0FF87072" w14:textId="77777777" w:rsidR="006054AA" w:rsidRDefault="001F7667">
            <w:pPr>
              <w:pStyle w:val="P68B1DB1-ListParagraph13"/>
              <w:numPr>
                <w:ilvl w:val="0"/>
                <w:numId w:val="48"/>
              </w:numPr>
              <w:ind w:left="535"/>
              <w:jc w:val="left"/>
              <w:rPr>
                <w:noProof/>
              </w:rPr>
            </w:pPr>
            <w:r>
              <w:rPr>
                <w:noProof/>
              </w:rPr>
              <w:t>Salerno Arechi — Aeroporto Pontecagnano</w:t>
            </w:r>
          </w:p>
          <w:p w14:paraId="48FE6ED9" w14:textId="77777777" w:rsidR="006054AA" w:rsidRDefault="001F7667">
            <w:pPr>
              <w:pStyle w:val="P68B1DB1-Normal11"/>
              <w:rPr>
                <w:noProof/>
              </w:rPr>
            </w:pPr>
            <w:r>
              <w:rPr>
                <w:noProof/>
              </w:rPr>
              <w:t>Регион Сицилия</w:t>
            </w:r>
          </w:p>
          <w:p w14:paraId="63EF65D4" w14:textId="77777777" w:rsidR="006054AA" w:rsidRDefault="001F7667">
            <w:pPr>
              <w:pStyle w:val="P68B1DB1-ListParagraph13"/>
              <w:numPr>
                <w:ilvl w:val="0"/>
                <w:numId w:val="48"/>
              </w:numPr>
              <w:ind w:left="535"/>
              <w:jc w:val="left"/>
              <w:rPr>
                <w:noProof/>
              </w:rPr>
            </w:pPr>
            <w:r>
              <w:rPr>
                <w:noProof/>
              </w:rPr>
              <w:t>Agrigento — Porto Empedocle</w:t>
            </w:r>
          </w:p>
          <w:p w14:paraId="72225E8A" w14:textId="77777777" w:rsidR="006054AA" w:rsidRDefault="001F7667">
            <w:pPr>
              <w:pStyle w:val="P68B1DB1-ListParagraph13"/>
              <w:numPr>
                <w:ilvl w:val="0"/>
                <w:numId w:val="48"/>
              </w:numPr>
              <w:ind w:left="535"/>
              <w:jc w:val="left"/>
              <w:rPr>
                <w:noProof/>
              </w:rPr>
            </w:pPr>
            <w:r>
              <w:rPr>
                <w:noProof/>
              </w:rPr>
              <w:t>Връзка към пристанище Аугуста</w:t>
            </w:r>
          </w:p>
          <w:p w14:paraId="2B91BCE2" w14:textId="77777777" w:rsidR="006054AA" w:rsidRDefault="001F7667">
            <w:pPr>
              <w:pStyle w:val="P68B1DB1-ListParagraph13"/>
              <w:numPr>
                <w:ilvl w:val="0"/>
                <w:numId w:val="48"/>
              </w:numPr>
              <w:ind w:left="535"/>
              <w:jc w:val="left"/>
              <w:rPr>
                <w:noProof/>
              </w:rPr>
            </w:pPr>
            <w:r>
              <w:rPr>
                <w:noProof/>
              </w:rPr>
              <w:t>Връзка с летище Трапани Бирги</w:t>
            </w:r>
          </w:p>
          <w:p w14:paraId="1108018C" w14:textId="77777777" w:rsidR="006054AA" w:rsidRDefault="001F7667">
            <w:pPr>
              <w:pStyle w:val="P68B1DB1-Normal11"/>
              <w:rPr>
                <w:noProof/>
              </w:rPr>
            </w:pPr>
            <w:r>
              <w:rPr>
                <w:noProof/>
              </w:rPr>
              <w:t>Регион Sardegna</w:t>
            </w:r>
          </w:p>
          <w:p w14:paraId="7B300A5C" w14:textId="77777777" w:rsidR="006054AA" w:rsidRDefault="001F7667">
            <w:pPr>
              <w:pStyle w:val="P68B1DB1-ListParagraph13"/>
              <w:numPr>
                <w:ilvl w:val="0"/>
                <w:numId w:val="48"/>
              </w:numPr>
              <w:ind w:left="677" w:hanging="458"/>
              <w:jc w:val="left"/>
              <w:rPr>
                <w:noProof/>
              </w:rPr>
            </w:pPr>
            <w:r>
              <w:rPr>
                <w:noProof/>
              </w:rPr>
              <w:t xml:space="preserve">Железопътна връзка с летище Олбия </w:t>
            </w:r>
          </w:p>
          <w:p w14:paraId="7D0A5598" w14:textId="77777777" w:rsidR="006054AA" w:rsidRDefault="001F7667">
            <w:pPr>
              <w:pStyle w:val="P68B1DB1-ListParagraph13"/>
              <w:numPr>
                <w:ilvl w:val="0"/>
                <w:numId w:val="48"/>
              </w:numPr>
              <w:ind w:left="677" w:hanging="458"/>
              <w:jc w:val="left"/>
              <w:rPr>
                <w:noProof/>
              </w:rPr>
            </w:pPr>
            <w:r>
              <w:rPr>
                <w:noProof/>
              </w:rPr>
              <w:t>Удвояване на коловозите Decimomannu-Villamassargia</w:t>
            </w:r>
          </w:p>
        </w:tc>
      </w:tr>
      <w:tr w:rsidR="006054AA" w14:paraId="2BD62269" w14:textId="77777777">
        <w:trPr>
          <w:trHeight w:val="309"/>
          <w:jc w:val="right"/>
        </w:trPr>
        <w:tc>
          <w:tcPr>
            <w:tcW w:w="369" w:type="pct"/>
            <w:shd w:val="clear" w:color="auto" w:fill="C6EFCE"/>
            <w:noWrap/>
            <w:vAlign w:val="center"/>
          </w:tcPr>
          <w:p w14:paraId="7BFD7196" w14:textId="77777777" w:rsidR="006054AA" w:rsidRDefault="001F7667">
            <w:pPr>
              <w:pStyle w:val="P68B1DB1-Normal11"/>
              <w:jc w:val="center"/>
              <w:rPr>
                <w:noProof/>
              </w:rPr>
            </w:pPr>
            <w:r>
              <w:rPr>
                <w:noProof/>
              </w:rPr>
              <w:t>M3C1—18</w:t>
            </w:r>
          </w:p>
        </w:tc>
        <w:tc>
          <w:tcPr>
            <w:tcW w:w="511" w:type="pct"/>
            <w:shd w:val="clear" w:color="auto" w:fill="C6EFCE"/>
            <w:noWrap/>
            <w:vAlign w:val="center"/>
          </w:tcPr>
          <w:p w14:paraId="44FB83E0" w14:textId="77777777" w:rsidR="006054AA" w:rsidRDefault="001F7667">
            <w:pPr>
              <w:pStyle w:val="P68B1DB1-Normal11"/>
              <w:jc w:val="center"/>
              <w:rPr>
                <w:noProof/>
              </w:rPr>
            </w:pPr>
            <w:r>
              <w:rPr>
                <w:noProof/>
              </w:rPr>
              <w:t>Инвестиция 1.6 — Укрепване на регионалните линии — модернизиране на регионалните железопътни линии (управление на ИИ)</w:t>
            </w:r>
          </w:p>
        </w:tc>
        <w:tc>
          <w:tcPr>
            <w:tcW w:w="417" w:type="pct"/>
            <w:shd w:val="clear" w:color="auto" w:fill="C6EFCE"/>
            <w:noWrap/>
            <w:vAlign w:val="center"/>
          </w:tcPr>
          <w:p w14:paraId="7FFEEFEE"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72476935" w14:textId="77777777" w:rsidR="006054AA" w:rsidRDefault="001F7667">
            <w:pPr>
              <w:pStyle w:val="P68B1DB1-Normal11"/>
              <w:jc w:val="center"/>
              <w:rPr>
                <w:noProof/>
              </w:rPr>
            </w:pPr>
            <w:r>
              <w:rPr>
                <w:noProof/>
              </w:rPr>
              <w:t>Модернизирани регионални линии, готови за разрешаване и оперативни фази</w:t>
            </w:r>
          </w:p>
        </w:tc>
        <w:tc>
          <w:tcPr>
            <w:tcW w:w="509" w:type="pct"/>
            <w:shd w:val="clear" w:color="auto" w:fill="C6EFCE"/>
            <w:noWrap/>
            <w:vAlign w:val="center"/>
          </w:tcPr>
          <w:p w14:paraId="389BF7E3"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52818D04"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4F0BAC37" w14:textId="77777777" w:rsidR="006054AA" w:rsidRDefault="001F7667">
            <w:pPr>
              <w:pStyle w:val="P68B1DB1-Normal11"/>
              <w:jc w:val="center"/>
              <w:rPr>
                <w:noProof/>
              </w:rPr>
            </w:pPr>
            <w:r>
              <w:rPr>
                <w:noProof/>
              </w:rPr>
              <w:t>0</w:t>
            </w:r>
          </w:p>
        </w:tc>
        <w:tc>
          <w:tcPr>
            <w:tcW w:w="279" w:type="pct"/>
            <w:shd w:val="clear" w:color="auto" w:fill="C6EFCE"/>
            <w:noWrap/>
            <w:vAlign w:val="center"/>
          </w:tcPr>
          <w:p w14:paraId="0DDAAB0D" w14:textId="77777777" w:rsidR="006054AA" w:rsidRDefault="001F7667">
            <w:pPr>
              <w:pStyle w:val="P68B1DB1-Normal11"/>
              <w:jc w:val="center"/>
              <w:rPr>
                <w:noProof/>
              </w:rPr>
            </w:pPr>
            <w:r>
              <w:rPr>
                <w:noProof/>
              </w:rPr>
              <w:t>646</w:t>
            </w:r>
          </w:p>
        </w:tc>
        <w:tc>
          <w:tcPr>
            <w:tcW w:w="278" w:type="pct"/>
            <w:shd w:val="clear" w:color="auto" w:fill="C6EFCE"/>
            <w:noWrap/>
            <w:vAlign w:val="center"/>
          </w:tcPr>
          <w:p w14:paraId="18E0C8DF"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0286E0DE"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7B454788" w14:textId="7AE31069" w:rsidR="006054AA" w:rsidRDefault="001F7667">
            <w:pPr>
              <w:pStyle w:val="P68B1DB1-Normal11"/>
              <w:rPr>
                <w:noProof/>
              </w:rPr>
            </w:pPr>
            <w:r>
              <w:rPr>
                <w:noProof/>
              </w:rPr>
              <w:t>646 км модернизирани регионални линии, готови за разрешение и оперативни фази.</w:t>
            </w:r>
          </w:p>
        </w:tc>
      </w:tr>
      <w:tr w:rsidR="006054AA" w14:paraId="56F129E5" w14:textId="77777777">
        <w:trPr>
          <w:trHeight w:val="309"/>
          <w:jc w:val="right"/>
        </w:trPr>
        <w:tc>
          <w:tcPr>
            <w:tcW w:w="369" w:type="pct"/>
            <w:shd w:val="clear" w:color="auto" w:fill="C6EFCE"/>
            <w:noWrap/>
            <w:vAlign w:val="center"/>
          </w:tcPr>
          <w:p w14:paraId="50F2E3FF" w14:textId="77777777" w:rsidR="006054AA" w:rsidRDefault="001F7667">
            <w:pPr>
              <w:pStyle w:val="P68B1DB1-Normal11"/>
              <w:jc w:val="center"/>
              <w:rPr>
                <w:noProof/>
              </w:rPr>
            </w:pPr>
            <w:r>
              <w:rPr>
                <w:noProof/>
              </w:rPr>
              <w:t>M3C1—19</w:t>
            </w:r>
          </w:p>
        </w:tc>
        <w:tc>
          <w:tcPr>
            <w:tcW w:w="511" w:type="pct"/>
            <w:shd w:val="clear" w:color="auto" w:fill="C6EFCE"/>
            <w:noWrap/>
            <w:vAlign w:val="center"/>
          </w:tcPr>
          <w:p w14:paraId="11217CEA" w14:textId="77777777" w:rsidR="006054AA" w:rsidRDefault="001F7667">
            <w:pPr>
              <w:pStyle w:val="P68B1DB1-Normal11"/>
              <w:jc w:val="center"/>
              <w:rPr>
                <w:noProof/>
              </w:rPr>
            </w:pPr>
            <w:r>
              <w:rPr>
                <w:noProof/>
              </w:rPr>
              <w:t>Инвестиция 1.8 — Модернизиране на железопътните гари (управление на ИИ; на юг)</w:t>
            </w:r>
          </w:p>
        </w:tc>
        <w:tc>
          <w:tcPr>
            <w:tcW w:w="417" w:type="pct"/>
            <w:shd w:val="clear" w:color="auto" w:fill="C6EFCE"/>
            <w:noWrap/>
            <w:vAlign w:val="center"/>
          </w:tcPr>
          <w:p w14:paraId="4CC1D73A"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436AAB14" w14:textId="77777777" w:rsidR="006054AA" w:rsidRDefault="001F7667">
            <w:pPr>
              <w:pStyle w:val="P68B1DB1-Normal11"/>
              <w:jc w:val="center"/>
              <w:rPr>
                <w:noProof/>
              </w:rPr>
            </w:pPr>
            <w:r>
              <w:rPr>
                <w:noProof/>
              </w:rPr>
              <w:t>Модернизирани и достъпни железопътни гари</w:t>
            </w:r>
          </w:p>
        </w:tc>
        <w:tc>
          <w:tcPr>
            <w:tcW w:w="509" w:type="pct"/>
            <w:shd w:val="clear" w:color="auto" w:fill="C6EFCE"/>
            <w:noWrap/>
            <w:vAlign w:val="center"/>
          </w:tcPr>
          <w:p w14:paraId="6E320464"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0FDF6046"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077D1F4C" w14:textId="77777777" w:rsidR="006054AA" w:rsidRDefault="001F7667">
            <w:pPr>
              <w:pStyle w:val="P68B1DB1-Normal11"/>
              <w:jc w:val="center"/>
              <w:rPr>
                <w:noProof/>
              </w:rPr>
            </w:pPr>
            <w:r>
              <w:rPr>
                <w:noProof/>
              </w:rPr>
              <w:t>0</w:t>
            </w:r>
          </w:p>
        </w:tc>
        <w:tc>
          <w:tcPr>
            <w:tcW w:w="279" w:type="pct"/>
            <w:shd w:val="clear" w:color="auto" w:fill="C6EFCE"/>
            <w:noWrap/>
            <w:vAlign w:val="center"/>
          </w:tcPr>
          <w:p w14:paraId="66264D1F" w14:textId="77777777" w:rsidR="006054AA" w:rsidRDefault="001F7667">
            <w:pPr>
              <w:pStyle w:val="P68B1DB1-Normal11"/>
              <w:jc w:val="center"/>
              <w:rPr>
                <w:noProof/>
              </w:rPr>
            </w:pPr>
            <w:r>
              <w:rPr>
                <w:noProof/>
              </w:rPr>
              <w:t>10</w:t>
            </w:r>
          </w:p>
        </w:tc>
        <w:tc>
          <w:tcPr>
            <w:tcW w:w="278" w:type="pct"/>
            <w:shd w:val="clear" w:color="auto" w:fill="C6EFCE"/>
            <w:noWrap/>
            <w:vAlign w:val="center"/>
          </w:tcPr>
          <w:p w14:paraId="66698609" w14:textId="77777777" w:rsidR="006054AA" w:rsidRDefault="001F7667">
            <w:pPr>
              <w:pStyle w:val="P68B1DB1-Normal11"/>
              <w:jc w:val="center"/>
              <w:rPr>
                <w:noProof/>
              </w:rPr>
            </w:pPr>
            <w:r>
              <w:rPr>
                <w:noProof/>
              </w:rPr>
              <w:t>Т4 Г.</w:t>
            </w:r>
          </w:p>
        </w:tc>
        <w:tc>
          <w:tcPr>
            <w:tcW w:w="278" w:type="pct"/>
            <w:shd w:val="clear" w:color="auto" w:fill="C6EFCE"/>
            <w:noWrap/>
            <w:vAlign w:val="center"/>
          </w:tcPr>
          <w:p w14:paraId="7947F70F" w14:textId="77777777" w:rsidR="006054AA" w:rsidRDefault="001F7667">
            <w:pPr>
              <w:pStyle w:val="P68B1DB1-Normal11"/>
              <w:jc w:val="center"/>
              <w:rPr>
                <w:noProof/>
              </w:rPr>
            </w:pPr>
            <w:r>
              <w:rPr>
                <w:noProof/>
              </w:rPr>
              <w:t>2024</w:t>
            </w:r>
          </w:p>
        </w:tc>
        <w:tc>
          <w:tcPr>
            <w:tcW w:w="1198" w:type="pct"/>
            <w:shd w:val="clear" w:color="auto" w:fill="C6EFCE"/>
            <w:noWrap/>
            <w:vAlign w:val="center"/>
          </w:tcPr>
          <w:p w14:paraId="58DDFAF3" w14:textId="77777777" w:rsidR="006054AA" w:rsidRDefault="001F7667">
            <w:pPr>
              <w:pStyle w:val="P68B1DB1-Normal11"/>
              <w:rPr>
                <w:noProof/>
              </w:rPr>
            </w:pPr>
            <w:r>
              <w:rPr>
                <w:noProof/>
              </w:rPr>
              <w:t>Десет железопътни гари са модернизирани и достъпни в съответствие с Регламент (ЕО) № 1300/2014 на Комисията и регламентите на ЕС за безопасност на железопътния транспорт</w:t>
            </w:r>
          </w:p>
        </w:tc>
      </w:tr>
      <w:tr w:rsidR="006054AA" w14:paraId="24A9EBF8" w14:textId="77777777">
        <w:trPr>
          <w:trHeight w:val="309"/>
          <w:jc w:val="right"/>
        </w:trPr>
        <w:tc>
          <w:tcPr>
            <w:tcW w:w="369" w:type="pct"/>
            <w:shd w:val="clear" w:color="auto" w:fill="C6EFCE"/>
            <w:noWrap/>
            <w:vAlign w:val="center"/>
          </w:tcPr>
          <w:p w14:paraId="7CE12C6D" w14:textId="77777777" w:rsidR="006054AA" w:rsidRDefault="001F7667">
            <w:pPr>
              <w:pStyle w:val="P68B1DB1-Normal11"/>
              <w:jc w:val="center"/>
              <w:rPr>
                <w:noProof/>
              </w:rPr>
            </w:pPr>
            <w:r>
              <w:rPr>
                <w:noProof/>
              </w:rPr>
              <w:t>M3C1—20</w:t>
            </w:r>
          </w:p>
        </w:tc>
        <w:tc>
          <w:tcPr>
            <w:tcW w:w="511" w:type="pct"/>
            <w:shd w:val="clear" w:color="auto" w:fill="C6EFCE"/>
            <w:noWrap/>
            <w:vAlign w:val="center"/>
          </w:tcPr>
          <w:p w14:paraId="65724390" w14:textId="77777777" w:rsidR="006054AA" w:rsidRDefault="001F7667">
            <w:pPr>
              <w:pStyle w:val="P68B1DB1-Normal11"/>
              <w:jc w:val="center"/>
              <w:rPr>
                <w:noProof/>
              </w:rPr>
            </w:pPr>
            <w:r>
              <w:rPr>
                <w:noProof/>
              </w:rPr>
              <w:t>Инвестиция 1.8 — Модернизиране на железопътните гари (управление на ИИ; на юг)</w:t>
            </w:r>
          </w:p>
        </w:tc>
        <w:tc>
          <w:tcPr>
            <w:tcW w:w="417" w:type="pct"/>
            <w:shd w:val="clear" w:color="auto" w:fill="C6EFCE"/>
            <w:noWrap/>
            <w:vAlign w:val="center"/>
          </w:tcPr>
          <w:p w14:paraId="6B96CFCA" w14:textId="77777777" w:rsidR="006054AA" w:rsidRDefault="001F7667">
            <w:pPr>
              <w:pStyle w:val="P68B1DB1-Normal11"/>
              <w:jc w:val="center"/>
              <w:rPr>
                <w:noProof/>
              </w:rPr>
            </w:pPr>
            <w:r>
              <w:rPr>
                <w:noProof/>
              </w:rPr>
              <w:t>Целеви</w:t>
            </w:r>
          </w:p>
        </w:tc>
        <w:tc>
          <w:tcPr>
            <w:tcW w:w="464" w:type="pct"/>
            <w:shd w:val="clear" w:color="auto" w:fill="C6EFCE"/>
            <w:noWrap/>
            <w:vAlign w:val="center"/>
          </w:tcPr>
          <w:p w14:paraId="13AE687B" w14:textId="77777777" w:rsidR="006054AA" w:rsidRDefault="001F7667">
            <w:pPr>
              <w:pStyle w:val="P68B1DB1-Normal11"/>
              <w:jc w:val="center"/>
              <w:rPr>
                <w:noProof/>
              </w:rPr>
            </w:pPr>
            <w:r>
              <w:rPr>
                <w:noProof/>
              </w:rPr>
              <w:t>Модернизирани и достъпни железопътни гари</w:t>
            </w:r>
          </w:p>
        </w:tc>
        <w:tc>
          <w:tcPr>
            <w:tcW w:w="509" w:type="pct"/>
            <w:shd w:val="clear" w:color="auto" w:fill="C6EFCE"/>
            <w:noWrap/>
            <w:vAlign w:val="center"/>
          </w:tcPr>
          <w:p w14:paraId="24EADFF9" w14:textId="77777777" w:rsidR="006054AA" w:rsidRDefault="001F7667">
            <w:pPr>
              <w:pStyle w:val="P68B1DB1-Normal11"/>
              <w:jc w:val="center"/>
              <w:rPr>
                <w:noProof/>
              </w:rPr>
            </w:pPr>
            <w:r>
              <w:rPr>
                <w:noProof/>
              </w:rPr>
              <w:t>НЯМА</w:t>
            </w:r>
          </w:p>
        </w:tc>
        <w:tc>
          <w:tcPr>
            <w:tcW w:w="325" w:type="pct"/>
            <w:shd w:val="clear" w:color="auto" w:fill="C6EFCE"/>
            <w:noWrap/>
            <w:vAlign w:val="center"/>
          </w:tcPr>
          <w:p w14:paraId="619F0A27" w14:textId="77777777" w:rsidR="006054AA" w:rsidRDefault="001F7667">
            <w:pPr>
              <w:pStyle w:val="P68B1DB1-Normal11"/>
              <w:jc w:val="center"/>
              <w:rPr>
                <w:noProof/>
              </w:rPr>
            </w:pPr>
            <w:r>
              <w:rPr>
                <w:noProof/>
              </w:rPr>
              <w:t>Брой</w:t>
            </w:r>
          </w:p>
        </w:tc>
        <w:tc>
          <w:tcPr>
            <w:tcW w:w="371" w:type="pct"/>
            <w:shd w:val="clear" w:color="auto" w:fill="C6EFCE"/>
            <w:noWrap/>
            <w:vAlign w:val="center"/>
          </w:tcPr>
          <w:p w14:paraId="2D556AF0" w14:textId="77777777" w:rsidR="006054AA" w:rsidRDefault="001F7667">
            <w:pPr>
              <w:pStyle w:val="P68B1DB1-Normal11"/>
              <w:jc w:val="center"/>
              <w:rPr>
                <w:noProof/>
              </w:rPr>
            </w:pPr>
            <w:r>
              <w:rPr>
                <w:noProof/>
              </w:rPr>
              <w:t>10</w:t>
            </w:r>
          </w:p>
        </w:tc>
        <w:tc>
          <w:tcPr>
            <w:tcW w:w="279" w:type="pct"/>
            <w:shd w:val="clear" w:color="auto" w:fill="C6EFCE"/>
            <w:noWrap/>
            <w:vAlign w:val="center"/>
          </w:tcPr>
          <w:p w14:paraId="40F43AD3" w14:textId="77777777" w:rsidR="006054AA" w:rsidRDefault="001F7667">
            <w:pPr>
              <w:pStyle w:val="P68B1DB1-Normal11"/>
              <w:jc w:val="center"/>
              <w:rPr>
                <w:noProof/>
              </w:rPr>
            </w:pPr>
            <w:r>
              <w:rPr>
                <w:noProof/>
              </w:rPr>
              <w:t>38</w:t>
            </w:r>
          </w:p>
        </w:tc>
        <w:tc>
          <w:tcPr>
            <w:tcW w:w="278" w:type="pct"/>
            <w:shd w:val="clear" w:color="auto" w:fill="C6EFCE"/>
            <w:noWrap/>
            <w:vAlign w:val="center"/>
          </w:tcPr>
          <w:p w14:paraId="74818EFC" w14:textId="77777777" w:rsidR="006054AA" w:rsidRDefault="001F7667">
            <w:pPr>
              <w:pStyle w:val="P68B1DB1-Normal11"/>
              <w:jc w:val="center"/>
              <w:rPr>
                <w:noProof/>
              </w:rPr>
            </w:pPr>
            <w:r>
              <w:rPr>
                <w:noProof/>
              </w:rPr>
              <w:t>Т2 Г.</w:t>
            </w:r>
          </w:p>
        </w:tc>
        <w:tc>
          <w:tcPr>
            <w:tcW w:w="278" w:type="pct"/>
            <w:shd w:val="clear" w:color="auto" w:fill="C6EFCE"/>
            <w:noWrap/>
            <w:vAlign w:val="center"/>
          </w:tcPr>
          <w:p w14:paraId="29574DB0" w14:textId="77777777" w:rsidR="006054AA" w:rsidRDefault="001F7667">
            <w:pPr>
              <w:pStyle w:val="P68B1DB1-Normal11"/>
              <w:jc w:val="center"/>
              <w:rPr>
                <w:noProof/>
              </w:rPr>
            </w:pPr>
            <w:r>
              <w:rPr>
                <w:noProof/>
              </w:rPr>
              <w:t>2026</w:t>
            </w:r>
          </w:p>
        </w:tc>
        <w:tc>
          <w:tcPr>
            <w:tcW w:w="1198" w:type="pct"/>
            <w:shd w:val="clear" w:color="auto" w:fill="C6EFCE"/>
            <w:noWrap/>
            <w:vAlign w:val="center"/>
          </w:tcPr>
          <w:p w14:paraId="154C2165" w14:textId="77777777" w:rsidR="006054AA" w:rsidRDefault="001F7667">
            <w:pPr>
              <w:pStyle w:val="P68B1DB1-Normal11"/>
              <w:spacing w:before="120"/>
              <w:rPr>
                <w:noProof/>
              </w:rPr>
            </w:pPr>
            <w:r>
              <w:rPr>
                <w:noProof/>
              </w:rPr>
              <w:t>38 железопътни гари са модернизирани и достъпни в съответствие с Регламент (ЕО) № 1300/2014 на Комисията и регламентите на ЕС за безопасност на железопътния транспорт</w:t>
            </w:r>
          </w:p>
        </w:tc>
      </w:tr>
      <w:tr w:rsidR="006054AA" w14:paraId="445C368E" w14:textId="77777777">
        <w:trPr>
          <w:trHeight w:val="309"/>
          <w:jc w:val="right"/>
        </w:trPr>
        <w:tc>
          <w:tcPr>
            <w:tcW w:w="369" w:type="pct"/>
            <w:shd w:val="clear" w:color="auto" w:fill="C6EFCE"/>
            <w:noWrap/>
            <w:vAlign w:val="center"/>
          </w:tcPr>
          <w:p w14:paraId="25CE5F7D" w14:textId="77777777" w:rsidR="006054AA" w:rsidRDefault="001F7667">
            <w:pPr>
              <w:pStyle w:val="P68B1DB1-Normal11"/>
              <w:jc w:val="center"/>
              <w:rPr>
                <w:noProof/>
              </w:rPr>
            </w:pPr>
            <w:r>
              <w:rPr>
                <w:noProof/>
              </w:rPr>
              <w:t>M3C1—21</w:t>
            </w:r>
          </w:p>
        </w:tc>
        <w:tc>
          <w:tcPr>
            <w:tcW w:w="511" w:type="pct"/>
            <w:shd w:val="clear" w:color="auto" w:fill="C6EFCE"/>
            <w:noWrap/>
            <w:vAlign w:val="center"/>
          </w:tcPr>
          <w:p w14:paraId="79320271" w14:textId="77777777" w:rsidR="006054AA" w:rsidRDefault="001F7667">
            <w:pPr>
              <w:pStyle w:val="P68B1DB1-Normal11"/>
              <w:jc w:val="center"/>
              <w:rPr>
                <w:noProof/>
              </w:rPr>
            </w:pPr>
            <w:r>
              <w:rPr>
                <w:noProof/>
              </w:rPr>
              <w:t>Реформа 2.1 — Прилагане на неотдавнашния „Указ за опростяване „(преобразуван в Закон № 120 от 11 септември 2020 г.) чрез издаване на указ относно приемането на „Насоки за класифициране и управление на рисковете, оценка на сигурността и наблюдение на съществуващите мостове“</w:t>
            </w:r>
          </w:p>
        </w:tc>
        <w:tc>
          <w:tcPr>
            <w:tcW w:w="417" w:type="pct"/>
            <w:shd w:val="clear" w:color="auto" w:fill="C6EFCE"/>
            <w:noWrap/>
            <w:vAlign w:val="center"/>
          </w:tcPr>
          <w:p w14:paraId="0E94A68F" w14:textId="77777777" w:rsidR="006054AA" w:rsidRDefault="001F7667">
            <w:pPr>
              <w:pStyle w:val="P68B1DB1-Normal11"/>
              <w:jc w:val="center"/>
              <w:rPr>
                <w:noProof/>
              </w:rPr>
            </w:pPr>
            <w:r>
              <w:rPr>
                <w:noProof/>
              </w:rPr>
              <w:t>Ключов етап</w:t>
            </w:r>
          </w:p>
        </w:tc>
        <w:tc>
          <w:tcPr>
            <w:tcW w:w="464" w:type="pct"/>
            <w:shd w:val="clear" w:color="auto" w:fill="C6EFCE"/>
            <w:noWrap/>
            <w:vAlign w:val="center"/>
          </w:tcPr>
          <w:p w14:paraId="77C67903" w14:textId="77777777" w:rsidR="006054AA" w:rsidRDefault="001F7667">
            <w:pPr>
              <w:pStyle w:val="P68B1DB1-Normal11"/>
              <w:jc w:val="center"/>
              <w:rPr>
                <w:noProof/>
              </w:rPr>
            </w:pPr>
            <w:r>
              <w:rPr>
                <w:noProof/>
              </w:rPr>
              <w:t>Влизане в сила на „Насоки за класифициране и управление на рисковете, оценка на сигурността и наблюдение на съществуващите мостове“</w:t>
            </w:r>
          </w:p>
        </w:tc>
        <w:tc>
          <w:tcPr>
            <w:tcW w:w="509" w:type="pct"/>
            <w:shd w:val="clear" w:color="auto" w:fill="C6EFCE"/>
            <w:noWrap/>
            <w:vAlign w:val="center"/>
          </w:tcPr>
          <w:p w14:paraId="141D69B8" w14:textId="77777777" w:rsidR="006054AA" w:rsidRDefault="001F7667">
            <w:pPr>
              <w:pStyle w:val="P68B1DB1-Normal11"/>
              <w:jc w:val="center"/>
              <w:rPr>
                <w:noProof/>
              </w:rPr>
            </w:pPr>
            <w:r>
              <w:rPr>
                <w:noProof/>
              </w:rPr>
              <w:t>Разпоредба в постановлението, посочваща влизането в сила на указа за приемане на „Насоки за класифициране и управление на рисковете, оценка на сигурността и наблюдение на съществуващите мостове“</w:t>
            </w:r>
          </w:p>
        </w:tc>
        <w:tc>
          <w:tcPr>
            <w:tcW w:w="325" w:type="pct"/>
            <w:shd w:val="clear" w:color="auto" w:fill="C6EFCE"/>
            <w:noWrap/>
            <w:vAlign w:val="center"/>
          </w:tcPr>
          <w:p w14:paraId="476D749C" w14:textId="77777777" w:rsidR="006054AA" w:rsidRDefault="001F7667">
            <w:pPr>
              <w:pStyle w:val="P68B1DB1-Normal11"/>
              <w:jc w:val="center"/>
              <w:rPr>
                <w:noProof/>
              </w:rPr>
            </w:pPr>
            <w:r>
              <w:rPr>
                <w:noProof/>
              </w:rPr>
              <w:t>НЯМА</w:t>
            </w:r>
          </w:p>
        </w:tc>
        <w:tc>
          <w:tcPr>
            <w:tcW w:w="371" w:type="pct"/>
            <w:shd w:val="clear" w:color="auto" w:fill="C6EFCE"/>
            <w:noWrap/>
            <w:vAlign w:val="center"/>
          </w:tcPr>
          <w:p w14:paraId="4D1F6A6D" w14:textId="77777777" w:rsidR="006054AA" w:rsidRDefault="001F7667">
            <w:pPr>
              <w:pStyle w:val="P68B1DB1-Normal11"/>
              <w:jc w:val="center"/>
              <w:rPr>
                <w:noProof/>
              </w:rPr>
            </w:pPr>
            <w:r>
              <w:rPr>
                <w:noProof/>
              </w:rPr>
              <w:t>НЯМА</w:t>
            </w:r>
          </w:p>
        </w:tc>
        <w:tc>
          <w:tcPr>
            <w:tcW w:w="279" w:type="pct"/>
            <w:shd w:val="clear" w:color="auto" w:fill="C6EFCE"/>
            <w:noWrap/>
            <w:vAlign w:val="center"/>
          </w:tcPr>
          <w:p w14:paraId="4942A4B3" w14:textId="77777777" w:rsidR="006054AA" w:rsidRDefault="001F7667">
            <w:pPr>
              <w:pStyle w:val="P68B1DB1-Normal11"/>
              <w:jc w:val="center"/>
              <w:rPr>
                <w:noProof/>
              </w:rPr>
            </w:pPr>
            <w:r>
              <w:rPr>
                <w:noProof/>
              </w:rPr>
              <w:t>НЯМА</w:t>
            </w:r>
          </w:p>
        </w:tc>
        <w:tc>
          <w:tcPr>
            <w:tcW w:w="278" w:type="pct"/>
            <w:shd w:val="clear" w:color="auto" w:fill="C6EFCE"/>
            <w:noWrap/>
            <w:vAlign w:val="center"/>
          </w:tcPr>
          <w:p w14:paraId="1CB53D59" w14:textId="77777777" w:rsidR="006054AA" w:rsidRDefault="001F7667">
            <w:pPr>
              <w:pStyle w:val="P68B1DB1-Normal11"/>
              <w:jc w:val="center"/>
              <w:rPr>
                <w:noProof/>
              </w:rPr>
            </w:pPr>
            <w:r>
              <w:rPr>
                <w:noProof/>
              </w:rPr>
              <w:t>Т4 Г.</w:t>
            </w:r>
          </w:p>
        </w:tc>
        <w:tc>
          <w:tcPr>
            <w:tcW w:w="278" w:type="pct"/>
            <w:shd w:val="clear" w:color="auto" w:fill="C6EFCE"/>
            <w:noWrap/>
            <w:vAlign w:val="center"/>
          </w:tcPr>
          <w:p w14:paraId="6FFF3C65" w14:textId="77777777" w:rsidR="006054AA" w:rsidRDefault="001F7667">
            <w:pPr>
              <w:pStyle w:val="P68B1DB1-Normal11"/>
              <w:jc w:val="center"/>
              <w:rPr>
                <w:noProof/>
              </w:rPr>
            </w:pPr>
            <w:r>
              <w:rPr>
                <w:noProof/>
              </w:rPr>
              <w:t>2021</w:t>
            </w:r>
          </w:p>
        </w:tc>
        <w:tc>
          <w:tcPr>
            <w:tcW w:w="1198" w:type="pct"/>
            <w:shd w:val="clear" w:color="auto" w:fill="C6EFCE"/>
            <w:noWrap/>
            <w:vAlign w:val="center"/>
          </w:tcPr>
          <w:p w14:paraId="2DBCF052" w14:textId="77777777" w:rsidR="006054AA" w:rsidRDefault="001F7667">
            <w:pPr>
              <w:pStyle w:val="P68B1DB1-Normal19"/>
              <w:spacing w:before="120" w:after="120"/>
              <w:rPr>
                <w:noProof/>
                <w:color w:val="006100"/>
              </w:rPr>
            </w:pPr>
            <w:r>
              <w:rPr>
                <w:noProof/>
                <w:color w:val="006100"/>
              </w:rPr>
              <w:t>„Насоките“ определят общи стандарти и методики за цялата национална пътна мрежа</w:t>
            </w:r>
            <w:r>
              <w:rPr>
                <w:noProof/>
              </w:rPr>
              <w:t xml:space="preserve"> </w:t>
            </w:r>
            <w:r>
              <w:rPr>
                <w:noProof/>
                <w:color w:val="006100"/>
              </w:rPr>
              <w:t>за класифициране и управление на рисковете, оценка на сигурността и наблюдение на съществуващите мостове.</w:t>
            </w:r>
          </w:p>
        </w:tc>
      </w:tr>
      <w:tr w:rsidR="006054AA" w14:paraId="14C1B35A" w14:textId="77777777">
        <w:trPr>
          <w:trHeight w:val="309"/>
          <w:jc w:val="right"/>
        </w:trPr>
        <w:tc>
          <w:tcPr>
            <w:tcW w:w="369" w:type="pct"/>
            <w:shd w:val="clear" w:color="auto" w:fill="C6EFCE"/>
            <w:noWrap/>
            <w:vAlign w:val="center"/>
          </w:tcPr>
          <w:p w14:paraId="20A5CB57" w14:textId="77777777" w:rsidR="006054AA" w:rsidRDefault="001F7667">
            <w:pPr>
              <w:pStyle w:val="P68B1DB1-Normal11"/>
              <w:jc w:val="center"/>
              <w:rPr>
                <w:noProof/>
              </w:rPr>
            </w:pPr>
            <w:r>
              <w:rPr>
                <w:noProof/>
              </w:rPr>
              <w:t>M3C1—22</w:t>
            </w:r>
          </w:p>
        </w:tc>
        <w:tc>
          <w:tcPr>
            <w:tcW w:w="511" w:type="pct"/>
            <w:shd w:val="clear" w:color="auto" w:fill="C6EFCE"/>
            <w:noWrap/>
            <w:vAlign w:val="center"/>
          </w:tcPr>
          <w:p w14:paraId="137695B6" w14:textId="77777777" w:rsidR="006054AA" w:rsidRDefault="001F7667">
            <w:pPr>
              <w:pStyle w:val="P68B1DB1-Normal11"/>
              <w:jc w:val="center"/>
              <w:rPr>
                <w:noProof/>
              </w:rPr>
            </w:pPr>
            <w:r>
              <w:rPr>
                <w:noProof/>
              </w:rPr>
              <w:t>Реформа 2.2 — Прехвърляне на собствеността на мостовете и виадуктите от пътищата, класирани на по-ниско ниво, към тези от по-високо ниво</w:t>
            </w:r>
          </w:p>
        </w:tc>
        <w:tc>
          <w:tcPr>
            <w:tcW w:w="417" w:type="pct"/>
            <w:shd w:val="clear" w:color="auto" w:fill="C6EFCE"/>
            <w:noWrap/>
            <w:vAlign w:val="center"/>
          </w:tcPr>
          <w:p w14:paraId="475A1712" w14:textId="77777777" w:rsidR="006054AA" w:rsidRDefault="001F7667">
            <w:pPr>
              <w:pStyle w:val="P68B1DB1-Normal11"/>
              <w:jc w:val="center"/>
              <w:rPr>
                <w:noProof/>
              </w:rPr>
            </w:pPr>
            <w:r>
              <w:rPr>
                <w:noProof/>
              </w:rPr>
              <w:t>Ключов етап</w:t>
            </w:r>
          </w:p>
        </w:tc>
        <w:tc>
          <w:tcPr>
            <w:tcW w:w="464" w:type="pct"/>
            <w:shd w:val="clear" w:color="auto" w:fill="C6EFCE"/>
            <w:noWrap/>
            <w:vAlign w:val="center"/>
          </w:tcPr>
          <w:p w14:paraId="6633F0F8" w14:textId="77777777" w:rsidR="006054AA" w:rsidRDefault="001F7667">
            <w:pPr>
              <w:pStyle w:val="P68B1DB1-Normal11"/>
              <w:jc w:val="center"/>
              <w:rPr>
                <w:noProof/>
              </w:rPr>
            </w:pPr>
            <w:r>
              <w:rPr>
                <w:noProof/>
              </w:rPr>
              <w:t>Прехвърляне на собствеността върху мостовете, виадуктите и надмините от пътищата, класирани на по-ниско ниво, към тези от по-високо ниво (магистрали и главни национални пътища)</w:t>
            </w:r>
          </w:p>
        </w:tc>
        <w:tc>
          <w:tcPr>
            <w:tcW w:w="509" w:type="pct"/>
            <w:shd w:val="clear" w:color="auto" w:fill="C6EFCE"/>
            <w:noWrap/>
            <w:vAlign w:val="center"/>
          </w:tcPr>
          <w:p w14:paraId="71B0355B" w14:textId="77777777" w:rsidR="006054AA" w:rsidRDefault="001F7667">
            <w:pPr>
              <w:pStyle w:val="P68B1DB1-Normal11"/>
              <w:jc w:val="center"/>
              <w:rPr>
                <w:noProof/>
              </w:rPr>
            </w:pPr>
            <w:r>
              <w:rPr>
                <w:noProof/>
              </w:rPr>
              <w:t>Разпоредба в съответния правен акт, отнасяща се до влизането в сила на прехвърлянето на собствеността върху мостовете, виадуктите и надмините от пътищата от по-ниско ниво към тези от по-високо ниво (магистрали и главни национални пътища)</w:t>
            </w:r>
          </w:p>
        </w:tc>
        <w:tc>
          <w:tcPr>
            <w:tcW w:w="325" w:type="pct"/>
            <w:shd w:val="clear" w:color="auto" w:fill="C6EFCE"/>
            <w:noWrap/>
            <w:vAlign w:val="center"/>
          </w:tcPr>
          <w:p w14:paraId="0FFBC70B" w14:textId="77777777" w:rsidR="006054AA" w:rsidRDefault="001F7667">
            <w:pPr>
              <w:pStyle w:val="P68B1DB1-Normal11"/>
              <w:jc w:val="center"/>
              <w:rPr>
                <w:noProof/>
              </w:rPr>
            </w:pPr>
            <w:r>
              <w:rPr>
                <w:noProof/>
              </w:rPr>
              <w:t>НЯМА</w:t>
            </w:r>
          </w:p>
        </w:tc>
        <w:tc>
          <w:tcPr>
            <w:tcW w:w="371" w:type="pct"/>
            <w:shd w:val="clear" w:color="auto" w:fill="C6EFCE"/>
            <w:noWrap/>
            <w:vAlign w:val="center"/>
          </w:tcPr>
          <w:p w14:paraId="490FA286" w14:textId="77777777" w:rsidR="006054AA" w:rsidRDefault="001F7667">
            <w:pPr>
              <w:pStyle w:val="P68B1DB1-Normal11"/>
              <w:jc w:val="center"/>
              <w:rPr>
                <w:noProof/>
              </w:rPr>
            </w:pPr>
            <w:r>
              <w:rPr>
                <w:noProof/>
              </w:rPr>
              <w:t>НЯМА</w:t>
            </w:r>
          </w:p>
        </w:tc>
        <w:tc>
          <w:tcPr>
            <w:tcW w:w="279" w:type="pct"/>
            <w:shd w:val="clear" w:color="auto" w:fill="C6EFCE"/>
            <w:noWrap/>
            <w:vAlign w:val="center"/>
          </w:tcPr>
          <w:p w14:paraId="77DACAFD" w14:textId="77777777" w:rsidR="006054AA" w:rsidRDefault="001F7667">
            <w:pPr>
              <w:pStyle w:val="P68B1DB1-Normal11"/>
              <w:jc w:val="center"/>
              <w:rPr>
                <w:noProof/>
              </w:rPr>
            </w:pPr>
            <w:r>
              <w:rPr>
                <w:noProof/>
              </w:rPr>
              <w:t>НЯМА</w:t>
            </w:r>
          </w:p>
        </w:tc>
        <w:tc>
          <w:tcPr>
            <w:tcW w:w="278" w:type="pct"/>
            <w:shd w:val="clear" w:color="auto" w:fill="C6EFCE"/>
            <w:noWrap/>
            <w:vAlign w:val="center"/>
          </w:tcPr>
          <w:p w14:paraId="1FAA43B9" w14:textId="77777777" w:rsidR="006054AA" w:rsidRDefault="001F7667">
            <w:pPr>
              <w:pStyle w:val="P68B1DB1-Normal11"/>
              <w:jc w:val="center"/>
              <w:rPr>
                <w:noProof/>
              </w:rPr>
            </w:pPr>
            <w:r>
              <w:rPr>
                <w:noProof/>
              </w:rPr>
              <w:t>Т4 Г.</w:t>
            </w:r>
          </w:p>
        </w:tc>
        <w:tc>
          <w:tcPr>
            <w:tcW w:w="278" w:type="pct"/>
            <w:shd w:val="clear" w:color="auto" w:fill="C6EFCE"/>
            <w:noWrap/>
            <w:vAlign w:val="center"/>
          </w:tcPr>
          <w:p w14:paraId="61F4D4C4" w14:textId="77777777" w:rsidR="006054AA" w:rsidRDefault="001F7667">
            <w:pPr>
              <w:pStyle w:val="P68B1DB1-Normal11"/>
              <w:jc w:val="center"/>
              <w:rPr>
                <w:noProof/>
              </w:rPr>
            </w:pPr>
            <w:r>
              <w:rPr>
                <w:noProof/>
              </w:rPr>
              <w:t>2021</w:t>
            </w:r>
          </w:p>
        </w:tc>
        <w:tc>
          <w:tcPr>
            <w:tcW w:w="1198" w:type="pct"/>
            <w:shd w:val="clear" w:color="auto" w:fill="C6EFCE"/>
            <w:noWrap/>
            <w:vAlign w:val="center"/>
          </w:tcPr>
          <w:p w14:paraId="089344C3" w14:textId="77777777" w:rsidR="006054AA" w:rsidRDefault="001F7667">
            <w:pPr>
              <w:pStyle w:val="P68B1DB1-Normal11"/>
              <w:jc w:val="center"/>
              <w:rPr>
                <w:noProof/>
              </w:rPr>
            </w:pPr>
            <w:r>
              <w:rPr>
                <w:noProof/>
              </w:rPr>
              <w:t>Прехвърлянето на собствеността върху произведенията на изкуството трябва да се извърши в срок от шест месеца от влизането в сила на Закон 120/20. Очаква се той да бъде завършен в съответствие с правилата на Codice della Strada (Законодателен декрет № 285/1992) и неговите подзаконови актове (Президентски указ 495/92), които определят разпоредби относно прехвърлянето на собствеността между субектите, притежаващи пътищата.</w:t>
            </w:r>
          </w:p>
        </w:tc>
      </w:tr>
    </w:tbl>
    <w:p w14:paraId="308349B4" w14:textId="77777777" w:rsidR="006054AA" w:rsidRDefault="006054AA">
      <w:pPr>
        <w:tabs>
          <w:tab w:val="left" w:pos="4252"/>
        </w:tabs>
        <w:rPr>
          <w:i/>
          <w:noProof/>
        </w:rPr>
      </w:pPr>
    </w:p>
    <w:p w14:paraId="37AF38B0" w14:textId="77777777" w:rsidR="006054AA" w:rsidRDefault="006054AA">
      <w:pPr>
        <w:tabs>
          <w:tab w:val="left" w:pos="4252"/>
        </w:tabs>
        <w:rPr>
          <w:i/>
          <w:noProof/>
        </w:rPr>
      </w:pPr>
    </w:p>
    <w:p w14:paraId="581E778D" w14:textId="77777777" w:rsidR="006054AA" w:rsidRDefault="006054AA">
      <w:pPr>
        <w:spacing w:before="120" w:after="120"/>
        <w:jc w:val="both"/>
        <w:rPr>
          <w:b/>
          <w:noProof/>
          <w:u w:val="single"/>
        </w:rPr>
        <w:sectPr w:rsidR="006054AA" w:rsidSect="000D3774">
          <w:headerReference w:type="even" r:id="rId200"/>
          <w:headerReference w:type="default" r:id="rId201"/>
          <w:footerReference w:type="even" r:id="rId202"/>
          <w:footerReference w:type="default" r:id="rId203"/>
          <w:headerReference w:type="first" r:id="rId204"/>
          <w:footerReference w:type="first" r:id="rId205"/>
          <w:pgSz w:w="16838" w:h="11907" w:orient="landscape" w:code="9"/>
          <w:pgMar w:top="1134" w:right="1134" w:bottom="1134" w:left="1134" w:header="567" w:footer="567" w:gutter="0"/>
          <w:cols w:space="720"/>
          <w:docGrid w:linePitch="360"/>
        </w:sectPr>
      </w:pPr>
    </w:p>
    <w:p w14:paraId="23DD3E3B" w14:textId="1CC53A87" w:rsidR="006054AA" w:rsidRDefault="001F7667">
      <w:pPr>
        <w:pStyle w:val="Heading2"/>
        <w:numPr>
          <w:ilvl w:val="0"/>
          <w:numId w:val="0"/>
        </w:numPr>
        <w:ind w:left="850" w:hanging="850"/>
        <w:rPr>
          <w:noProof/>
        </w:rPr>
      </w:pPr>
      <w:r>
        <w:rPr>
          <w:noProof/>
          <w:lang w:val="bg-BG"/>
        </w:rPr>
        <w:t>И</w:t>
      </w:r>
      <w:r>
        <w:rPr>
          <w:noProof/>
        </w:rPr>
        <w:t xml:space="preserve">. </w:t>
      </w:r>
      <w:r w:rsidR="001B24DA">
        <w:rPr>
          <w:noProof/>
          <w:lang w:val="bg-BG"/>
        </w:rPr>
        <w:t>МИСИЯ</w:t>
      </w:r>
      <w:r>
        <w:rPr>
          <w:noProof/>
        </w:rPr>
        <w:t xml:space="preserve"> 3 </w:t>
      </w:r>
      <w:r w:rsidR="001B24DA">
        <w:rPr>
          <w:noProof/>
          <w:lang w:val="bg-BG"/>
        </w:rPr>
        <w:t>КОМПОНЕНТ</w:t>
      </w:r>
      <w:r>
        <w:rPr>
          <w:noProof/>
        </w:rPr>
        <w:t xml:space="preserve"> 2 — Интермодалност и интегрирана логистика</w:t>
      </w:r>
    </w:p>
    <w:p w14:paraId="79A92762" w14:textId="77777777" w:rsidR="006054AA" w:rsidRDefault="001F7667">
      <w:pPr>
        <w:tabs>
          <w:tab w:val="left" w:pos="1134"/>
        </w:tabs>
        <w:spacing w:before="120" w:after="120"/>
        <w:jc w:val="both"/>
        <w:rPr>
          <w:rFonts w:eastAsia="Calibri"/>
          <w:noProof/>
        </w:rPr>
      </w:pPr>
      <w:r>
        <w:rPr>
          <w:noProof/>
        </w:rPr>
        <w:t>Целта на този компонент на италианския план за възстановяване и устойчивост е италианските пристанища да станат по-ефективни и конкурентоспособни, енергийно ефективни и по-добре интегрирани в логистичната верига. Тя също така има за цел да цифровизира системата за управление на въздушното движение.</w:t>
      </w:r>
    </w:p>
    <w:p w14:paraId="6958E584" w14:textId="77777777" w:rsidR="006054AA" w:rsidRDefault="001F7667">
      <w:pPr>
        <w:tabs>
          <w:tab w:val="left" w:pos="1134"/>
        </w:tabs>
        <w:spacing w:before="120" w:after="120"/>
        <w:jc w:val="both"/>
        <w:rPr>
          <w:rFonts w:eastAsia="Calibri"/>
          <w:noProof/>
        </w:rPr>
      </w:pPr>
      <w:r>
        <w:rPr>
          <w:noProof/>
        </w:rPr>
        <w:t>За тази цел тя включва, от една страна, важни реформи за опростяване на процесите, актуализиране на планирането на пристанищата и повишаване на конкурентоспособността на концесиите в италианските пристанища. От друга страна, някои инвестиции, насочени към осигуряване на интермодалност с общите линии на европейската комуникация, като се развиват връзките с трафика на океани и между Средиземно море, като се увеличава динамизмът и конкурентоспособността на италианската пристанищна система, също и с цел намаляване на емисиите на парникови газове. Очаква се инвестициите, свързани с този компонент, да увеличат значително обема на пътникопотока и товарите в италианските пристанища с положителен ефект върху стимулиращите икономически дейности в съответните области и върху националната икономика като цяло.</w:t>
      </w:r>
    </w:p>
    <w:p w14:paraId="1269F02B" w14:textId="77777777" w:rsidR="006054AA" w:rsidRDefault="001F7667">
      <w:pPr>
        <w:tabs>
          <w:tab w:val="left" w:pos="1134"/>
        </w:tabs>
        <w:spacing w:before="120" w:after="120"/>
        <w:jc w:val="both"/>
        <w:rPr>
          <w:rFonts w:eastAsia="Calibri"/>
          <w:noProof/>
        </w:rPr>
      </w:pPr>
      <w:r>
        <w:rPr>
          <w:noProof/>
        </w:rPr>
        <w:t xml:space="preserve">От друга страна, този компонент е свързан с цифровизацията на логистичните системи, включително летищните системи. Очаква се тези сектори да станат по-конкурентоспособни, като се използват иновативни технологични решения, за да се повиши ефективността на системата и да се намали въздействието им върху околната среда. </w:t>
      </w:r>
    </w:p>
    <w:p w14:paraId="052F54BA" w14:textId="0685E78C" w:rsidR="006054AA" w:rsidRDefault="001F7667">
      <w:pPr>
        <w:spacing w:before="120" w:after="120"/>
        <w:jc w:val="both"/>
        <w:rPr>
          <w:noProof/>
        </w:rPr>
      </w:pPr>
      <w:r>
        <w:rPr>
          <w:noProof/>
        </w:rPr>
        <w:t>Този компонент е насочен към специфичната за държавата препоръка 2019 от 3 г., в която Италия се призовава да „съсредоточи свързаната с инвестициите икономическа политика върху качеството на инфраструктурата „, и специфичната за държавата препоръка 2020 от 3 г., в която се препоръчва „съсредоточаване на инвестициите върху екологичния и цифровия преход, по-специално върху чистото и ефективно производство и използване на енергия, научните изследвания и иновациите, устойчивия обществен транспорт, управлението на отпадъците и водите, както и подсилената цифрова инфраструктура, за да се гарантира предоставянето на основни услуги“.</w:t>
      </w:r>
    </w:p>
    <w:p w14:paraId="03D21268" w14:textId="77777777" w:rsidR="006054AA" w:rsidRDefault="001F7667">
      <w:pPr>
        <w:spacing w:before="120" w:after="120"/>
        <w:jc w:val="both"/>
        <w:rPr>
          <w:noProof/>
        </w:rPr>
      </w:pPr>
      <w:r>
        <w:rPr>
          <w:noProof/>
        </w:rPr>
        <w:t>Очаква се, че нито една мярка в този компонент не нанася значителни вреди на екологичните цели по смисъла на член 17 от Регламент (ЕС) 2020/852, като се вземе предвид описанието на мерките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w:t>
      </w:r>
    </w:p>
    <w:p w14:paraId="2D18C10D" w14:textId="0DB50291" w:rsidR="006054AA" w:rsidRDefault="001F7667">
      <w:pPr>
        <w:pStyle w:val="Heading3"/>
        <w:numPr>
          <w:ilvl w:val="0"/>
          <w:numId w:val="0"/>
        </w:numPr>
        <w:ind w:left="850" w:hanging="850"/>
        <w:rPr>
          <w:b/>
          <w:i w:val="0"/>
          <w:noProof/>
          <w:color w:val="4F81BD" w:themeColor="accent1"/>
          <w:u w:val="single"/>
        </w:rPr>
      </w:pPr>
      <w:r>
        <w:rPr>
          <w:b/>
          <w:i w:val="0"/>
          <w:noProof/>
          <w:u w:val="single"/>
          <w:lang w:val="bg-BG"/>
        </w:rPr>
        <w:t>И</w:t>
      </w:r>
      <w:r>
        <w:rPr>
          <w:b/>
          <w:i w:val="0"/>
          <w:noProof/>
          <w:u w:val="single"/>
        </w:rPr>
        <w:t xml:space="preserve">.1. </w:t>
      </w:r>
      <w:r>
        <w:rPr>
          <w:noProof/>
        </w:rPr>
        <w:tab/>
      </w:r>
      <w:r>
        <w:rPr>
          <w:b/>
          <w:i w:val="0"/>
          <w:noProof/>
          <w:u w:val="single"/>
        </w:rPr>
        <w:t>Описание на реформите и инвестициите за безвъзмездна финансова подкрепа</w:t>
      </w:r>
    </w:p>
    <w:p w14:paraId="29B2DC14" w14:textId="77777777" w:rsidR="006054AA" w:rsidRDefault="001F7667">
      <w:pPr>
        <w:pStyle w:val="P68B1DB1-Normal2"/>
        <w:spacing w:before="120" w:after="120" w:line="257" w:lineRule="auto"/>
        <w:jc w:val="both"/>
        <w:rPr>
          <w:noProof/>
        </w:rPr>
      </w:pPr>
      <w:r>
        <w:rPr>
          <w:noProof/>
        </w:rPr>
        <w:t>Реформа 1.1 — Опростяване на процедурите за процеса на стратегическо планиране</w:t>
      </w:r>
    </w:p>
    <w:p w14:paraId="4DB1A243" w14:textId="77777777" w:rsidR="006054AA" w:rsidRDefault="001F7667">
      <w:pPr>
        <w:spacing w:before="120" w:after="120" w:line="257" w:lineRule="auto"/>
        <w:jc w:val="both"/>
        <w:rPr>
          <w:noProof/>
        </w:rPr>
      </w:pPr>
      <w:r>
        <w:rPr>
          <w:noProof/>
        </w:rPr>
        <w:t>Тази мярка предвижда актуализиране на планирането на пристанищата, за да се гарантира стратегическа визия за италианската пристанищна система. Реформата урежда най-малко i) целите за развитие на органите на пристанищната система; II) определените и очертани зони, предназначени единствено за пристанищни и задни пристанищни функции, iii) инфраструктурните връзки „последна миля“ на шосейния и железопътния транспорт с пристанищата, iv) критериите, следвани при определяне на съдържанието на планирането, и v) ясно определяне на насоките, правилата и процедурите за изготвяне на регулаторните планове на пристанищата.</w:t>
      </w:r>
    </w:p>
    <w:p w14:paraId="32AACA9E" w14:textId="77777777" w:rsidR="006054AA" w:rsidRDefault="001F7667">
      <w:pPr>
        <w:pStyle w:val="P68B1DB1-Normal2"/>
        <w:spacing w:before="120" w:after="120" w:line="257" w:lineRule="auto"/>
        <w:jc w:val="both"/>
        <w:rPr>
          <w:noProof/>
        </w:rPr>
      </w:pPr>
      <w:r>
        <w:rPr>
          <w:noProof/>
        </w:rPr>
        <w:t xml:space="preserve">Реформа 1.2 — Конкурентно възлагане на концесии в италианските пристанища  </w:t>
      </w:r>
    </w:p>
    <w:p w14:paraId="5D2BE6EA" w14:textId="77777777" w:rsidR="006054AA" w:rsidRDefault="001F7667">
      <w:pPr>
        <w:spacing w:before="120" w:after="120"/>
        <w:jc w:val="both"/>
        <w:rPr>
          <w:rFonts w:eastAsia="Calibri"/>
          <w:noProof/>
        </w:rPr>
      </w:pPr>
      <w:r>
        <w:rPr>
          <w:noProof/>
        </w:rPr>
        <w:t>Целта на тази мярка е да се определят условията, свързани с продължителността на концесията, правомощията за надзор и контрол на предоставящите органи, процедурите по подновяване, прехвърлянето на съоръженията на новия концесионер в края на концесията и определянето на минималните граници на таксите, начислявани на концесионерите.</w:t>
      </w:r>
    </w:p>
    <w:p w14:paraId="437CE428" w14:textId="77777777" w:rsidR="006054AA" w:rsidRDefault="001F7667">
      <w:pPr>
        <w:pStyle w:val="P68B1DB1-Normal2"/>
        <w:spacing w:before="120" w:after="120"/>
        <w:jc w:val="both"/>
        <w:rPr>
          <w:rFonts w:eastAsia="Calibri"/>
          <w:noProof/>
        </w:rPr>
      </w:pPr>
      <w:r>
        <w:rPr>
          <w:noProof/>
        </w:rPr>
        <w:t xml:space="preserve">Реформа 1.3 — Опростяване на разрешенията за процедури за разрешаване на студено гладене в италианските пристанища  </w:t>
      </w:r>
    </w:p>
    <w:p w14:paraId="2949BBA8" w14:textId="77777777" w:rsidR="006054AA" w:rsidRDefault="001F7667">
      <w:pPr>
        <w:spacing w:before="120" w:after="120"/>
        <w:jc w:val="both"/>
        <w:rPr>
          <w:rFonts w:eastAsia="Calibri"/>
          <w:noProof/>
        </w:rPr>
      </w:pPr>
      <w:r>
        <w:rPr>
          <w:noProof/>
        </w:rPr>
        <w:t>Очаква се тази мярка да опрости и намали процедурата за издаване на разрешения за изграждане на централи на Националната електропреносна мрежа за захранване на разпределителните системи за доставка на електроенергия на кораби (</w:t>
      </w:r>
      <w:r>
        <w:rPr>
          <w:i/>
          <w:noProof/>
        </w:rPr>
        <w:t>гладене на студ</w:t>
      </w:r>
      <w:r>
        <w:rPr>
          <w:noProof/>
        </w:rPr>
        <w:t>).</w:t>
      </w:r>
    </w:p>
    <w:p w14:paraId="0CB0EFCE" w14:textId="77777777" w:rsidR="006054AA" w:rsidRDefault="001F7667">
      <w:pPr>
        <w:spacing w:before="120" w:after="120"/>
        <w:jc w:val="both"/>
        <w:rPr>
          <w:rFonts w:eastAsia="Calibri"/>
          <w:noProof/>
        </w:rPr>
      </w:pPr>
      <w:r>
        <w:rPr>
          <w:noProof/>
        </w:rPr>
        <w:t xml:space="preserve">Министерството на инфраструктурата и транспорта прави предложение за рационализиране на процеса на издаване на разрешения. По-специално се предлага проектите за студено гладене да бъдат оценявани от териториалните служби, които докладват на Министерството на икономическото развитие, които биха могли в по-кратък срок да проучат проектите и съответно да ги разрешат. Освен това, по отношение на регулаторната намеса следва да се предвиди единна процедура за издаване на разрешения за проекти, включващи напрежение над 132 kV и останалата част, за да се използват полезните взаимодействия на процеса. </w:t>
      </w:r>
    </w:p>
    <w:p w14:paraId="7AEC6828" w14:textId="77777777" w:rsidR="006054AA" w:rsidRDefault="001F7667">
      <w:pPr>
        <w:pStyle w:val="P68B1DB1-Normal2"/>
        <w:spacing w:before="120" w:after="120"/>
        <w:jc w:val="both"/>
        <w:rPr>
          <w:rFonts w:eastAsia="Calibri"/>
          <w:noProof/>
        </w:rPr>
      </w:pPr>
      <w:r>
        <w:rPr>
          <w:noProof/>
        </w:rPr>
        <w:t>Реформа 2.1: Въвеждане на обслужване на едно митническо гише („Sportello Unico Doganale“)</w:t>
      </w:r>
    </w:p>
    <w:p w14:paraId="5A64BAD2" w14:textId="07129C3C" w:rsidR="006054AA" w:rsidRDefault="001F7667">
      <w:pPr>
        <w:spacing w:before="120" w:after="120"/>
        <w:jc w:val="both"/>
        <w:rPr>
          <w:noProof/>
        </w:rPr>
      </w:pPr>
      <w:r>
        <w:rPr>
          <w:noProof/>
        </w:rPr>
        <w:t>Целта е да се създаде специален портал за Единното бюро за контрол, който да дава възможност за оперативна съвместимост с националните бази данни и координация на контролните дейности от страна на митниците.</w:t>
      </w:r>
    </w:p>
    <w:p w14:paraId="579168EA" w14:textId="77777777" w:rsidR="006054AA" w:rsidRDefault="001F7667">
      <w:pPr>
        <w:pStyle w:val="P68B1DB1-Normal2"/>
        <w:spacing w:before="120" w:after="120"/>
        <w:jc w:val="both"/>
        <w:rPr>
          <w:noProof/>
        </w:rPr>
      </w:pPr>
      <w:r>
        <w:rPr>
          <w:noProof/>
        </w:rPr>
        <w:t>Инвестиция 2.1: Цифровизация на логистичната верига</w:t>
      </w:r>
    </w:p>
    <w:p w14:paraId="0072B10E" w14:textId="77777777" w:rsidR="006054AA" w:rsidRDefault="001F7667">
      <w:pPr>
        <w:spacing w:before="120" w:after="120"/>
        <w:jc w:val="both"/>
        <w:rPr>
          <w:noProof/>
        </w:rPr>
      </w:pPr>
      <w:r>
        <w:rPr>
          <w:noProof/>
        </w:rPr>
        <w:t>Очаква се тези инвестиции да повишат конкурентоспособността на националната логистика чрез създаването на оперативно съвместима цифрова система за превоз на товари и логистика между публичните и частните субекти, която ще опрости процедурите, процесите и контрола, като се съсредоточи върху дематериализирането на документи и обмена на данни и информация.</w:t>
      </w:r>
    </w:p>
    <w:p w14:paraId="655FE088" w14:textId="77777777" w:rsidR="006054AA" w:rsidRDefault="001F7667">
      <w:pPr>
        <w:pStyle w:val="P68B1DB1-Normal2"/>
        <w:spacing w:before="120" w:after="120"/>
        <w:jc w:val="both"/>
        <w:rPr>
          <w:rFonts w:eastAsia="Calibri"/>
          <w:noProof/>
        </w:rPr>
      </w:pPr>
      <w:r>
        <w:rPr>
          <w:noProof/>
        </w:rPr>
        <w:t>Инвестиция 2.2: Цифровизация на управлението на въздушното движение</w:t>
      </w:r>
    </w:p>
    <w:p w14:paraId="2A359DDF" w14:textId="77777777" w:rsidR="006054AA" w:rsidRDefault="001F7667">
      <w:pPr>
        <w:spacing w:before="120" w:after="120"/>
        <w:jc w:val="both"/>
        <w:rPr>
          <w:rFonts w:eastAsia="Calibri"/>
          <w:noProof/>
        </w:rPr>
      </w:pPr>
      <w:r>
        <w:rPr>
          <w:noProof/>
        </w:rPr>
        <w:t xml:space="preserve">Тази инвестиция има за цел цифровото модернизиране на сектора, което обхваща както разработването на нови инструменти за цифровизация на аеронавигационната информация, така и въвеждането на платформи и услуги за безпилотни въздухоплавателни средства. </w:t>
      </w:r>
    </w:p>
    <w:p w14:paraId="65F62D08" w14:textId="77777777" w:rsidR="006054AA" w:rsidRDefault="001F7667">
      <w:pPr>
        <w:spacing w:before="120" w:after="120"/>
        <w:jc w:val="both"/>
        <w:rPr>
          <w:rFonts w:eastAsia="Calibri"/>
          <w:noProof/>
        </w:rPr>
      </w:pPr>
      <w:r>
        <w:rPr>
          <w:noProof/>
        </w:rPr>
        <w:t>Проектите обхващат разработването и свързаността на безпилотната система за управление на движението (UTMS), цифровизацията на аеронавигационната информация и определянето на нов модел за техническо обслужване.</w:t>
      </w:r>
    </w:p>
    <w:p w14:paraId="302A6E83" w14:textId="77777777" w:rsidR="006054AA" w:rsidRDefault="001F7667">
      <w:pPr>
        <w:pStyle w:val="paragraph"/>
        <w:spacing w:before="0" w:beforeAutospacing="0" w:after="0" w:afterAutospacing="0"/>
        <w:jc w:val="both"/>
        <w:textAlignment w:val="baseline"/>
        <w:rPr>
          <w:rFonts w:ascii="Segoe UI" w:hAnsi="Segoe UI" w:cs="Segoe UI"/>
          <w:noProof/>
          <w:sz w:val="18"/>
        </w:rPr>
      </w:pPr>
      <w:r>
        <w:rPr>
          <w:rStyle w:val="normaltextrun"/>
          <w:b/>
          <w:noProof/>
        </w:rPr>
        <w:t>Инвестиция 2.3: Студено гладене</w:t>
      </w:r>
      <w:r>
        <w:rPr>
          <w:rStyle w:val="eop"/>
          <w:noProof/>
        </w:rPr>
        <w:t xml:space="preserve"> </w:t>
      </w:r>
    </w:p>
    <w:p w14:paraId="66DE72ED" w14:textId="77777777" w:rsidR="006054AA" w:rsidRDefault="001F7667">
      <w:pPr>
        <w:pStyle w:val="paragraph"/>
        <w:spacing w:before="0" w:beforeAutospacing="0" w:after="0" w:afterAutospacing="0"/>
        <w:jc w:val="both"/>
        <w:textAlignment w:val="baseline"/>
        <w:rPr>
          <w:rStyle w:val="eop"/>
          <w:noProof/>
        </w:rPr>
      </w:pPr>
      <w:r>
        <w:rPr>
          <w:rStyle w:val="normaltextrun"/>
          <w:noProof/>
        </w:rPr>
        <w:t xml:space="preserve">Тази инвестиция се състои в изграждането на мрежа за доставка на електроенергия в пристанищната зона (докове) и свързаната с нея инфраструктура за свързване към националната преносна мрежа. В съответствие с Регламента за инфраструктурата за алтернативни горива електрозахранването, разположено на брега, също позволява зареждането на електрически плавателни съдове. </w:t>
      </w:r>
    </w:p>
    <w:p w14:paraId="768A5295" w14:textId="77777777" w:rsidR="006054AA" w:rsidRDefault="006054AA">
      <w:pPr>
        <w:pStyle w:val="paragraph"/>
        <w:spacing w:before="0" w:beforeAutospacing="0" w:after="0" w:afterAutospacing="0"/>
        <w:jc w:val="both"/>
        <w:textAlignment w:val="baseline"/>
        <w:rPr>
          <w:rFonts w:ascii="Segoe UI" w:hAnsi="Segoe UI" w:cs="Segoe UI"/>
          <w:noProof/>
          <w:sz w:val="18"/>
        </w:rPr>
      </w:pPr>
    </w:p>
    <w:p w14:paraId="7EEBD80B" w14:textId="74C3A5E2" w:rsidR="006054AA" w:rsidRDefault="001F7667">
      <w:pPr>
        <w:pStyle w:val="Heading3"/>
        <w:numPr>
          <w:ilvl w:val="0"/>
          <w:numId w:val="0"/>
        </w:numPr>
        <w:ind w:left="850" w:hanging="850"/>
        <w:rPr>
          <w:b/>
          <w:i w:val="0"/>
          <w:noProof/>
          <w:u w:val="single"/>
        </w:rPr>
      </w:pPr>
      <w:r>
        <w:rPr>
          <w:b/>
          <w:i w:val="0"/>
          <w:noProof/>
          <w:u w:val="single"/>
          <w:lang w:val="bg-BG"/>
        </w:rPr>
        <w:t>И</w:t>
      </w:r>
      <w:r>
        <w:rPr>
          <w:b/>
          <w:i w:val="0"/>
          <w:noProof/>
          <w:u w:val="single"/>
        </w:rPr>
        <w:t xml:space="preserve">.2.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38CC180E" w14:textId="77777777" w:rsidR="006054AA" w:rsidRDefault="006054AA">
      <w:pPr>
        <w:spacing w:before="120" w:after="120"/>
        <w:ind w:left="709"/>
        <w:jc w:val="both"/>
        <w:rPr>
          <w:noProof/>
        </w:rPr>
        <w:sectPr w:rsidR="006054AA" w:rsidSect="000D3774">
          <w:headerReference w:type="even" r:id="rId206"/>
          <w:headerReference w:type="default" r:id="rId207"/>
          <w:footerReference w:type="even" r:id="rId208"/>
          <w:footerReference w:type="default" r:id="rId209"/>
          <w:headerReference w:type="first" r:id="rId210"/>
          <w:footerReference w:type="first" r:id="rId211"/>
          <w:pgSz w:w="11907" w:h="16839"/>
          <w:pgMar w:top="1134" w:right="1134" w:bottom="1134" w:left="1134" w:header="567" w:footer="567" w:gutter="0"/>
          <w:cols w:space="720"/>
          <w:docGrid w:linePitch="360"/>
        </w:sectPr>
      </w:pPr>
    </w:p>
    <w:tbl>
      <w:tblPr>
        <w:tblW w:w="5451" w:type="pct"/>
        <w:jc w:val="center"/>
        <w:tblLook w:val="04A0" w:firstRow="1" w:lastRow="0" w:firstColumn="1" w:lastColumn="0" w:noHBand="0" w:noVBand="1"/>
      </w:tblPr>
      <w:tblGrid>
        <w:gridCol w:w="1130"/>
        <w:gridCol w:w="1560"/>
        <w:gridCol w:w="1066"/>
        <w:gridCol w:w="1627"/>
        <w:gridCol w:w="1777"/>
        <w:gridCol w:w="960"/>
        <w:gridCol w:w="1096"/>
        <w:gridCol w:w="878"/>
        <w:gridCol w:w="1200"/>
        <w:gridCol w:w="811"/>
        <w:gridCol w:w="4231"/>
      </w:tblGrid>
      <w:tr w:rsidR="006054AA" w14:paraId="051DC265" w14:textId="77777777">
        <w:trPr>
          <w:trHeight w:val="927"/>
          <w:tblHeade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3A6E2" w14:textId="77777777" w:rsidR="006054AA" w:rsidRDefault="001F7667">
            <w:pPr>
              <w:pStyle w:val="P68B1DB1-Normal9"/>
              <w:jc w:val="center"/>
              <w:rPr>
                <w:noProof/>
              </w:rPr>
            </w:pPr>
            <w:r>
              <w:rPr>
                <w:noProof/>
              </w:rPr>
              <w:t>Пореден номер</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E5DEC1" w14:textId="77777777" w:rsidR="006054AA" w:rsidRDefault="001F7667">
            <w:pPr>
              <w:pStyle w:val="P68B1DB1-Normal9"/>
              <w:jc w:val="center"/>
              <w:rPr>
                <w:noProof/>
              </w:rPr>
            </w:pPr>
            <w:r>
              <w:rPr>
                <w:noProof/>
              </w:rPr>
              <w:t>Свързана мярка (реформа или инвестиции)</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9F63DD" w14:textId="77777777" w:rsidR="006054AA" w:rsidRDefault="001F7667">
            <w:pPr>
              <w:pStyle w:val="P68B1DB1-Normal9"/>
              <w:jc w:val="center"/>
              <w:rPr>
                <w:noProof/>
              </w:rPr>
            </w:pPr>
            <w:r>
              <w:rPr>
                <w:noProof/>
              </w:rPr>
              <w:t>Ключов етап/Цел</w:t>
            </w:r>
          </w:p>
        </w:tc>
        <w:tc>
          <w:tcPr>
            <w:tcW w:w="1627" w:type="dxa"/>
            <w:vMerge w:val="restart"/>
            <w:tcBorders>
              <w:top w:val="single" w:sz="4" w:space="0" w:color="auto"/>
              <w:left w:val="nil"/>
              <w:bottom w:val="single" w:sz="4" w:space="0" w:color="auto"/>
              <w:right w:val="single" w:sz="4" w:space="0" w:color="auto"/>
            </w:tcBorders>
            <w:shd w:val="clear" w:color="auto" w:fill="BDD7EE"/>
            <w:vAlign w:val="center"/>
            <w:hideMark/>
          </w:tcPr>
          <w:p w14:paraId="2AC6CF48" w14:textId="77777777" w:rsidR="006054AA" w:rsidRDefault="001F7667">
            <w:pPr>
              <w:pStyle w:val="P68B1DB1-Normal9"/>
              <w:jc w:val="center"/>
              <w:rPr>
                <w:noProof/>
              </w:rPr>
            </w:pPr>
            <w:r>
              <w:rPr>
                <w:noProof/>
              </w:rPr>
              <w:t>Име</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AC743"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2900" w:type="dxa"/>
            <w:gridSpan w:val="3"/>
            <w:tcBorders>
              <w:top w:val="single" w:sz="4" w:space="0" w:color="auto"/>
              <w:left w:val="nil"/>
              <w:bottom w:val="single" w:sz="4" w:space="0" w:color="auto"/>
              <w:right w:val="single" w:sz="4" w:space="0" w:color="auto"/>
            </w:tcBorders>
            <w:shd w:val="clear" w:color="auto" w:fill="BDD7EE"/>
            <w:vAlign w:val="center"/>
            <w:hideMark/>
          </w:tcPr>
          <w:p w14:paraId="408B2178"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582" w:type="dxa"/>
            <w:gridSpan w:val="2"/>
            <w:tcBorders>
              <w:top w:val="single" w:sz="4" w:space="0" w:color="auto"/>
              <w:left w:val="nil"/>
              <w:bottom w:val="single" w:sz="4" w:space="0" w:color="auto"/>
              <w:right w:val="single" w:sz="4" w:space="0" w:color="auto"/>
            </w:tcBorders>
            <w:shd w:val="clear" w:color="auto" w:fill="BDD7EE"/>
            <w:vAlign w:val="center"/>
            <w:hideMark/>
          </w:tcPr>
          <w:p w14:paraId="348FC10D" w14:textId="77777777" w:rsidR="006054AA" w:rsidRDefault="001F7667">
            <w:pPr>
              <w:pStyle w:val="P68B1DB1-Normal9"/>
              <w:jc w:val="center"/>
              <w:rPr>
                <w:noProof/>
              </w:rPr>
            </w:pPr>
            <w:r>
              <w:rPr>
                <w:noProof/>
              </w:rPr>
              <w:t>Примерен график за приключване</w:t>
            </w:r>
          </w:p>
        </w:tc>
        <w:tc>
          <w:tcPr>
            <w:tcW w:w="42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EDDC01" w14:textId="77777777" w:rsidR="006054AA" w:rsidRDefault="001F7667">
            <w:pPr>
              <w:pStyle w:val="P68B1DB1-Normal9"/>
              <w:jc w:val="center"/>
              <w:rPr>
                <w:noProof/>
              </w:rPr>
            </w:pPr>
            <w:r>
              <w:rPr>
                <w:noProof/>
              </w:rPr>
              <w:t>Описание на всеки ключов етап и цел</w:t>
            </w:r>
          </w:p>
        </w:tc>
      </w:tr>
      <w:tr w:rsidR="006054AA" w14:paraId="50165DAE" w14:textId="77777777">
        <w:trPr>
          <w:trHeight w:val="101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1B760B9" w14:textId="77777777" w:rsidR="006054AA" w:rsidRDefault="006054AA">
            <w:pPr>
              <w:jc w:val="center"/>
              <w:rPr>
                <w:rFonts w:ascii="Arial Narrow" w:hAnsi="Arial Narrow"/>
                <w:b/>
                <w:noProof/>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30696B6" w14:textId="77777777" w:rsidR="006054AA" w:rsidRDefault="006054AA">
            <w:pPr>
              <w:jc w:val="center"/>
              <w:rPr>
                <w:rFonts w:ascii="Arial Narrow" w:hAnsi="Arial Narrow"/>
                <w:b/>
                <w:noProof/>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ED0A779" w14:textId="77777777" w:rsidR="006054AA" w:rsidRDefault="006054AA">
            <w:pPr>
              <w:jc w:val="center"/>
              <w:rPr>
                <w:rFonts w:ascii="Arial Narrow" w:hAnsi="Arial Narrow"/>
                <w:b/>
                <w:noProof/>
                <w:sz w:val="20"/>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65B5A140" w14:textId="77777777" w:rsidR="006054AA" w:rsidRDefault="006054AA">
            <w:pPr>
              <w:jc w:val="center"/>
              <w:rPr>
                <w:rFonts w:ascii="Arial Narrow" w:hAnsi="Arial Narrow"/>
                <w:b/>
                <w:noProof/>
                <w:sz w:val="20"/>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3F7FB5B" w14:textId="77777777" w:rsidR="006054AA" w:rsidRDefault="006054AA">
            <w:pPr>
              <w:jc w:val="center"/>
              <w:rPr>
                <w:rFonts w:ascii="Arial Narrow" w:hAnsi="Arial Narrow"/>
                <w:b/>
                <w:noProof/>
                <w:sz w:val="20"/>
              </w:rPr>
            </w:pPr>
          </w:p>
        </w:tc>
        <w:tc>
          <w:tcPr>
            <w:tcW w:w="9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728323" w14:textId="77777777" w:rsidR="006054AA" w:rsidRDefault="001F7667">
            <w:pPr>
              <w:pStyle w:val="P68B1DB1-Normal9"/>
              <w:jc w:val="center"/>
              <w:rPr>
                <w:noProof/>
              </w:rPr>
            </w:pPr>
            <w:r>
              <w:rPr>
                <w:noProof/>
              </w:rPr>
              <w:t>Единица мярка</w:t>
            </w:r>
          </w:p>
        </w:tc>
        <w:tc>
          <w:tcPr>
            <w:tcW w:w="1096" w:type="dxa"/>
            <w:tcBorders>
              <w:top w:val="single" w:sz="4" w:space="0" w:color="auto"/>
              <w:left w:val="nil"/>
              <w:bottom w:val="single" w:sz="4" w:space="0" w:color="auto"/>
              <w:right w:val="single" w:sz="4" w:space="0" w:color="auto"/>
            </w:tcBorders>
            <w:shd w:val="clear" w:color="auto" w:fill="BDD7EE"/>
            <w:vAlign w:val="center"/>
            <w:hideMark/>
          </w:tcPr>
          <w:p w14:paraId="531DAE94" w14:textId="77777777" w:rsidR="006054AA" w:rsidRDefault="001F7667">
            <w:pPr>
              <w:pStyle w:val="P68B1DB1-Normal9"/>
              <w:jc w:val="center"/>
              <w:rPr>
                <w:noProof/>
              </w:rPr>
            </w:pPr>
            <w:r>
              <w:rPr>
                <w:noProof/>
              </w:rPr>
              <w:t>Базова линия</w:t>
            </w:r>
          </w:p>
        </w:tc>
        <w:tc>
          <w:tcPr>
            <w:tcW w:w="878" w:type="dxa"/>
            <w:tcBorders>
              <w:top w:val="single" w:sz="4" w:space="0" w:color="auto"/>
              <w:left w:val="nil"/>
              <w:bottom w:val="single" w:sz="4" w:space="0" w:color="auto"/>
              <w:right w:val="single" w:sz="4" w:space="0" w:color="auto"/>
            </w:tcBorders>
            <w:shd w:val="clear" w:color="auto" w:fill="BDD7EE"/>
            <w:vAlign w:val="center"/>
            <w:hideMark/>
          </w:tcPr>
          <w:p w14:paraId="34BF4DF1" w14:textId="77777777" w:rsidR="006054AA" w:rsidRDefault="001F7667">
            <w:pPr>
              <w:pStyle w:val="P68B1DB1-Normal9"/>
              <w:jc w:val="center"/>
              <w:rPr>
                <w:noProof/>
              </w:rPr>
            </w:pPr>
            <w:r>
              <w:rPr>
                <w:noProof/>
              </w:rPr>
              <w:t>Цел</w:t>
            </w:r>
          </w:p>
        </w:tc>
        <w:tc>
          <w:tcPr>
            <w:tcW w:w="916" w:type="dxa"/>
            <w:tcBorders>
              <w:top w:val="single" w:sz="4" w:space="0" w:color="auto"/>
              <w:left w:val="nil"/>
              <w:bottom w:val="single" w:sz="4" w:space="0" w:color="auto"/>
              <w:right w:val="single" w:sz="4" w:space="0" w:color="auto"/>
            </w:tcBorders>
            <w:shd w:val="clear" w:color="auto" w:fill="BDD7EE"/>
            <w:vAlign w:val="center"/>
            <w:hideMark/>
          </w:tcPr>
          <w:p w14:paraId="2A1DD8CA" w14:textId="77777777" w:rsidR="006054AA" w:rsidRDefault="001F7667">
            <w:pPr>
              <w:pStyle w:val="P68B1DB1-Normal9"/>
              <w:jc w:val="center"/>
              <w:rPr>
                <w:noProof/>
              </w:rPr>
            </w:pPr>
            <w:r>
              <w:rPr>
                <w:noProof/>
              </w:rPr>
              <w:t>Тримесечие</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561286BD" w14:textId="77777777" w:rsidR="006054AA" w:rsidRDefault="001F7667">
            <w:pPr>
              <w:pStyle w:val="P68B1DB1-Normal9"/>
              <w:jc w:val="center"/>
              <w:rPr>
                <w:noProof/>
              </w:rPr>
            </w:pPr>
            <w:r>
              <w:rPr>
                <w:noProof/>
              </w:rPr>
              <w:t>Година</w:t>
            </w:r>
          </w:p>
        </w:tc>
        <w:tc>
          <w:tcPr>
            <w:tcW w:w="4231" w:type="dxa"/>
            <w:vMerge/>
            <w:tcBorders>
              <w:top w:val="single" w:sz="4" w:space="0" w:color="auto"/>
              <w:bottom w:val="single" w:sz="4" w:space="0" w:color="auto"/>
              <w:right w:val="single" w:sz="4" w:space="0" w:color="auto"/>
            </w:tcBorders>
            <w:vAlign w:val="center"/>
            <w:hideMark/>
          </w:tcPr>
          <w:p w14:paraId="1FC7D3D5" w14:textId="77777777" w:rsidR="006054AA" w:rsidRDefault="006054AA">
            <w:pPr>
              <w:rPr>
                <w:rFonts w:ascii="Arial Narrow" w:hAnsi="Arial Narrow"/>
                <w:b/>
                <w:noProof/>
                <w:sz w:val="20"/>
              </w:rPr>
            </w:pPr>
          </w:p>
        </w:tc>
      </w:tr>
      <w:tr w:rsidR="006054AA" w14:paraId="277A0711"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514CB1C" w14:textId="77777777" w:rsidR="006054AA" w:rsidRDefault="001F7667">
            <w:pPr>
              <w:pStyle w:val="P68B1DB1-Normal11"/>
              <w:jc w:val="center"/>
              <w:rPr>
                <w:noProof/>
              </w:rPr>
            </w:pPr>
            <w:r>
              <w:rPr>
                <w:noProof/>
              </w:rPr>
              <w:t>M3C2—1</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D7C515C" w14:textId="3EB75752" w:rsidR="006054AA" w:rsidRDefault="001F7667">
            <w:pPr>
              <w:pStyle w:val="P68B1DB1-Normal11"/>
              <w:spacing w:line="257" w:lineRule="auto"/>
              <w:jc w:val="center"/>
              <w:rPr>
                <w:noProof/>
              </w:rPr>
            </w:pPr>
            <w:r>
              <w:rPr>
                <w:noProof/>
              </w:rPr>
              <w:t>Реформа 1.1 — Опростяване на процедурите за процеса на стратегическо планиране</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6549FAD4" w14:textId="77777777" w:rsidR="006054AA" w:rsidRDefault="001F7667">
            <w:pPr>
              <w:pStyle w:val="P68B1DB1-Normal11"/>
              <w:jc w:val="center"/>
              <w:rPr>
                <w:noProof/>
              </w:rPr>
            </w:pPr>
            <w:r>
              <w:rPr>
                <w:noProof/>
              </w:rPr>
              <w:t>Ключов етап</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622890FF" w14:textId="77777777" w:rsidR="006054AA" w:rsidRDefault="001F7667">
            <w:pPr>
              <w:pStyle w:val="P68B1DB1-Normal11"/>
              <w:jc w:val="center"/>
              <w:rPr>
                <w:noProof/>
              </w:rPr>
            </w:pPr>
            <w:r>
              <w:rPr>
                <w:noProof/>
              </w:rPr>
              <w:t>Влизане в сила на законодателни изменения, свързани с опростяването на процедурите за процеса на стратегическо планиране</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494F7BC0" w14:textId="77777777" w:rsidR="006054AA" w:rsidRDefault="001F7667">
            <w:pPr>
              <w:pStyle w:val="P68B1DB1-Normal11"/>
              <w:jc w:val="center"/>
              <w:rPr>
                <w:noProof/>
              </w:rPr>
            </w:pPr>
            <w:r>
              <w:rPr>
                <w:noProof/>
              </w:rPr>
              <w:t>Разпоредба в правния (те) акт (и), указваща (и) влизането в сила на законодателните изменения, свързани с опростяването на процедурите за процеса на стратегическо планиране</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94B4AEC" w14:textId="77777777" w:rsidR="006054AA" w:rsidRDefault="001F7667">
            <w:pPr>
              <w:pStyle w:val="P68B1DB1-Normal11"/>
              <w:jc w:val="center"/>
              <w:rPr>
                <w:noProof/>
              </w:rPr>
            </w:pPr>
            <w:r>
              <w:rPr>
                <w:noProof/>
              </w:rPr>
              <w:t>НЯМА</w:t>
            </w:r>
          </w:p>
        </w:tc>
        <w:tc>
          <w:tcPr>
            <w:tcW w:w="1096" w:type="dxa"/>
            <w:tcBorders>
              <w:top w:val="nil"/>
              <w:left w:val="nil"/>
              <w:bottom w:val="single" w:sz="4" w:space="0" w:color="auto"/>
              <w:right w:val="single" w:sz="4" w:space="0" w:color="auto"/>
            </w:tcBorders>
            <w:shd w:val="clear" w:color="auto" w:fill="C6EFCE"/>
            <w:noWrap/>
            <w:vAlign w:val="center"/>
          </w:tcPr>
          <w:p w14:paraId="2885EEDE" w14:textId="77777777" w:rsidR="006054AA" w:rsidRDefault="001F7667">
            <w:pPr>
              <w:pStyle w:val="P68B1DB1-Normal11"/>
              <w:jc w:val="center"/>
              <w:rPr>
                <w:noProof/>
              </w:rPr>
            </w:pPr>
            <w:r>
              <w:rPr>
                <w:noProof/>
              </w:rPr>
              <w:t>НЯМА</w:t>
            </w:r>
          </w:p>
        </w:tc>
        <w:tc>
          <w:tcPr>
            <w:tcW w:w="878" w:type="dxa"/>
            <w:tcBorders>
              <w:top w:val="nil"/>
              <w:left w:val="nil"/>
              <w:bottom w:val="single" w:sz="4" w:space="0" w:color="auto"/>
              <w:right w:val="single" w:sz="4" w:space="0" w:color="auto"/>
            </w:tcBorders>
            <w:shd w:val="clear" w:color="auto" w:fill="C6EFCE"/>
            <w:noWrap/>
            <w:vAlign w:val="center"/>
          </w:tcPr>
          <w:p w14:paraId="352977CA" w14:textId="77777777" w:rsidR="006054AA" w:rsidRDefault="001F7667">
            <w:pPr>
              <w:pStyle w:val="P68B1DB1-Normal11"/>
              <w:jc w:val="center"/>
              <w:rPr>
                <w:noProof/>
              </w:rPr>
            </w:pPr>
            <w:r>
              <w:rPr>
                <w:noProof/>
              </w:rPr>
              <w:t>НЯМА</w:t>
            </w:r>
          </w:p>
        </w:tc>
        <w:tc>
          <w:tcPr>
            <w:tcW w:w="916" w:type="dxa"/>
            <w:tcBorders>
              <w:top w:val="nil"/>
              <w:left w:val="nil"/>
              <w:bottom w:val="single" w:sz="4" w:space="0" w:color="auto"/>
              <w:right w:val="single" w:sz="4" w:space="0" w:color="auto"/>
            </w:tcBorders>
            <w:shd w:val="clear" w:color="auto" w:fill="C6EFCE"/>
            <w:noWrap/>
            <w:vAlign w:val="center"/>
          </w:tcPr>
          <w:p w14:paraId="12E5629E" w14:textId="77777777" w:rsidR="006054AA" w:rsidRDefault="001F7667">
            <w:pPr>
              <w:pStyle w:val="P68B1DB1-Normal11"/>
              <w:jc w:val="center"/>
              <w:rPr>
                <w:noProof/>
              </w:rPr>
            </w:pPr>
            <w:r>
              <w:rPr>
                <w:noProof/>
              </w:rPr>
              <w:t>Т4 Г.</w:t>
            </w:r>
          </w:p>
        </w:tc>
        <w:tc>
          <w:tcPr>
            <w:tcW w:w="666" w:type="dxa"/>
            <w:tcBorders>
              <w:top w:val="nil"/>
              <w:left w:val="nil"/>
              <w:bottom w:val="single" w:sz="4" w:space="0" w:color="auto"/>
              <w:right w:val="single" w:sz="4" w:space="0" w:color="auto"/>
            </w:tcBorders>
            <w:shd w:val="clear" w:color="auto" w:fill="C6EFCE"/>
            <w:noWrap/>
            <w:vAlign w:val="center"/>
          </w:tcPr>
          <w:p w14:paraId="0504FFE6" w14:textId="77777777" w:rsidR="006054AA" w:rsidRDefault="001F7667">
            <w:pPr>
              <w:pStyle w:val="P68B1DB1-Normal11"/>
              <w:jc w:val="center"/>
              <w:rPr>
                <w:noProof/>
              </w:rPr>
            </w:pPr>
            <w:r>
              <w:rPr>
                <w:noProof/>
              </w:rPr>
              <w:t>2022</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2BD9CC62" w14:textId="77777777" w:rsidR="006054AA" w:rsidRDefault="001F7667">
            <w:pPr>
              <w:pStyle w:val="P68B1DB1-Normal11"/>
              <w:rPr>
                <w:noProof/>
              </w:rPr>
            </w:pPr>
            <w:r>
              <w:rPr>
                <w:noProof/>
              </w:rPr>
              <w:t>В преразгледаната законодателна рамка се посочва, че:</w:t>
            </w:r>
          </w:p>
          <w:p w14:paraId="5D829D6C" w14:textId="77777777" w:rsidR="006054AA" w:rsidRDefault="006054AA">
            <w:pPr>
              <w:rPr>
                <w:rFonts w:ascii="Arial Narrow" w:hAnsi="Arial Narrow"/>
                <w:noProof/>
                <w:color w:val="006100"/>
                <w:sz w:val="20"/>
              </w:rPr>
            </w:pPr>
          </w:p>
          <w:p w14:paraId="76DE1F8F" w14:textId="77777777" w:rsidR="006054AA" w:rsidRDefault="001F7667">
            <w:pPr>
              <w:pStyle w:val="P68B1DB1-Normal11"/>
              <w:rPr>
                <w:noProof/>
              </w:rPr>
            </w:pPr>
            <w:r>
              <w:rPr>
                <w:noProof/>
              </w:rPr>
              <w:t>Всички пристанищни органи приемат своите документи за стратегическо планиране на системата (DPSS) и своите пристанищни регулаторни планове (ПРП), като изцяло вземат предвид реформата на италианските пристанищни системи от 2016 г., одобрена със Законодателен декрет № 169 от 4 август 2016 г.</w:t>
            </w:r>
          </w:p>
          <w:p w14:paraId="426D9D4C" w14:textId="77777777" w:rsidR="006054AA" w:rsidRDefault="006054AA">
            <w:pPr>
              <w:rPr>
                <w:rFonts w:ascii="Arial Narrow" w:hAnsi="Arial Narrow"/>
                <w:noProof/>
                <w:color w:val="006100"/>
                <w:sz w:val="20"/>
              </w:rPr>
            </w:pPr>
          </w:p>
          <w:p w14:paraId="02383944" w14:textId="77777777" w:rsidR="006054AA" w:rsidRDefault="001F7667">
            <w:pPr>
              <w:pStyle w:val="P68B1DB1-Normal11"/>
              <w:rPr>
                <w:noProof/>
              </w:rPr>
            </w:pPr>
            <w:r>
              <w:rPr>
                <w:noProof/>
              </w:rPr>
              <w:t>DPSS урежда най-малко следните елементи:</w:t>
            </w:r>
          </w:p>
          <w:p w14:paraId="41F99236" w14:textId="77777777" w:rsidR="006054AA" w:rsidRDefault="006054AA">
            <w:pPr>
              <w:rPr>
                <w:rFonts w:ascii="Arial Narrow" w:hAnsi="Arial Narrow"/>
                <w:noProof/>
                <w:color w:val="006100"/>
                <w:sz w:val="20"/>
              </w:rPr>
            </w:pPr>
          </w:p>
          <w:p w14:paraId="1E6AF76A" w14:textId="77777777" w:rsidR="006054AA" w:rsidRDefault="001F7667">
            <w:pPr>
              <w:pStyle w:val="P68B1DB1-Normal11"/>
              <w:rPr>
                <w:noProof/>
              </w:rPr>
            </w:pPr>
            <w:r>
              <w:rPr>
                <w:noProof/>
              </w:rPr>
              <w:t>Разработването на целите на органите на пристанищната система;</w:t>
            </w:r>
          </w:p>
          <w:p w14:paraId="08A2672B" w14:textId="77777777" w:rsidR="006054AA" w:rsidRDefault="006054AA">
            <w:pPr>
              <w:rPr>
                <w:rFonts w:ascii="Arial Narrow" w:hAnsi="Arial Narrow"/>
                <w:noProof/>
                <w:color w:val="006100"/>
                <w:sz w:val="20"/>
              </w:rPr>
            </w:pPr>
          </w:p>
          <w:p w14:paraId="595C7EF0" w14:textId="77777777" w:rsidR="006054AA" w:rsidRDefault="001F7667">
            <w:pPr>
              <w:pStyle w:val="P68B1DB1-Normal11"/>
              <w:rPr>
                <w:noProof/>
              </w:rPr>
            </w:pPr>
            <w:r>
              <w:rPr>
                <w:noProof/>
              </w:rPr>
              <w:t>Определените и очертани зони, предназначени за строго пристанищни и задни пристанищни функции,</w:t>
            </w:r>
          </w:p>
          <w:p w14:paraId="4C7E9E5E" w14:textId="77777777" w:rsidR="006054AA" w:rsidRDefault="006054AA">
            <w:pPr>
              <w:rPr>
                <w:rFonts w:ascii="Arial Narrow" w:hAnsi="Arial Narrow"/>
                <w:noProof/>
                <w:color w:val="006100"/>
                <w:sz w:val="20"/>
              </w:rPr>
            </w:pPr>
          </w:p>
          <w:p w14:paraId="308E6C8B" w14:textId="77777777" w:rsidR="006054AA" w:rsidRDefault="001F7667">
            <w:pPr>
              <w:pStyle w:val="P68B1DB1-Normal11"/>
              <w:rPr>
                <w:noProof/>
              </w:rPr>
            </w:pPr>
            <w:r>
              <w:rPr>
                <w:noProof/>
              </w:rPr>
              <w:t>— Инфраструктурните връзки „последна миля“ на шосейния и железопътния транспорт с пристанища,</w:t>
            </w:r>
          </w:p>
          <w:p w14:paraId="62E6D5A7" w14:textId="77777777" w:rsidR="006054AA" w:rsidRDefault="006054AA">
            <w:pPr>
              <w:rPr>
                <w:rFonts w:ascii="Arial Narrow" w:hAnsi="Arial Narrow"/>
                <w:noProof/>
                <w:color w:val="006100"/>
                <w:sz w:val="20"/>
              </w:rPr>
            </w:pPr>
          </w:p>
          <w:p w14:paraId="4C9F5A9C" w14:textId="77777777" w:rsidR="006054AA" w:rsidRDefault="001F7667">
            <w:pPr>
              <w:pStyle w:val="P68B1DB1-Normal11"/>
              <w:rPr>
                <w:noProof/>
              </w:rPr>
            </w:pPr>
            <w:r>
              <w:rPr>
                <w:noProof/>
              </w:rPr>
              <w:t>Критериите, следвани при определяне на съдържанието на плана,</w:t>
            </w:r>
          </w:p>
          <w:p w14:paraId="1863DE94" w14:textId="77777777" w:rsidR="006054AA" w:rsidRDefault="006054AA">
            <w:pPr>
              <w:rPr>
                <w:rFonts w:ascii="Arial Narrow" w:hAnsi="Arial Narrow"/>
                <w:noProof/>
                <w:color w:val="006100"/>
                <w:sz w:val="20"/>
              </w:rPr>
            </w:pPr>
          </w:p>
          <w:p w14:paraId="4A5E8751" w14:textId="77777777" w:rsidR="006054AA" w:rsidRDefault="001F7667">
            <w:pPr>
              <w:pStyle w:val="P68B1DB1-Normal11"/>
              <w:rPr>
                <w:noProof/>
              </w:rPr>
            </w:pPr>
            <w:r>
              <w:rPr>
                <w:noProof/>
              </w:rPr>
              <w:t>Прави недвусмислена идентификация на насоките, правилата и процедурите за изготвяне на регулаторните планове за пристанищата.</w:t>
            </w:r>
          </w:p>
        </w:tc>
      </w:tr>
      <w:tr w:rsidR="006054AA" w14:paraId="17E7060C"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F6DEC73" w14:textId="77777777" w:rsidR="006054AA" w:rsidRDefault="001F7667">
            <w:pPr>
              <w:pStyle w:val="P68B1DB1-Normal11"/>
              <w:jc w:val="center"/>
              <w:rPr>
                <w:noProof/>
              </w:rPr>
            </w:pPr>
            <w:r>
              <w:rPr>
                <w:noProof/>
              </w:rPr>
              <w:t>M3C2—2</w:t>
            </w:r>
          </w:p>
        </w:tc>
        <w:tc>
          <w:tcPr>
            <w:tcW w:w="1560" w:type="dxa"/>
            <w:tcBorders>
              <w:top w:val="nil"/>
              <w:left w:val="nil"/>
              <w:bottom w:val="single" w:sz="4" w:space="0" w:color="auto"/>
              <w:right w:val="single" w:sz="4" w:space="0" w:color="auto"/>
            </w:tcBorders>
            <w:shd w:val="clear" w:color="auto" w:fill="C6EFCE"/>
            <w:noWrap/>
            <w:vAlign w:val="center"/>
          </w:tcPr>
          <w:p w14:paraId="0714A005" w14:textId="77777777" w:rsidR="006054AA" w:rsidRDefault="001F7667">
            <w:pPr>
              <w:pStyle w:val="P68B1DB1-Normal11"/>
              <w:jc w:val="center"/>
              <w:rPr>
                <w:noProof/>
              </w:rPr>
            </w:pPr>
            <w:r>
              <w:rPr>
                <w:noProof/>
              </w:rPr>
              <w:t>Реформа 1.2 — Конкурентно възлагане на концесии в италианските пристанища</w:t>
            </w:r>
          </w:p>
        </w:tc>
        <w:tc>
          <w:tcPr>
            <w:tcW w:w="1066" w:type="dxa"/>
            <w:tcBorders>
              <w:top w:val="nil"/>
              <w:left w:val="nil"/>
              <w:bottom w:val="single" w:sz="4" w:space="0" w:color="auto"/>
              <w:right w:val="single" w:sz="4" w:space="0" w:color="auto"/>
            </w:tcBorders>
            <w:shd w:val="clear" w:color="auto" w:fill="C6EFCE"/>
            <w:noWrap/>
            <w:vAlign w:val="center"/>
          </w:tcPr>
          <w:p w14:paraId="3D4B81AF" w14:textId="77777777" w:rsidR="006054AA" w:rsidRDefault="001F7667">
            <w:pPr>
              <w:pStyle w:val="P68B1DB1-Normal11"/>
              <w:jc w:val="center"/>
              <w:rPr>
                <w:noProof/>
              </w:rPr>
            </w:pPr>
            <w:r>
              <w:rPr>
                <w:noProof/>
              </w:rPr>
              <w:t>Ключов етап</w:t>
            </w:r>
          </w:p>
        </w:tc>
        <w:tc>
          <w:tcPr>
            <w:tcW w:w="1627" w:type="dxa"/>
            <w:tcBorders>
              <w:top w:val="nil"/>
              <w:left w:val="nil"/>
              <w:bottom w:val="single" w:sz="4" w:space="0" w:color="auto"/>
              <w:right w:val="single" w:sz="4" w:space="0" w:color="auto"/>
            </w:tcBorders>
            <w:shd w:val="clear" w:color="auto" w:fill="C6EFCE"/>
            <w:noWrap/>
            <w:vAlign w:val="center"/>
          </w:tcPr>
          <w:p w14:paraId="14BAF450" w14:textId="77777777" w:rsidR="006054AA" w:rsidRDefault="001F7667">
            <w:pPr>
              <w:pStyle w:val="P68B1DB1-Normal11"/>
              <w:jc w:val="center"/>
              <w:rPr>
                <w:noProof/>
              </w:rPr>
            </w:pPr>
            <w:r>
              <w:rPr>
                <w:noProof/>
              </w:rPr>
              <w:t>Влизане в сила на Регламента за пристанищните концесии</w:t>
            </w:r>
          </w:p>
        </w:tc>
        <w:tc>
          <w:tcPr>
            <w:tcW w:w="1777" w:type="dxa"/>
            <w:tcBorders>
              <w:top w:val="nil"/>
              <w:left w:val="nil"/>
              <w:bottom w:val="single" w:sz="4" w:space="0" w:color="auto"/>
              <w:right w:val="single" w:sz="4" w:space="0" w:color="auto"/>
            </w:tcBorders>
            <w:shd w:val="clear" w:color="auto" w:fill="C6EFCE"/>
            <w:noWrap/>
            <w:vAlign w:val="center"/>
          </w:tcPr>
          <w:p w14:paraId="633B5D74" w14:textId="77777777" w:rsidR="006054AA" w:rsidRDefault="001F7667">
            <w:pPr>
              <w:pStyle w:val="P68B1DB1-Normal11"/>
              <w:jc w:val="center"/>
              <w:rPr>
                <w:noProof/>
              </w:rPr>
            </w:pPr>
            <w:r>
              <w:rPr>
                <w:noProof/>
              </w:rPr>
              <w:t>Разпоредба в регламента, указваща влизането в сила на Регламента за пристанищните концесии</w:t>
            </w:r>
          </w:p>
        </w:tc>
        <w:tc>
          <w:tcPr>
            <w:tcW w:w="926" w:type="dxa"/>
            <w:tcBorders>
              <w:top w:val="nil"/>
              <w:left w:val="nil"/>
              <w:bottom w:val="single" w:sz="4" w:space="0" w:color="auto"/>
              <w:right w:val="single" w:sz="4" w:space="0" w:color="auto"/>
            </w:tcBorders>
            <w:shd w:val="clear" w:color="auto" w:fill="C6EFCE"/>
            <w:noWrap/>
            <w:vAlign w:val="center"/>
          </w:tcPr>
          <w:p w14:paraId="777D1469" w14:textId="77777777" w:rsidR="006054AA" w:rsidRDefault="001F7667">
            <w:pPr>
              <w:pStyle w:val="P68B1DB1-Normal11"/>
              <w:jc w:val="center"/>
              <w:rPr>
                <w:noProof/>
              </w:rPr>
            </w:pPr>
            <w:r>
              <w:rPr>
                <w:noProof/>
              </w:rPr>
              <w:t>НЯМА</w:t>
            </w:r>
          </w:p>
        </w:tc>
        <w:tc>
          <w:tcPr>
            <w:tcW w:w="1096" w:type="dxa"/>
            <w:tcBorders>
              <w:top w:val="nil"/>
              <w:left w:val="nil"/>
              <w:bottom w:val="single" w:sz="4" w:space="0" w:color="auto"/>
              <w:right w:val="single" w:sz="4" w:space="0" w:color="auto"/>
            </w:tcBorders>
            <w:shd w:val="clear" w:color="auto" w:fill="C6EFCE"/>
            <w:noWrap/>
            <w:vAlign w:val="center"/>
          </w:tcPr>
          <w:p w14:paraId="14850838" w14:textId="77777777" w:rsidR="006054AA" w:rsidRDefault="001F7667">
            <w:pPr>
              <w:pStyle w:val="P68B1DB1-Normal11"/>
              <w:jc w:val="center"/>
              <w:rPr>
                <w:noProof/>
              </w:rPr>
            </w:pPr>
            <w:r>
              <w:rPr>
                <w:noProof/>
              </w:rPr>
              <w:t>НЯМА</w:t>
            </w:r>
          </w:p>
        </w:tc>
        <w:tc>
          <w:tcPr>
            <w:tcW w:w="878" w:type="dxa"/>
            <w:tcBorders>
              <w:top w:val="nil"/>
              <w:left w:val="nil"/>
              <w:bottom w:val="single" w:sz="4" w:space="0" w:color="auto"/>
              <w:right w:val="single" w:sz="4" w:space="0" w:color="auto"/>
            </w:tcBorders>
            <w:shd w:val="clear" w:color="auto" w:fill="C6EFCE"/>
            <w:noWrap/>
            <w:vAlign w:val="center"/>
          </w:tcPr>
          <w:p w14:paraId="4E98FA6D" w14:textId="77777777" w:rsidR="006054AA" w:rsidRDefault="001F7667">
            <w:pPr>
              <w:pStyle w:val="P68B1DB1-Normal11"/>
              <w:jc w:val="center"/>
              <w:rPr>
                <w:noProof/>
              </w:rPr>
            </w:pPr>
            <w:r>
              <w:rPr>
                <w:noProof/>
              </w:rPr>
              <w:t>НЯМА</w:t>
            </w:r>
          </w:p>
        </w:tc>
        <w:tc>
          <w:tcPr>
            <w:tcW w:w="916" w:type="dxa"/>
            <w:tcBorders>
              <w:top w:val="nil"/>
              <w:left w:val="nil"/>
              <w:bottom w:val="single" w:sz="4" w:space="0" w:color="auto"/>
              <w:right w:val="single" w:sz="4" w:space="0" w:color="auto"/>
            </w:tcBorders>
            <w:shd w:val="clear" w:color="auto" w:fill="C6EFCE"/>
            <w:noWrap/>
            <w:vAlign w:val="center"/>
          </w:tcPr>
          <w:p w14:paraId="5DCBF645" w14:textId="77777777" w:rsidR="006054AA" w:rsidRDefault="001F7667">
            <w:pPr>
              <w:pStyle w:val="P68B1DB1-Normal11"/>
              <w:jc w:val="center"/>
              <w:rPr>
                <w:noProof/>
              </w:rPr>
            </w:pPr>
            <w:r>
              <w:rPr>
                <w:noProof/>
              </w:rPr>
              <w:t>Т4 Г.</w:t>
            </w:r>
          </w:p>
        </w:tc>
        <w:tc>
          <w:tcPr>
            <w:tcW w:w="666" w:type="dxa"/>
            <w:tcBorders>
              <w:top w:val="nil"/>
              <w:left w:val="nil"/>
              <w:bottom w:val="single" w:sz="4" w:space="0" w:color="auto"/>
              <w:right w:val="single" w:sz="4" w:space="0" w:color="auto"/>
            </w:tcBorders>
            <w:shd w:val="clear" w:color="auto" w:fill="C6EFCE"/>
            <w:noWrap/>
            <w:vAlign w:val="center"/>
          </w:tcPr>
          <w:p w14:paraId="74B3AAA0" w14:textId="77777777" w:rsidR="006054AA" w:rsidRDefault="001F7667">
            <w:pPr>
              <w:pStyle w:val="P68B1DB1-Normal11"/>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2BA5BC1B" w14:textId="77777777" w:rsidR="006054AA" w:rsidRDefault="001F7667">
            <w:pPr>
              <w:pStyle w:val="P68B1DB1-Normal11"/>
              <w:rPr>
                <w:noProof/>
              </w:rPr>
            </w:pPr>
            <w:r>
              <w:rPr>
                <w:noProof/>
              </w:rPr>
              <w:t>Новият регламент определя рамковите условия за възлагане на концесиите в пристанищата. Регламентът определя като минимум:</w:t>
            </w:r>
          </w:p>
          <w:p w14:paraId="102E1494" w14:textId="77777777" w:rsidR="006054AA" w:rsidRDefault="006054AA">
            <w:pPr>
              <w:rPr>
                <w:rFonts w:ascii="Arial Narrow" w:hAnsi="Arial Narrow"/>
                <w:noProof/>
                <w:color w:val="006100"/>
                <w:sz w:val="20"/>
              </w:rPr>
            </w:pPr>
          </w:p>
          <w:p w14:paraId="52D83127" w14:textId="77777777" w:rsidR="006054AA" w:rsidRDefault="006054AA">
            <w:pPr>
              <w:rPr>
                <w:rFonts w:ascii="Arial Narrow" w:hAnsi="Arial Narrow"/>
                <w:noProof/>
                <w:color w:val="006100"/>
                <w:sz w:val="20"/>
              </w:rPr>
            </w:pPr>
          </w:p>
          <w:p w14:paraId="4AE298A2" w14:textId="77777777" w:rsidR="006054AA" w:rsidRDefault="001F7667">
            <w:pPr>
              <w:pStyle w:val="P68B1DB1-Normal11"/>
              <w:rPr>
                <w:noProof/>
              </w:rPr>
            </w:pPr>
            <w:r>
              <w:rPr>
                <w:noProof/>
              </w:rPr>
              <w:t>— Условията, свързани с продължителността на концесията;</w:t>
            </w:r>
          </w:p>
          <w:p w14:paraId="7206552B" w14:textId="77777777" w:rsidR="006054AA" w:rsidRDefault="006054AA">
            <w:pPr>
              <w:rPr>
                <w:rFonts w:ascii="Arial Narrow" w:hAnsi="Arial Narrow"/>
                <w:noProof/>
                <w:color w:val="006100"/>
                <w:sz w:val="20"/>
              </w:rPr>
            </w:pPr>
          </w:p>
          <w:p w14:paraId="77FE360C" w14:textId="77777777" w:rsidR="006054AA" w:rsidRDefault="001F7667">
            <w:pPr>
              <w:pStyle w:val="P68B1DB1-Normal11"/>
              <w:rPr>
                <w:noProof/>
              </w:rPr>
            </w:pPr>
            <w:r>
              <w:rPr>
                <w:noProof/>
              </w:rPr>
              <w:t>— Правомощията за надзор и контрол на предоставящите органи;</w:t>
            </w:r>
          </w:p>
          <w:p w14:paraId="6E6C6C0F" w14:textId="77777777" w:rsidR="006054AA" w:rsidRDefault="006054AA">
            <w:pPr>
              <w:rPr>
                <w:rFonts w:ascii="Arial Narrow" w:hAnsi="Arial Narrow"/>
                <w:noProof/>
                <w:color w:val="006100"/>
                <w:sz w:val="20"/>
              </w:rPr>
            </w:pPr>
          </w:p>
          <w:p w14:paraId="507A6579" w14:textId="77777777" w:rsidR="006054AA" w:rsidRDefault="001F7667">
            <w:pPr>
              <w:pStyle w:val="P68B1DB1-Normal11"/>
              <w:rPr>
                <w:noProof/>
              </w:rPr>
            </w:pPr>
            <w:r>
              <w:rPr>
                <w:noProof/>
              </w:rPr>
              <w:t>Методите на подновяване;</w:t>
            </w:r>
          </w:p>
          <w:p w14:paraId="0293ADB3" w14:textId="77777777" w:rsidR="006054AA" w:rsidRDefault="006054AA">
            <w:pPr>
              <w:rPr>
                <w:rFonts w:ascii="Arial Narrow" w:hAnsi="Arial Narrow"/>
                <w:noProof/>
                <w:color w:val="006100"/>
                <w:sz w:val="20"/>
              </w:rPr>
            </w:pPr>
          </w:p>
          <w:p w14:paraId="767B5E3A" w14:textId="77777777" w:rsidR="006054AA" w:rsidRDefault="001F7667">
            <w:pPr>
              <w:pStyle w:val="P68B1DB1-Normal11"/>
              <w:rPr>
                <w:noProof/>
              </w:rPr>
            </w:pPr>
            <w:r>
              <w:rPr>
                <w:noProof/>
              </w:rPr>
              <w:t>Прехвърляне на централите на новия концесионер в края на концесията;</w:t>
            </w:r>
          </w:p>
          <w:p w14:paraId="75DACBBC" w14:textId="77777777" w:rsidR="006054AA" w:rsidRDefault="006054AA">
            <w:pPr>
              <w:rPr>
                <w:rFonts w:ascii="Arial Narrow" w:hAnsi="Arial Narrow"/>
                <w:noProof/>
                <w:color w:val="006100"/>
                <w:sz w:val="20"/>
              </w:rPr>
            </w:pPr>
          </w:p>
          <w:p w14:paraId="65C6D505" w14:textId="77777777" w:rsidR="006054AA" w:rsidRDefault="001F7667">
            <w:pPr>
              <w:pStyle w:val="P68B1DB1-Normal11"/>
              <w:rPr>
                <w:noProof/>
              </w:rPr>
            </w:pPr>
            <w:r>
              <w:rPr>
                <w:noProof/>
              </w:rPr>
              <w:t>— Лимитите на минималните такси, които трябва да бъдат заплащани от лицензополучателите.</w:t>
            </w:r>
          </w:p>
        </w:tc>
      </w:tr>
      <w:tr w:rsidR="006054AA" w14:paraId="422ADD41"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4DFBD0C"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M3C2—3 </w:t>
            </w:r>
          </w:p>
        </w:tc>
        <w:tc>
          <w:tcPr>
            <w:tcW w:w="1560" w:type="dxa"/>
            <w:tcBorders>
              <w:top w:val="nil"/>
              <w:left w:val="nil"/>
              <w:bottom w:val="single" w:sz="4" w:space="0" w:color="auto"/>
              <w:right w:val="single" w:sz="4" w:space="0" w:color="auto"/>
            </w:tcBorders>
            <w:shd w:val="clear" w:color="auto" w:fill="C6EFCE"/>
            <w:noWrap/>
            <w:vAlign w:val="center"/>
          </w:tcPr>
          <w:p w14:paraId="66644229" w14:textId="77777777" w:rsidR="006054AA" w:rsidRDefault="001F7667">
            <w:pPr>
              <w:pStyle w:val="P68B1DB1-Normal11"/>
              <w:jc w:val="center"/>
              <w:rPr>
                <w:noProof/>
              </w:rPr>
            </w:pPr>
            <w:r>
              <w:rPr>
                <w:noProof/>
              </w:rPr>
              <w:t>Реформа 2.1 — Прилагане на обслужване на едно митническо гише („Sportello Unico Doganale“) </w:t>
            </w:r>
          </w:p>
        </w:tc>
        <w:tc>
          <w:tcPr>
            <w:tcW w:w="1066" w:type="dxa"/>
            <w:tcBorders>
              <w:top w:val="nil"/>
              <w:left w:val="nil"/>
              <w:bottom w:val="single" w:sz="4" w:space="0" w:color="auto"/>
              <w:right w:val="single" w:sz="4" w:space="0" w:color="auto"/>
            </w:tcBorders>
            <w:shd w:val="clear" w:color="auto" w:fill="C6EFCE"/>
            <w:noWrap/>
            <w:vAlign w:val="center"/>
          </w:tcPr>
          <w:p w14:paraId="2F4AFFB4" w14:textId="77777777" w:rsidR="006054AA" w:rsidRDefault="001F7667">
            <w:pPr>
              <w:pStyle w:val="P68B1DB1-Normal11"/>
              <w:jc w:val="center"/>
              <w:rPr>
                <w:noProof/>
              </w:rPr>
            </w:pPr>
            <w:r>
              <w:rPr>
                <w:noProof/>
              </w:rPr>
              <w:t>Ключов етап </w:t>
            </w:r>
          </w:p>
        </w:tc>
        <w:tc>
          <w:tcPr>
            <w:tcW w:w="1627" w:type="dxa"/>
            <w:tcBorders>
              <w:top w:val="nil"/>
              <w:left w:val="nil"/>
              <w:bottom w:val="single" w:sz="4" w:space="0" w:color="auto"/>
              <w:right w:val="single" w:sz="4" w:space="0" w:color="auto"/>
            </w:tcBorders>
            <w:shd w:val="clear" w:color="auto" w:fill="C6EFCE"/>
            <w:noWrap/>
            <w:vAlign w:val="center"/>
          </w:tcPr>
          <w:p w14:paraId="6B4069F0" w14:textId="77777777" w:rsidR="006054AA" w:rsidRDefault="001F7667">
            <w:pPr>
              <w:pStyle w:val="P68B1DB1-paragraph25"/>
              <w:spacing w:before="0" w:beforeAutospacing="0" w:after="0" w:afterAutospacing="0"/>
              <w:jc w:val="center"/>
              <w:textAlignment w:val="baseline"/>
              <w:divId w:val="2137526311"/>
              <w:rPr>
                <w:noProof/>
              </w:rPr>
            </w:pPr>
            <w:r>
              <w:rPr>
                <w:noProof/>
              </w:rPr>
              <w:t xml:space="preserve">Влизане в сила на Наредбата за единната митническа система </w:t>
            </w:r>
          </w:p>
          <w:p w14:paraId="212D1C51" w14:textId="77777777" w:rsidR="006054AA" w:rsidRDefault="001F7667">
            <w:pPr>
              <w:pStyle w:val="P68B1DB1-Normal11"/>
              <w:jc w:val="center"/>
              <w:rPr>
                <w:noProof/>
              </w:rPr>
            </w:pPr>
            <w:r>
              <w:rPr>
                <w:noProof/>
              </w:rPr>
              <w:t>Бюро (Sportello Unico Doganale) </w:t>
            </w:r>
          </w:p>
        </w:tc>
        <w:tc>
          <w:tcPr>
            <w:tcW w:w="1777" w:type="dxa"/>
            <w:tcBorders>
              <w:top w:val="nil"/>
              <w:left w:val="nil"/>
              <w:bottom w:val="single" w:sz="4" w:space="0" w:color="auto"/>
              <w:right w:val="single" w:sz="4" w:space="0" w:color="auto"/>
            </w:tcBorders>
            <w:shd w:val="clear" w:color="auto" w:fill="C6EFCE"/>
            <w:noWrap/>
            <w:vAlign w:val="center"/>
          </w:tcPr>
          <w:p w14:paraId="5AA41A47" w14:textId="77777777" w:rsidR="006054AA" w:rsidRDefault="001F7667">
            <w:pPr>
              <w:pStyle w:val="P68B1DB1-Normal11"/>
              <w:jc w:val="center"/>
              <w:rPr>
                <w:noProof/>
              </w:rPr>
            </w:pPr>
            <w:r>
              <w:rPr>
                <w:noProof/>
              </w:rPr>
              <w:t>Разпоредба в постановлението, указваща влизането в сила на Наредбата за единното митническо бюро (Sportello Unico Doganale) </w:t>
            </w:r>
          </w:p>
        </w:tc>
        <w:tc>
          <w:tcPr>
            <w:tcW w:w="926" w:type="dxa"/>
            <w:tcBorders>
              <w:top w:val="nil"/>
              <w:left w:val="nil"/>
              <w:bottom w:val="single" w:sz="4" w:space="0" w:color="auto"/>
              <w:right w:val="single" w:sz="4" w:space="0" w:color="auto"/>
            </w:tcBorders>
            <w:shd w:val="clear" w:color="auto" w:fill="C6EFCE"/>
            <w:noWrap/>
            <w:vAlign w:val="center"/>
          </w:tcPr>
          <w:p w14:paraId="6491013D" w14:textId="77777777" w:rsidR="006054AA" w:rsidRDefault="001F7667">
            <w:pPr>
              <w:pStyle w:val="P68B1DB1-Normal11"/>
              <w:jc w:val="center"/>
              <w:rPr>
                <w:noProof/>
              </w:rPr>
            </w:pPr>
            <w:r>
              <w:rPr>
                <w:noProof/>
              </w:rPr>
              <w:t>НЯМА </w:t>
            </w:r>
          </w:p>
        </w:tc>
        <w:tc>
          <w:tcPr>
            <w:tcW w:w="1096" w:type="dxa"/>
            <w:tcBorders>
              <w:top w:val="nil"/>
              <w:left w:val="nil"/>
              <w:bottom w:val="single" w:sz="4" w:space="0" w:color="auto"/>
              <w:right w:val="single" w:sz="4" w:space="0" w:color="auto"/>
            </w:tcBorders>
            <w:shd w:val="clear" w:color="auto" w:fill="C6EFCE"/>
            <w:noWrap/>
            <w:vAlign w:val="center"/>
          </w:tcPr>
          <w:p w14:paraId="29E96D22" w14:textId="77777777" w:rsidR="006054AA" w:rsidRDefault="001F7667">
            <w:pPr>
              <w:pStyle w:val="P68B1DB1-Normal11"/>
              <w:jc w:val="center"/>
              <w:rPr>
                <w:noProof/>
              </w:rPr>
            </w:pPr>
            <w:r>
              <w:rPr>
                <w:noProof/>
              </w:rPr>
              <w:t>НЯМА </w:t>
            </w:r>
          </w:p>
        </w:tc>
        <w:tc>
          <w:tcPr>
            <w:tcW w:w="878" w:type="dxa"/>
            <w:tcBorders>
              <w:top w:val="nil"/>
              <w:left w:val="nil"/>
              <w:bottom w:val="single" w:sz="4" w:space="0" w:color="auto"/>
              <w:right w:val="single" w:sz="4" w:space="0" w:color="auto"/>
            </w:tcBorders>
            <w:shd w:val="clear" w:color="auto" w:fill="C6EFCE"/>
            <w:noWrap/>
            <w:vAlign w:val="center"/>
          </w:tcPr>
          <w:p w14:paraId="7B0C815F" w14:textId="77777777" w:rsidR="006054AA" w:rsidRDefault="001F7667">
            <w:pPr>
              <w:pStyle w:val="P68B1DB1-Normal11"/>
              <w:jc w:val="center"/>
              <w:rPr>
                <w:noProof/>
              </w:rPr>
            </w:pPr>
            <w:r>
              <w:rPr>
                <w:noProof/>
              </w:rPr>
              <w:t>НЯМА </w:t>
            </w:r>
          </w:p>
        </w:tc>
        <w:tc>
          <w:tcPr>
            <w:tcW w:w="916" w:type="dxa"/>
            <w:tcBorders>
              <w:top w:val="nil"/>
              <w:left w:val="nil"/>
              <w:bottom w:val="single" w:sz="4" w:space="0" w:color="auto"/>
              <w:right w:val="single" w:sz="4" w:space="0" w:color="auto"/>
            </w:tcBorders>
            <w:shd w:val="clear" w:color="auto" w:fill="C6EFCE"/>
            <w:noWrap/>
            <w:vAlign w:val="center"/>
          </w:tcPr>
          <w:p w14:paraId="29CC196A" w14:textId="77777777" w:rsidR="006054AA" w:rsidRDefault="001F7667">
            <w:pPr>
              <w:pStyle w:val="P68B1DB1-Normal11"/>
              <w:jc w:val="center"/>
              <w:rPr>
                <w:noProof/>
              </w:rPr>
            </w:pPr>
            <w:r>
              <w:rPr>
                <w:noProof/>
              </w:rPr>
              <w:t>Т4 Г. </w:t>
            </w:r>
          </w:p>
        </w:tc>
        <w:tc>
          <w:tcPr>
            <w:tcW w:w="666" w:type="dxa"/>
            <w:tcBorders>
              <w:top w:val="nil"/>
              <w:left w:val="nil"/>
              <w:bottom w:val="single" w:sz="4" w:space="0" w:color="auto"/>
              <w:right w:val="single" w:sz="4" w:space="0" w:color="auto"/>
            </w:tcBorders>
            <w:shd w:val="clear" w:color="auto" w:fill="C6EFCE"/>
            <w:noWrap/>
            <w:vAlign w:val="center"/>
          </w:tcPr>
          <w:p w14:paraId="15F7D3BF" w14:textId="77777777" w:rsidR="006054AA" w:rsidRDefault="001F7667">
            <w:pPr>
              <w:pStyle w:val="P68B1DB1-Normal11"/>
              <w:jc w:val="center"/>
              <w:rPr>
                <w:noProof/>
              </w:rPr>
            </w:pPr>
            <w:r>
              <w:rPr>
                <w:noProof/>
              </w:rPr>
              <w:t>2021 </w:t>
            </w:r>
          </w:p>
        </w:tc>
        <w:tc>
          <w:tcPr>
            <w:tcW w:w="4231" w:type="dxa"/>
            <w:tcBorders>
              <w:top w:val="nil"/>
              <w:left w:val="nil"/>
              <w:bottom w:val="single" w:sz="4" w:space="0" w:color="auto"/>
              <w:right w:val="single" w:sz="4" w:space="0" w:color="auto"/>
            </w:tcBorders>
            <w:shd w:val="clear" w:color="auto" w:fill="C6EFCE"/>
            <w:noWrap/>
            <w:vAlign w:val="center"/>
          </w:tcPr>
          <w:p w14:paraId="5F8310DD" w14:textId="77777777" w:rsidR="006054AA" w:rsidRDefault="001F7667">
            <w:pPr>
              <w:pStyle w:val="P68B1DB1-Normal11"/>
              <w:rPr>
                <w:noProof/>
              </w:rPr>
            </w:pPr>
            <w:r>
              <w:rPr>
                <w:noProof/>
              </w:rPr>
              <w:t>В постановлението се определят методите и спецификациите на Единното митническо бюро в съответствие с Регламент (ЕС) № 1239/2019 за прилагането на единната европейска платформа за морско информационно обслужване и с Регламент (ЕС) 2020/1056 на Европейския парламент и на Съвета от 15 юли 2020 г. относно електронната информация за товарни превози (eFTI). </w:t>
            </w:r>
          </w:p>
        </w:tc>
      </w:tr>
      <w:tr w:rsidR="006054AA" w14:paraId="42CBCDC5"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176E0D5" w14:textId="77777777" w:rsidR="006054AA" w:rsidRDefault="001F7667">
            <w:pPr>
              <w:pStyle w:val="P68B1DB1-Normal11"/>
              <w:jc w:val="center"/>
              <w:rPr>
                <w:noProof/>
              </w:rPr>
            </w:pPr>
            <w:r>
              <w:rPr>
                <w:noProof/>
              </w:rPr>
              <w:t>M3C2—4</w:t>
            </w:r>
          </w:p>
        </w:tc>
        <w:tc>
          <w:tcPr>
            <w:tcW w:w="1560" w:type="dxa"/>
            <w:tcBorders>
              <w:top w:val="nil"/>
              <w:left w:val="nil"/>
              <w:bottom w:val="single" w:sz="4" w:space="0" w:color="auto"/>
              <w:right w:val="single" w:sz="4" w:space="0" w:color="auto"/>
            </w:tcBorders>
            <w:shd w:val="clear" w:color="auto" w:fill="C6EFCE"/>
            <w:noWrap/>
            <w:vAlign w:val="center"/>
          </w:tcPr>
          <w:p w14:paraId="489BF32A" w14:textId="77777777" w:rsidR="006054AA" w:rsidRDefault="001F7667">
            <w:pPr>
              <w:pStyle w:val="P68B1DB1-Normal11"/>
              <w:jc w:val="center"/>
              <w:rPr>
                <w:noProof/>
              </w:rPr>
            </w:pPr>
            <w:r>
              <w:rPr>
                <w:noProof/>
              </w:rPr>
              <w:t>Реформа 1.3 — Опростяване на процедурите за издаване на разрешения за инсталации за студено гладене</w:t>
            </w:r>
          </w:p>
        </w:tc>
        <w:tc>
          <w:tcPr>
            <w:tcW w:w="1066" w:type="dxa"/>
            <w:tcBorders>
              <w:top w:val="nil"/>
              <w:left w:val="nil"/>
              <w:bottom w:val="single" w:sz="4" w:space="0" w:color="auto"/>
              <w:right w:val="single" w:sz="4" w:space="0" w:color="auto"/>
            </w:tcBorders>
            <w:shd w:val="clear" w:color="auto" w:fill="C6EFCE"/>
            <w:noWrap/>
            <w:vAlign w:val="center"/>
          </w:tcPr>
          <w:p w14:paraId="21CC7D69" w14:textId="77777777" w:rsidR="006054AA" w:rsidRDefault="001F7667">
            <w:pPr>
              <w:pStyle w:val="P68B1DB1-Normal11"/>
              <w:jc w:val="center"/>
              <w:rPr>
                <w:noProof/>
              </w:rPr>
            </w:pPr>
            <w:r>
              <w:rPr>
                <w:noProof/>
              </w:rPr>
              <w:t>Ключов етап</w:t>
            </w:r>
          </w:p>
        </w:tc>
        <w:tc>
          <w:tcPr>
            <w:tcW w:w="1627" w:type="dxa"/>
            <w:tcBorders>
              <w:top w:val="nil"/>
              <w:left w:val="nil"/>
              <w:bottom w:val="single" w:sz="4" w:space="0" w:color="auto"/>
              <w:right w:val="single" w:sz="4" w:space="0" w:color="auto"/>
            </w:tcBorders>
            <w:shd w:val="clear" w:color="auto" w:fill="C6EFCE"/>
            <w:noWrap/>
            <w:vAlign w:val="center"/>
          </w:tcPr>
          <w:p w14:paraId="3CF3DA58" w14:textId="77777777" w:rsidR="006054AA" w:rsidRDefault="001F7667">
            <w:pPr>
              <w:pStyle w:val="P68B1DB1-Normal11"/>
              <w:spacing w:line="257" w:lineRule="auto"/>
              <w:jc w:val="center"/>
              <w:rPr>
                <w:noProof/>
              </w:rPr>
            </w:pPr>
            <w:r>
              <w:rPr>
                <w:noProof/>
              </w:rPr>
              <w:t>Влизане в сила на опростяването на разрешителните процедури за инсталации за студено гладене</w:t>
            </w:r>
          </w:p>
        </w:tc>
        <w:tc>
          <w:tcPr>
            <w:tcW w:w="1777" w:type="dxa"/>
            <w:tcBorders>
              <w:top w:val="nil"/>
              <w:left w:val="nil"/>
              <w:bottom w:val="single" w:sz="4" w:space="0" w:color="auto"/>
              <w:right w:val="single" w:sz="4" w:space="0" w:color="auto"/>
            </w:tcBorders>
            <w:shd w:val="clear" w:color="auto" w:fill="C6EFCE"/>
            <w:noWrap/>
            <w:vAlign w:val="center"/>
          </w:tcPr>
          <w:p w14:paraId="720C3A75" w14:textId="77777777" w:rsidR="006054AA" w:rsidRDefault="001F7667">
            <w:pPr>
              <w:pStyle w:val="P68B1DB1-Normal11"/>
              <w:jc w:val="center"/>
              <w:rPr>
                <w:noProof/>
              </w:rPr>
            </w:pPr>
            <w:r>
              <w:rPr>
                <w:noProof/>
              </w:rPr>
              <w:t>Правна разпоредба, указваща влизането в сила на опростяването на разрешителните процедури за инсталации за студено гладене</w:t>
            </w:r>
          </w:p>
        </w:tc>
        <w:tc>
          <w:tcPr>
            <w:tcW w:w="926" w:type="dxa"/>
            <w:tcBorders>
              <w:top w:val="nil"/>
              <w:left w:val="nil"/>
              <w:bottom w:val="single" w:sz="4" w:space="0" w:color="auto"/>
              <w:right w:val="single" w:sz="4" w:space="0" w:color="auto"/>
            </w:tcBorders>
            <w:shd w:val="clear" w:color="auto" w:fill="C6EFCE"/>
            <w:noWrap/>
            <w:vAlign w:val="center"/>
          </w:tcPr>
          <w:p w14:paraId="5A2B8833" w14:textId="77777777" w:rsidR="006054AA" w:rsidRDefault="001F7667">
            <w:pPr>
              <w:pStyle w:val="P68B1DB1-Normal11"/>
              <w:jc w:val="center"/>
              <w:rPr>
                <w:noProof/>
              </w:rPr>
            </w:pPr>
            <w:r>
              <w:rPr>
                <w:noProof/>
              </w:rPr>
              <w:t>НЯМА</w:t>
            </w:r>
          </w:p>
        </w:tc>
        <w:tc>
          <w:tcPr>
            <w:tcW w:w="1096" w:type="dxa"/>
            <w:tcBorders>
              <w:top w:val="nil"/>
              <w:left w:val="nil"/>
              <w:bottom w:val="single" w:sz="4" w:space="0" w:color="auto"/>
              <w:right w:val="single" w:sz="4" w:space="0" w:color="auto"/>
            </w:tcBorders>
            <w:shd w:val="clear" w:color="auto" w:fill="C6EFCE"/>
            <w:noWrap/>
            <w:vAlign w:val="center"/>
          </w:tcPr>
          <w:p w14:paraId="5314E35E" w14:textId="77777777" w:rsidR="006054AA" w:rsidRDefault="001F7667">
            <w:pPr>
              <w:pStyle w:val="P68B1DB1-Normal11"/>
              <w:jc w:val="center"/>
              <w:rPr>
                <w:noProof/>
              </w:rPr>
            </w:pPr>
            <w:r>
              <w:rPr>
                <w:noProof/>
              </w:rPr>
              <w:t>НЯМА</w:t>
            </w:r>
          </w:p>
        </w:tc>
        <w:tc>
          <w:tcPr>
            <w:tcW w:w="878" w:type="dxa"/>
            <w:tcBorders>
              <w:top w:val="nil"/>
              <w:left w:val="nil"/>
              <w:bottom w:val="single" w:sz="4" w:space="0" w:color="auto"/>
              <w:right w:val="single" w:sz="4" w:space="0" w:color="auto"/>
            </w:tcBorders>
            <w:shd w:val="clear" w:color="auto" w:fill="C6EFCE"/>
            <w:noWrap/>
            <w:vAlign w:val="center"/>
          </w:tcPr>
          <w:p w14:paraId="63637AFE" w14:textId="77777777" w:rsidR="006054AA" w:rsidRDefault="001F7667">
            <w:pPr>
              <w:pStyle w:val="P68B1DB1-Normal11"/>
              <w:jc w:val="center"/>
              <w:rPr>
                <w:noProof/>
              </w:rPr>
            </w:pPr>
            <w:r>
              <w:rPr>
                <w:noProof/>
              </w:rPr>
              <w:t>НЯМА</w:t>
            </w:r>
          </w:p>
        </w:tc>
        <w:tc>
          <w:tcPr>
            <w:tcW w:w="916" w:type="dxa"/>
            <w:tcBorders>
              <w:top w:val="nil"/>
              <w:left w:val="nil"/>
              <w:bottom w:val="single" w:sz="4" w:space="0" w:color="auto"/>
              <w:right w:val="single" w:sz="4" w:space="0" w:color="auto"/>
            </w:tcBorders>
            <w:shd w:val="clear" w:color="auto" w:fill="C6EFCE"/>
            <w:noWrap/>
            <w:vAlign w:val="center"/>
          </w:tcPr>
          <w:p w14:paraId="7A72470C" w14:textId="77777777" w:rsidR="006054AA" w:rsidRDefault="001F7667">
            <w:pPr>
              <w:pStyle w:val="P68B1DB1-Normal11"/>
              <w:jc w:val="center"/>
              <w:rPr>
                <w:noProof/>
              </w:rPr>
            </w:pPr>
            <w:r>
              <w:rPr>
                <w:noProof/>
              </w:rPr>
              <w:t>Т4 Г.</w:t>
            </w:r>
          </w:p>
        </w:tc>
        <w:tc>
          <w:tcPr>
            <w:tcW w:w="666" w:type="dxa"/>
            <w:tcBorders>
              <w:top w:val="nil"/>
              <w:left w:val="nil"/>
              <w:bottom w:val="single" w:sz="4" w:space="0" w:color="auto"/>
              <w:right w:val="single" w:sz="4" w:space="0" w:color="auto"/>
            </w:tcBorders>
            <w:shd w:val="clear" w:color="auto" w:fill="C6EFCE"/>
            <w:noWrap/>
            <w:vAlign w:val="center"/>
          </w:tcPr>
          <w:p w14:paraId="0D1CA354" w14:textId="77777777" w:rsidR="006054AA" w:rsidRDefault="001F7667">
            <w:pPr>
              <w:pStyle w:val="P68B1DB1-Normal11"/>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1EB28CAF" w14:textId="77777777" w:rsidR="006054AA" w:rsidRDefault="001F7667">
            <w:pPr>
              <w:pStyle w:val="P68B1DB1-Normal11"/>
              <w:rPr>
                <w:noProof/>
              </w:rPr>
            </w:pPr>
            <w:r>
              <w:rPr>
                <w:noProof/>
              </w:rPr>
              <w:t>Рационализиране на процеса на издаване на разрешения, за да се намали времето за издаване на разрешения до максимум 12 месеца за изграждането на енергийна транспортна инфраструктура, насочена към снабдяване с електроенергия от сушата на корабите по време на етапа на акостиране (в случай на интервенции, които не подлежат на екологична оценка)</w:t>
            </w:r>
          </w:p>
        </w:tc>
      </w:tr>
      <w:tr w:rsidR="006054AA" w14:paraId="43FE6768"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FA1E140" w14:textId="77777777" w:rsidR="006054AA" w:rsidRDefault="001F7667">
            <w:pPr>
              <w:pStyle w:val="P68B1DB1-Normal11"/>
              <w:jc w:val="center"/>
              <w:rPr>
                <w:noProof/>
              </w:rPr>
            </w:pPr>
            <w:r>
              <w:rPr>
                <w:noProof/>
              </w:rPr>
              <w:t>M3C2—5</w:t>
            </w:r>
          </w:p>
        </w:tc>
        <w:tc>
          <w:tcPr>
            <w:tcW w:w="1560" w:type="dxa"/>
            <w:tcBorders>
              <w:top w:val="nil"/>
              <w:left w:val="nil"/>
              <w:bottom w:val="single" w:sz="4" w:space="0" w:color="auto"/>
              <w:right w:val="single" w:sz="4" w:space="0" w:color="auto"/>
            </w:tcBorders>
            <w:shd w:val="clear" w:color="auto" w:fill="C6EFCE"/>
            <w:noWrap/>
            <w:vAlign w:val="center"/>
          </w:tcPr>
          <w:p w14:paraId="204B1032" w14:textId="77777777" w:rsidR="006054AA" w:rsidRDefault="001F7667">
            <w:pPr>
              <w:pStyle w:val="P68B1DB1-Normal11"/>
              <w:jc w:val="center"/>
              <w:rPr>
                <w:noProof/>
              </w:rPr>
            </w:pPr>
            <w:r>
              <w:rPr>
                <w:noProof/>
              </w:rPr>
              <w:t>Инвестиция 2.1 — Цифровизация на логистичната верига</w:t>
            </w:r>
          </w:p>
        </w:tc>
        <w:tc>
          <w:tcPr>
            <w:tcW w:w="1066" w:type="dxa"/>
            <w:tcBorders>
              <w:top w:val="nil"/>
              <w:left w:val="nil"/>
              <w:bottom w:val="single" w:sz="4" w:space="0" w:color="auto"/>
              <w:right w:val="single" w:sz="4" w:space="0" w:color="auto"/>
            </w:tcBorders>
            <w:shd w:val="clear" w:color="auto" w:fill="C6EFCE"/>
            <w:noWrap/>
            <w:vAlign w:val="center"/>
          </w:tcPr>
          <w:p w14:paraId="7AB90DA0" w14:textId="77777777" w:rsidR="006054AA" w:rsidRDefault="001F7667">
            <w:pPr>
              <w:pStyle w:val="P68B1DB1-Normal11"/>
              <w:jc w:val="center"/>
              <w:rPr>
                <w:noProof/>
              </w:rPr>
            </w:pPr>
            <w:r>
              <w:rPr>
                <w:noProof/>
              </w:rPr>
              <w:t>Целеви</w:t>
            </w:r>
          </w:p>
        </w:tc>
        <w:tc>
          <w:tcPr>
            <w:tcW w:w="1627" w:type="dxa"/>
            <w:tcBorders>
              <w:top w:val="nil"/>
              <w:left w:val="nil"/>
              <w:bottom w:val="single" w:sz="4" w:space="0" w:color="auto"/>
              <w:right w:val="single" w:sz="4" w:space="0" w:color="auto"/>
            </w:tcBorders>
            <w:shd w:val="clear" w:color="auto" w:fill="C6EFCE"/>
            <w:noWrap/>
            <w:vAlign w:val="center"/>
          </w:tcPr>
          <w:p w14:paraId="284CAD8F" w14:textId="77777777" w:rsidR="006054AA" w:rsidRDefault="001F7667">
            <w:pPr>
              <w:pStyle w:val="P68B1DB1-Normal11"/>
              <w:spacing w:line="257" w:lineRule="auto"/>
              <w:jc w:val="center"/>
              <w:rPr>
                <w:noProof/>
              </w:rPr>
            </w:pPr>
            <w:r>
              <w:rPr>
                <w:noProof/>
              </w:rPr>
              <w:t>Цифровизация на логистичната верига</w:t>
            </w:r>
          </w:p>
        </w:tc>
        <w:tc>
          <w:tcPr>
            <w:tcW w:w="1777" w:type="dxa"/>
            <w:tcBorders>
              <w:top w:val="nil"/>
              <w:left w:val="nil"/>
              <w:bottom w:val="single" w:sz="4" w:space="0" w:color="auto"/>
              <w:right w:val="single" w:sz="4" w:space="0" w:color="auto"/>
            </w:tcBorders>
            <w:shd w:val="clear" w:color="auto" w:fill="C6EFCE"/>
            <w:noWrap/>
            <w:vAlign w:val="center"/>
          </w:tcPr>
          <w:p w14:paraId="20AB194C" w14:textId="77777777" w:rsidR="006054AA" w:rsidRDefault="001F7667">
            <w:pPr>
              <w:pStyle w:val="P68B1DB1-Normal11"/>
              <w:jc w:val="center"/>
              <w:rPr>
                <w:noProof/>
              </w:rPr>
            </w:pPr>
            <w:r>
              <w:rPr>
                <w:noProof/>
              </w:rPr>
              <w:t>НЯМА</w:t>
            </w:r>
          </w:p>
        </w:tc>
        <w:tc>
          <w:tcPr>
            <w:tcW w:w="926" w:type="dxa"/>
            <w:tcBorders>
              <w:top w:val="nil"/>
              <w:left w:val="nil"/>
              <w:bottom w:val="single" w:sz="4" w:space="0" w:color="auto"/>
              <w:right w:val="single" w:sz="4" w:space="0" w:color="auto"/>
            </w:tcBorders>
            <w:shd w:val="clear" w:color="auto" w:fill="C6EFCE"/>
            <w:noWrap/>
            <w:vAlign w:val="center"/>
          </w:tcPr>
          <w:p w14:paraId="5EF643FC" w14:textId="77777777" w:rsidR="006054AA" w:rsidRDefault="001F7667">
            <w:pPr>
              <w:pStyle w:val="P68B1DB1-Normal11"/>
              <w:jc w:val="center"/>
              <w:rPr>
                <w:noProof/>
              </w:rPr>
            </w:pPr>
            <w:r>
              <w:rPr>
                <w:noProof/>
              </w:rPr>
              <w:t>Проценти</w:t>
            </w:r>
          </w:p>
        </w:tc>
        <w:tc>
          <w:tcPr>
            <w:tcW w:w="1096" w:type="dxa"/>
            <w:tcBorders>
              <w:top w:val="nil"/>
              <w:left w:val="nil"/>
              <w:bottom w:val="single" w:sz="4" w:space="0" w:color="auto"/>
              <w:right w:val="single" w:sz="4" w:space="0" w:color="auto"/>
            </w:tcBorders>
            <w:shd w:val="clear" w:color="auto" w:fill="C6EFCE"/>
            <w:noWrap/>
            <w:vAlign w:val="center"/>
          </w:tcPr>
          <w:p w14:paraId="289B1069" w14:textId="77777777" w:rsidR="006054AA" w:rsidRDefault="001F7667">
            <w:pPr>
              <w:pStyle w:val="P68B1DB1-Normal11"/>
              <w:jc w:val="center"/>
              <w:rPr>
                <w:noProof/>
              </w:rPr>
            </w:pPr>
            <w:r>
              <w:rPr>
                <w:noProof/>
              </w:rPr>
              <w:t>0</w:t>
            </w:r>
          </w:p>
        </w:tc>
        <w:tc>
          <w:tcPr>
            <w:tcW w:w="878" w:type="dxa"/>
            <w:tcBorders>
              <w:top w:val="nil"/>
              <w:left w:val="nil"/>
              <w:bottom w:val="single" w:sz="4" w:space="0" w:color="auto"/>
              <w:right w:val="single" w:sz="4" w:space="0" w:color="auto"/>
            </w:tcBorders>
            <w:shd w:val="clear" w:color="auto" w:fill="C6EFCE"/>
            <w:noWrap/>
            <w:vAlign w:val="center"/>
          </w:tcPr>
          <w:p w14:paraId="5FD15B44" w14:textId="77777777" w:rsidR="006054AA" w:rsidRDefault="001F7667">
            <w:pPr>
              <w:pStyle w:val="P68B1DB1-Normal11"/>
              <w:jc w:val="center"/>
              <w:rPr>
                <w:noProof/>
              </w:rPr>
            </w:pPr>
            <w:r>
              <w:rPr>
                <w:noProof/>
              </w:rPr>
              <w:t>70</w:t>
            </w:r>
          </w:p>
        </w:tc>
        <w:tc>
          <w:tcPr>
            <w:tcW w:w="916" w:type="dxa"/>
            <w:tcBorders>
              <w:top w:val="nil"/>
              <w:left w:val="nil"/>
              <w:bottom w:val="single" w:sz="4" w:space="0" w:color="auto"/>
              <w:right w:val="single" w:sz="4" w:space="0" w:color="auto"/>
            </w:tcBorders>
            <w:shd w:val="clear" w:color="auto" w:fill="C6EFCE"/>
            <w:noWrap/>
            <w:vAlign w:val="center"/>
          </w:tcPr>
          <w:p w14:paraId="7DA738B5" w14:textId="77777777" w:rsidR="006054AA" w:rsidRDefault="001F7667">
            <w:pPr>
              <w:pStyle w:val="P68B1DB1-Normal11"/>
              <w:jc w:val="center"/>
              <w:rPr>
                <w:noProof/>
              </w:rPr>
            </w:pPr>
            <w:r>
              <w:rPr>
                <w:noProof/>
              </w:rPr>
              <w:t>Т2 Г.</w:t>
            </w:r>
          </w:p>
        </w:tc>
        <w:tc>
          <w:tcPr>
            <w:tcW w:w="666" w:type="dxa"/>
            <w:tcBorders>
              <w:top w:val="nil"/>
              <w:left w:val="nil"/>
              <w:bottom w:val="single" w:sz="4" w:space="0" w:color="auto"/>
              <w:right w:val="single" w:sz="4" w:space="0" w:color="auto"/>
            </w:tcBorders>
            <w:shd w:val="clear" w:color="auto" w:fill="C6EFCE"/>
            <w:noWrap/>
            <w:vAlign w:val="center"/>
          </w:tcPr>
          <w:p w14:paraId="1337855F" w14:textId="77777777" w:rsidR="006054AA" w:rsidRDefault="001F7667">
            <w:pPr>
              <w:pStyle w:val="P68B1DB1-Normal11"/>
              <w:jc w:val="center"/>
              <w:rPr>
                <w:noProof/>
              </w:rPr>
            </w:pPr>
            <w:r>
              <w:rPr>
                <w:noProof/>
              </w:rPr>
              <w:t>2024</w:t>
            </w:r>
          </w:p>
        </w:tc>
        <w:tc>
          <w:tcPr>
            <w:tcW w:w="4231" w:type="dxa"/>
            <w:tcBorders>
              <w:top w:val="nil"/>
              <w:left w:val="nil"/>
              <w:bottom w:val="single" w:sz="4" w:space="0" w:color="auto"/>
              <w:right w:val="single" w:sz="4" w:space="0" w:color="auto"/>
            </w:tcBorders>
            <w:shd w:val="clear" w:color="auto" w:fill="C6EFCE"/>
            <w:noWrap/>
            <w:vAlign w:val="center"/>
          </w:tcPr>
          <w:p w14:paraId="54044CAD" w14:textId="77777777" w:rsidR="006054AA" w:rsidRDefault="001F7667">
            <w:pPr>
              <w:pStyle w:val="P68B1DB1-Normal11"/>
              <w:rPr>
                <w:noProof/>
              </w:rPr>
            </w:pPr>
            <w:r>
              <w:rPr>
                <w:noProof/>
              </w:rPr>
              <w:t xml:space="preserve">Най-малко 70 % от органите на пристанищната система трябва да бъдат оборудвани със стандартни услуги за PCS (общностна пристанищна система), които са оперативно съвместими с участващите публични администрации и са съвместими с Регламент (ЕС) № 1056/2020 и с новата национална цифрова логистична платформа (PLN). </w:t>
            </w:r>
          </w:p>
        </w:tc>
      </w:tr>
      <w:tr w:rsidR="006054AA" w14:paraId="1E60D9CF"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1D1E377" w14:textId="77777777" w:rsidR="006054AA" w:rsidRDefault="001F7667">
            <w:pPr>
              <w:pStyle w:val="P68B1DB1-Normal11"/>
              <w:jc w:val="center"/>
              <w:rPr>
                <w:noProof/>
              </w:rPr>
            </w:pPr>
            <w:r>
              <w:rPr>
                <w:noProof/>
              </w:rPr>
              <w:t>M3C2—6</w:t>
            </w:r>
          </w:p>
        </w:tc>
        <w:tc>
          <w:tcPr>
            <w:tcW w:w="1560" w:type="dxa"/>
            <w:tcBorders>
              <w:top w:val="nil"/>
              <w:left w:val="nil"/>
              <w:bottom w:val="single" w:sz="4" w:space="0" w:color="auto"/>
              <w:right w:val="single" w:sz="4" w:space="0" w:color="auto"/>
            </w:tcBorders>
            <w:shd w:val="clear" w:color="auto" w:fill="C6EFCE"/>
            <w:noWrap/>
            <w:vAlign w:val="center"/>
          </w:tcPr>
          <w:p w14:paraId="3C10082C" w14:textId="77777777" w:rsidR="006054AA" w:rsidRDefault="001F7667">
            <w:pPr>
              <w:pStyle w:val="P68B1DB1-Normal11"/>
              <w:jc w:val="center"/>
              <w:rPr>
                <w:noProof/>
              </w:rPr>
            </w:pPr>
            <w:r>
              <w:rPr>
                <w:noProof/>
              </w:rPr>
              <w:t>Инвестиция 2.2: Цифровизация на управлението на въздушното движение</w:t>
            </w:r>
          </w:p>
        </w:tc>
        <w:tc>
          <w:tcPr>
            <w:tcW w:w="1066" w:type="dxa"/>
            <w:tcBorders>
              <w:top w:val="nil"/>
              <w:left w:val="nil"/>
              <w:bottom w:val="single" w:sz="4" w:space="0" w:color="auto"/>
              <w:right w:val="single" w:sz="4" w:space="0" w:color="auto"/>
            </w:tcBorders>
            <w:shd w:val="clear" w:color="auto" w:fill="C6EFCE"/>
            <w:noWrap/>
            <w:vAlign w:val="center"/>
          </w:tcPr>
          <w:p w14:paraId="4C4CB0A2" w14:textId="477E78D2" w:rsidR="006054AA" w:rsidRDefault="001F7667">
            <w:pPr>
              <w:pStyle w:val="P68B1DB1-Normal11"/>
              <w:jc w:val="center"/>
              <w:rPr>
                <w:noProof/>
              </w:rPr>
            </w:pPr>
            <w:r>
              <w:rPr>
                <w:noProof/>
              </w:rPr>
              <w:t>Целеви</w:t>
            </w:r>
          </w:p>
        </w:tc>
        <w:tc>
          <w:tcPr>
            <w:tcW w:w="1627" w:type="dxa"/>
            <w:tcBorders>
              <w:top w:val="nil"/>
              <w:left w:val="nil"/>
              <w:bottom w:val="single" w:sz="4" w:space="0" w:color="auto"/>
              <w:right w:val="single" w:sz="4" w:space="0" w:color="auto"/>
            </w:tcBorders>
            <w:shd w:val="clear" w:color="auto" w:fill="C6EFCE"/>
            <w:noWrap/>
            <w:vAlign w:val="center"/>
          </w:tcPr>
          <w:p w14:paraId="3521090D" w14:textId="77777777" w:rsidR="006054AA" w:rsidRDefault="001F7667">
            <w:pPr>
              <w:pStyle w:val="P68B1DB1-Normal11"/>
              <w:jc w:val="center"/>
              <w:rPr>
                <w:noProof/>
              </w:rPr>
            </w:pPr>
            <w:r>
              <w:rPr>
                <w:noProof/>
              </w:rPr>
              <w:t>Цифровизация на управлението на въздушното движение: въвеждане в експлоатация на нови инструменти</w:t>
            </w:r>
          </w:p>
        </w:tc>
        <w:tc>
          <w:tcPr>
            <w:tcW w:w="1777" w:type="dxa"/>
            <w:tcBorders>
              <w:top w:val="nil"/>
              <w:left w:val="nil"/>
              <w:bottom w:val="single" w:sz="4" w:space="0" w:color="auto"/>
              <w:right w:val="single" w:sz="4" w:space="0" w:color="auto"/>
            </w:tcBorders>
            <w:shd w:val="clear" w:color="auto" w:fill="C6EFCE"/>
            <w:noWrap/>
            <w:vAlign w:val="center"/>
          </w:tcPr>
          <w:p w14:paraId="6F1E23FF" w14:textId="2951DAFB" w:rsidR="006054AA" w:rsidRDefault="001F7667">
            <w:pPr>
              <w:pStyle w:val="P68B1DB1-Normal11"/>
              <w:jc w:val="center"/>
              <w:rPr>
                <w:noProof/>
              </w:rPr>
            </w:pPr>
            <w:r>
              <w:rPr>
                <w:noProof/>
              </w:rPr>
              <w:t>Сертифициране на TOC, Digitalised Aeronnavigation Information и UTMS</w:t>
            </w:r>
          </w:p>
        </w:tc>
        <w:tc>
          <w:tcPr>
            <w:tcW w:w="926" w:type="dxa"/>
            <w:tcBorders>
              <w:top w:val="nil"/>
              <w:left w:val="nil"/>
              <w:bottom w:val="single" w:sz="4" w:space="0" w:color="auto"/>
              <w:right w:val="single" w:sz="4" w:space="0" w:color="auto"/>
            </w:tcBorders>
            <w:shd w:val="clear" w:color="auto" w:fill="C6EFCE"/>
            <w:noWrap/>
            <w:vAlign w:val="center"/>
          </w:tcPr>
          <w:p w14:paraId="7257E25F" w14:textId="77777777" w:rsidR="006054AA" w:rsidRDefault="001F7667">
            <w:pPr>
              <w:pStyle w:val="P68B1DB1-Normal11"/>
              <w:jc w:val="center"/>
              <w:rPr>
                <w:noProof/>
              </w:rPr>
            </w:pPr>
            <w:r>
              <w:rPr>
                <w:noProof/>
              </w:rPr>
              <w:t>НЯМА</w:t>
            </w:r>
          </w:p>
        </w:tc>
        <w:tc>
          <w:tcPr>
            <w:tcW w:w="1096" w:type="dxa"/>
            <w:tcBorders>
              <w:top w:val="nil"/>
              <w:left w:val="nil"/>
              <w:bottom w:val="single" w:sz="4" w:space="0" w:color="auto"/>
              <w:right w:val="single" w:sz="4" w:space="0" w:color="auto"/>
            </w:tcBorders>
            <w:shd w:val="clear" w:color="auto" w:fill="C6EFCE"/>
            <w:noWrap/>
            <w:vAlign w:val="center"/>
          </w:tcPr>
          <w:p w14:paraId="309456B7" w14:textId="77777777" w:rsidR="006054AA" w:rsidRDefault="001F7667">
            <w:pPr>
              <w:pStyle w:val="P68B1DB1-Normal11"/>
              <w:jc w:val="center"/>
              <w:rPr>
                <w:noProof/>
              </w:rPr>
            </w:pPr>
            <w:r>
              <w:rPr>
                <w:noProof/>
              </w:rPr>
              <w:t xml:space="preserve">НЯМА </w:t>
            </w:r>
          </w:p>
        </w:tc>
        <w:tc>
          <w:tcPr>
            <w:tcW w:w="878" w:type="dxa"/>
            <w:tcBorders>
              <w:top w:val="nil"/>
              <w:left w:val="nil"/>
              <w:bottom w:val="single" w:sz="4" w:space="0" w:color="auto"/>
              <w:right w:val="single" w:sz="4" w:space="0" w:color="auto"/>
            </w:tcBorders>
            <w:shd w:val="clear" w:color="auto" w:fill="C6EFCE"/>
            <w:noWrap/>
            <w:vAlign w:val="center"/>
          </w:tcPr>
          <w:p w14:paraId="45CF7C3A" w14:textId="77777777" w:rsidR="006054AA" w:rsidRDefault="006054AA">
            <w:pPr>
              <w:jc w:val="center"/>
              <w:rPr>
                <w:rFonts w:ascii="Arial Narrow" w:hAnsi="Arial Narrow"/>
                <w:noProof/>
                <w:color w:val="006100"/>
                <w:sz w:val="20"/>
              </w:rPr>
            </w:pPr>
          </w:p>
          <w:p w14:paraId="43DD9D6E" w14:textId="77777777" w:rsidR="006054AA" w:rsidRDefault="001F7667">
            <w:pPr>
              <w:pStyle w:val="P68B1DB1-Normal11"/>
              <w:jc w:val="center"/>
              <w:rPr>
                <w:noProof/>
              </w:rPr>
            </w:pPr>
            <w:r>
              <w:rPr>
                <w:noProof/>
              </w:rPr>
              <w:t>3</w:t>
            </w:r>
          </w:p>
          <w:p w14:paraId="27ED4F11" w14:textId="77777777" w:rsidR="006054AA" w:rsidRDefault="006054AA">
            <w:pPr>
              <w:jc w:val="center"/>
              <w:rPr>
                <w:rFonts w:ascii="Arial Narrow" w:hAnsi="Arial Narrow"/>
                <w:noProof/>
                <w:color w:val="006100"/>
                <w:sz w:val="20"/>
              </w:rPr>
            </w:pPr>
          </w:p>
        </w:tc>
        <w:tc>
          <w:tcPr>
            <w:tcW w:w="916" w:type="dxa"/>
            <w:tcBorders>
              <w:top w:val="nil"/>
              <w:left w:val="nil"/>
              <w:bottom w:val="single" w:sz="4" w:space="0" w:color="auto"/>
              <w:right w:val="single" w:sz="4" w:space="0" w:color="auto"/>
            </w:tcBorders>
            <w:shd w:val="clear" w:color="auto" w:fill="C6EFCE"/>
            <w:noWrap/>
            <w:vAlign w:val="center"/>
          </w:tcPr>
          <w:p w14:paraId="55FF0B4D" w14:textId="77777777" w:rsidR="006054AA" w:rsidRDefault="001F7667">
            <w:pPr>
              <w:pStyle w:val="P68B1DB1-Normal11"/>
              <w:jc w:val="center"/>
              <w:rPr>
                <w:noProof/>
              </w:rPr>
            </w:pPr>
            <w:r>
              <w:rPr>
                <w:noProof/>
              </w:rPr>
              <w:t>Т1 Г.</w:t>
            </w:r>
          </w:p>
        </w:tc>
        <w:tc>
          <w:tcPr>
            <w:tcW w:w="666" w:type="dxa"/>
            <w:tcBorders>
              <w:top w:val="nil"/>
              <w:left w:val="nil"/>
              <w:bottom w:val="single" w:sz="4" w:space="0" w:color="auto"/>
              <w:right w:val="single" w:sz="4" w:space="0" w:color="auto"/>
            </w:tcBorders>
            <w:shd w:val="clear" w:color="auto" w:fill="C6EFCE"/>
            <w:noWrap/>
            <w:vAlign w:val="center"/>
          </w:tcPr>
          <w:p w14:paraId="346177CB" w14:textId="77777777" w:rsidR="006054AA" w:rsidRDefault="001F7667">
            <w:pPr>
              <w:pStyle w:val="P68B1DB1-Normal11"/>
              <w:jc w:val="center"/>
              <w:rPr>
                <w:noProof/>
              </w:rPr>
            </w:pPr>
            <w:r>
              <w:rPr>
                <w:noProof/>
              </w:rPr>
              <w:t>2026</w:t>
            </w:r>
          </w:p>
        </w:tc>
        <w:tc>
          <w:tcPr>
            <w:tcW w:w="4231" w:type="dxa"/>
            <w:tcBorders>
              <w:top w:val="nil"/>
              <w:left w:val="nil"/>
              <w:bottom w:val="single" w:sz="4" w:space="0" w:color="auto"/>
              <w:right w:val="single" w:sz="4" w:space="0" w:color="auto"/>
            </w:tcBorders>
            <w:shd w:val="clear" w:color="auto" w:fill="C6EFCE"/>
            <w:noWrap/>
            <w:vAlign w:val="center"/>
          </w:tcPr>
          <w:p w14:paraId="1A3D7307" w14:textId="77777777" w:rsidR="006054AA" w:rsidRDefault="001F7667">
            <w:pPr>
              <w:pStyle w:val="P68B1DB1-Normal11"/>
              <w:jc w:val="both"/>
              <w:rPr>
                <w:noProof/>
              </w:rPr>
            </w:pPr>
            <w:r>
              <w:rPr>
                <w:noProof/>
              </w:rPr>
              <w:t xml:space="preserve">Въвеждане в експлоатация на следните 3 проекта: </w:t>
            </w:r>
          </w:p>
          <w:p w14:paraId="42728392" w14:textId="77777777" w:rsidR="006054AA" w:rsidRDefault="001F7667">
            <w:pPr>
              <w:pStyle w:val="P68B1DB1-Normal11"/>
              <w:jc w:val="both"/>
              <w:rPr>
                <w:noProof/>
              </w:rPr>
            </w:pPr>
            <w:r>
              <w:rPr>
                <w:noProof/>
              </w:rPr>
              <w:t xml:space="preserve">а) Технически оперативен център (TOC) и най-малко две системи за управление на въздушното движение </w:t>
            </w:r>
          </w:p>
          <w:p w14:paraId="3E2E6270" w14:textId="77777777" w:rsidR="006054AA" w:rsidRDefault="001F7667">
            <w:pPr>
              <w:pStyle w:val="P68B1DB1-Normal11"/>
              <w:jc w:val="both"/>
              <w:rPr>
                <w:noProof/>
              </w:rPr>
            </w:pPr>
            <w:r>
              <w:rPr>
                <w:noProof/>
              </w:rPr>
              <w:t xml:space="preserve">б) Дигитализирана аеронавигационна информация </w:t>
            </w:r>
          </w:p>
          <w:p w14:paraId="094E5D60" w14:textId="668BC57C" w:rsidR="006054AA" w:rsidRDefault="001F7667">
            <w:pPr>
              <w:pStyle w:val="P68B1DB1-Normal11"/>
              <w:rPr>
                <w:noProof/>
              </w:rPr>
            </w:pPr>
            <w:r>
              <w:rPr>
                <w:noProof/>
              </w:rPr>
              <w:t>безпилотна система за управление на движението и свързаност (UTMS).</w:t>
            </w:r>
          </w:p>
        </w:tc>
      </w:tr>
      <w:tr w:rsidR="006054AA" w14:paraId="4A937A6F"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09AF1"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M3C2—7 </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A94C0A1"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Инвестиция 2.3: Студено гладене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77AEB95A"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Ключов етап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05099BDF"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Възлагане на всички обществени поръчки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5CAD7C52"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Уведомление за възлагане на всички обществени поръчки за изграждане на най-малко 15 инсталации за студено гладене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6874C7B"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НЯМА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0F8DB35F"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НЯМА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4A270F30"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НЯМА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577E8FCF"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Т3 Г.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D5FDD34"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2024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51B5E809" w14:textId="77777777" w:rsidR="006054AA" w:rsidRDefault="001F7667">
            <w:pPr>
              <w:jc w:val="both"/>
              <w:rPr>
                <w:rFonts w:ascii="Arial Narrow" w:hAnsi="Arial Narrow"/>
                <w:noProof/>
                <w:color w:val="006100"/>
                <w:sz w:val="20"/>
              </w:rPr>
            </w:pPr>
            <w:r>
              <w:rPr>
                <w:rStyle w:val="normaltextrun"/>
                <w:rFonts w:ascii="Arial Narrow" w:hAnsi="Arial Narrow"/>
                <w:noProof/>
                <w:color w:val="006100"/>
                <w:sz w:val="20"/>
              </w:rPr>
              <w:t xml:space="preserve">Публикуване на поканата за участие в търг и възлагане на всички договори за изграждане на най-малко 15 инсталации за студено гладене, осигуряващи електроенергия в поне 10 пристанища. </w:t>
            </w:r>
          </w:p>
        </w:tc>
      </w:tr>
      <w:tr w:rsidR="006054AA" w14:paraId="1235642C"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CD403"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M3C2—12</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4AEE28D8"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Инвестиция 9: Студено гладене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2DA1B153"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Целеви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2F1C823D"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Въвеждане в експлоатация на инфраструктури за студено гладене.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73BD23C4" w14:textId="77777777" w:rsidR="006054AA" w:rsidRDefault="001F7667">
            <w:pPr>
              <w:jc w:val="center"/>
              <w:rPr>
                <w:rFonts w:ascii="Arial Narrow" w:hAnsi="Arial Narrow"/>
                <w:noProof/>
                <w:color w:val="006100"/>
                <w:sz w:val="20"/>
              </w:rPr>
            </w:pPr>
            <w:r>
              <w:rPr>
                <w:rStyle w:val="eop"/>
                <w:rFonts w:ascii="Arial Narrow" w:hAnsi="Arial Narrow"/>
                <w:noProof/>
                <w:color w:val="006100"/>
                <w:sz w:val="20"/>
              </w:rPr>
              <w:t xml:space="preserv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3A120C97"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Брой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6179D665"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0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1A22BCDB"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15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41B3E112"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Т1 Г.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CCE3C44" w14:textId="77777777" w:rsidR="006054AA" w:rsidRDefault="001F7667">
            <w:pPr>
              <w:jc w:val="center"/>
              <w:rPr>
                <w:rFonts w:ascii="Arial Narrow" w:hAnsi="Arial Narrow"/>
                <w:noProof/>
                <w:color w:val="006100"/>
                <w:sz w:val="20"/>
              </w:rPr>
            </w:pPr>
            <w:r>
              <w:rPr>
                <w:rStyle w:val="normaltextrun"/>
                <w:rFonts w:ascii="Arial Narrow" w:hAnsi="Arial Narrow"/>
                <w:noProof/>
                <w:color w:val="006100"/>
                <w:sz w:val="20"/>
              </w:rPr>
              <w:t xml:space="preserve">2026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7EEAD68A" w14:textId="77777777" w:rsidR="006054AA" w:rsidRDefault="001F7667">
            <w:pPr>
              <w:jc w:val="both"/>
              <w:rPr>
                <w:rFonts w:ascii="Arial Narrow" w:hAnsi="Arial Narrow"/>
                <w:noProof/>
                <w:color w:val="006100"/>
                <w:sz w:val="20"/>
              </w:rPr>
            </w:pPr>
            <w:r>
              <w:rPr>
                <w:rStyle w:val="normaltextrun"/>
                <w:rFonts w:ascii="Arial Narrow" w:hAnsi="Arial Narrow"/>
                <w:noProof/>
                <w:color w:val="006100"/>
                <w:sz w:val="20"/>
              </w:rPr>
              <w:t xml:space="preserve">Въвеждане в експлоатация на най-малко 15 инфраструктури за студено гладене, осигуряващи електрическа енергия в поне 10 пристанища. </w:t>
            </w:r>
          </w:p>
        </w:tc>
      </w:tr>
    </w:tbl>
    <w:p w14:paraId="25509F2A" w14:textId="77777777" w:rsidR="006054AA" w:rsidRDefault="006054AA">
      <w:pPr>
        <w:spacing w:before="120" w:after="120"/>
        <w:jc w:val="both"/>
        <w:rPr>
          <w:noProof/>
        </w:rPr>
      </w:pPr>
    </w:p>
    <w:p w14:paraId="20F6C40F" w14:textId="77777777" w:rsidR="006054AA" w:rsidRDefault="006054AA">
      <w:pPr>
        <w:spacing w:before="120" w:after="120"/>
        <w:ind w:left="709"/>
        <w:jc w:val="both"/>
        <w:rPr>
          <w:noProof/>
        </w:rPr>
      </w:pPr>
    </w:p>
    <w:p w14:paraId="35CC36F6" w14:textId="77777777" w:rsidR="006054AA" w:rsidRDefault="006054AA">
      <w:pPr>
        <w:spacing w:before="120" w:after="120"/>
        <w:ind w:left="709"/>
        <w:jc w:val="both"/>
        <w:rPr>
          <w:noProof/>
        </w:rPr>
        <w:sectPr w:rsidR="006054AA" w:rsidSect="000D3774">
          <w:headerReference w:type="even" r:id="rId212"/>
          <w:headerReference w:type="default" r:id="rId213"/>
          <w:footerReference w:type="even" r:id="rId214"/>
          <w:footerReference w:type="default" r:id="rId215"/>
          <w:headerReference w:type="first" r:id="rId216"/>
          <w:footerReference w:type="first" r:id="rId217"/>
          <w:pgSz w:w="16839" w:h="11907" w:orient="landscape"/>
          <w:pgMar w:top="1134" w:right="1134" w:bottom="1134" w:left="1134" w:header="567" w:footer="567" w:gutter="0"/>
          <w:cols w:space="720"/>
          <w:docGrid w:linePitch="360"/>
        </w:sectPr>
      </w:pPr>
    </w:p>
    <w:p w14:paraId="76654817" w14:textId="276FCCE1" w:rsidR="006054AA" w:rsidRDefault="001F7667">
      <w:pPr>
        <w:pStyle w:val="Heading3"/>
        <w:numPr>
          <w:ilvl w:val="0"/>
          <w:numId w:val="0"/>
        </w:numPr>
        <w:ind w:left="850" w:hanging="850"/>
        <w:rPr>
          <w:b/>
          <w:i w:val="0"/>
          <w:noProof/>
          <w:color w:val="4F81BD" w:themeColor="accent1"/>
          <w:u w:val="single"/>
        </w:rPr>
      </w:pPr>
      <w:r>
        <w:rPr>
          <w:b/>
          <w:i w:val="0"/>
          <w:noProof/>
          <w:u w:val="single"/>
          <w:lang w:val="bg-BG"/>
        </w:rPr>
        <w:t>И</w:t>
      </w:r>
      <w:r>
        <w:rPr>
          <w:b/>
          <w:i w:val="0"/>
          <w:noProof/>
          <w:u w:val="single"/>
        </w:rPr>
        <w:t xml:space="preserve">.3. </w:t>
      </w:r>
      <w:r>
        <w:rPr>
          <w:noProof/>
        </w:rPr>
        <w:tab/>
      </w:r>
      <w:r>
        <w:rPr>
          <w:b/>
          <w:i w:val="0"/>
          <w:noProof/>
          <w:u w:val="single"/>
        </w:rPr>
        <w:t xml:space="preserve">Описание на реформите и инвестициите за заема </w:t>
      </w:r>
    </w:p>
    <w:p w14:paraId="268B9A8F" w14:textId="77777777" w:rsidR="006054AA" w:rsidRDefault="001F7667">
      <w:pPr>
        <w:pStyle w:val="P68B1DB1-Normal2"/>
        <w:spacing w:before="120" w:after="120"/>
        <w:jc w:val="both"/>
        <w:rPr>
          <w:rFonts w:eastAsia="Calibri"/>
          <w:noProof/>
        </w:rPr>
      </w:pPr>
      <w:r>
        <w:rPr>
          <w:noProof/>
        </w:rPr>
        <w:t>Инвестиция 1.1: Зелени пристанища: интервенции в областта на енергията от възобновяеми източници и енергийната ефективност в пристанищата</w:t>
      </w:r>
    </w:p>
    <w:p w14:paraId="54B531B2" w14:textId="77777777" w:rsidR="006054AA" w:rsidRDefault="001F7667">
      <w:pPr>
        <w:spacing w:before="120" w:after="120"/>
        <w:jc w:val="both"/>
        <w:rPr>
          <w:rFonts w:eastAsia="Calibri"/>
          <w:noProof/>
        </w:rPr>
      </w:pPr>
      <w:r>
        <w:rPr>
          <w:noProof/>
        </w:rPr>
        <w:t>Основната цел на тази мярка е да се постигне намаляване на емисиите на CO2 и подобряване на качеството на въздуха в пристанищните градове чрез интервенции, насочени към енергийна ефективност и насърчаване на използването на енергия от възобновяеми източници в пристанищата. Целта е да се допринесе за намаляването на общите годишни емисии на CO2 в съответната пристанищна зона. Проектите трябва да бъдат избрани измежду тези, които отделните органи на пристанищната система са посочили в своите документи за екологично енергийно планиране на пристанищните системи (DEASP). Очаква се също така програмата „Зелени пристанища“ да постигне значително намаляване на други горивни замърсители, които са основната причина за влошаване на качеството на въздуха в пристанищните градове. Тази инвестиция включва закупуването на превозни средства и обслужващи плавателни съдове с нулеви емисии или преобразуването на превозни средства и сервизни лодки, работещи с изкопаеми горива, в такива с нулеви емисии.</w:t>
      </w:r>
    </w:p>
    <w:p w14:paraId="482956A6" w14:textId="77777777" w:rsidR="006054AA" w:rsidRDefault="001F7667">
      <w:pPr>
        <w:pStyle w:val="P68B1DB1-Normal2"/>
        <w:spacing w:before="120" w:after="120"/>
        <w:jc w:val="both"/>
        <w:rPr>
          <w:noProof/>
        </w:rPr>
      </w:pPr>
      <w:r>
        <w:rPr>
          <w:noProof/>
        </w:rPr>
        <w:t>Реформа 2.2: Създаване на национална цифрова логистична платформа с цел въвеждане на цифровизацията на услугите за превоз на товари и/или пътници</w:t>
      </w:r>
    </w:p>
    <w:p w14:paraId="74EDE6C2" w14:textId="77777777" w:rsidR="006054AA" w:rsidRDefault="001F7667">
      <w:pPr>
        <w:spacing w:before="120" w:after="120"/>
        <w:jc w:val="both"/>
        <w:rPr>
          <w:noProof/>
        </w:rPr>
      </w:pPr>
      <w:r>
        <w:rPr>
          <w:noProof/>
        </w:rPr>
        <w:t xml:space="preserve">Целта на реформата е общностните пристанищни системи на отделните пристанищни органи да станат оперативно съвместими с националната цифрова логистична платформа. </w:t>
      </w:r>
    </w:p>
    <w:p w14:paraId="65BA931D" w14:textId="1897FCB5" w:rsidR="006054AA" w:rsidRDefault="001F7667">
      <w:pPr>
        <w:pStyle w:val="Heading3"/>
        <w:numPr>
          <w:ilvl w:val="0"/>
          <w:numId w:val="0"/>
        </w:numPr>
        <w:ind w:left="850" w:hanging="850"/>
        <w:rPr>
          <w:b/>
          <w:i w:val="0"/>
          <w:noProof/>
          <w:u w:val="single"/>
        </w:rPr>
      </w:pPr>
      <w:r>
        <w:rPr>
          <w:b/>
          <w:i w:val="0"/>
          <w:noProof/>
          <w:u w:val="single"/>
          <w:lang w:val="bg-BG"/>
        </w:rPr>
        <w:t>И</w:t>
      </w:r>
      <w:r>
        <w:rPr>
          <w:b/>
          <w:i w:val="0"/>
          <w:noProof/>
          <w:u w:val="single"/>
        </w:rPr>
        <w:t xml:space="preserve">.4. </w:t>
      </w:r>
      <w:r>
        <w:rPr>
          <w:noProof/>
        </w:rPr>
        <w:tab/>
      </w:r>
      <w:r>
        <w:rPr>
          <w:b/>
          <w:i w:val="0"/>
          <w:noProof/>
          <w:u w:val="single"/>
        </w:rPr>
        <w:t xml:space="preserve">Ключови етапи, цели, показатели и график за мониторинг и изпълнение на заема </w:t>
      </w:r>
    </w:p>
    <w:p w14:paraId="41AABC71" w14:textId="77777777" w:rsidR="006054AA" w:rsidRDefault="006054AA">
      <w:pPr>
        <w:spacing w:before="120" w:after="120"/>
        <w:ind w:left="709"/>
        <w:contextualSpacing/>
        <w:jc w:val="both"/>
        <w:rPr>
          <w:noProof/>
        </w:rPr>
        <w:sectPr w:rsidR="006054AA" w:rsidSect="000D3774">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1275"/>
        <w:gridCol w:w="1418"/>
        <w:gridCol w:w="1559"/>
        <w:gridCol w:w="1276"/>
        <w:gridCol w:w="1276"/>
        <w:gridCol w:w="710"/>
        <w:gridCol w:w="708"/>
        <w:gridCol w:w="710"/>
        <w:gridCol w:w="3401"/>
      </w:tblGrid>
      <w:tr w:rsidR="006054AA" w14:paraId="04B470F0" w14:textId="77777777">
        <w:trPr>
          <w:trHeight w:val="939"/>
          <w:tblHeader/>
          <w:jc w:val="center"/>
        </w:trPr>
        <w:tc>
          <w:tcPr>
            <w:tcW w:w="1115" w:type="dxa"/>
            <w:vMerge w:val="restart"/>
            <w:shd w:val="clear" w:color="auto" w:fill="BDD7EE"/>
            <w:vAlign w:val="center"/>
            <w:hideMark/>
          </w:tcPr>
          <w:p w14:paraId="4E0C0D06" w14:textId="77777777" w:rsidR="006054AA" w:rsidRDefault="001F7667">
            <w:pPr>
              <w:pStyle w:val="P68B1DB1-Normal9"/>
              <w:jc w:val="center"/>
              <w:rPr>
                <w:noProof/>
              </w:rPr>
            </w:pPr>
            <w:r>
              <w:rPr>
                <w:noProof/>
              </w:rPr>
              <w:t>Пореден номер</w:t>
            </w:r>
          </w:p>
        </w:tc>
        <w:tc>
          <w:tcPr>
            <w:tcW w:w="1572" w:type="dxa"/>
            <w:vMerge w:val="restart"/>
            <w:shd w:val="clear" w:color="auto" w:fill="BDD7EE"/>
            <w:vAlign w:val="center"/>
            <w:hideMark/>
          </w:tcPr>
          <w:p w14:paraId="3F5C6E14" w14:textId="77777777" w:rsidR="006054AA" w:rsidRDefault="001F7667">
            <w:pPr>
              <w:pStyle w:val="P68B1DB1-Normal9"/>
              <w:jc w:val="center"/>
              <w:rPr>
                <w:noProof/>
              </w:rPr>
            </w:pPr>
            <w:r>
              <w:rPr>
                <w:noProof/>
              </w:rPr>
              <w:t>Свързана мярка (реформа или инвестиции)</w:t>
            </w:r>
          </w:p>
        </w:tc>
        <w:tc>
          <w:tcPr>
            <w:tcW w:w="1275" w:type="dxa"/>
            <w:vMerge w:val="restart"/>
            <w:shd w:val="clear" w:color="auto" w:fill="BDD7EE"/>
            <w:vAlign w:val="center"/>
            <w:hideMark/>
          </w:tcPr>
          <w:p w14:paraId="57F7D95E" w14:textId="77777777" w:rsidR="006054AA" w:rsidRDefault="001F7667">
            <w:pPr>
              <w:pStyle w:val="P68B1DB1-Normal9"/>
              <w:jc w:val="center"/>
              <w:rPr>
                <w:noProof/>
              </w:rPr>
            </w:pPr>
            <w:r>
              <w:rPr>
                <w:noProof/>
              </w:rPr>
              <w:t>Ключов етап/Цел</w:t>
            </w:r>
          </w:p>
        </w:tc>
        <w:tc>
          <w:tcPr>
            <w:tcW w:w="1418" w:type="dxa"/>
            <w:vMerge w:val="restart"/>
            <w:shd w:val="clear" w:color="auto" w:fill="BDD7EE"/>
            <w:vAlign w:val="center"/>
            <w:hideMark/>
          </w:tcPr>
          <w:p w14:paraId="5A5ADEC3" w14:textId="77777777" w:rsidR="006054AA" w:rsidRDefault="001F7667">
            <w:pPr>
              <w:pStyle w:val="P68B1DB1-Normal9"/>
              <w:jc w:val="center"/>
              <w:rPr>
                <w:noProof/>
              </w:rPr>
            </w:pPr>
            <w:r>
              <w:rPr>
                <w:noProof/>
              </w:rPr>
              <w:t>Име</w:t>
            </w:r>
          </w:p>
        </w:tc>
        <w:tc>
          <w:tcPr>
            <w:tcW w:w="1559" w:type="dxa"/>
            <w:vMerge w:val="restart"/>
            <w:shd w:val="clear" w:color="auto" w:fill="BDD7EE"/>
            <w:vAlign w:val="center"/>
            <w:hideMark/>
          </w:tcPr>
          <w:p w14:paraId="6B20C317"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262" w:type="dxa"/>
            <w:gridSpan w:val="3"/>
            <w:shd w:val="clear" w:color="auto" w:fill="BDD7EE"/>
            <w:vAlign w:val="center"/>
            <w:hideMark/>
          </w:tcPr>
          <w:p w14:paraId="62E94AE8"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418" w:type="dxa"/>
            <w:gridSpan w:val="2"/>
            <w:shd w:val="clear" w:color="auto" w:fill="BDD7EE"/>
            <w:vAlign w:val="center"/>
            <w:hideMark/>
          </w:tcPr>
          <w:p w14:paraId="2AEB825F" w14:textId="77777777" w:rsidR="006054AA" w:rsidRDefault="001F7667">
            <w:pPr>
              <w:pStyle w:val="P68B1DB1-Normal9"/>
              <w:jc w:val="center"/>
              <w:rPr>
                <w:noProof/>
              </w:rPr>
            </w:pPr>
            <w:r>
              <w:rPr>
                <w:noProof/>
              </w:rPr>
              <w:t xml:space="preserve">Примерен график за приключване </w:t>
            </w:r>
          </w:p>
        </w:tc>
        <w:tc>
          <w:tcPr>
            <w:tcW w:w="3401" w:type="dxa"/>
            <w:vMerge w:val="restart"/>
            <w:shd w:val="clear" w:color="auto" w:fill="BDD7EE"/>
            <w:vAlign w:val="center"/>
            <w:hideMark/>
          </w:tcPr>
          <w:p w14:paraId="27F5330E" w14:textId="77777777" w:rsidR="006054AA" w:rsidRDefault="001F7667">
            <w:pPr>
              <w:pStyle w:val="P68B1DB1-Normal9"/>
              <w:jc w:val="center"/>
              <w:rPr>
                <w:noProof/>
              </w:rPr>
            </w:pPr>
            <w:r>
              <w:rPr>
                <w:noProof/>
              </w:rPr>
              <w:t>Описание на всеки ключов етап и цел</w:t>
            </w:r>
          </w:p>
        </w:tc>
      </w:tr>
      <w:tr w:rsidR="006054AA" w14:paraId="02F8C243" w14:textId="77777777">
        <w:trPr>
          <w:trHeight w:val="1027"/>
          <w:jc w:val="center"/>
        </w:trPr>
        <w:tc>
          <w:tcPr>
            <w:tcW w:w="1115" w:type="dxa"/>
            <w:vMerge/>
            <w:vAlign w:val="center"/>
            <w:hideMark/>
          </w:tcPr>
          <w:p w14:paraId="195D5A4B" w14:textId="77777777" w:rsidR="006054AA" w:rsidRDefault="006054AA">
            <w:pPr>
              <w:rPr>
                <w:rFonts w:ascii="Arial Narrow" w:hAnsi="Arial Narrow"/>
                <w:b/>
                <w:noProof/>
                <w:sz w:val="20"/>
              </w:rPr>
            </w:pPr>
          </w:p>
        </w:tc>
        <w:tc>
          <w:tcPr>
            <w:tcW w:w="1572" w:type="dxa"/>
            <w:vMerge/>
            <w:vAlign w:val="center"/>
            <w:hideMark/>
          </w:tcPr>
          <w:p w14:paraId="2D5D9E14" w14:textId="77777777" w:rsidR="006054AA" w:rsidRDefault="006054AA">
            <w:pPr>
              <w:rPr>
                <w:rFonts w:ascii="Arial Narrow" w:hAnsi="Arial Narrow"/>
                <w:b/>
                <w:noProof/>
                <w:sz w:val="20"/>
              </w:rPr>
            </w:pPr>
          </w:p>
        </w:tc>
        <w:tc>
          <w:tcPr>
            <w:tcW w:w="1275" w:type="dxa"/>
            <w:vMerge/>
            <w:vAlign w:val="center"/>
            <w:hideMark/>
          </w:tcPr>
          <w:p w14:paraId="7B862CE5" w14:textId="77777777" w:rsidR="006054AA" w:rsidRDefault="006054AA">
            <w:pPr>
              <w:rPr>
                <w:rFonts w:ascii="Arial Narrow" w:hAnsi="Arial Narrow"/>
                <w:b/>
                <w:noProof/>
                <w:sz w:val="20"/>
              </w:rPr>
            </w:pPr>
          </w:p>
        </w:tc>
        <w:tc>
          <w:tcPr>
            <w:tcW w:w="1418" w:type="dxa"/>
            <w:vMerge/>
            <w:vAlign w:val="center"/>
            <w:hideMark/>
          </w:tcPr>
          <w:p w14:paraId="65753FE8" w14:textId="77777777" w:rsidR="006054AA" w:rsidRDefault="006054AA">
            <w:pPr>
              <w:rPr>
                <w:rFonts w:ascii="Arial Narrow" w:hAnsi="Arial Narrow"/>
                <w:b/>
                <w:noProof/>
                <w:sz w:val="20"/>
              </w:rPr>
            </w:pPr>
          </w:p>
        </w:tc>
        <w:tc>
          <w:tcPr>
            <w:tcW w:w="1559" w:type="dxa"/>
            <w:vMerge/>
            <w:vAlign w:val="center"/>
            <w:hideMark/>
          </w:tcPr>
          <w:p w14:paraId="5E2184B7" w14:textId="77777777" w:rsidR="006054AA" w:rsidRDefault="006054AA">
            <w:pPr>
              <w:rPr>
                <w:rFonts w:ascii="Arial Narrow" w:hAnsi="Arial Narrow"/>
                <w:b/>
                <w:noProof/>
                <w:sz w:val="20"/>
              </w:rPr>
            </w:pPr>
          </w:p>
        </w:tc>
        <w:tc>
          <w:tcPr>
            <w:tcW w:w="1276" w:type="dxa"/>
            <w:shd w:val="clear" w:color="auto" w:fill="BDD7EE"/>
            <w:vAlign w:val="center"/>
            <w:hideMark/>
          </w:tcPr>
          <w:p w14:paraId="46ED4DBA" w14:textId="77777777" w:rsidR="006054AA" w:rsidRDefault="001F7667">
            <w:pPr>
              <w:pStyle w:val="P68B1DB1-Normal9"/>
              <w:jc w:val="center"/>
              <w:rPr>
                <w:noProof/>
              </w:rPr>
            </w:pPr>
            <w:r>
              <w:rPr>
                <w:noProof/>
              </w:rPr>
              <w:t>Единица мярка</w:t>
            </w:r>
          </w:p>
        </w:tc>
        <w:tc>
          <w:tcPr>
            <w:tcW w:w="1276" w:type="dxa"/>
            <w:shd w:val="clear" w:color="auto" w:fill="BDD7EE"/>
            <w:vAlign w:val="center"/>
            <w:hideMark/>
          </w:tcPr>
          <w:p w14:paraId="18CBABF8" w14:textId="77777777" w:rsidR="006054AA" w:rsidRDefault="001F7667">
            <w:pPr>
              <w:pStyle w:val="P68B1DB1-Normal9"/>
              <w:jc w:val="center"/>
              <w:rPr>
                <w:noProof/>
              </w:rPr>
            </w:pPr>
            <w:r>
              <w:rPr>
                <w:noProof/>
              </w:rPr>
              <w:t xml:space="preserve">Базова линия </w:t>
            </w:r>
          </w:p>
        </w:tc>
        <w:tc>
          <w:tcPr>
            <w:tcW w:w="710" w:type="dxa"/>
            <w:shd w:val="clear" w:color="auto" w:fill="BDD7EE"/>
            <w:vAlign w:val="center"/>
            <w:hideMark/>
          </w:tcPr>
          <w:p w14:paraId="589102F0" w14:textId="77777777" w:rsidR="006054AA" w:rsidRDefault="001F7667">
            <w:pPr>
              <w:pStyle w:val="P68B1DB1-Normal9"/>
              <w:jc w:val="center"/>
              <w:rPr>
                <w:noProof/>
              </w:rPr>
            </w:pPr>
            <w:r>
              <w:rPr>
                <w:noProof/>
              </w:rPr>
              <w:t xml:space="preserve">Цел </w:t>
            </w:r>
          </w:p>
        </w:tc>
        <w:tc>
          <w:tcPr>
            <w:tcW w:w="708" w:type="dxa"/>
            <w:shd w:val="clear" w:color="auto" w:fill="BDD7EE"/>
            <w:vAlign w:val="center"/>
            <w:hideMark/>
          </w:tcPr>
          <w:p w14:paraId="4E2A93B8" w14:textId="77777777" w:rsidR="006054AA" w:rsidRDefault="001F7667">
            <w:pPr>
              <w:pStyle w:val="P68B1DB1-Normal9"/>
              <w:jc w:val="center"/>
              <w:rPr>
                <w:noProof/>
              </w:rPr>
            </w:pPr>
            <w:r>
              <w:rPr>
                <w:noProof/>
              </w:rPr>
              <w:t>Тримесечие</w:t>
            </w:r>
          </w:p>
        </w:tc>
        <w:tc>
          <w:tcPr>
            <w:tcW w:w="710" w:type="dxa"/>
            <w:shd w:val="clear" w:color="auto" w:fill="BDD7EE"/>
            <w:vAlign w:val="center"/>
            <w:hideMark/>
          </w:tcPr>
          <w:p w14:paraId="5271CE36" w14:textId="77777777" w:rsidR="006054AA" w:rsidRDefault="001F7667">
            <w:pPr>
              <w:pStyle w:val="P68B1DB1-Normal9"/>
              <w:jc w:val="center"/>
              <w:rPr>
                <w:noProof/>
              </w:rPr>
            </w:pPr>
            <w:r>
              <w:rPr>
                <w:noProof/>
              </w:rPr>
              <w:t>Година</w:t>
            </w:r>
          </w:p>
        </w:tc>
        <w:tc>
          <w:tcPr>
            <w:tcW w:w="3401" w:type="dxa"/>
            <w:vMerge/>
            <w:vAlign w:val="center"/>
            <w:hideMark/>
          </w:tcPr>
          <w:p w14:paraId="7300DBAF" w14:textId="77777777" w:rsidR="006054AA" w:rsidRDefault="006054AA">
            <w:pPr>
              <w:rPr>
                <w:rFonts w:ascii="Arial Narrow" w:hAnsi="Arial Narrow"/>
                <w:b/>
                <w:noProof/>
                <w:sz w:val="20"/>
              </w:rPr>
            </w:pPr>
          </w:p>
        </w:tc>
      </w:tr>
      <w:tr w:rsidR="006054AA" w14:paraId="72113879" w14:textId="77777777">
        <w:trPr>
          <w:trHeight w:val="313"/>
          <w:jc w:val="center"/>
        </w:trPr>
        <w:tc>
          <w:tcPr>
            <w:tcW w:w="1115" w:type="dxa"/>
            <w:shd w:val="clear" w:color="auto" w:fill="C6EFCE"/>
            <w:noWrap/>
            <w:vAlign w:val="center"/>
          </w:tcPr>
          <w:p w14:paraId="1C413738" w14:textId="77777777" w:rsidR="006054AA" w:rsidRDefault="001F7667">
            <w:pPr>
              <w:pStyle w:val="P68B1DB1-Normal11"/>
              <w:jc w:val="center"/>
              <w:rPr>
                <w:noProof/>
              </w:rPr>
            </w:pPr>
            <w:r>
              <w:rPr>
                <w:noProof/>
              </w:rPr>
              <w:t>M3C2—8</w:t>
            </w:r>
          </w:p>
        </w:tc>
        <w:tc>
          <w:tcPr>
            <w:tcW w:w="1572" w:type="dxa"/>
            <w:shd w:val="clear" w:color="auto" w:fill="C6EFCE"/>
            <w:noWrap/>
            <w:vAlign w:val="center"/>
          </w:tcPr>
          <w:p w14:paraId="0CF01FA3" w14:textId="77777777" w:rsidR="006054AA" w:rsidRDefault="001F7667">
            <w:pPr>
              <w:pStyle w:val="P68B1DB1-Normal11"/>
              <w:jc w:val="center"/>
              <w:rPr>
                <w:noProof/>
              </w:rPr>
            </w:pPr>
            <w:r>
              <w:rPr>
                <w:noProof/>
              </w:rPr>
              <w:t>Инвестиция 1.1: Зелени пристанища: интервенции в областта на енергията от възобновяеми източници и енергийната ефективност в пристанищата</w:t>
            </w:r>
          </w:p>
        </w:tc>
        <w:tc>
          <w:tcPr>
            <w:tcW w:w="1275" w:type="dxa"/>
            <w:shd w:val="clear" w:color="auto" w:fill="C6EFCE"/>
            <w:noWrap/>
            <w:vAlign w:val="center"/>
          </w:tcPr>
          <w:p w14:paraId="72FA74D9" w14:textId="77777777" w:rsidR="006054AA" w:rsidRDefault="001F7667">
            <w:pPr>
              <w:pStyle w:val="P68B1DB1-Normal11"/>
              <w:jc w:val="center"/>
              <w:rPr>
                <w:noProof/>
              </w:rPr>
            </w:pPr>
            <w:r>
              <w:rPr>
                <w:noProof/>
              </w:rPr>
              <w:t>Целеви</w:t>
            </w:r>
          </w:p>
        </w:tc>
        <w:tc>
          <w:tcPr>
            <w:tcW w:w="1418" w:type="dxa"/>
            <w:shd w:val="clear" w:color="auto" w:fill="C6EFCE"/>
            <w:noWrap/>
            <w:vAlign w:val="center"/>
          </w:tcPr>
          <w:p w14:paraId="0D61915C" w14:textId="77777777" w:rsidR="006054AA" w:rsidRDefault="001F7667">
            <w:pPr>
              <w:pStyle w:val="P68B1DB1-Normal11"/>
              <w:jc w:val="center"/>
              <w:rPr>
                <w:noProof/>
              </w:rPr>
            </w:pPr>
            <w:r>
              <w:rPr>
                <w:noProof/>
              </w:rPr>
              <w:t>Зелени пристанища: възлагане на строителни работи</w:t>
            </w:r>
          </w:p>
        </w:tc>
        <w:tc>
          <w:tcPr>
            <w:tcW w:w="1559" w:type="dxa"/>
            <w:shd w:val="clear" w:color="auto" w:fill="C6EFCE"/>
            <w:noWrap/>
            <w:vAlign w:val="center"/>
          </w:tcPr>
          <w:p w14:paraId="731238E1" w14:textId="77777777" w:rsidR="006054AA" w:rsidRDefault="001F7667">
            <w:pPr>
              <w:pStyle w:val="P68B1DB1-Normal11"/>
              <w:jc w:val="center"/>
              <w:rPr>
                <w:noProof/>
              </w:rPr>
            </w:pPr>
            <w:r>
              <w:rPr>
                <w:noProof/>
              </w:rPr>
              <w:t>НЯМА</w:t>
            </w:r>
          </w:p>
        </w:tc>
        <w:tc>
          <w:tcPr>
            <w:tcW w:w="1276" w:type="dxa"/>
            <w:shd w:val="clear" w:color="auto" w:fill="C6EFCE"/>
            <w:noWrap/>
            <w:vAlign w:val="center"/>
          </w:tcPr>
          <w:p w14:paraId="1D1D145D"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7FA2FABD" w14:textId="77777777" w:rsidR="006054AA" w:rsidRDefault="001F7667">
            <w:pPr>
              <w:pStyle w:val="P68B1DB1-Normal11"/>
              <w:jc w:val="center"/>
              <w:rPr>
                <w:noProof/>
              </w:rPr>
            </w:pPr>
            <w:r>
              <w:rPr>
                <w:noProof/>
              </w:rPr>
              <w:t>0</w:t>
            </w:r>
          </w:p>
        </w:tc>
        <w:tc>
          <w:tcPr>
            <w:tcW w:w="710" w:type="dxa"/>
            <w:shd w:val="clear" w:color="auto" w:fill="C6EFCE"/>
            <w:noWrap/>
            <w:vAlign w:val="center"/>
          </w:tcPr>
          <w:p w14:paraId="2A7A2563" w14:textId="77777777" w:rsidR="006054AA" w:rsidRDefault="001F7667">
            <w:pPr>
              <w:pStyle w:val="P68B1DB1-Normal11"/>
              <w:jc w:val="center"/>
              <w:rPr>
                <w:noProof/>
              </w:rPr>
            </w:pPr>
            <w:r>
              <w:rPr>
                <w:noProof/>
              </w:rPr>
              <w:t>7</w:t>
            </w:r>
          </w:p>
        </w:tc>
        <w:tc>
          <w:tcPr>
            <w:tcW w:w="708" w:type="dxa"/>
            <w:shd w:val="clear" w:color="auto" w:fill="C6EFCE"/>
            <w:noWrap/>
            <w:vAlign w:val="center"/>
          </w:tcPr>
          <w:p w14:paraId="2AF92334" w14:textId="77777777" w:rsidR="006054AA" w:rsidRDefault="001F7667">
            <w:pPr>
              <w:pStyle w:val="P68B1DB1-Normal11"/>
              <w:jc w:val="center"/>
              <w:rPr>
                <w:noProof/>
              </w:rPr>
            </w:pPr>
            <w:r>
              <w:rPr>
                <w:noProof/>
              </w:rPr>
              <w:t>Т4 Г.</w:t>
            </w:r>
          </w:p>
        </w:tc>
        <w:tc>
          <w:tcPr>
            <w:tcW w:w="710" w:type="dxa"/>
            <w:shd w:val="clear" w:color="auto" w:fill="C6EFCE"/>
            <w:noWrap/>
            <w:vAlign w:val="center"/>
          </w:tcPr>
          <w:p w14:paraId="32C84C5F" w14:textId="77777777" w:rsidR="006054AA" w:rsidRDefault="001F7667">
            <w:pPr>
              <w:pStyle w:val="P68B1DB1-Normal11"/>
              <w:jc w:val="center"/>
              <w:rPr>
                <w:noProof/>
              </w:rPr>
            </w:pPr>
            <w:r>
              <w:rPr>
                <w:noProof/>
              </w:rPr>
              <w:t>2022</w:t>
            </w:r>
          </w:p>
        </w:tc>
        <w:tc>
          <w:tcPr>
            <w:tcW w:w="3401" w:type="dxa"/>
            <w:shd w:val="clear" w:color="auto" w:fill="C6EFCE"/>
            <w:noWrap/>
            <w:vAlign w:val="center"/>
          </w:tcPr>
          <w:p w14:paraId="4926A11E" w14:textId="77777777" w:rsidR="006054AA" w:rsidRDefault="001F7667">
            <w:pPr>
              <w:pStyle w:val="P68B1DB1-Normal11"/>
              <w:jc w:val="both"/>
              <w:rPr>
                <w:noProof/>
              </w:rPr>
            </w:pPr>
            <w:r>
              <w:rPr>
                <w:noProof/>
              </w:rPr>
              <w:t xml:space="preserve">Възлагане на работите на поне седем органа на пристанищната система. Процедурата за подбор за възлагане на строителни работи включва следното: </w:t>
            </w:r>
          </w:p>
          <w:p w14:paraId="69FFD61C" w14:textId="77777777" w:rsidR="006054AA" w:rsidRDefault="006054AA">
            <w:pPr>
              <w:jc w:val="both"/>
              <w:rPr>
                <w:rFonts w:ascii="Arial Narrow" w:hAnsi="Arial Narrow"/>
                <w:noProof/>
                <w:color w:val="006100"/>
                <w:sz w:val="20"/>
              </w:rPr>
            </w:pPr>
          </w:p>
          <w:p w14:paraId="16C5E4B0" w14:textId="77777777" w:rsidR="006054AA" w:rsidRDefault="001F7667">
            <w:pPr>
              <w:pStyle w:val="P68B1DB1-Normal11"/>
              <w:jc w:val="both"/>
              <w:rPr>
                <w:noProof/>
              </w:rPr>
            </w:pPr>
            <w:r>
              <w:rPr>
                <w:noProof/>
              </w:rPr>
              <w:t>а) критерии за допустимост, които гарантират, че строителните работи отговарят на техническите насоки за ненанасяне на значителни вреди (2021/C58/01) и на съответното законодателство на ЕС и национално законодателство в областта на околната среда.</w:t>
            </w:r>
          </w:p>
          <w:p w14:paraId="40E2F8B9" w14:textId="77777777" w:rsidR="006054AA" w:rsidRDefault="006054AA">
            <w:pPr>
              <w:jc w:val="both"/>
              <w:rPr>
                <w:rFonts w:ascii="Arial Narrow" w:hAnsi="Arial Narrow"/>
                <w:noProof/>
                <w:color w:val="006100"/>
                <w:sz w:val="20"/>
              </w:rPr>
            </w:pPr>
          </w:p>
          <w:p w14:paraId="08750DD9" w14:textId="2FFFFD81" w:rsidR="006054AA" w:rsidRDefault="001F7667">
            <w:pPr>
              <w:pStyle w:val="P68B1DB1-Normal11"/>
              <w:jc w:val="both"/>
              <w:rPr>
                <w:noProof/>
              </w:rPr>
            </w:pPr>
            <w:r>
              <w:rPr>
                <w:noProof/>
              </w:rPr>
              <w:t>ангажимент, че приносът на инвестицията в областта на климата съгласно методиката в приложение VI към Регламент (ЕС) 2021/241 трябва да представлява най-малко 79 % от общите разходи за инвестицията, подкрепена от МВУ.</w:t>
            </w:r>
          </w:p>
          <w:p w14:paraId="0DA0EF83" w14:textId="0AAD1AB4" w:rsidR="006054AA" w:rsidRDefault="001F7667">
            <w:pPr>
              <w:pStyle w:val="P68B1DB1-Normal11"/>
              <w:jc w:val="both"/>
              <w:rPr>
                <w:noProof/>
              </w:rPr>
            </w:pPr>
            <w:r>
              <w:rPr>
                <w:noProof/>
              </w:rPr>
              <w:t>ангажимент за докладване относно изпълнението на мярката в средата на жизнения цикъл на схемата и края на схемата.</w:t>
            </w:r>
          </w:p>
        </w:tc>
      </w:tr>
      <w:tr w:rsidR="006054AA" w14:paraId="09891EA3" w14:textId="77777777">
        <w:trPr>
          <w:trHeight w:val="313"/>
          <w:jc w:val="center"/>
        </w:trPr>
        <w:tc>
          <w:tcPr>
            <w:tcW w:w="1115" w:type="dxa"/>
            <w:shd w:val="clear" w:color="auto" w:fill="C6EFCE"/>
            <w:noWrap/>
            <w:vAlign w:val="center"/>
          </w:tcPr>
          <w:p w14:paraId="19B06987" w14:textId="77777777" w:rsidR="006054AA" w:rsidRDefault="001F7667">
            <w:pPr>
              <w:pStyle w:val="P68B1DB1-Normal11"/>
              <w:jc w:val="center"/>
              <w:rPr>
                <w:noProof/>
              </w:rPr>
            </w:pPr>
            <w:r>
              <w:rPr>
                <w:noProof/>
              </w:rPr>
              <w:t>M3C2—9 </w:t>
            </w:r>
          </w:p>
        </w:tc>
        <w:tc>
          <w:tcPr>
            <w:tcW w:w="1572" w:type="dxa"/>
            <w:shd w:val="clear" w:color="auto" w:fill="C6EFCE"/>
            <w:noWrap/>
            <w:vAlign w:val="center"/>
          </w:tcPr>
          <w:p w14:paraId="1FCD255B" w14:textId="77777777" w:rsidR="006054AA" w:rsidRDefault="001F7667">
            <w:pPr>
              <w:pStyle w:val="P68B1DB1-Normal11"/>
              <w:jc w:val="center"/>
              <w:rPr>
                <w:noProof/>
              </w:rPr>
            </w:pPr>
            <w:r>
              <w:rPr>
                <w:noProof/>
              </w:rPr>
              <w:t>Инвестиция 1.1: Зелени пристанища: интервенции в областта на енергията от възобновяеми източници и енергийната ефективност в пристанищата </w:t>
            </w:r>
          </w:p>
        </w:tc>
        <w:tc>
          <w:tcPr>
            <w:tcW w:w="1275" w:type="dxa"/>
            <w:shd w:val="clear" w:color="auto" w:fill="C6EFCE"/>
            <w:noWrap/>
            <w:vAlign w:val="center"/>
          </w:tcPr>
          <w:p w14:paraId="1C1EC836" w14:textId="77777777" w:rsidR="006054AA" w:rsidRDefault="001F7667">
            <w:pPr>
              <w:pStyle w:val="P68B1DB1-Normal11"/>
              <w:jc w:val="center"/>
              <w:rPr>
                <w:noProof/>
              </w:rPr>
            </w:pPr>
            <w:r>
              <w:rPr>
                <w:noProof/>
              </w:rPr>
              <w:t>Целеви </w:t>
            </w:r>
          </w:p>
        </w:tc>
        <w:tc>
          <w:tcPr>
            <w:tcW w:w="1418" w:type="dxa"/>
            <w:shd w:val="clear" w:color="auto" w:fill="C6EFCE"/>
            <w:noWrap/>
            <w:vAlign w:val="center"/>
          </w:tcPr>
          <w:p w14:paraId="63F38347" w14:textId="77777777" w:rsidR="006054AA" w:rsidRDefault="001F7667">
            <w:pPr>
              <w:pStyle w:val="P68B1DB1-Normal5"/>
              <w:jc w:val="center"/>
              <w:rPr>
                <w:noProof/>
              </w:rPr>
            </w:pPr>
            <w:r>
              <w:rPr>
                <w:noProof/>
              </w:rPr>
              <w:t>Зелени пристанища: приключване на строителните работи </w:t>
            </w:r>
          </w:p>
        </w:tc>
        <w:tc>
          <w:tcPr>
            <w:tcW w:w="1559" w:type="dxa"/>
            <w:shd w:val="clear" w:color="auto" w:fill="C6EFCE"/>
            <w:noWrap/>
            <w:vAlign w:val="center"/>
          </w:tcPr>
          <w:p w14:paraId="10001576" w14:textId="77777777" w:rsidR="006054AA" w:rsidRDefault="001F7667">
            <w:pPr>
              <w:pStyle w:val="P68B1DB1-Normal11"/>
              <w:jc w:val="center"/>
              <w:rPr>
                <w:noProof/>
              </w:rPr>
            </w:pPr>
            <w:r>
              <w:rPr>
                <w:noProof/>
              </w:rPr>
              <w:t>Приключване на строителните работи </w:t>
            </w:r>
          </w:p>
        </w:tc>
        <w:tc>
          <w:tcPr>
            <w:tcW w:w="1276" w:type="dxa"/>
            <w:shd w:val="clear" w:color="auto" w:fill="C6EFCE"/>
            <w:noWrap/>
            <w:vAlign w:val="center"/>
          </w:tcPr>
          <w:p w14:paraId="6E43FB19" w14:textId="77777777" w:rsidR="006054AA" w:rsidRDefault="001F7667">
            <w:pPr>
              <w:pStyle w:val="P68B1DB1-Normal11"/>
              <w:jc w:val="center"/>
              <w:rPr>
                <w:noProof/>
              </w:rPr>
            </w:pPr>
            <w:r>
              <w:rPr>
                <w:noProof/>
              </w:rPr>
              <w:t>Брой</w:t>
            </w:r>
          </w:p>
        </w:tc>
        <w:tc>
          <w:tcPr>
            <w:tcW w:w="1276" w:type="dxa"/>
            <w:shd w:val="clear" w:color="auto" w:fill="C6EFCE"/>
            <w:noWrap/>
            <w:vAlign w:val="center"/>
          </w:tcPr>
          <w:p w14:paraId="4104E6DE" w14:textId="77777777" w:rsidR="006054AA" w:rsidRDefault="001F7667">
            <w:pPr>
              <w:pStyle w:val="P68B1DB1-Normal11"/>
              <w:jc w:val="center"/>
              <w:rPr>
                <w:noProof/>
              </w:rPr>
            </w:pPr>
            <w:r>
              <w:rPr>
                <w:noProof/>
              </w:rPr>
              <w:t>0</w:t>
            </w:r>
          </w:p>
        </w:tc>
        <w:tc>
          <w:tcPr>
            <w:tcW w:w="710" w:type="dxa"/>
            <w:shd w:val="clear" w:color="auto" w:fill="C6EFCE"/>
            <w:noWrap/>
            <w:vAlign w:val="center"/>
          </w:tcPr>
          <w:p w14:paraId="7419A4FE" w14:textId="1A9DC9A5" w:rsidR="006054AA" w:rsidRDefault="001F7667">
            <w:pPr>
              <w:pStyle w:val="P68B1DB1-Normal11"/>
              <w:jc w:val="center"/>
              <w:rPr>
                <w:noProof/>
              </w:rPr>
            </w:pPr>
            <w:r>
              <w:rPr>
                <w:noProof/>
              </w:rPr>
              <w:t>75</w:t>
            </w:r>
          </w:p>
        </w:tc>
        <w:tc>
          <w:tcPr>
            <w:tcW w:w="708" w:type="dxa"/>
            <w:shd w:val="clear" w:color="auto" w:fill="C6EFCE"/>
            <w:noWrap/>
            <w:vAlign w:val="center"/>
          </w:tcPr>
          <w:p w14:paraId="16DB9604" w14:textId="77777777" w:rsidR="006054AA" w:rsidRDefault="001F7667">
            <w:pPr>
              <w:pStyle w:val="P68B1DB1-Normal11"/>
              <w:jc w:val="center"/>
              <w:rPr>
                <w:noProof/>
              </w:rPr>
            </w:pPr>
            <w:r>
              <w:rPr>
                <w:noProof/>
              </w:rPr>
              <w:t>Т2 Г. </w:t>
            </w:r>
          </w:p>
        </w:tc>
        <w:tc>
          <w:tcPr>
            <w:tcW w:w="710" w:type="dxa"/>
            <w:shd w:val="clear" w:color="auto" w:fill="C6EFCE"/>
            <w:noWrap/>
            <w:vAlign w:val="center"/>
          </w:tcPr>
          <w:p w14:paraId="0116E71B" w14:textId="77777777" w:rsidR="006054AA" w:rsidRDefault="001F7667">
            <w:pPr>
              <w:pStyle w:val="P68B1DB1-Normal11"/>
              <w:jc w:val="center"/>
              <w:rPr>
                <w:noProof/>
              </w:rPr>
            </w:pPr>
            <w:r>
              <w:rPr>
                <w:noProof/>
              </w:rPr>
              <w:t>2026 </w:t>
            </w:r>
          </w:p>
        </w:tc>
        <w:tc>
          <w:tcPr>
            <w:tcW w:w="3401" w:type="dxa"/>
            <w:shd w:val="clear" w:color="auto" w:fill="C6EFCE"/>
            <w:noWrap/>
            <w:vAlign w:val="center"/>
          </w:tcPr>
          <w:p w14:paraId="66ACAD81" w14:textId="68596A04" w:rsidR="006054AA" w:rsidRDefault="001F7667">
            <w:pPr>
              <w:pStyle w:val="P68B1DB1-Normal11"/>
              <w:jc w:val="both"/>
              <w:rPr>
                <w:noProof/>
              </w:rPr>
            </w:pPr>
            <w:r>
              <w:rPr>
                <w:noProof/>
              </w:rPr>
              <w:t>Приключване на най-малко 75 проекта за пристанищните органи. Най-малко 79 % от общите инвестиционни разходи, направени по МВУ, се използват за дейности в подкрепа на целта в областта на климата съгласно методиката в приложение VI към Регламент (ЕС) 2021/241. </w:t>
            </w:r>
          </w:p>
        </w:tc>
      </w:tr>
      <w:tr w:rsidR="006054AA" w14:paraId="69642A35" w14:textId="77777777">
        <w:trPr>
          <w:trHeight w:val="313"/>
          <w:jc w:val="center"/>
        </w:trPr>
        <w:tc>
          <w:tcPr>
            <w:tcW w:w="1115" w:type="dxa"/>
            <w:shd w:val="clear" w:color="auto" w:fill="C6EFCE"/>
            <w:noWrap/>
            <w:vAlign w:val="center"/>
          </w:tcPr>
          <w:p w14:paraId="6C68F9F3" w14:textId="77777777" w:rsidR="006054AA" w:rsidRDefault="001F7667">
            <w:pPr>
              <w:pStyle w:val="P68B1DB1-Normal11"/>
              <w:jc w:val="center"/>
              <w:rPr>
                <w:noProof/>
              </w:rPr>
            </w:pPr>
            <w:r>
              <w:rPr>
                <w:noProof/>
              </w:rPr>
              <w:t>M3C2—10</w:t>
            </w:r>
          </w:p>
        </w:tc>
        <w:tc>
          <w:tcPr>
            <w:tcW w:w="1572" w:type="dxa"/>
            <w:shd w:val="clear" w:color="auto" w:fill="C6EFCE"/>
            <w:noWrap/>
            <w:vAlign w:val="center"/>
          </w:tcPr>
          <w:p w14:paraId="1249DBF6" w14:textId="77777777" w:rsidR="006054AA" w:rsidRDefault="001F7667">
            <w:pPr>
              <w:pStyle w:val="P68B1DB1-Normal11"/>
              <w:jc w:val="center"/>
              <w:rPr>
                <w:noProof/>
              </w:rPr>
            </w:pPr>
            <w:r>
              <w:rPr>
                <w:noProof/>
              </w:rPr>
              <w:t>Реформа 2.2: Създаване на национална цифрова логистична платформа с цел въвеждане на цифровизацията на услугите за превоз на товари и/или пътници</w:t>
            </w:r>
          </w:p>
        </w:tc>
        <w:tc>
          <w:tcPr>
            <w:tcW w:w="1275" w:type="dxa"/>
            <w:shd w:val="clear" w:color="auto" w:fill="C6EFCE"/>
            <w:noWrap/>
            <w:vAlign w:val="center"/>
          </w:tcPr>
          <w:p w14:paraId="3688296F" w14:textId="77777777" w:rsidR="006054AA" w:rsidRDefault="001F7667">
            <w:pPr>
              <w:pStyle w:val="P68B1DB1-Normal11"/>
              <w:jc w:val="center"/>
              <w:rPr>
                <w:noProof/>
              </w:rPr>
            </w:pPr>
            <w:r>
              <w:rPr>
                <w:noProof/>
              </w:rPr>
              <w:t>Ключов етап</w:t>
            </w:r>
          </w:p>
        </w:tc>
        <w:tc>
          <w:tcPr>
            <w:tcW w:w="1418" w:type="dxa"/>
            <w:shd w:val="clear" w:color="auto" w:fill="C6EFCE"/>
            <w:noWrap/>
            <w:vAlign w:val="center"/>
          </w:tcPr>
          <w:p w14:paraId="20AA6297" w14:textId="77777777" w:rsidR="006054AA" w:rsidRDefault="001F7667">
            <w:pPr>
              <w:pStyle w:val="P68B1DB1-Normal11"/>
              <w:jc w:val="center"/>
              <w:rPr>
                <w:noProof/>
              </w:rPr>
            </w:pPr>
            <w:r>
              <w:rPr>
                <w:noProof/>
              </w:rPr>
              <w:t xml:space="preserve">Национална платформа за цифрова логистика </w:t>
            </w:r>
          </w:p>
        </w:tc>
        <w:tc>
          <w:tcPr>
            <w:tcW w:w="1559" w:type="dxa"/>
            <w:shd w:val="clear" w:color="auto" w:fill="C6EFCE"/>
            <w:noWrap/>
            <w:vAlign w:val="center"/>
          </w:tcPr>
          <w:p w14:paraId="4394F779" w14:textId="215857AE" w:rsidR="006054AA" w:rsidRDefault="001F7667">
            <w:pPr>
              <w:pStyle w:val="P68B1DB1-Normal11"/>
              <w:jc w:val="center"/>
              <w:rPr>
                <w:noProof/>
              </w:rPr>
            </w:pPr>
            <w:r>
              <w:rPr>
                <w:noProof/>
              </w:rPr>
              <w:t xml:space="preserve">Разпоредба в правния акт, указваща влизането в сила на правния акт   </w:t>
            </w:r>
          </w:p>
        </w:tc>
        <w:tc>
          <w:tcPr>
            <w:tcW w:w="1276" w:type="dxa"/>
            <w:shd w:val="clear" w:color="auto" w:fill="C6EFCE"/>
            <w:noWrap/>
            <w:vAlign w:val="center"/>
          </w:tcPr>
          <w:p w14:paraId="44E6B4C6" w14:textId="77777777" w:rsidR="006054AA" w:rsidRDefault="001F7667">
            <w:pPr>
              <w:pStyle w:val="P68B1DB1-Normal11"/>
              <w:jc w:val="center"/>
              <w:rPr>
                <w:noProof/>
              </w:rPr>
            </w:pPr>
            <w:r>
              <w:rPr>
                <w:noProof/>
              </w:rPr>
              <w:t>НЯМА</w:t>
            </w:r>
          </w:p>
        </w:tc>
        <w:tc>
          <w:tcPr>
            <w:tcW w:w="1276" w:type="dxa"/>
            <w:shd w:val="clear" w:color="auto" w:fill="C6EFCE"/>
            <w:noWrap/>
            <w:vAlign w:val="center"/>
          </w:tcPr>
          <w:p w14:paraId="61B1E545" w14:textId="77777777" w:rsidR="006054AA" w:rsidRDefault="001F7667">
            <w:pPr>
              <w:pStyle w:val="P68B1DB1-Normal11"/>
              <w:jc w:val="center"/>
              <w:rPr>
                <w:noProof/>
              </w:rPr>
            </w:pPr>
            <w:r>
              <w:rPr>
                <w:noProof/>
              </w:rPr>
              <w:t>НЯМА</w:t>
            </w:r>
          </w:p>
        </w:tc>
        <w:tc>
          <w:tcPr>
            <w:tcW w:w="710" w:type="dxa"/>
            <w:shd w:val="clear" w:color="auto" w:fill="C6EFCE"/>
            <w:noWrap/>
            <w:vAlign w:val="center"/>
          </w:tcPr>
          <w:p w14:paraId="00B58401" w14:textId="77777777" w:rsidR="006054AA" w:rsidRDefault="001F7667">
            <w:pPr>
              <w:pStyle w:val="P68B1DB1-Normal11"/>
              <w:jc w:val="center"/>
              <w:rPr>
                <w:noProof/>
              </w:rPr>
            </w:pPr>
            <w:r>
              <w:rPr>
                <w:noProof/>
              </w:rPr>
              <w:t>НЯМА</w:t>
            </w:r>
          </w:p>
        </w:tc>
        <w:tc>
          <w:tcPr>
            <w:tcW w:w="708" w:type="dxa"/>
            <w:shd w:val="clear" w:color="auto" w:fill="C6EFCE"/>
            <w:noWrap/>
            <w:vAlign w:val="center"/>
          </w:tcPr>
          <w:p w14:paraId="4E95B81C" w14:textId="77777777" w:rsidR="006054AA" w:rsidRDefault="001F7667">
            <w:pPr>
              <w:pStyle w:val="P68B1DB1-Normal11"/>
              <w:jc w:val="center"/>
              <w:rPr>
                <w:noProof/>
              </w:rPr>
            </w:pPr>
            <w:r>
              <w:rPr>
                <w:noProof/>
              </w:rPr>
              <w:t>Т2 Г.</w:t>
            </w:r>
          </w:p>
        </w:tc>
        <w:tc>
          <w:tcPr>
            <w:tcW w:w="710" w:type="dxa"/>
            <w:shd w:val="clear" w:color="auto" w:fill="C6EFCE"/>
            <w:noWrap/>
            <w:vAlign w:val="center"/>
          </w:tcPr>
          <w:p w14:paraId="60C4E848" w14:textId="77777777" w:rsidR="006054AA" w:rsidRDefault="001F7667">
            <w:pPr>
              <w:pStyle w:val="P68B1DB1-Normal11"/>
              <w:jc w:val="center"/>
              <w:rPr>
                <w:noProof/>
              </w:rPr>
            </w:pPr>
            <w:r>
              <w:rPr>
                <w:noProof/>
              </w:rPr>
              <w:t>2024</w:t>
            </w:r>
          </w:p>
        </w:tc>
        <w:tc>
          <w:tcPr>
            <w:tcW w:w="3401" w:type="dxa"/>
            <w:shd w:val="clear" w:color="auto" w:fill="C6EFCE"/>
            <w:noWrap/>
            <w:vAlign w:val="center"/>
          </w:tcPr>
          <w:p w14:paraId="2735F172" w14:textId="3495E5FF" w:rsidR="006054AA" w:rsidRDefault="001F7667">
            <w:pPr>
              <w:pStyle w:val="P68B1DB1-Normal11"/>
              <w:jc w:val="both"/>
              <w:rPr>
                <w:noProof/>
              </w:rPr>
            </w:pPr>
            <w:r>
              <w:rPr>
                <w:noProof/>
              </w:rPr>
              <w:t>Влизане в сила на правен акт, с който се гарантира оперативната съвместимост на общностните пристанищни системи с Националната цифрова логистична платформа.</w:t>
            </w:r>
          </w:p>
          <w:p w14:paraId="1BE7EACF" w14:textId="77777777" w:rsidR="006054AA" w:rsidRDefault="006054AA">
            <w:pPr>
              <w:jc w:val="both"/>
              <w:rPr>
                <w:rFonts w:ascii="Arial Narrow" w:hAnsi="Arial Narrow"/>
                <w:noProof/>
                <w:color w:val="006100"/>
                <w:sz w:val="20"/>
              </w:rPr>
            </w:pPr>
          </w:p>
          <w:p w14:paraId="7D0FFCDA" w14:textId="0E2F3809" w:rsidR="006054AA" w:rsidRDefault="001F7667">
            <w:pPr>
              <w:pStyle w:val="P68B1DB1-Normal11"/>
              <w:jc w:val="both"/>
              <w:rPr>
                <w:noProof/>
              </w:rPr>
            </w:pPr>
            <w:r>
              <w:rPr>
                <w:noProof/>
              </w:rPr>
              <w:t>Освен това в правния акт се предвижда, че органите на пристанищната система са оборудвани със стандартни услуги за PCS (общностна пристанищна система), които са оперативно съвместими със съответните публични администрации и са съвместими с Регламент (ЕС) № 1056/2020 и с националната цифрова логистична платформа.</w:t>
            </w:r>
          </w:p>
        </w:tc>
      </w:tr>
    </w:tbl>
    <w:p w14:paraId="25E7BD3B" w14:textId="77777777" w:rsidR="006054AA" w:rsidRDefault="006054AA">
      <w:pPr>
        <w:tabs>
          <w:tab w:val="left" w:pos="4252"/>
        </w:tabs>
        <w:rPr>
          <w:i/>
          <w:noProof/>
        </w:rPr>
        <w:sectPr w:rsidR="006054AA" w:rsidSect="0000421C">
          <w:headerReference w:type="even" r:id="rId224"/>
          <w:headerReference w:type="default" r:id="rId225"/>
          <w:footerReference w:type="even" r:id="rId226"/>
          <w:footerReference w:type="default" r:id="rId227"/>
          <w:headerReference w:type="first" r:id="rId228"/>
          <w:footerReference w:type="first" r:id="rId229"/>
          <w:pgSz w:w="16839" w:h="11907" w:orient="landscape"/>
          <w:pgMar w:top="1440" w:right="1440" w:bottom="1440" w:left="1440" w:header="567" w:footer="567" w:gutter="0"/>
          <w:cols w:space="720"/>
          <w:docGrid w:linePitch="360"/>
        </w:sectPr>
      </w:pPr>
    </w:p>
    <w:p w14:paraId="5D38FC50" w14:textId="3FE440FA" w:rsidR="006054AA" w:rsidRDefault="001F7667">
      <w:pPr>
        <w:pStyle w:val="Heading2"/>
        <w:numPr>
          <w:ilvl w:val="1"/>
          <w:numId w:val="0"/>
        </w:numPr>
        <w:ind w:left="850" w:hanging="850"/>
        <w:rPr>
          <w:noProof/>
        </w:rPr>
      </w:pPr>
      <w:r>
        <w:rPr>
          <w:noProof/>
        </w:rPr>
        <w:t xml:space="preserve">МИСИЯ 4, КОМПОНЕНТ 1: Засилване на предоставянето на образователни услуги: от детски градини до университети </w:t>
      </w:r>
    </w:p>
    <w:p w14:paraId="6E346CCA" w14:textId="77777777" w:rsidR="006054AA" w:rsidRDefault="001F7667">
      <w:pPr>
        <w:spacing w:before="120" w:after="120"/>
        <w:jc w:val="both"/>
        <w:rPr>
          <w:noProof/>
        </w:rPr>
      </w:pPr>
      <w:r>
        <w:rPr>
          <w:noProof/>
        </w:rPr>
        <w:t xml:space="preserve">Този компонент на италианския план за възстановяване и устойчивост включва четири области на намеса: подобряване на качеството и количествено разширяване на услугите в областта на образованието и обучението — от детските градини до университетите; II) реформа на учителската професия, особено по отношение на процесите на набиране и обучение, с цел повишаване на уменията на преподавателите и преодоляване на териториалните несъответствия; III) повишаване на квалификацията и модернизиране на инфраструктурата с цел подобряване на цифровите технологии, науката, технологиите, инженерството и математиката (НТИМ) и преподаването на многоезичие, като същевременно се подобряват сигурността на училищните сгради и енергийната ефективност; IV) Реформа на групите степени, която дава възможност за програми за придобиване на степени и докторантура с цел насърчаване на приложните научни изследвания и увеличаване на броя на стипендиите за докторантура. </w:t>
      </w:r>
    </w:p>
    <w:p w14:paraId="6C3E7884" w14:textId="77777777" w:rsidR="006054AA" w:rsidRDefault="001F7667">
      <w:pPr>
        <w:spacing w:before="120" w:after="120"/>
        <w:jc w:val="both"/>
        <w:rPr>
          <w:noProof/>
        </w:rPr>
      </w:pPr>
      <w:r>
        <w:rPr>
          <w:noProof/>
        </w:rPr>
        <w:t xml:space="preserve">Мерките по този компонент са насочени към преодоляване на слабостите на италианската система за образование, обучение и научни изследвания с цел подобряване на резултатите от образованието и пригодността за заетост на италианските студенти. </w:t>
      </w:r>
    </w:p>
    <w:p w14:paraId="763BBCB1" w14:textId="450E0BDE" w:rsidR="006054AA" w:rsidRDefault="001F7667">
      <w:pPr>
        <w:spacing w:before="120" w:after="120"/>
        <w:jc w:val="both"/>
        <w:rPr>
          <w:noProof/>
        </w:rPr>
      </w:pPr>
      <w:r>
        <w:rPr>
          <w:noProof/>
        </w:rPr>
        <w:t>Инвестициите и реформите по този компонент допринасят за изпълнението на специфичните за всяка държава препоръки, отправени към Италия през 2020 г. и 2019 г., относно необходимостта от „подкрепа за участието на жените на пазара на труда чрез всеобхватна стратегия, включително чрез достъп до качествени грижи за децата „(специфични за държавата препоръки 2 и 2019), „подобряване на образователните резултати, включително чрез подходящи и целенасочени инвестиции, и насърчаване на повишаването на квалификацията, включително чрез укрепване на цифровите умения„(специфични за държавата препоръки 2 и 2019), „насърчаване на научните изследвания и иновациите „(специфични за държавата препоръки 3 и 2019), „укрепване на дистанционното обучение и уменията, включително цифровите умения“ (специфични за държавата препоръки 2 и 2020).</w:t>
      </w:r>
    </w:p>
    <w:p w14:paraId="6CC2BEA5" w14:textId="77777777" w:rsidR="006054AA" w:rsidRDefault="001F7667">
      <w:pPr>
        <w:pStyle w:val="Heading3"/>
        <w:numPr>
          <w:ilvl w:val="0"/>
          <w:numId w:val="0"/>
        </w:numPr>
        <w:ind w:left="850" w:hanging="850"/>
        <w:rPr>
          <w:b/>
          <w:i w:val="0"/>
          <w:noProof/>
          <w:u w:val="single"/>
        </w:rPr>
      </w:pPr>
      <w:r>
        <w:rPr>
          <w:b/>
          <w:i w:val="0"/>
          <w:noProof/>
          <w:u w:val="single"/>
        </w:rPr>
        <w:t xml:space="preserve">Й.1. </w:t>
      </w:r>
      <w:r>
        <w:rPr>
          <w:noProof/>
        </w:rPr>
        <w:tab/>
      </w:r>
      <w:r>
        <w:rPr>
          <w:b/>
          <w:i w:val="0"/>
          <w:noProof/>
          <w:u w:val="single"/>
        </w:rPr>
        <w:t>Описание на реформите и инвестициите за безвъзмездна финансова подкрепа</w:t>
      </w:r>
    </w:p>
    <w:p w14:paraId="7C9633F2" w14:textId="77777777" w:rsidR="006054AA" w:rsidRDefault="001F7667">
      <w:pPr>
        <w:pStyle w:val="P68B1DB1-Normal2"/>
        <w:spacing w:before="120" w:after="120"/>
        <w:jc w:val="both"/>
        <w:rPr>
          <w:noProof/>
        </w:rPr>
      </w:pPr>
      <w:r>
        <w:rPr>
          <w:noProof/>
        </w:rPr>
        <w:t xml:space="preserve">Инвестиция 1.1: План за детски градини и предучилищни заведения и услуги за образование и грижи в ранна детска възраст </w:t>
      </w:r>
    </w:p>
    <w:p w14:paraId="2953CE0A" w14:textId="77777777" w:rsidR="006054AA" w:rsidRDefault="001F7667">
      <w:pPr>
        <w:spacing w:before="120" w:after="120"/>
        <w:jc w:val="both"/>
        <w:rPr>
          <w:noProof/>
        </w:rPr>
      </w:pPr>
      <w:r>
        <w:rPr>
          <w:noProof/>
        </w:rPr>
        <w:t>Инвестиционният план за възрастовата група 0—6 години е насочен към увеличаване на предлагането на детски заведения чрез изграждане, обновяване и гарантиране на безопасността на детските ясли и предучилищните заведения, за да се осигури увеличаване на предлагането на образование и на наличните слотове за възрастовата група 0—6 години и по този начин да се подобри качеството на преподаването. Очаква се мярката да насърчи участието на жените на пазара на труда и да подпомогне лицата, полагащи грижи, при съвместяването на семейния и професионалния живот</w:t>
      </w:r>
      <w:r>
        <w:rPr>
          <w:noProof/>
          <w:color w:val="006100"/>
        </w:rPr>
        <w:t>.</w:t>
      </w:r>
    </w:p>
    <w:p w14:paraId="13B60EE9" w14:textId="5D18E148" w:rsidR="006054AA" w:rsidRDefault="001F7667">
      <w:pPr>
        <w:spacing w:before="120" w:after="120"/>
        <w:jc w:val="both"/>
        <w:rPr>
          <w:noProof/>
          <w:color w:val="006100"/>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63"/>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64"/>
      </w:r>
      <w:r>
        <w:rPr>
          <w:noProof/>
        </w:rPr>
        <w:t>; III) дейности, свързани с депа за отпадъци, инсинератори</w:t>
      </w:r>
      <w:r>
        <w:rPr>
          <w:rStyle w:val="FootnoteReference"/>
          <w:noProof/>
        </w:rPr>
        <w:footnoteReference w:id="65"/>
      </w:r>
      <w:r>
        <w:rPr>
          <w:noProof/>
        </w:rPr>
        <w:t xml:space="preserve"> и инсталации за механично-биологично третиране</w:t>
      </w:r>
      <w:r>
        <w:rPr>
          <w:rStyle w:val="FootnoteReference"/>
          <w:noProof/>
        </w:rPr>
        <w:footnoteReference w:id="66"/>
      </w:r>
      <w:r>
        <w:rPr>
          <w:noProof/>
        </w:rPr>
        <w:t>; и iv) дейности, при които дългосрочното обезвреждане на отпадъци може да причини вреда на околната среда. В заданието се изисква освен това да се избират само дейности, които са в съответствие със съответното законодателство на ЕС и национално законодателство в областта на околната среда.</w:t>
      </w:r>
    </w:p>
    <w:p w14:paraId="4A66AEE0" w14:textId="77777777" w:rsidR="006054AA" w:rsidRDefault="001F7667">
      <w:pPr>
        <w:pStyle w:val="P68B1DB1-Normal2"/>
        <w:spacing w:before="120" w:after="120"/>
        <w:jc w:val="both"/>
        <w:rPr>
          <w:noProof/>
        </w:rPr>
      </w:pPr>
      <w:r>
        <w:rPr>
          <w:noProof/>
        </w:rPr>
        <w:t>Инвестиция 1.2: План за продължаване на работата на пълно работно време</w:t>
      </w:r>
    </w:p>
    <w:p w14:paraId="6A52E7DD" w14:textId="08F79635" w:rsidR="006054AA" w:rsidRDefault="001F7667">
      <w:pPr>
        <w:spacing w:before="120" w:after="120"/>
        <w:jc w:val="both"/>
        <w:rPr>
          <w:noProof/>
        </w:rPr>
      </w:pPr>
      <w:r>
        <w:rPr>
          <w:noProof/>
        </w:rPr>
        <w:t>Целта на мярката е да се финансира удължаването на училищното време, за да се увеличи предлагането на образование от училищата и те да станат отворени за територията извън учебните часове. Мярката предвижда изграждането или обновяването на помещения за столови за най-малко 1</w:t>
      </w:r>
      <w:r>
        <w:rPr>
          <w:rFonts w:ascii="Arial Narrow" w:hAnsi="Arial Narrow"/>
          <w:noProof/>
          <w:color w:val="006100"/>
          <w:sz w:val="20"/>
        </w:rPr>
        <w:t xml:space="preserve"> </w:t>
      </w:r>
      <w:r>
        <w:rPr>
          <w:noProof/>
        </w:rPr>
        <w:t>000 постройки, за да се даде възможност за удължаване на училищното време. Удължените учебни часове се очаква да окажат положително въздействие върху борбата с преждевременното напускане на училище.</w:t>
      </w:r>
    </w:p>
    <w:p w14:paraId="09960A04" w14:textId="77777777" w:rsidR="006054AA" w:rsidRDefault="001F7667">
      <w:pPr>
        <w:pStyle w:val="P68B1DB1-Normal2"/>
        <w:spacing w:before="120" w:after="120"/>
        <w:jc w:val="both"/>
        <w:rPr>
          <w:noProof/>
        </w:rPr>
      </w:pPr>
      <w:r>
        <w:rPr>
          <w:noProof/>
        </w:rPr>
        <w:t>Инвестиция 1.3: План за подобряване на училищната спортна инфраструктура</w:t>
      </w:r>
    </w:p>
    <w:p w14:paraId="5C0AF12D" w14:textId="77777777" w:rsidR="006054AA" w:rsidRDefault="001F7667">
      <w:pPr>
        <w:spacing w:before="120" w:after="120"/>
        <w:jc w:val="both"/>
        <w:rPr>
          <w:noProof/>
        </w:rPr>
      </w:pPr>
      <w:r>
        <w:rPr>
          <w:noProof/>
        </w:rPr>
        <w:t>Мярката има за цел укрепване на спортната инфраструктура и насърчаване на спортните дейности. Очаква се засилването на спортната дейност да се бори с преждевременното напускане на училище, да засили социалното приобщаване и да укрепи личните способности.</w:t>
      </w:r>
    </w:p>
    <w:p w14:paraId="02A24477" w14:textId="4A5C3F0E" w:rsidR="006054AA" w:rsidRDefault="001F7667">
      <w:pPr>
        <w:spacing w:before="120" w:after="120"/>
        <w:jc w:val="both"/>
        <w:rPr>
          <w:noProof/>
          <w:color w:val="006100"/>
        </w:rPr>
      </w:pPr>
      <w:r>
        <w:rPr>
          <w:noProof/>
        </w:rPr>
        <w:t>Инвестицията следва да модернизира спортните съоръжения и зали, прикрепени към училищата, за да се гарантира увеличаване на предлагането на образование и да се насърчи увеличаването на училищното време. 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67"/>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68"/>
      </w:r>
      <w:r>
        <w:rPr>
          <w:noProof/>
        </w:rPr>
        <w:t>; III) дейности, свързани с депа за отпадъци, инсинератори</w:t>
      </w:r>
      <w:r>
        <w:rPr>
          <w:rStyle w:val="FootnoteReference"/>
          <w:noProof/>
        </w:rPr>
        <w:footnoteReference w:id="69"/>
      </w:r>
      <w:r>
        <w:rPr>
          <w:noProof/>
        </w:rPr>
        <w:t xml:space="preserve"> и инсталации за механично-биологично третиране</w:t>
      </w:r>
      <w:r>
        <w:rPr>
          <w:rStyle w:val="FootnoteReference"/>
          <w:noProof/>
        </w:rPr>
        <w:footnoteReference w:id="70"/>
      </w:r>
      <w:r>
        <w:rPr>
          <w:noProof/>
        </w:rPr>
        <w:t>; и iv) дейности, при които дългосрочното обезвреждане на отпадъци може да причини вреда на околната среда. В заданието се изисква освен това да се избират само дейности, които са в съответствие със съответното законодателство на ЕС и национално законодателство в областта на околната среда.</w:t>
      </w:r>
    </w:p>
    <w:p w14:paraId="26293C55" w14:textId="77777777" w:rsidR="006054AA" w:rsidRDefault="001F7667">
      <w:pPr>
        <w:pStyle w:val="P68B1DB1-Normal2"/>
        <w:spacing w:before="120" w:after="120"/>
        <w:jc w:val="both"/>
        <w:rPr>
          <w:noProof/>
        </w:rPr>
      </w:pPr>
      <w:r>
        <w:rPr>
          <w:noProof/>
        </w:rPr>
        <w:t>Инвестиция 1.4: Извънредна намеса, насочена към намаляване на териториалните различия в първия и втория цикъл на средното образование и към справяне с преждевременното напускане на училище</w:t>
      </w:r>
    </w:p>
    <w:p w14:paraId="16FC5E14" w14:textId="3E34C7DA" w:rsidR="006054AA" w:rsidRDefault="001F7667">
      <w:pPr>
        <w:spacing w:before="120" w:after="120"/>
        <w:jc w:val="both"/>
        <w:rPr>
          <w:noProof/>
        </w:rPr>
      </w:pPr>
      <w:r>
        <w:rPr>
          <w:noProof/>
        </w:rPr>
        <w:t>Мярката има за цел да гарантира на студентите адекватни основни умения, включително чрез разработването на единен национален портал за онлайн обучение. Особено внимание се обръща на училищата, които са изпитали по-големи трудности по отношение на изпълнението чрез адаптиране на интервенциите към нуждите на учениците — когато училищният мениджър се намесва с външни наставници, както и, в най-критичните случаи, наличието на поне един допълнителен екип за всеки предмет (италиански, математически и английски) и в продължение на най-малко две години. Инвестицията насърчава изпълнението на дейности по наставничество за най-малко 820</w:t>
      </w:r>
      <w:r>
        <w:rPr>
          <w:rFonts w:ascii="Arial Narrow" w:hAnsi="Arial Narrow"/>
          <w:noProof/>
          <w:color w:val="006100"/>
          <w:sz w:val="20"/>
        </w:rPr>
        <w:t xml:space="preserve"> </w:t>
      </w:r>
      <w:r>
        <w:rPr>
          <w:noProof/>
        </w:rPr>
        <w:t>000 млади хора, изложени на риск от преждевременно напускане на училище, и за млади хора, които вече са напуснали училище. В него се предвижда използването на онлайн платформа за дейности по наставничество и обучение.</w:t>
      </w:r>
    </w:p>
    <w:p w14:paraId="448CBA6B" w14:textId="1E2AA3F0" w:rsidR="006054AA" w:rsidRDefault="001F7667">
      <w:pPr>
        <w:spacing w:before="120" w:after="120"/>
        <w:jc w:val="both"/>
        <w:rPr>
          <w:noProof/>
        </w:rPr>
      </w:pPr>
      <w:r>
        <w:rPr>
          <w:noProof/>
        </w:rPr>
        <w:t xml:space="preserve">Очаква се интервенцията да насърчи равенството между половете и да допринесе за преодоляване на неравенствата, включително териториалните различия, по отношение на достъпа до образование. </w:t>
      </w:r>
    </w:p>
    <w:p w14:paraId="65D8790E" w14:textId="77777777" w:rsidR="006054AA" w:rsidRDefault="001F7667">
      <w:pPr>
        <w:pStyle w:val="P68B1DB1-Normal2"/>
        <w:spacing w:before="120" w:after="120"/>
        <w:jc w:val="both"/>
        <w:rPr>
          <w:noProof/>
        </w:rPr>
      </w:pPr>
      <w:r>
        <w:rPr>
          <w:noProof/>
        </w:rPr>
        <w:t>Реформа 1.1: Реформа на техническите и професионалните институти</w:t>
      </w:r>
    </w:p>
    <w:p w14:paraId="38B08B6E" w14:textId="18C6BC12" w:rsidR="006054AA" w:rsidRDefault="001F7667">
      <w:pPr>
        <w:spacing w:before="120" w:after="120"/>
        <w:jc w:val="both"/>
        <w:rPr>
          <w:noProof/>
        </w:rPr>
      </w:pPr>
      <w:r>
        <w:rPr>
          <w:noProof/>
        </w:rPr>
        <w:t>Реформата има за цел да приведе учебните програми на техническите и професионалните институти в съответствие с компетентностите, необходими на италианската производствена система, включително на местно равнище. По-специално реформата ще приведе техническото и професионалното образование в съответствие с „Промишленост 4.0“ и възприемането на цифровите иновации.</w:t>
      </w:r>
    </w:p>
    <w:p w14:paraId="67E1DEEA" w14:textId="77777777" w:rsidR="006054AA" w:rsidRDefault="001F7667">
      <w:pPr>
        <w:pStyle w:val="P68B1DB1-Normal2"/>
        <w:spacing w:before="120" w:after="120"/>
        <w:jc w:val="both"/>
        <w:rPr>
          <w:noProof/>
        </w:rPr>
      </w:pPr>
      <w:r>
        <w:rPr>
          <w:noProof/>
        </w:rPr>
        <w:t>Реформа 1.2: Реформа на висшето професионално обучение (ИТС)</w:t>
      </w:r>
    </w:p>
    <w:p w14:paraId="5F319CAF" w14:textId="77777777" w:rsidR="006054AA" w:rsidRDefault="001F7667">
      <w:pPr>
        <w:spacing w:before="120" w:after="120"/>
        <w:jc w:val="both"/>
        <w:rPr>
          <w:noProof/>
        </w:rPr>
      </w:pPr>
      <w:r>
        <w:rPr>
          <w:noProof/>
        </w:rPr>
        <w:t xml:space="preserve">Реформата има за цел да укрепи системата за висше професионално обучение чрез опростяване на управлението на ИТС, за да се увеличи броят на институтите и записванията с оглед на местната територия. </w:t>
      </w:r>
    </w:p>
    <w:p w14:paraId="0A0BD6FB" w14:textId="2B6F151D" w:rsidR="006054AA" w:rsidRDefault="001F7667">
      <w:pPr>
        <w:spacing w:before="120" w:after="120"/>
        <w:jc w:val="both"/>
        <w:rPr>
          <w:noProof/>
        </w:rPr>
      </w:pPr>
      <w:r>
        <w:rPr>
          <w:noProof/>
        </w:rPr>
        <w:t xml:space="preserve">Очаква се реформата да преодолее несъответствието между търсенето и предлагането на работна ръка. </w:t>
      </w:r>
    </w:p>
    <w:p w14:paraId="034317E1" w14:textId="77777777" w:rsidR="006054AA" w:rsidRDefault="001F7667">
      <w:pPr>
        <w:pStyle w:val="P68B1DB1-Normal2"/>
        <w:spacing w:before="120" w:after="120"/>
        <w:jc w:val="both"/>
        <w:rPr>
          <w:noProof/>
        </w:rPr>
      </w:pPr>
      <w:r>
        <w:rPr>
          <w:noProof/>
        </w:rPr>
        <w:t>Инвестиция 1.5: Развитие на системата за висше професионално обучение (ИТС)</w:t>
      </w:r>
    </w:p>
    <w:p w14:paraId="3FF7CB29" w14:textId="77777777" w:rsidR="006054AA" w:rsidRDefault="001F7667">
      <w:pPr>
        <w:spacing w:before="120" w:after="120"/>
        <w:jc w:val="both"/>
        <w:rPr>
          <w:noProof/>
        </w:rPr>
      </w:pPr>
      <w:r>
        <w:rPr>
          <w:noProof/>
        </w:rPr>
        <w:t xml:space="preserve">Мярката допълва реформа 1.2 — Реформа на висшето професионално обучение — за засилване на предлагането на образование от институтите за професионално обучение (ИТС). Тя допринася за увеличаване на предлагането на образование от страна на институтите за професионално обучение и за увеличаване на участието на предприятията в образователните процеси с цел по-добра връзка с мрежата от предприемачи. Очаква се също така мярката да намали младежката безработица чрез преодоляване на несъответствията между търсенето и предлагането на умения. </w:t>
      </w:r>
    </w:p>
    <w:p w14:paraId="60E62CD8" w14:textId="47A8E0BA" w:rsidR="006054AA" w:rsidRDefault="001F7667">
      <w:pPr>
        <w:spacing w:before="120" w:after="120"/>
        <w:jc w:val="both"/>
        <w:rPr>
          <w:noProof/>
        </w:rPr>
      </w:pPr>
      <w:r>
        <w:rPr>
          <w:noProof/>
        </w:rPr>
        <w:t xml:space="preserve">С инвестицията се увеличава броят на студентите, записани в курсове по ИТС, и се укрепват лабораторните структури (въвеждане на иновативни технологии 4.0), като същевременно се инвестира в уменията на учителите. Предвижда се активирането на национална цифрова платформа, която позволява на студентите да се запознаят с предложенията за работа за тези, които получават професионална квалификация. </w:t>
      </w:r>
    </w:p>
    <w:p w14:paraId="7953385A" w14:textId="77777777" w:rsidR="006054AA" w:rsidRDefault="001F7667">
      <w:pPr>
        <w:pStyle w:val="P68B1DB1-Normal2"/>
        <w:spacing w:before="120" w:after="120"/>
        <w:jc w:val="both"/>
        <w:rPr>
          <w:noProof/>
        </w:rPr>
      </w:pPr>
      <w:r>
        <w:rPr>
          <w:noProof/>
        </w:rPr>
        <w:t>Реформа 1.3: Реорганизация на училищната система</w:t>
      </w:r>
    </w:p>
    <w:p w14:paraId="08A5C564" w14:textId="77777777" w:rsidR="006054AA" w:rsidRDefault="001F7667">
      <w:pPr>
        <w:spacing w:before="120" w:after="120"/>
        <w:jc w:val="both"/>
        <w:rPr>
          <w:noProof/>
        </w:rPr>
      </w:pPr>
      <w:r>
        <w:rPr>
          <w:noProof/>
        </w:rPr>
        <w:t xml:space="preserve">Целта на реформата е двойна: </w:t>
      </w:r>
    </w:p>
    <w:p w14:paraId="5A9247FF" w14:textId="77777777" w:rsidR="006054AA" w:rsidRDefault="001F7667">
      <w:pPr>
        <w:pStyle w:val="ListParagraph"/>
        <w:numPr>
          <w:ilvl w:val="0"/>
          <w:numId w:val="57"/>
        </w:numPr>
        <w:ind w:left="360"/>
        <w:rPr>
          <w:noProof/>
        </w:rPr>
      </w:pPr>
      <w:r>
        <w:rPr>
          <w:noProof/>
        </w:rPr>
        <w:t xml:space="preserve">Коригиране на броя на учениците в клас. </w:t>
      </w:r>
    </w:p>
    <w:p w14:paraId="38E0E418" w14:textId="77777777" w:rsidR="006054AA" w:rsidRDefault="001F7667">
      <w:pPr>
        <w:spacing w:before="120" w:after="120"/>
        <w:jc w:val="both"/>
        <w:rPr>
          <w:noProof/>
        </w:rPr>
      </w:pPr>
      <w:r>
        <w:rPr>
          <w:noProof/>
        </w:rPr>
        <w:t>Броят на преподавателите се определя на същото равнище, както през учебната 2020/2021 година, с оглед на намаляването на населението и за да се намали броят на учениците в клас и постепенно да се подобри съотношението между броя на учениците и броя на учителите на общи позиции. Изпълнението на интервенцията не увеличава броя на наличните сгради. Инициативата отделя персонализирано внимание на отделните ученици, особено на най-уязвимите и със сигурност учениците с увреждания.  Подобряването на съотношението ученик/учител се очаква да бъде от полза за качеството на преподаването и наличието на ресурси за училищните сгради.</w:t>
      </w:r>
    </w:p>
    <w:p w14:paraId="269B3A1F" w14:textId="77777777" w:rsidR="006054AA" w:rsidRDefault="001F7667">
      <w:pPr>
        <w:pStyle w:val="ListParagraph"/>
        <w:numPr>
          <w:ilvl w:val="0"/>
          <w:numId w:val="57"/>
        </w:numPr>
        <w:ind w:left="360"/>
        <w:rPr>
          <w:noProof/>
        </w:rPr>
      </w:pPr>
      <w:r>
        <w:rPr>
          <w:noProof/>
        </w:rPr>
        <w:t xml:space="preserve">Преразглеждане на правилата относно размера на училищните сгради. </w:t>
      </w:r>
    </w:p>
    <w:p w14:paraId="36DEDC4D" w14:textId="6767E390" w:rsidR="006054AA" w:rsidRDefault="001F7667">
      <w:pPr>
        <w:spacing w:before="120" w:after="120"/>
        <w:jc w:val="both"/>
        <w:rPr>
          <w:noProof/>
        </w:rPr>
      </w:pPr>
      <w:r>
        <w:rPr>
          <w:noProof/>
        </w:rPr>
        <w:t>Регионалният училищен състав се приема като „ефективен параметър“ за определяне на образователните институции с генерален директор и глава, а не с населението на отделното училище, както е предвидено в действащото законодателство.</w:t>
      </w:r>
    </w:p>
    <w:p w14:paraId="1EB652BC" w14:textId="77777777" w:rsidR="006054AA" w:rsidRDefault="001F7667">
      <w:pPr>
        <w:pStyle w:val="P68B1DB1-Normal2"/>
        <w:spacing w:before="120" w:after="120"/>
        <w:jc w:val="both"/>
        <w:rPr>
          <w:noProof/>
        </w:rPr>
      </w:pPr>
      <w:r>
        <w:rPr>
          <w:noProof/>
        </w:rPr>
        <w:t xml:space="preserve">Реформа 1.4: Реформа на системата за ориентиране  </w:t>
      </w:r>
    </w:p>
    <w:p w14:paraId="74CFE8EB" w14:textId="48892663" w:rsidR="006054AA" w:rsidRDefault="001F7667">
      <w:pPr>
        <w:spacing w:before="120" w:after="120"/>
        <w:jc w:val="both"/>
        <w:rPr>
          <w:noProof/>
        </w:rPr>
      </w:pPr>
      <w:r>
        <w:rPr>
          <w:noProof/>
        </w:rPr>
        <w:t>Реформата има за цел да въведе модули за ориентиране (най-малко 30 часа годишно) за четвъртия и петия клас на гимназиалния етап на средното образование. Основната цел е да се помогне на учениците да направят информиран избор между продължаване на образованието или по-нататъшно професионално обучение (ИТС) преди интегрирането им на пазара на труда. Реформата предвижда също така създаването на платформа за цифрова ориентация, свързана с предлагането на висше образование от университетите и институтите за професионално обучение (ИТС).</w:t>
      </w:r>
    </w:p>
    <w:p w14:paraId="67278292" w14:textId="77777777" w:rsidR="006054AA" w:rsidRDefault="001F7667">
      <w:pPr>
        <w:pStyle w:val="P68B1DB1-Normal2"/>
        <w:spacing w:before="120" w:after="120"/>
        <w:jc w:val="both"/>
        <w:rPr>
          <w:noProof/>
        </w:rPr>
      </w:pPr>
      <w:r>
        <w:rPr>
          <w:noProof/>
        </w:rPr>
        <w:t>Инвестиция 1.6: Активна ориентация в прехода между училището и университета</w:t>
      </w:r>
    </w:p>
    <w:p w14:paraId="71C8F6F9" w14:textId="77777777" w:rsidR="006054AA" w:rsidRDefault="001F7667">
      <w:pPr>
        <w:spacing w:before="120" w:after="120"/>
        <w:jc w:val="both"/>
        <w:rPr>
          <w:noProof/>
        </w:rPr>
      </w:pPr>
      <w:r>
        <w:rPr>
          <w:noProof/>
        </w:rPr>
        <w:t>Мярката има за цел да улесни и насърчи прехода от гимназиален етап на средното образование към университета и да намали броя на преждевременно напусналите училище, като по този начин спомогне за увеличаване на броя на завършилите висше образование. Очаква се инвестициите да повишат показателите за успех (посещаване на училище, подобряване на равнището на обучение, брой на учениците, приети за следващата академична година и др.) и да намалят неравнопоставеността между половете както по отношение на заетостта, така и по отношение на участието във висшето образование във всички области.</w:t>
      </w:r>
    </w:p>
    <w:p w14:paraId="45B7A9CA" w14:textId="77777777" w:rsidR="006054AA" w:rsidRDefault="001F7667">
      <w:pPr>
        <w:spacing w:before="120" w:after="120"/>
        <w:jc w:val="both"/>
        <w:rPr>
          <w:noProof/>
        </w:rPr>
      </w:pPr>
      <w:r>
        <w:rPr>
          <w:noProof/>
        </w:rPr>
        <w:t>Тази инициатива предвижда предоставянето на курсове за всички ученици в гимназиалния етап на средното образование, за да им се помогне при избора на висше образование, като се улесни по-доброто съответствие между подготовката и професионалното обучение и се помогне на учениците да се ориентират към прехода между училището и университета. Лекциите се провеждат от преподаватели във висшето образование и се предоставят на ученици в гимназиалния етап на средното образование. Устойчивостта се постига чрез разширяване на обучението на преподаватели от средните училища, така че след тази тригодишна програма да е налице ориентация за вътрешния персонал на гимназиите.</w:t>
      </w:r>
    </w:p>
    <w:p w14:paraId="4C3B516A" w14:textId="77777777" w:rsidR="006054AA" w:rsidRDefault="001F7667">
      <w:pPr>
        <w:pStyle w:val="P68B1DB1-Normal2"/>
        <w:spacing w:before="120" w:after="120"/>
        <w:jc w:val="both"/>
        <w:rPr>
          <w:noProof/>
        </w:rPr>
      </w:pPr>
      <w:r>
        <w:rPr>
          <w:noProof/>
        </w:rPr>
        <w:t>Инвестиция 1.7: Стипендии за достъп до университет</w:t>
      </w:r>
    </w:p>
    <w:p w14:paraId="1AAF2381" w14:textId="739DB897" w:rsidR="006054AA" w:rsidRDefault="001F7667">
      <w:pPr>
        <w:spacing w:before="120" w:after="120"/>
        <w:jc w:val="both"/>
        <w:rPr>
          <w:noProof/>
        </w:rPr>
      </w:pPr>
      <w:r>
        <w:rPr>
          <w:noProof/>
        </w:rPr>
        <w:t>Целта на мярката е да се гарантира равен достъп до образование, като се улесни достъпът до висше образование за студенти, изпитващи социално-икономически затруднения и със сравнително високи алтернативни разходи за висше образование, в сравнение с ранен преход на пазара на труда. По-специално това ще бъде постигнато чрез увеличаване на броя на стипендиите, предоставени на студенти в рамките на подкрепата по линия на МВУ.</w:t>
      </w:r>
    </w:p>
    <w:p w14:paraId="0A19AF39" w14:textId="009D1E61" w:rsidR="006054AA" w:rsidRDefault="001F7667">
      <w:pPr>
        <w:jc w:val="both"/>
        <w:rPr>
          <w:rFonts w:ascii="Segoe UI" w:eastAsia="Segoe UI" w:hAnsi="Segoe UI" w:cs="Segoe UI"/>
          <w:noProof/>
          <w:color w:val="000000" w:themeColor="text1"/>
          <w:sz w:val="20"/>
        </w:rPr>
      </w:pPr>
      <w:r>
        <w:rPr>
          <w:noProof/>
        </w:rPr>
        <w:t>Тази мярка се допълва от React-EU, която се очаква да финансира 13</w:t>
      </w:r>
      <w:r>
        <w:rPr>
          <w:rFonts w:ascii="Arial Narrow" w:hAnsi="Arial Narrow"/>
          <w:noProof/>
          <w:color w:val="006100"/>
          <w:sz w:val="20"/>
        </w:rPr>
        <w:t xml:space="preserve"> </w:t>
      </w:r>
      <w:r>
        <w:rPr>
          <w:noProof/>
        </w:rPr>
        <w:t>000 стипендии за достъп до университети за 2023 г. в южните региони.</w:t>
      </w:r>
    </w:p>
    <w:p w14:paraId="73012285" w14:textId="718D6F4A" w:rsidR="006054AA" w:rsidRDefault="001F7667">
      <w:pPr>
        <w:pStyle w:val="P68B1DB1-Normal2"/>
        <w:spacing w:before="120" w:after="120"/>
        <w:jc w:val="both"/>
        <w:rPr>
          <w:noProof/>
        </w:rPr>
      </w:pPr>
      <w:r>
        <w:rPr>
          <w:noProof/>
        </w:rPr>
        <w:t>Реформа 1.5: Реформи на групите университетски степени</w:t>
      </w:r>
    </w:p>
    <w:p w14:paraId="0D964094" w14:textId="77777777" w:rsidR="006054AA" w:rsidRDefault="001F7667">
      <w:pPr>
        <w:spacing w:before="120" w:after="120"/>
        <w:jc w:val="both"/>
        <w:rPr>
          <w:noProof/>
          <w:color w:val="006100"/>
        </w:rPr>
      </w:pPr>
      <w:r>
        <w:rPr>
          <w:noProof/>
        </w:rPr>
        <w:t>Реформата предвижда актуализиране на учебните програми на университетите, като се намаляват съществуващите строги граници, които сериозно ограничават възможността за създаване на междудисциплинарни пътища. Очаква се също така реформата да разшири възможността за прилагане на програми за професионално обучение чрез въвеждане на иновативни класове за професионална квалификация, ориентирани към намиране на работа</w:t>
      </w:r>
      <w:r>
        <w:rPr>
          <w:noProof/>
          <w:color w:val="006100"/>
        </w:rPr>
        <w:t>.</w:t>
      </w:r>
    </w:p>
    <w:p w14:paraId="7F73B5C2" w14:textId="77777777" w:rsidR="006054AA" w:rsidRDefault="001F7667">
      <w:pPr>
        <w:pStyle w:val="P68B1DB1-Normal2"/>
        <w:spacing w:before="120" w:after="120"/>
        <w:jc w:val="both"/>
        <w:rPr>
          <w:noProof/>
        </w:rPr>
      </w:pPr>
      <w:r>
        <w:rPr>
          <w:noProof/>
        </w:rPr>
        <w:t xml:space="preserve">Реформа 1.6: Създаване на условия за реформа на университетските степени </w:t>
      </w:r>
    </w:p>
    <w:p w14:paraId="1510C299" w14:textId="77777777" w:rsidR="006054AA" w:rsidRDefault="001F7667">
      <w:pPr>
        <w:spacing w:before="120" w:after="120"/>
        <w:jc w:val="both"/>
        <w:rPr>
          <w:noProof/>
        </w:rPr>
      </w:pPr>
      <w:r>
        <w:rPr>
          <w:noProof/>
        </w:rPr>
        <w:t xml:space="preserve">Реформата предвижда опростяване на процедурата за достъп до професии, за които се изисква записване по професионални поръчки чрез специален професионален изпит. Мярката допринася за хармонизирането на крайния национален изпит за всяка степен със съответния изпит за професионална поръчка, като по този начин се осигуряват общи и ясни правила и заместване. </w:t>
      </w:r>
    </w:p>
    <w:p w14:paraId="6A70C74A" w14:textId="77777777" w:rsidR="006054AA" w:rsidRDefault="001F7667">
      <w:pPr>
        <w:pStyle w:val="P68B1DB1-Normal2"/>
        <w:spacing w:before="120" w:after="120"/>
        <w:jc w:val="both"/>
        <w:rPr>
          <w:noProof/>
        </w:rPr>
      </w:pPr>
      <w:r>
        <w:rPr>
          <w:noProof/>
        </w:rPr>
        <w:t>Реформа 2.1: Набиране на учители</w:t>
      </w:r>
    </w:p>
    <w:p w14:paraId="039A49AA" w14:textId="77777777" w:rsidR="006054AA" w:rsidRDefault="001F7667">
      <w:pPr>
        <w:spacing w:before="120" w:after="120"/>
        <w:jc w:val="both"/>
        <w:rPr>
          <w:noProof/>
        </w:rPr>
      </w:pPr>
      <w:r>
        <w:rPr>
          <w:noProof/>
        </w:rPr>
        <w:t xml:space="preserve">Реформата има за цел да създаде нов модел за набиране на учители, свързан с преосмисляне на първоначалното им обучение и през цялата им кариера. Тази мярка има за стратегическа цел да доведе до значително подобряване на качеството на италианската образователна система. По-специално, реформата ще опрости настоящите процедури в областта на публичната конкуренция. Мерките въвеждат по-високи изисквания за достъп до преподавателските професии, по-ефективна рамка за мобилност на преподавателите, ограничаваща прекомерната мобилност, и ясна връзка между кариерното развитие и оценката на постиженията и непрекъснатото професионално развитие.  </w:t>
      </w:r>
    </w:p>
    <w:p w14:paraId="5334F5CA" w14:textId="77777777" w:rsidR="006054AA" w:rsidRDefault="001F7667">
      <w:pPr>
        <w:pStyle w:val="P68B1DB1-Normal2"/>
        <w:spacing w:before="120" w:after="120"/>
        <w:jc w:val="both"/>
        <w:rPr>
          <w:noProof/>
        </w:rPr>
      </w:pPr>
      <w:r>
        <w:rPr>
          <w:noProof/>
        </w:rPr>
        <w:t>Реформа 2.2: Висше училище и задължително обучение за училищни ръководители, учители, административен и технически персонал</w:t>
      </w:r>
    </w:p>
    <w:p w14:paraId="31C633EE" w14:textId="77777777" w:rsidR="006054AA" w:rsidRDefault="001F7667">
      <w:pPr>
        <w:spacing w:before="120" w:after="120"/>
        <w:jc w:val="both"/>
        <w:rPr>
          <w:noProof/>
        </w:rPr>
      </w:pPr>
      <w:r>
        <w:rPr>
          <w:noProof/>
        </w:rPr>
        <w:t>Реформата има за цел изграждането на система за качествено обучение на училищния персонал за непрекъснато професионално и професионално развитие. В него се предвижда създаването на квалифициран орган, който да отговаря за публикуването на насоки в съответствие с европейските стандарти и за подбора и координирането на инициативи за обучение, като евентуално ги свързва с кариерното развитие, както е предвидено в реформата на набирането на персонал — Реформа 2.1: Набиране на учители, включено в плана.</w:t>
      </w:r>
    </w:p>
    <w:p w14:paraId="220BB7E0" w14:textId="04BF7EE8" w:rsidR="006054AA" w:rsidRDefault="001F7667">
      <w:pPr>
        <w:pStyle w:val="P68B1DB1-Normal2"/>
        <w:spacing w:before="120" w:after="120"/>
        <w:jc w:val="both"/>
        <w:rPr>
          <w:noProof/>
        </w:rPr>
      </w:pPr>
      <w:r>
        <w:rPr>
          <w:noProof/>
        </w:rPr>
        <w:t xml:space="preserve">Инвестиция 2.1: Интегрирано цифрово преподаване и обучение относно цифровата трансформация за училищния персонал </w:t>
      </w:r>
    </w:p>
    <w:p w14:paraId="3699CA0B" w14:textId="77777777" w:rsidR="006054AA" w:rsidRDefault="001F7667">
      <w:pPr>
        <w:spacing w:before="120" w:after="120"/>
        <w:jc w:val="both"/>
        <w:rPr>
          <w:noProof/>
        </w:rPr>
      </w:pPr>
      <w:r>
        <w:rPr>
          <w:noProof/>
        </w:rPr>
        <w:t xml:space="preserve">Мярката има за цел създаването на постоянна система за развитие на цифровата дидактика, както и на цифрови и преподавателски умения на училищния персонал.  Интервенцията предвижда:  </w:t>
      </w:r>
    </w:p>
    <w:p w14:paraId="44E8CE47" w14:textId="77777777" w:rsidR="006054AA" w:rsidRDefault="001F7667">
      <w:pPr>
        <w:pStyle w:val="ListParagraph"/>
        <w:numPr>
          <w:ilvl w:val="0"/>
          <w:numId w:val="48"/>
        </w:numPr>
        <w:ind w:left="360"/>
        <w:rPr>
          <w:noProof/>
        </w:rPr>
      </w:pPr>
      <w:r>
        <w:rPr>
          <w:noProof/>
        </w:rPr>
        <w:t>създаване на система за непрекъснато обучение на учителите и училищния персонал за цифровия преход;</w:t>
      </w:r>
    </w:p>
    <w:p w14:paraId="323E622B" w14:textId="77777777" w:rsidR="006054AA" w:rsidRDefault="001F7667">
      <w:pPr>
        <w:pStyle w:val="ListParagraph"/>
        <w:numPr>
          <w:ilvl w:val="0"/>
          <w:numId w:val="48"/>
        </w:numPr>
        <w:ind w:left="360"/>
        <w:rPr>
          <w:rStyle w:val="normaltextrun"/>
          <w:noProof/>
        </w:rPr>
      </w:pPr>
      <w:r>
        <w:rPr>
          <w:rStyle w:val="normaltextrun"/>
          <w:noProof/>
          <w:shd w:val="clear" w:color="auto" w:fill="FFFFFF"/>
        </w:rPr>
        <w:t>Приемането на национална референтна рамка за интегрирано цифрово преподаване, за да се насърчи приемането на учебни програми за компетентности в областта на цифровите технологии във всички училища.</w:t>
      </w:r>
    </w:p>
    <w:p w14:paraId="1E48E670" w14:textId="06F13C4A" w:rsidR="006054AA" w:rsidRDefault="001F7667">
      <w:pPr>
        <w:spacing w:before="120" w:after="120"/>
        <w:jc w:val="both"/>
        <w:rPr>
          <w:noProof/>
        </w:rPr>
      </w:pPr>
      <w:r>
        <w:rPr>
          <w:noProof/>
        </w:rPr>
        <w:t>Линията на действие предвижда обучение на около 650</w:t>
      </w:r>
      <w:r>
        <w:rPr>
          <w:rFonts w:ascii="Arial Narrow" w:hAnsi="Arial Narrow"/>
          <w:noProof/>
          <w:color w:val="006100"/>
          <w:sz w:val="20"/>
        </w:rPr>
        <w:t xml:space="preserve"> </w:t>
      </w:r>
      <w:r>
        <w:rPr>
          <w:noProof/>
        </w:rPr>
        <w:t>000 учители и училищен персонал, създаване на приблизително 20</w:t>
      </w:r>
      <w:r>
        <w:rPr>
          <w:rFonts w:ascii="Arial Narrow" w:hAnsi="Arial Narrow"/>
          <w:noProof/>
          <w:color w:val="006100"/>
          <w:sz w:val="20"/>
        </w:rPr>
        <w:t xml:space="preserve"> </w:t>
      </w:r>
      <w:r>
        <w:rPr>
          <w:noProof/>
        </w:rPr>
        <w:t>000 курса на обучение през петгодишния период и създаване на местни центрове за обучение. Всички над 8</w:t>
      </w:r>
      <w:r>
        <w:rPr>
          <w:rFonts w:ascii="Arial Narrow" w:hAnsi="Arial Narrow"/>
          <w:noProof/>
          <w:color w:val="006100"/>
          <w:sz w:val="20"/>
        </w:rPr>
        <w:t xml:space="preserve"> </w:t>
      </w:r>
      <w:r>
        <w:rPr>
          <w:noProof/>
        </w:rPr>
        <w:t>000 образователни институции в Италия участват в проектите за обучение.</w:t>
      </w:r>
    </w:p>
    <w:p w14:paraId="0916351B" w14:textId="77777777" w:rsidR="006054AA" w:rsidRDefault="001F7667">
      <w:pPr>
        <w:pStyle w:val="P68B1DB1-Normal2"/>
        <w:spacing w:before="120" w:after="120"/>
        <w:jc w:val="both"/>
        <w:rPr>
          <w:noProof/>
        </w:rPr>
      </w:pPr>
      <w:r>
        <w:rPr>
          <w:noProof/>
        </w:rPr>
        <w:t>Инвестиция 3.1: Нови умения и нови езици</w:t>
      </w:r>
    </w:p>
    <w:p w14:paraId="33FFF9B1" w14:textId="77777777" w:rsidR="006054AA" w:rsidRDefault="001F7667">
      <w:pPr>
        <w:spacing w:before="120" w:after="120"/>
        <w:jc w:val="both"/>
        <w:rPr>
          <w:noProof/>
        </w:rPr>
      </w:pPr>
      <w:r>
        <w:rPr>
          <w:noProof/>
        </w:rPr>
        <w:t>Интервенцията има за цел да интегрира във всички равнища учебните програми, методологиите и съдържанието, предназначени за укрепване на уменията в областта на НТИМ, цифровите технологии и иновациите. Мярката е съсредоточена върху студентите жени и предвижда пълен интердисциплинарен подход. Интервенцията има за цел да гарантира равни възможности и равенство между половете по отношение на методологичния подход и дейностите, насочени към НТИМ.</w:t>
      </w:r>
    </w:p>
    <w:p w14:paraId="7E1ACD92" w14:textId="77777777" w:rsidR="006054AA" w:rsidRDefault="001F7667">
      <w:pPr>
        <w:spacing w:before="120" w:after="120"/>
        <w:jc w:val="both"/>
        <w:rPr>
          <w:noProof/>
        </w:rPr>
      </w:pPr>
      <w:r>
        <w:rPr>
          <w:noProof/>
        </w:rPr>
        <w:t xml:space="preserve"> Очаква се мярката да укрепи многоезиковите умения на студентите и преподавателите чрез разширяване на програмите за консултации и информация относно „Еразъм + „с подкрепата на Националния институт за документация, иновации и образователни изследвания по програма „Еразъм +“ (INDIRE) и неговата мрежа от посланици. </w:t>
      </w:r>
    </w:p>
    <w:p w14:paraId="654D44CF" w14:textId="77777777" w:rsidR="006054AA" w:rsidRDefault="001F7667">
      <w:pPr>
        <w:spacing w:before="120" w:after="120"/>
        <w:jc w:val="both"/>
        <w:rPr>
          <w:noProof/>
        </w:rPr>
      </w:pPr>
      <w:r>
        <w:rPr>
          <w:noProof/>
        </w:rPr>
        <w:t xml:space="preserve">Разработва се и цифрова система за наблюдение на езиковите умения на национално равнище с подкрепата на съответните сертифициращи органи. </w:t>
      </w:r>
    </w:p>
    <w:p w14:paraId="52CAC0B2" w14:textId="5E5F958C" w:rsidR="006054AA" w:rsidRDefault="001F7667">
      <w:pPr>
        <w:pStyle w:val="P68B1DB1-Normal2"/>
        <w:spacing w:before="120" w:after="120"/>
        <w:jc w:val="both"/>
        <w:rPr>
          <w:noProof/>
        </w:rPr>
      </w:pPr>
      <w:r>
        <w:rPr>
          <w:noProof/>
        </w:rPr>
        <w:t>Инвестиция 3.2: Училище 4.0: иновативни училища, окабеляване, нови класни стаи и семинари</w:t>
      </w:r>
    </w:p>
    <w:p w14:paraId="474F3EB6" w14:textId="77777777" w:rsidR="006054AA" w:rsidRDefault="001F7667">
      <w:pPr>
        <w:spacing w:before="120" w:after="120"/>
        <w:jc w:val="both"/>
        <w:rPr>
          <w:noProof/>
        </w:rPr>
      </w:pPr>
      <w:r>
        <w:rPr>
          <w:noProof/>
        </w:rPr>
        <w:t>Целта на мярката е училищната инфраструктура да се актуализира в адаптивна, гъвкава и цифрова учебна среда с помощта на технологично напреднали семинари и процес на учене в процеса на работа. Тази мярка ще ускори цифровия преход на италианската училищна система с четири инициативи:</w:t>
      </w:r>
    </w:p>
    <w:p w14:paraId="4625A1FC" w14:textId="6F65067E" w:rsidR="006054AA" w:rsidRDefault="001F7667">
      <w:pPr>
        <w:pStyle w:val="ListParagraph"/>
        <w:numPr>
          <w:ilvl w:val="0"/>
          <w:numId w:val="48"/>
        </w:numPr>
        <w:ind w:left="360"/>
        <w:rPr>
          <w:noProof/>
        </w:rPr>
      </w:pPr>
      <w:r>
        <w:rPr>
          <w:noProof/>
        </w:rPr>
        <w:t>Преобразуване на около 100</w:t>
      </w:r>
      <w:r>
        <w:rPr>
          <w:rFonts w:ascii="Arial Narrow" w:hAnsi="Arial Narrow"/>
          <w:noProof/>
          <w:color w:val="006100"/>
          <w:sz w:val="20"/>
        </w:rPr>
        <w:t xml:space="preserve"> </w:t>
      </w:r>
      <w:r>
        <w:rPr>
          <w:noProof/>
        </w:rPr>
        <w:t>000 традиционни класа в свързана учебна среда с въвеждането на свързани образователни устройства</w:t>
      </w:r>
    </w:p>
    <w:p w14:paraId="2CC42088" w14:textId="77777777" w:rsidR="006054AA" w:rsidRDefault="001F7667">
      <w:pPr>
        <w:pStyle w:val="ListParagraph"/>
        <w:numPr>
          <w:ilvl w:val="0"/>
          <w:numId w:val="48"/>
        </w:numPr>
        <w:ind w:left="360"/>
        <w:rPr>
          <w:noProof/>
        </w:rPr>
      </w:pPr>
      <w:r>
        <w:rPr>
          <w:noProof/>
        </w:rPr>
        <w:t>Създаване на семинари за цифровите професии във втория цикъл</w:t>
      </w:r>
    </w:p>
    <w:p w14:paraId="7B20CF07" w14:textId="77777777" w:rsidR="006054AA" w:rsidRDefault="001F7667">
      <w:pPr>
        <w:pStyle w:val="ListParagraph"/>
        <w:numPr>
          <w:ilvl w:val="0"/>
          <w:numId w:val="48"/>
        </w:numPr>
        <w:ind w:left="360"/>
        <w:rPr>
          <w:noProof/>
        </w:rPr>
      </w:pPr>
      <w:r>
        <w:rPr>
          <w:noProof/>
        </w:rPr>
        <w:t>Цифровизация на училищните администрации</w:t>
      </w:r>
    </w:p>
    <w:p w14:paraId="34B346A4" w14:textId="33212748" w:rsidR="006054AA" w:rsidRDefault="001F7667">
      <w:pPr>
        <w:pStyle w:val="ListParagraph"/>
        <w:numPr>
          <w:ilvl w:val="0"/>
          <w:numId w:val="48"/>
        </w:numPr>
        <w:ind w:left="360"/>
        <w:rPr>
          <w:noProof/>
        </w:rPr>
      </w:pPr>
      <w:r>
        <w:rPr>
          <w:noProof/>
        </w:rPr>
        <w:t>Вътрешно окабеляване на приблизително 40</w:t>
      </w:r>
      <w:r>
        <w:rPr>
          <w:rFonts w:ascii="Arial Narrow" w:hAnsi="Arial Narrow"/>
          <w:noProof/>
          <w:color w:val="006100"/>
          <w:sz w:val="20"/>
        </w:rPr>
        <w:t xml:space="preserve"> </w:t>
      </w:r>
      <w:r>
        <w:rPr>
          <w:noProof/>
        </w:rPr>
        <w:t>000 училищни сгради и свързани с тях устройства</w:t>
      </w:r>
    </w:p>
    <w:p w14:paraId="78738AA6" w14:textId="77777777" w:rsidR="006054AA" w:rsidRDefault="001F7667">
      <w:pPr>
        <w:pStyle w:val="P68B1DB1-Normal2"/>
        <w:spacing w:before="120" w:after="120"/>
        <w:jc w:val="both"/>
        <w:rPr>
          <w:noProof/>
        </w:rPr>
      </w:pPr>
      <w:r>
        <w:rPr>
          <w:noProof/>
        </w:rPr>
        <w:t>Инвестиция 3.3: Сигурност на училищните сгради и план за структурно възстановяване</w:t>
      </w:r>
    </w:p>
    <w:p w14:paraId="039AEEE1" w14:textId="77777777" w:rsidR="006054AA" w:rsidRDefault="001F7667">
      <w:pPr>
        <w:spacing w:before="120" w:after="120"/>
        <w:jc w:val="both"/>
        <w:rPr>
          <w:noProof/>
        </w:rPr>
      </w:pPr>
      <w:r>
        <w:rPr>
          <w:noProof/>
        </w:rPr>
        <w:t>Основната цел на мярката е да допринесе за възстановяването на климата чрез повишаване на безопасността на училищните сгради и потреблението на енергия. По-специално мярката допринася за подобряване на енергийните класове и води до намаляване на потреблението и емисиите на CO2, както и за повишаване на структурната безопасност на сградите. Особено внимание се обръща на най-необлагодетелстваните райони с цел преодоляване и премахване на икономическите и социалните неравновесия. Инвестицията не включва възлагането на обществени поръчки за котли на природен газ.</w:t>
      </w:r>
    </w:p>
    <w:p w14:paraId="2853FF76" w14:textId="77777777" w:rsidR="006054AA" w:rsidRDefault="001F7667">
      <w:pPr>
        <w:pStyle w:val="P68B1DB1-Normal2"/>
        <w:spacing w:before="120" w:after="120"/>
        <w:jc w:val="both"/>
        <w:rPr>
          <w:noProof/>
        </w:rPr>
      </w:pPr>
      <w:r>
        <w:rPr>
          <w:noProof/>
        </w:rPr>
        <w:t>Инвестиция 3.4: Преподаване и задълбочени университетски умения</w:t>
      </w:r>
    </w:p>
    <w:p w14:paraId="397C2CE8" w14:textId="77777777" w:rsidR="006054AA" w:rsidRDefault="001F7667">
      <w:pPr>
        <w:spacing w:before="120" w:after="120"/>
        <w:jc w:val="both"/>
        <w:rPr>
          <w:noProof/>
        </w:rPr>
      </w:pPr>
      <w:r>
        <w:rPr>
          <w:noProof/>
        </w:rPr>
        <w:t xml:space="preserve">Мярката има за цел да квалифицира и въвежда иновации в университетските програми (включително докторантски програми) чрез три стратегически цели: цифровизация; „култура на иновации“; интернационализация. </w:t>
      </w:r>
    </w:p>
    <w:p w14:paraId="6BD38E5B" w14:textId="77777777" w:rsidR="006054AA" w:rsidRDefault="001F7667">
      <w:pPr>
        <w:spacing w:before="120" w:after="120"/>
        <w:jc w:val="both"/>
        <w:rPr>
          <w:noProof/>
        </w:rPr>
      </w:pPr>
      <w:r>
        <w:rPr>
          <w:noProof/>
        </w:rPr>
        <w:t xml:space="preserve">В детайли се прилагат следните подмерки: </w:t>
      </w:r>
    </w:p>
    <w:p w14:paraId="2E091D3D" w14:textId="77777777" w:rsidR="006054AA" w:rsidRDefault="001F7667">
      <w:pPr>
        <w:pStyle w:val="ListParagraph"/>
        <w:numPr>
          <w:ilvl w:val="0"/>
          <w:numId w:val="48"/>
        </w:numPr>
        <w:ind w:left="360"/>
        <w:rPr>
          <w:noProof/>
        </w:rPr>
      </w:pPr>
      <w:r>
        <w:rPr>
          <w:noProof/>
        </w:rPr>
        <w:t>До 500 докторанти трябва да бъдат записани за 3 години (100 + 200 + 200) в програми, посветени на цифровия и екологичния преход</w:t>
      </w:r>
    </w:p>
    <w:p w14:paraId="2EB38175" w14:textId="77777777" w:rsidR="006054AA" w:rsidRDefault="001F7667">
      <w:pPr>
        <w:pStyle w:val="ListParagraph"/>
        <w:numPr>
          <w:ilvl w:val="0"/>
          <w:numId w:val="48"/>
        </w:numPr>
        <w:ind w:left="360"/>
        <w:rPr>
          <w:noProof/>
        </w:rPr>
      </w:pPr>
      <w:r>
        <w:rPr>
          <w:noProof/>
        </w:rPr>
        <w:t>Създаване на три центъра за цифрово образование (DEH) за подобряване на капацитета на системата за висше образование да предлага цифрово образование на студенти и университетски работници;</w:t>
      </w:r>
    </w:p>
    <w:p w14:paraId="377A263E" w14:textId="77777777" w:rsidR="006054AA" w:rsidRDefault="001F7667">
      <w:pPr>
        <w:pStyle w:val="ListParagraph"/>
        <w:numPr>
          <w:ilvl w:val="0"/>
          <w:numId w:val="48"/>
        </w:numPr>
        <w:ind w:left="360"/>
        <w:rPr>
          <w:noProof/>
        </w:rPr>
      </w:pPr>
      <w:r>
        <w:rPr>
          <w:noProof/>
        </w:rPr>
        <w:t>Укрепване на висшите училища</w:t>
      </w:r>
    </w:p>
    <w:p w14:paraId="6419EFF6" w14:textId="77777777" w:rsidR="006054AA" w:rsidRDefault="001F7667">
      <w:pPr>
        <w:pStyle w:val="ListParagraph"/>
        <w:numPr>
          <w:ilvl w:val="0"/>
          <w:numId w:val="48"/>
        </w:numPr>
        <w:ind w:left="360"/>
        <w:rPr>
          <w:noProof/>
        </w:rPr>
      </w:pPr>
      <w:r>
        <w:rPr>
          <w:noProof/>
        </w:rPr>
        <w:t>Изпълнение на десет транснационални образователни инициативи — TNE — в сътрудничество с Министерството на външните работи и международното сътрудничество</w:t>
      </w:r>
    </w:p>
    <w:p w14:paraId="5217AF98" w14:textId="77777777" w:rsidR="006054AA" w:rsidRDefault="001F7667">
      <w:pPr>
        <w:pStyle w:val="ListParagraph"/>
        <w:numPr>
          <w:ilvl w:val="0"/>
          <w:numId w:val="48"/>
        </w:numPr>
        <w:ind w:left="360"/>
        <w:rPr>
          <w:noProof/>
        </w:rPr>
      </w:pPr>
      <w:r>
        <w:rPr>
          <w:noProof/>
        </w:rPr>
        <w:t>Дейности за интернационализация на художествените и музикалните висши учебни заведения (AFAM) чрез подпомагане на 15 проекта за интернационализация на институциите на AFAM с цел популяризиране на тяхната роля в чужбина в опазването и популяризирането на италианската култура</w:t>
      </w:r>
    </w:p>
    <w:p w14:paraId="452498EE" w14:textId="77777777" w:rsidR="006054AA" w:rsidRDefault="001F7667">
      <w:pPr>
        <w:pStyle w:val="P68B1DB1-Normal2"/>
        <w:spacing w:before="120" w:after="120"/>
        <w:jc w:val="both"/>
        <w:rPr>
          <w:noProof/>
        </w:rPr>
      </w:pPr>
      <w:r>
        <w:rPr>
          <w:noProof/>
        </w:rPr>
        <w:t xml:space="preserve">Реформа 4.1: Докторска степен „Програми за реформа“  </w:t>
      </w:r>
    </w:p>
    <w:p w14:paraId="280BABD1" w14:textId="77777777" w:rsidR="006054AA" w:rsidRDefault="001F7667">
      <w:pPr>
        <w:spacing w:before="120" w:after="120"/>
        <w:jc w:val="both"/>
        <w:rPr>
          <w:noProof/>
        </w:rPr>
      </w:pPr>
      <w:r>
        <w:rPr>
          <w:noProof/>
        </w:rPr>
        <w:t>Целта на реформата е да се актуализира регламентът относно програмите за докторска степен, да се опростят процедурите за участие на предприятия, изследователски центрове в програми за докторска степен и да се засилят приложните изследвания. Предложената реформа включва всички инвестиции, свързани с програмите за докторска степен в целевата област „Образование и научни изследвания“.</w:t>
      </w:r>
    </w:p>
    <w:p w14:paraId="2B003E63" w14:textId="77777777" w:rsidR="006054AA" w:rsidRDefault="001F7667">
      <w:pPr>
        <w:pStyle w:val="P68B1DB1-Normal2"/>
        <w:spacing w:before="120" w:after="120"/>
        <w:jc w:val="both"/>
        <w:rPr>
          <w:noProof/>
        </w:rPr>
      </w:pPr>
      <w:r>
        <w:rPr>
          <w:noProof/>
        </w:rPr>
        <w:t xml:space="preserve">Инвестиция 4.1: Разширяване на броя и възможностите за професионално развитие на докторантите (ориентирани към научни изследвания, публична администрация и културно наследство)  </w:t>
      </w:r>
    </w:p>
    <w:p w14:paraId="4366247F" w14:textId="6F91466F" w:rsidR="006054AA" w:rsidRDefault="001F7667">
      <w:pPr>
        <w:spacing w:before="120" w:after="120"/>
        <w:jc w:val="both"/>
        <w:rPr>
          <w:noProof/>
        </w:rPr>
      </w:pPr>
      <w:r>
        <w:rPr>
          <w:noProof/>
        </w:rPr>
        <w:t>Мярката има за цел да увеличи наличния човешки капитал, предназначен за ориентирани към научни изследвания дейности, публична администрация и културно наследство. Инвестицията предвижда създаването на 1 200 допълнителни общи стипендиантски програми за докторантура, отпускани годишно (за период от три години),</w:t>
      </w:r>
      <w:r>
        <w:rPr>
          <w:rFonts w:ascii="Arial Narrow" w:hAnsi="Arial Narrow"/>
          <w:noProof/>
          <w:color w:val="006100"/>
          <w:sz w:val="20"/>
        </w:rPr>
        <w:t xml:space="preserve"> </w:t>
      </w:r>
      <w:r>
        <w:rPr>
          <w:noProof/>
        </w:rPr>
        <w:t xml:space="preserve">1 допълнителни стипендиантски програми за докторанти по публична администрация се отпускат годишно (за период от три години), а най-малко 200 нови стипендиантски програми за докторанти в областта на културното наследство се отпускат годишно (над три години). </w:t>
      </w:r>
    </w:p>
    <w:p w14:paraId="5FF654DF" w14:textId="77777777" w:rsidR="006054AA" w:rsidRDefault="001F7667">
      <w:pPr>
        <w:pStyle w:val="Heading3"/>
        <w:numPr>
          <w:ilvl w:val="0"/>
          <w:numId w:val="0"/>
        </w:numPr>
        <w:ind w:left="850" w:hanging="850"/>
        <w:rPr>
          <w:b/>
          <w:i w:val="0"/>
          <w:noProof/>
          <w:u w:val="single"/>
        </w:rPr>
      </w:pPr>
      <w:r>
        <w:rPr>
          <w:b/>
          <w:i w:val="0"/>
          <w:noProof/>
          <w:u w:val="single"/>
        </w:rPr>
        <w:t xml:space="preserve">Й.2.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0822D9CA" w14:textId="77777777" w:rsidR="006054AA" w:rsidRDefault="006054AA">
      <w:pPr>
        <w:spacing w:before="120" w:after="120"/>
        <w:ind w:left="709"/>
        <w:jc w:val="both"/>
        <w:rPr>
          <w:noProof/>
        </w:rPr>
        <w:sectPr w:rsidR="006054AA">
          <w:headerReference w:type="even" r:id="rId230"/>
          <w:headerReference w:type="default" r:id="rId231"/>
          <w:footerReference w:type="even" r:id="rId232"/>
          <w:footerReference w:type="default" r:id="rId233"/>
          <w:headerReference w:type="first" r:id="rId234"/>
          <w:footerReference w:type="first" r:id="rId235"/>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488"/>
        <w:gridCol w:w="1065"/>
        <w:gridCol w:w="1702"/>
        <w:gridCol w:w="1428"/>
        <w:gridCol w:w="1256"/>
        <w:gridCol w:w="1116"/>
        <w:gridCol w:w="1021"/>
        <w:gridCol w:w="851"/>
        <w:gridCol w:w="708"/>
        <w:gridCol w:w="3112"/>
      </w:tblGrid>
      <w:tr w:rsidR="006054AA" w14:paraId="454A1A4E" w14:textId="77777777">
        <w:trPr>
          <w:trHeight w:val="927"/>
          <w:tblHeader/>
        </w:trPr>
        <w:tc>
          <w:tcPr>
            <w:tcW w:w="380" w:type="pct"/>
            <w:vMerge w:val="restart"/>
            <w:shd w:val="clear" w:color="auto" w:fill="BDD7EE"/>
            <w:vAlign w:val="center"/>
            <w:hideMark/>
          </w:tcPr>
          <w:p w14:paraId="3C09C7A4" w14:textId="77777777" w:rsidR="006054AA" w:rsidRDefault="001F7667">
            <w:pPr>
              <w:pStyle w:val="P68B1DB1-Normal9"/>
              <w:jc w:val="center"/>
              <w:rPr>
                <w:noProof/>
              </w:rPr>
            </w:pPr>
            <w:r>
              <w:rPr>
                <w:noProof/>
              </w:rPr>
              <w:t>Пореден номер</w:t>
            </w:r>
          </w:p>
        </w:tc>
        <w:tc>
          <w:tcPr>
            <w:tcW w:w="500" w:type="pct"/>
            <w:vMerge w:val="restart"/>
            <w:shd w:val="clear" w:color="auto" w:fill="BDD7EE"/>
            <w:vAlign w:val="center"/>
            <w:hideMark/>
          </w:tcPr>
          <w:p w14:paraId="5E3CAD54" w14:textId="77777777" w:rsidR="006054AA" w:rsidRDefault="001F7667">
            <w:pPr>
              <w:pStyle w:val="P68B1DB1-Normal9"/>
              <w:jc w:val="center"/>
              <w:rPr>
                <w:noProof/>
              </w:rPr>
            </w:pPr>
            <w:r>
              <w:rPr>
                <w:noProof/>
              </w:rPr>
              <w:t>Свързана мярка (реформа или инвестиции)</w:t>
            </w:r>
          </w:p>
        </w:tc>
        <w:tc>
          <w:tcPr>
            <w:tcW w:w="358" w:type="pct"/>
            <w:vMerge w:val="restart"/>
            <w:shd w:val="clear" w:color="auto" w:fill="BDD7EE"/>
            <w:vAlign w:val="center"/>
            <w:hideMark/>
          </w:tcPr>
          <w:p w14:paraId="58D245AF" w14:textId="77777777" w:rsidR="006054AA" w:rsidRDefault="001F7667">
            <w:pPr>
              <w:pStyle w:val="P68B1DB1-Normal9"/>
              <w:jc w:val="center"/>
              <w:rPr>
                <w:noProof/>
              </w:rPr>
            </w:pPr>
            <w:r>
              <w:rPr>
                <w:noProof/>
              </w:rPr>
              <w:t>Ключов етап/Цел</w:t>
            </w:r>
          </w:p>
        </w:tc>
        <w:tc>
          <w:tcPr>
            <w:tcW w:w="572" w:type="pct"/>
            <w:vMerge w:val="restart"/>
            <w:shd w:val="clear" w:color="auto" w:fill="BDD7EE"/>
            <w:vAlign w:val="center"/>
            <w:hideMark/>
          </w:tcPr>
          <w:p w14:paraId="15C82012" w14:textId="77777777" w:rsidR="006054AA" w:rsidRDefault="001F7667">
            <w:pPr>
              <w:pStyle w:val="P68B1DB1-Normal9"/>
              <w:jc w:val="center"/>
              <w:rPr>
                <w:noProof/>
              </w:rPr>
            </w:pPr>
            <w:r>
              <w:rPr>
                <w:noProof/>
              </w:rPr>
              <w:t>Име</w:t>
            </w:r>
          </w:p>
        </w:tc>
        <w:tc>
          <w:tcPr>
            <w:tcW w:w="480" w:type="pct"/>
            <w:vMerge w:val="restart"/>
            <w:shd w:val="clear" w:color="auto" w:fill="BDD7EE"/>
            <w:vAlign w:val="center"/>
            <w:hideMark/>
          </w:tcPr>
          <w:p w14:paraId="39830FAE"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1140" w:type="pct"/>
            <w:gridSpan w:val="3"/>
            <w:shd w:val="clear" w:color="auto" w:fill="BDD7EE"/>
            <w:vAlign w:val="center"/>
            <w:hideMark/>
          </w:tcPr>
          <w:p w14:paraId="73FD6870"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524" w:type="pct"/>
            <w:gridSpan w:val="2"/>
            <w:shd w:val="clear" w:color="auto" w:fill="BDD7EE"/>
            <w:vAlign w:val="center"/>
            <w:hideMark/>
          </w:tcPr>
          <w:p w14:paraId="5B9C95E9" w14:textId="77777777" w:rsidR="006054AA" w:rsidRDefault="001F7667">
            <w:pPr>
              <w:pStyle w:val="P68B1DB1-Normal9"/>
              <w:jc w:val="center"/>
              <w:rPr>
                <w:noProof/>
              </w:rPr>
            </w:pPr>
            <w:r>
              <w:rPr>
                <w:noProof/>
              </w:rPr>
              <w:t>Примерен график за приключване</w:t>
            </w:r>
          </w:p>
        </w:tc>
        <w:tc>
          <w:tcPr>
            <w:tcW w:w="1047" w:type="pct"/>
            <w:vMerge w:val="restart"/>
            <w:shd w:val="clear" w:color="auto" w:fill="BDD7EE"/>
            <w:vAlign w:val="center"/>
            <w:hideMark/>
          </w:tcPr>
          <w:p w14:paraId="212FE3FD" w14:textId="77777777" w:rsidR="006054AA" w:rsidRDefault="001F7667">
            <w:pPr>
              <w:pStyle w:val="P68B1DB1-Normal9"/>
              <w:jc w:val="center"/>
              <w:rPr>
                <w:noProof/>
              </w:rPr>
            </w:pPr>
            <w:r>
              <w:rPr>
                <w:noProof/>
              </w:rPr>
              <w:t>Описание на всеки ключов етап и цел</w:t>
            </w:r>
          </w:p>
        </w:tc>
      </w:tr>
      <w:tr w:rsidR="006054AA" w14:paraId="07AE8911" w14:textId="77777777">
        <w:trPr>
          <w:trHeight w:val="612"/>
        </w:trPr>
        <w:tc>
          <w:tcPr>
            <w:tcW w:w="380" w:type="pct"/>
            <w:vMerge/>
            <w:vAlign w:val="center"/>
            <w:hideMark/>
          </w:tcPr>
          <w:p w14:paraId="46E0016B" w14:textId="77777777" w:rsidR="006054AA" w:rsidRDefault="006054AA">
            <w:pPr>
              <w:jc w:val="center"/>
              <w:rPr>
                <w:rFonts w:ascii="Arial Narrow" w:hAnsi="Arial Narrow"/>
                <w:b/>
                <w:noProof/>
                <w:sz w:val="20"/>
              </w:rPr>
            </w:pPr>
          </w:p>
        </w:tc>
        <w:tc>
          <w:tcPr>
            <w:tcW w:w="500" w:type="pct"/>
            <w:vMerge/>
            <w:vAlign w:val="center"/>
            <w:hideMark/>
          </w:tcPr>
          <w:p w14:paraId="1AA352F8" w14:textId="77777777" w:rsidR="006054AA" w:rsidRDefault="006054AA">
            <w:pPr>
              <w:jc w:val="center"/>
              <w:rPr>
                <w:rFonts w:ascii="Arial Narrow" w:hAnsi="Arial Narrow"/>
                <w:b/>
                <w:noProof/>
                <w:sz w:val="20"/>
              </w:rPr>
            </w:pPr>
          </w:p>
        </w:tc>
        <w:tc>
          <w:tcPr>
            <w:tcW w:w="358" w:type="pct"/>
            <w:vMerge/>
            <w:vAlign w:val="center"/>
            <w:hideMark/>
          </w:tcPr>
          <w:p w14:paraId="06B2B98E" w14:textId="77777777" w:rsidR="006054AA" w:rsidRDefault="006054AA">
            <w:pPr>
              <w:jc w:val="center"/>
              <w:rPr>
                <w:rFonts w:ascii="Arial Narrow" w:hAnsi="Arial Narrow"/>
                <w:b/>
                <w:noProof/>
                <w:sz w:val="20"/>
              </w:rPr>
            </w:pPr>
          </w:p>
        </w:tc>
        <w:tc>
          <w:tcPr>
            <w:tcW w:w="572" w:type="pct"/>
            <w:vMerge/>
            <w:vAlign w:val="center"/>
            <w:hideMark/>
          </w:tcPr>
          <w:p w14:paraId="11853EAD" w14:textId="77777777" w:rsidR="006054AA" w:rsidRDefault="006054AA">
            <w:pPr>
              <w:jc w:val="center"/>
              <w:rPr>
                <w:rFonts w:ascii="Arial Narrow" w:hAnsi="Arial Narrow"/>
                <w:b/>
                <w:noProof/>
                <w:sz w:val="20"/>
              </w:rPr>
            </w:pPr>
          </w:p>
        </w:tc>
        <w:tc>
          <w:tcPr>
            <w:tcW w:w="480" w:type="pct"/>
            <w:vMerge/>
            <w:vAlign w:val="center"/>
            <w:hideMark/>
          </w:tcPr>
          <w:p w14:paraId="3FC22E44" w14:textId="77777777" w:rsidR="006054AA" w:rsidRDefault="006054AA">
            <w:pPr>
              <w:jc w:val="center"/>
              <w:rPr>
                <w:rFonts w:ascii="Arial Narrow" w:hAnsi="Arial Narrow"/>
                <w:b/>
                <w:noProof/>
                <w:sz w:val="20"/>
              </w:rPr>
            </w:pPr>
          </w:p>
        </w:tc>
        <w:tc>
          <w:tcPr>
            <w:tcW w:w="422" w:type="pct"/>
            <w:shd w:val="clear" w:color="auto" w:fill="BDD7EE"/>
            <w:vAlign w:val="center"/>
            <w:hideMark/>
          </w:tcPr>
          <w:p w14:paraId="1775C21E" w14:textId="77777777" w:rsidR="006054AA" w:rsidRDefault="001F7667">
            <w:pPr>
              <w:pStyle w:val="P68B1DB1-Normal9"/>
              <w:jc w:val="center"/>
              <w:rPr>
                <w:noProof/>
              </w:rPr>
            </w:pPr>
            <w:r>
              <w:rPr>
                <w:noProof/>
              </w:rPr>
              <w:t>Единица мярка</w:t>
            </w:r>
          </w:p>
        </w:tc>
        <w:tc>
          <w:tcPr>
            <w:tcW w:w="375" w:type="pct"/>
            <w:shd w:val="clear" w:color="auto" w:fill="BDD7EE"/>
            <w:vAlign w:val="center"/>
            <w:hideMark/>
          </w:tcPr>
          <w:p w14:paraId="1BA4C374" w14:textId="77777777" w:rsidR="006054AA" w:rsidRDefault="001F7667">
            <w:pPr>
              <w:pStyle w:val="P68B1DB1-Normal9"/>
              <w:jc w:val="center"/>
              <w:rPr>
                <w:noProof/>
              </w:rPr>
            </w:pPr>
            <w:r>
              <w:rPr>
                <w:noProof/>
              </w:rPr>
              <w:t>Базова линия</w:t>
            </w:r>
          </w:p>
        </w:tc>
        <w:tc>
          <w:tcPr>
            <w:tcW w:w="343" w:type="pct"/>
            <w:shd w:val="clear" w:color="auto" w:fill="BDD7EE"/>
            <w:vAlign w:val="center"/>
            <w:hideMark/>
          </w:tcPr>
          <w:p w14:paraId="1AEB08B8" w14:textId="77777777" w:rsidR="006054AA" w:rsidRDefault="001F7667">
            <w:pPr>
              <w:pStyle w:val="P68B1DB1-Normal9"/>
              <w:jc w:val="center"/>
              <w:rPr>
                <w:noProof/>
              </w:rPr>
            </w:pPr>
            <w:r>
              <w:rPr>
                <w:noProof/>
              </w:rPr>
              <w:t>Цел</w:t>
            </w:r>
          </w:p>
        </w:tc>
        <w:tc>
          <w:tcPr>
            <w:tcW w:w="286" w:type="pct"/>
            <w:shd w:val="clear" w:color="auto" w:fill="BDD7EE"/>
            <w:vAlign w:val="center"/>
            <w:hideMark/>
          </w:tcPr>
          <w:p w14:paraId="45BA2A93" w14:textId="77777777" w:rsidR="006054AA" w:rsidRDefault="001F7667">
            <w:pPr>
              <w:pStyle w:val="P68B1DB1-Normal9"/>
              <w:jc w:val="center"/>
              <w:rPr>
                <w:noProof/>
              </w:rPr>
            </w:pPr>
            <w:r>
              <w:rPr>
                <w:noProof/>
              </w:rPr>
              <w:t>Тримесечие</w:t>
            </w:r>
          </w:p>
        </w:tc>
        <w:tc>
          <w:tcPr>
            <w:tcW w:w="238" w:type="pct"/>
            <w:shd w:val="clear" w:color="auto" w:fill="BDD7EE"/>
            <w:vAlign w:val="center"/>
            <w:hideMark/>
          </w:tcPr>
          <w:p w14:paraId="120017EE" w14:textId="77777777" w:rsidR="006054AA" w:rsidRDefault="001F7667">
            <w:pPr>
              <w:pStyle w:val="P68B1DB1-Normal9"/>
              <w:jc w:val="center"/>
              <w:rPr>
                <w:noProof/>
              </w:rPr>
            </w:pPr>
            <w:r>
              <w:rPr>
                <w:noProof/>
              </w:rPr>
              <w:t>Година</w:t>
            </w:r>
          </w:p>
        </w:tc>
        <w:tc>
          <w:tcPr>
            <w:tcW w:w="1047" w:type="pct"/>
            <w:vMerge/>
            <w:vAlign w:val="center"/>
            <w:hideMark/>
          </w:tcPr>
          <w:p w14:paraId="28A2C6BA" w14:textId="77777777" w:rsidR="006054AA" w:rsidRDefault="006054AA">
            <w:pPr>
              <w:rPr>
                <w:rFonts w:ascii="Arial Narrow" w:hAnsi="Arial Narrow"/>
                <w:b/>
                <w:noProof/>
                <w:sz w:val="20"/>
              </w:rPr>
            </w:pPr>
          </w:p>
        </w:tc>
      </w:tr>
      <w:tr w:rsidR="006054AA" w14:paraId="2004969A" w14:textId="77777777">
        <w:trPr>
          <w:trHeight w:val="309"/>
        </w:trPr>
        <w:tc>
          <w:tcPr>
            <w:tcW w:w="380" w:type="pct"/>
            <w:shd w:val="clear" w:color="auto" w:fill="C6EFCE"/>
            <w:noWrap/>
            <w:vAlign w:val="center"/>
            <w:hideMark/>
          </w:tcPr>
          <w:p w14:paraId="4DCD0D31" w14:textId="77777777" w:rsidR="006054AA" w:rsidRDefault="001F7667">
            <w:pPr>
              <w:pStyle w:val="P68B1DB1-Normal11"/>
              <w:jc w:val="center"/>
              <w:rPr>
                <w:noProof/>
              </w:rPr>
            </w:pPr>
            <w:r>
              <w:rPr>
                <w:noProof/>
              </w:rPr>
              <w:t>M4C1—1</w:t>
            </w:r>
          </w:p>
        </w:tc>
        <w:tc>
          <w:tcPr>
            <w:tcW w:w="500" w:type="pct"/>
            <w:shd w:val="clear" w:color="auto" w:fill="C6EFCE"/>
            <w:noWrap/>
            <w:vAlign w:val="center"/>
            <w:hideMark/>
          </w:tcPr>
          <w:p w14:paraId="4E7FFD99" w14:textId="77777777" w:rsidR="006054AA" w:rsidRDefault="001F7667">
            <w:pPr>
              <w:pStyle w:val="P68B1DB1-Normal11"/>
              <w:jc w:val="center"/>
              <w:rPr>
                <w:noProof/>
              </w:rPr>
            </w:pPr>
            <w:r>
              <w:rPr>
                <w:noProof/>
              </w:rPr>
              <w:t>Реформа 1.5: Реформа на групите университетски дипломи; Реформа 1.6: Създаване на условия за реформа на университетските степени; Реформа 4.1: Докторска степен „Програми за реформа“</w:t>
            </w:r>
          </w:p>
        </w:tc>
        <w:tc>
          <w:tcPr>
            <w:tcW w:w="358" w:type="pct"/>
            <w:shd w:val="clear" w:color="auto" w:fill="C6EFCE"/>
            <w:noWrap/>
            <w:vAlign w:val="center"/>
            <w:hideMark/>
          </w:tcPr>
          <w:p w14:paraId="1F30A688"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hideMark/>
          </w:tcPr>
          <w:p w14:paraId="287181FB" w14:textId="77777777" w:rsidR="006054AA" w:rsidRDefault="001F7667">
            <w:pPr>
              <w:pStyle w:val="P68B1DB1-Normal11"/>
              <w:jc w:val="center"/>
              <w:rPr>
                <w:noProof/>
              </w:rPr>
            </w:pPr>
            <w:r>
              <w:rPr>
                <w:noProof/>
              </w:rPr>
              <w:t>Влизане в сила на реформите на системата на висшето образование с цел подобряване на образователните резултати (първично законодателство) относно: а) даване на възможност за получаване на университетски степени; групи за придобиване на университетска степен; реформа на докторските програми</w:t>
            </w:r>
          </w:p>
        </w:tc>
        <w:tc>
          <w:tcPr>
            <w:tcW w:w="480" w:type="pct"/>
            <w:shd w:val="clear" w:color="auto" w:fill="C6EFCE"/>
            <w:noWrap/>
            <w:vAlign w:val="center"/>
            <w:hideMark/>
          </w:tcPr>
          <w:p w14:paraId="2594341B" w14:textId="77777777" w:rsidR="006054AA" w:rsidRDefault="001F7667">
            <w:pPr>
              <w:pStyle w:val="P68B1DB1-Normal11"/>
              <w:jc w:val="center"/>
              <w:rPr>
                <w:noProof/>
              </w:rPr>
            </w:pPr>
            <w:r>
              <w:rPr>
                <w:noProof/>
              </w:rPr>
              <w:t>Законова разпоредба, указваща влизането в сила на реформите</w:t>
            </w:r>
          </w:p>
        </w:tc>
        <w:tc>
          <w:tcPr>
            <w:tcW w:w="422" w:type="pct"/>
            <w:shd w:val="clear" w:color="auto" w:fill="C6EFCE"/>
            <w:noWrap/>
            <w:vAlign w:val="center"/>
            <w:hideMark/>
          </w:tcPr>
          <w:p w14:paraId="419FB2F2" w14:textId="77777777" w:rsidR="006054AA" w:rsidRDefault="001F7667">
            <w:pPr>
              <w:pStyle w:val="P68B1DB1-Normal11"/>
              <w:jc w:val="center"/>
              <w:rPr>
                <w:noProof/>
              </w:rPr>
            </w:pPr>
            <w:r>
              <w:rPr>
                <w:noProof/>
              </w:rPr>
              <w:t>НЯМА</w:t>
            </w:r>
          </w:p>
        </w:tc>
        <w:tc>
          <w:tcPr>
            <w:tcW w:w="375" w:type="pct"/>
            <w:shd w:val="clear" w:color="auto" w:fill="C6EFCE"/>
            <w:noWrap/>
            <w:vAlign w:val="center"/>
            <w:hideMark/>
          </w:tcPr>
          <w:p w14:paraId="26A0BE2A" w14:textId="77777777" w:rsidR="006054AA" w:rsidRDefault="001F7667">
            <w:pPr>
              <w:pStyle w:val="P68B1DB1-Normal11"/>
              <w:jc w:val="center"/>
              <w:rPr>
                <w:noProof/>
              </w:rPr>
            </w:pPr>
            <w:r>
              <w:rPr>
                <w:noProof/>
              </w:rPr>
              <w:t>НЯМА</w:t>
            </w:r>
          </w:p>
        </w:tc>
        <w:tc>
          <w:tcPr>
            <w:tcW w:w="343" w:type="pct"/>
            <w:shd w:val="clear" w:color="auto" w:fill="C6EFCE"/>
            <w:noWrap/>
            <w:vAlign w:val="center"/>
            <w:hideMark/>
          </w:tcPr>
          <w:p w14:paraId="7FAC1956" w14:textId="77777777" w:rsidR="006054AA" w:rsidRDefault="001F7667">
            <w:pPr>
              <w:pStyle w:val="P68B1DB1-Normal11"/>
              <w:jc w:val="center"/>
              <w:rPr>
                <w:noProof/>
              </w:rPr>
            </w:pPr>
            <w:r>
              <w:rPr>
                <w:noProof/>
              </w:rPr>
              <w:t>НЯМА</w:t>
            </w:r>
          </w:p>
        </w:tc>
        <w:tc>
          <w:tcPr>
            <w:tcW w:w="286" w:type="pct"/>
            <w:shd w:val="clear" w:color="auto" w:fill="C6EFCE"/>
            <w:noWrap/>
            <w:vAlign w:val="center"/>
            <w:hideMark/>
          </w:tcPr>
          <w:p w14:paraId="0854EE68" w14:textId="77777777" w:rsidR="006054AA" w:rsidRDefault="001F7667">
            <w:pPr>
              <w:pStyle w:val="P68B1DB1-Normal11"/>
              <w:jc w:val="center"/>
              <w:rPr>
                <w:noProof/>
              </w:rPr>
            </w:pPr>
            <w:r>
              <w:rPr>
                <w:noProof/>
              </w:rPr>
              <w:t>Т4 Г.</w:t>
            </w:r>
          </w:p>
        </w:tc>
        <w:tc>
          <w:tcPr>
            <w:tcW w:w="238" w:type="pct"/>
            <w:shd w:val="clear" w:color="auto" w:fill="C6EFCE"/>
            <w:noWrap/>
            <w:vAlign w:val="center"/>
            <w:hideMark/>
          </w:tcPr>
          <w:p w14:paraId="3D4AD07E" w14:textId="77777777" w:rsidR="006054AA" w:rsidRDefault="001F7667">
            <w:pPr>
              <w:pStyle w:val="P68B1DB1-Normal11"/>
              <w:jc w:val="center"/>
              <w:rPr>
                <w:noProof/>
              </w:rPr>
            </w:pPr>
            <w:r>
              <w:rPr>
                <w:noProof/>
              </w:rPr>
              <w:t>2021</w:t>
            </w:r>
          </w:p>
        </w:tc>
        <w:tc>
          <w:tcPr>
            <w:tcW w:w="1047" w:type="pct"/>
            <w:shd w:val="clear" w:color="auto" w:fill="C6EFCE"/>
            <w:noWrap/>
            <w:vAlign w:val="center"/>
            <w:hideMark/>
          </w:tcPr>
          <w:p w14:paraId="7A2D3AE6" w14:textId="77777777" w:rsidR="006054AA" w:rsidRDefault="006054AA">
            <w:pPr>
              <w:rPr>
                <w:rFonts w:ascii="Arial Narrow" w:eastAsia="Calibri" w:hAnsi="Arial Narrow"/>
                <w:noProof/>
                <w:color w:val="006100"/>
                <w:sz w:val="20"/>
              </w:rPr>
            </w:pPr>
          </w:p>
          <w:p w14:paraId="3439948C" w14:textId="395F33F7" w:rsidR="006054AA" w:rsidRDefault="001F7667">
            <w:pPr>
              <w:pStyle w:val="P68B1DB1-Normal10"/>
              <w:rPr>
                <w:noProof/>
                <w:color w:val="006100"/>
                <w:sz w:val="20"/>
              </w:rPr>
            </w:pPr>
            <w:r>
              <w:rPr>
                <w:noProof/>
                <w:color w:val="006100"/>
                <w:sz w:val="20"/>
              </w:rPr>
              <w:t xml:space="preserve">Реформите включват най-малко следните ключови елементи: </w:t>
            </w:r>
            <w:r>
              <w:rPr>
                <w:noProof/>
              </w:rPr>
              <w:t xml:space="preserve"> </w:t>
            </w:r>
            <w:r>
              <w:rPr>
                <w:noProof/>
              </w:rPr>
              <w:br/>
            </w:r>
            <w:r>
              <w:rPr>
                <w:noProof/>
                <w:color w:val="006100"/>
                <w:sz w:val="20"/>
              </w:rPr>
              <w:t xml:space="preserve">инициативи за реформиране на групите за придобиване на университетски степени, като се въведе по-висока степен на гъвкавост, за да се отговори на нарастващото търсене на умения на пазара на труда; </w:t>
            </w:r>
            <w:r>
              <w:rPr>
                <w:noProof/>
              </w:rPr>
              <w:t xml:space="preserve"> </w:t>
            </w:r>
            <w:r>
              <w:rPr>
                <w:noProof/>
              </w:rPr>
              <w:br/>
            </w:r>
            <w:r>
              <w:rPr>
                <w:noProof/>
                <w:color w:val="006100"/>
                <w:sz w:val="20"/>
              </w:rPr>
              <w:t>инициативи за реформиране на университетските степени, даващи възможност за придобиване на университетски степени, за опростяване и ускоряване на достъпа до професии;</w:t>
            </w:r>
            <w:r>
              <w:rPr>
                <w:noProof/>
              </w:rPr>
              <w:t xml:space="preserve"> </w:t>
            </w:r>
            <w:r>
              <w:rPr>
                <w:noProof/>
              </w:rPr>
              <w:br/>
            </w:r>
            <w:r>
              <w:rPr>
                <w:noProof/>
                <w:color w:val="006100"/>
                <w:sz w:val="20"/>
              </w:rPr>
              <w:t>инициативи за реформиране на програмите за професионално обучение с цел по-добро включване на фирмите и насърчаване на приложните научни изследвания;</w:t>
            </w:r>
            <w:r>
              <w:rPr>
                <w:noProof/>
              </w:rPr>
              <w:t xml:space="preserve"> </w:t>
            </w:r>
            <w:r>
              <w:rPr>
                <w:noProof/>
              </w:rPr>
              <w:br/>
            </w:r>
            <w:r>
              <w:rPr>
                <w:noProof/>
                <w:color w:val="006100"/>
                <w:sz w:val="20"/>
              </w:rPr>
              <w:t>Мерки за реформиране на системата за висше професионално обучение, включително укрепване на връзките и възможните преходи с професионалните степени (lauree professionalizzanti), за да се отговори на търсенето на технически умения на пазара на труда</w:t>
            </w:r>
          </w:p>
        </w:tc>
      </w:tr>
      <w:tr w:rsidR="006054AA" w14:paraId="5B99B569" w14:textId="77777777">
        <w:trPr>
          <w:trHeight w:val="309"/>
        </w:trPr>
        <w:tc>
          <w:tcPr>
            <w:tcW w:w="380" w:type="pct"/>
            <w:shd w:val="clear" w:color="auto" w:fill="C6EFCE"/>
            <w:noWrap/>
            <w:vAlign w:val="center"/>
          </w:tcPr>
          <w:p w14:paraId="6B126051" w14:textId="77777777" w:rsidR="006054AA" w:rsidRDefault="001F7667">
            <w:pPr>
              <w:pStyle w:val="P68B1DB1-Normal11"/>
              <w:jc w:val="center"/>
              <w:rPr>
                <w:noProof/>
              </w:rPr>
            </w:pPr>
            <w:r>
              <w:rPr>
                <w:noProof/>
              </w:rPr>
              <w:t>M4C1—2</w:t>
            </w:r>
          </w:p>
        </w:tc>
        <w:tc>
          <w:tcPr>
            <w:tcW w:w="500" w:type="pct"/>
            <w:shd w:val="clear" w:color="auto" w:fill="C6EFCE"/>
            <w:noWrap/>
            <w:vAlign w:val="center"/>
          </w:tcPr>
          <w:p w14:paraId="3B06037B" w14:textId="77777777" w:rsidR="006054AA" w:rsidRDefault="001F7667">
            <w:pPr>
              <w:pStyle w:val="P68B1DB1-Normal11"/>
              <w:jc w:val="center"/>
              <w:rPr>
                <w:noProof/>
              </w:rPr>
            </w:pPr>
            <w:r>
              <w:rPr>
                <w:noProof/>
              </w:rPr>
              <w:t>Инвестиция 1.7: Стипендии за достъп до университет</w:t>
            </w:r>
          </w:p>
        </w:tc>
        <w:tc>
          <w:tcPr>
            <w:tcW w:w="358" w:type="pct"/>
            <w:shd w:val="clear" w:color="auto" w:fill="C6EFCE"/>
            <w:noWrap/>
            <w:vAlign w:val="center"/>
          </w:tcPr>
          <w:p w14:paraId="70C0497E"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tcPr>
          <w:p w14:paraId="1BD04F60" w14:textId="77777777" w:rsidR="006054AA" w:rsidRDefault="001F7667">
            <w:pPr>
              <w:pStyle w:val="P68B1DB1-Normal11"/>
              <w:jc w:val="center"/>
              <w:rPr>
                <w:noProof/>
              </w:rPr>
            </w:pPr>
            <w:r>
              <w:rPr>
                <w:noProof/>
              </w:rPr>
              <w:t>Влизане в сила на министерски укази за реформа на стипендиите с цел подобряване на достъпа до висше образование</w:t>
            </w:r>
          </w:p>
        </w:tc>
        <w:tc>
          <w:tcPr>
            <w:tcW w:w="480" w:type="pct"/>
            <w:shd w:val="clear" w:color="auto" w:fill="C6EFCE"/>
            <w:noWrap/>
            <w:vAlign w:val="center"/>
          </w:tcPr>
          <w:p w14:paraId="2181DF3B" w14:textId="77777777" w:rsidR="006054AA" w:rsidRDefault="001F7667">
            <w:pPr>
              <w:pStyle w:val="P68B1DB1-Normal11"/>
              <w:jc w:val="center"/>
              <w:rPr>
                <w:noProof/>
              </w:rPr>
            </w:pPr>
            <w:r>
              <w:rPr>
                <w:noProof/>
              </w:rPr>
              <w:t>Законова разпоредба, указваща влизането в сила на реформата</w:t>
            </w:r>
          </w:p>
        </w:tc>
        <w:tc>
          <w:tcPr>
            <w:tcW w:w="422" w:type="pct"/>
            <w:shd w:val="clear" w:color="auto" w:fill="C6EFCE"/>
            <w:noWrap/>
            <w:vAlign w:val="center"/>
          </w:tcPr>
          <w:p w14:paraId="0E5DAD9B" w14:textId="77777777" w:rsidR="006054AA" w:rsidRDefault="001F7667">
            <w:pPr>
              <w:pStyle w:val="P68B1DB1-Normal11"/>
              <w:jc w:val="center"/>
              <w:rPr>
                <w:noProof/>
              </w:rPr>
            </w:pPr>
            <w:r>
              <w:rPr>
                <w:noProof/>
              </w:rPr>
              <w:t>НЯМА</w:t>
            </w:r>
          </w:p>
        </w:tc>
        <w:tc>
          <w:tcPr>
            <w:tcW w:w="375" w:type="pct"/>
            <w:shd w:val="clear" w:color="auto" w:fill="C6EFCE"/>
            <w:noWrap/>
            <w:vAlign w:val="center"/>
          </w:tcPr>
          <w:p w14:paraId="3AD9DE9D" w14:textId="77777777" w:rsidR="006054AA" w:rsidRDefault="001F7667">
            <w:pPr>
              <w:pStyle w:val="P68B1DB1-Normal11"/>
              <w:jc w:val="center"/>
              <w:rPr>
                <w:noProof/>
              </w:rPr>
            </w:pPr>
            <w:r>
              <w:rPr>
                <w:noProof/>
              </w:rPr>
              <w:t>НЯМА</w:t>
            </w:r>
          </w:p>
        </w:tc>
        <w:tc>
          <w:tcPr>
            <w:tcW w:w="343" w:type="pct"/>
            <w:shd w:val="clear" w:color="auto" w:fill="C6EFCE"/>
            <w:noWrap/>
            <w:vAlign w:val="center"/>
          </w:tcPr>
          <w:p w14:paraId="533DF591" w14:textId="77777777" w:rsidR="006054AA" w:rsidRDefault="001F7667">
            <w:pPr>
              <w:pStyle w:val="P68B1DB1-Normal11"/>
              <w:jc w:val="center"/>
              <w:rPr>
                <w:noProof/>
              </w:rPr>
            </w:pPr>
            <w:r>
              <w:rPr>
                <w:noProof/>
              </w:rPr>
              <w:t>НЯМА</w:t>
            </w:r>
          </w:p>
        </w:tc>
        <w:tc>
          <w:tcPr>
            <w:tcW w:w="286" w:type="pct"/>
            <w:shd w:val="clear" w:color="auto" w:fill="C6EFCE"/>
            <w:noWrap/>
            <w:vAlign w:val="center"/>
          </w:tcPr>
          <w:p w14:paraId="0B028EED"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7C31C601" w14:textId="77777777" w:rsidR="006054AA" w:rsidRDefault="001F7667">
            <w:pPr>
              <w:pStyle w:val="P68B1DB1-Normal11"/>
              <w:jc w:val="center"/>
              <w:rPr>
                <w:noProof/>
              </w:rPr>
            </w:pPr>
            <w:r>
              <w:rPr>
                <w:noProof/>
              </w:rPr>
              <w:t>2021</w:t>
            </w:r>
          </w:p>
        </w:tc>
        <w:tc>
          <w:tcPr>
            <w:tcW w:w="1047" w:type="pct"/>
            <w:shd w:val="clear" w:color="auto" w:fill="C6EFCE"/>
            <w:noWrap/>
            <w:vAlign w:val="center"/>
          </w:tcPr>
          <w:p w14:paraId="1C85FF23" w14:textId="77777777" w:rsidR="006054AA" w:rsidRDefault="001F7667">
            <w:pPr>
              <w:pStyle w:val="P68B1DB1-Normal11"/>
              <w:rPr>
                <w:noProof/>
              </w:rPr>
            </w:pPr>
            <w:r>
              <w:rPr>
                <w:noProof/>
              </w:rPr>
              <w:t>Министерските постановления, приети от Министерството на университетите и научните изследвания относно реформата на стипендиите, подобряват достъпа до висше образование за талантливи студенти, изпитващи социално-икономически затруднения, увеличават размера на стипендиите и броя на бенефициерите до 31 декември 2024 г. Тези студенти са идентифицирани въз основа на ISEE — Indicatore della Situazione Economica Equivalente.</w:t>
            </w:r>
          </w:p>
        </w:tc>
      </w:tr>
      <w:tr w:rsidR="006054AA" w14:paraId="3B5F2153" w14:textId="77777777">
        <w:trPr>
          <w:trHeight w:val="309"/>
        </w:trPr>
        <w:tc>
          <w:tcPr>
            <w:tcW w:w="380" w:type="pct"/>
            <w:shd w:val="clear" w:color="auto" w:fill="C6EFCE"/>
            <w:noWrap/>
            <w:vAlign w:val="center"/>
            <w:hideMark/>
          </w:tcPr>
          <w:p w14:paraId="32D152DD" w14:textId="77777777" w:rsidR="006054AA" w:rsidRDefault="001F7667">
            <w:pPr>
              <w:pStyle w:val="P68B1DB1-Normal11"/>
              <w:jc w:val="center"/>
              <w:rPr>
                <w:noProof/>
              </w:rPr>
            </w:pPr>
            <w:r>
              <w:rPr>
                <w:noProof/>
              </w:rPr>
              <w:t>M4C1—3</w:t>
            </w:r>
          </w:p>
        </w:tc>
        <w:tc>
          <w:tcPr>
            <w:tcW w:w="500" w:type="pct"/>
            <w:shd w:val="clear" w:color="auto" w:fill="C6EFCE"/>
            <w:noWrap/>
            <w:vAlign w:val="center"/>
            <w:hideMark/>
          </w:tcPr>
          <w:p w14:paraId="2364BA55" w14:textId="77777777" w:rsidR="006054AA" w:rsidRDefault="001F7667">
            <w:pPr>
              <w:pStyle w:val="P68B1DB1-Normal11"/>
              <w:jc w:val="center"/>
              <w:rPr>
                <w:noProof/>
              </w:rPr>
            </w:pPr>
            <w:r>
              <w:rPr>
                <w:noProof/>
              </w:rPr>
              <w:t>Реформа 2.1: Набиране на учители</w:t>
            </w:r>
          </w:p>
        </w:tc>
        <w:tc>
          <w:tcPr>
            <w:tcW w:w="358" w:type="pct"/>
            <w:shd w:val="clear" w:color="auto" w:fill="C6EFCE"/>
            <w:noWrap/>
            <w:vAlign w:val="center"/>
            <w:hideMark/>
          </w:tcPr>
          <w:p w14:paraId="6A4D24BF"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hideMark/>
          </w:tcPr>
          <w:p w14:paraId="2C87935F" w14:textId="77777777" w:rsidR="006054AA" w:rsidRDefault="001F7667">
            <w:pPr>
              <w:pStyle w:val="P68B1DB1-Normal11"/>
              <w:jc w:val="center"/>
              <w:rPr>
                <w:noProof/>
              </w:rPr>
            </w:pPr>
            <w:r>
              <w:rPr>
                <w:noProof/>
              </w:rPr>
              <w:t>Влизане в сила на реформата на учителската професия.</w:t>
            </w:r>
          </w:p>
        </w:tc>
        <w:tc>
          <w:tcPr>
            <w:tcW w:w="480" w:type="pct"/>
            <w:shd w:val="clear" w:color="auto" w:fill="C6EFCE"/>
            <w:noWrap/>
            <w:vAlign w:val="center"/>
            <w:hideMark/>
          </w:tcPr>
          <w:p w14:paraId="682D7123" w14:textId="77777777" w:rsidR="006054AA" w:rsidRDefault="001F7667">
            <w:pPr>
              <w:pStyle w:val="P68B1DB1-Normal11"/>
              <w:jc w:val="center"/>
              <w:rPr>
                <w:noProof/>
              </w:rPr>
            </w:pPr>
            <w:r>
              <w:rPr>
                <w:noProof/>
              </w:rPr>
              <w:t>Законова разпоредба, указваща влизането в сила на реформата</w:t>
            </w:r>
          </w:p>
        </w:tc>
        <w:tc>
          <w:tcPr>
            <w:tcW w:w="422" w:type="pct"/>
            <w:shd w:val="clear" w:color="auto" w:fill="C6EFCE"/>
            <w:noWrap/>
            <w:vAlign w:val="center"/>
            <w:hideMark/>
          </w:tcPr>
          <w:p w14:paraId="325A2C73" w14:textId="77777777" w:rsidR="006054AA" w:rsidRDefault="001F7667">
            <w:pPr>
              <w:pStyle w:val="P68B1DB1-Normal11"/>
              <w:jc w:val="center"/>
              <w:rPr>
                <w:noProof/>
              </w:rPr>
            </w:pPr>
            <w:r>
              <w:rPr>
                <w:noProof/>
              </w:rPr>
              <w:t>НЯМА</w:t>
            </w:r>
          </w:p>
        </w:tc>
        <w:tc>
          <w:tcPr>
            <w:tcW w:w="375" w:type="pct"/>
            <w:shd w:val="clear" w:color="auto" w:fill="C6EFCE"/>
            <w:noWrap/>
            <w:vAlign w:val="center"/>
            <w:hideMark/>
          </w:tcPr>
          <w:p w14:paraId="4867FE5C" w14:textId="77777777" w:rsidR="006054AA" w:rsidRDefault="001F7667">
            <w:pPr>
              <w:pStyle w:val="P68B1DB1-Normal11"/>
              <w:jc w:val="center"/>
              <w:rPr>
                <w:noProof/>
              </w:rPr>
            </w:pPr>
            <w:r>
              <w:rPr>
                <w:noProof/>
              </w:rPr>
              <w:t>НЯМА</w:t>
            </w:r>
          </w:p>
        </w:tc>
        <w:tc>
          <w:tcPr>
            <w:tcW w:w="343" w:type="pct"/>
            <w:shd w:val="clear" w:color="auto" w:fill="C6EFCE"/>
            <w:noWrap/>
            <w:vAlign w:val="center"/>
            <w:hideMark/>
          </w:tcPr>
          <w:p w14:paraId="5895ED4E" w14:textId="77777777" w:rsidR="006054AA" w:rsidRDefault="001F7667">
            <w:pPr>
              <w:pStyle w:val="P68B1DB1-Normal11"/>
              <w:jc w:val="center"/>
              <w:rPr>
                <w:noProof/>
              </w:rPr>
            </w:pPr>
            <w:r>
              <w:rPr>
                <w:noProof/>
              </w:rPr>
              <w:t>НЯМА</w:t>
            </w:r>
          </w:p>
        </w:tc>
        <w:tc>
          <w:tcPr>
            <w:tcW w:w="286" w:type="pct"/>
            <w:shd w:val="clear" w:color="auto" w:fill="C6EFCE"/>
            <w:noWrap/>
            <w:vAlign w:val="center"/>
            <w:hideMark/>
          </w:tcPr>
          <w:p w14:paraId="0ABDBA08" w14:textId="77777777" w:rsidR="006054AA" w:rsidRDefault="001F7667">
            <w:pPr>
              <w:pStyle w:val="P68B1DB1-Normal11"/>
              <w:jc w:val="center"/>
              <w:rPr>
                <w:noProof/>
              </w:rPr>
            </w:pPr>
            <w:r>
              <w:rPr>
                <w:noProof/>
              </w:rPr>
              <w:t>Т2 Г.</w:t>
            </w:r>
          </w:p>
        </w:tc>
        <w:tc>
          <w:tcPr>
            <w:tcW w:w="238" w:type="pct"/>
            <w:shd w:val="clear" w:color="auto" w:fill="C6EFCE"/>
            <w:noWrap/>
            <w:vAlign w:val="center"/>
            <w:hideMark/>
          </w:tcPr>
          <w:p w14:paraId="2B967F94" w14:textId="77777777" w:rsidR="006054AA" w:rsidRDefault="001F7667">
            <w:pPr>
              <w:pStyle w:val="P68B1DB1-Normal11"/>
              <w:jc w:val="center"/>
              <w:rPr>
                <w:noProof/>
              </w:rPr>
            </w:pPr>
            <w:r>
              <w:rPr>
                <w:noProof/>
              </w:rPr>
              <w:t>2022</w:t>
            </w:r>
          </w:p>
        </w:tc>
        <w:tc>
          <w:tcPr>
            <w:tcW w:w="1047" w:type="pct"/>
            <w:shd w:val="clear" w:color="auto" w:fill="C6EFCE"/>
            <w:noWrap/>
            <w:vAlign w:val="center"/>
            <w:hideMark/>
          </w:tcPr>
          <w:p w14:paraId="47A90CDC" w14:textId="77777777" w:rsidR="006054AA" w:rsidRDefault="001F7667">
            <w:pPr>
              <w:pStyle w:val="P68B1DB1-Normal10"/>
              <w:rPr>
                <w:noProof/>
                <w:color w:val="006100"/>
                <w:sz w:val="20"/>
              </w:rPr>
            </w:pPr>
            <w:r>
              <w:rPr>
                <w:noProof/>
                <w:color w:val="006100"/>
                <w:sz w:val="20"/>
              </w:rPr>
              <w:t xml:space="preserve">Преразгледаната правна рамка привлича, наема и мотивира качествени учители, по-специално чрез: </w:t>
            </w:r>
            <w:r>
              <w:rPr>
                <w:noProof/>
              </w:rPr>
              <w:t xml:space="preserve"> </w:t>
            </w:r>
            <w:r>
              <w:rPr>
                <w:noProof/>
              </w:rPr>
              <w:br/>
            </w:r>
            <w:r>
              <w:rPr>
                <w:noProof/>
                <w:color w:val="006100"/>
                <w:sz w:val="20"/>
              </w:rPr>
              <w:t xml:space="preserve">и) подобряване на системата за набиране на персонал </w:t>
            </w:r>
            <w:r>
              <w:rPr>
                <w:noProof/>
              </w:rPr>
              <w:t xml:space="preserve"> </w:t>
            </w:r>
            <w:r>
              <w:rPr>
                <w:noProof/>
              </w:rPr>
              <w:br/>
              <w:t xml:space="preserve"> </w:t>
            </w:r>
            <w:r>
              <w:rPr>
                <w:noProof/>
                <w:color w:val="006100"/>
                <w:sz w:val="20"/>
              </w:rPr>
              <w:t xml:space="preserve">въвеждане на по-висока квалификация в преподаването с цел достъп до професията в средното училище; </w:t>
            </w:r>
            <w:r>
              <w:rPr>
                <w:noProof/>
              </w:rPr>
              <w:t xml:space="preserve"> </w:t>
            </w:r>
            <w:r>
              <w:rPr>
                <w:noProof/>
              </w:rPr>
              <w:br/>
            </w:r>
            <w:r>
              <w:rPr>
                <w:noProof/>
                <w:color w:val="006100"/>
                <w:sz w:val="20"/>
              </w:rPr>
              <w:t>ограничаване на прекомерната мобилност на преподавателите (в интерес на приемствеността в преподаването);</w:t>
            </w:r>
            <w:r>
              <w:rPr>
                <w:noProof/>
              </w:rPr>
              <w:t xml:space="preserve"> </w:t>
            </w:r>
            <w:r>
              <w:rPr>
                <w:noProof/>
              </w:rPr>
              <w:br/>
            </w:r>
            <w:r>
              <w:rPr>
                <w:noProof/>
                <w:color w:val="006100"/>
                <w:sz w:val="20"/>
              </w:rPr>
              <w:t>IV) определяне на кариерно развитие, ясно свързано с оценката на изпълнението и непрекъснатото професионално развитие.</w:t>
            </w:r>
          </w:p>
        </w:tc>
      </w:tr>
      <w:tr w:rsidR="006054AA" w14:paraId="22D254AE" w14:textId="77777777">
        <w:trPr>
          <w:trHeight w:val="309"/>
        </w:trPr>
        <w:tc>
          <w:tcPr>
            <w:tcW w:w="380" w:type="pct"/>
            <w:shd w:val="clear" w:color="auto" w:fill="C6EFCE"/>
            <w:noWrap/>
            <w:vAlign w:val="center"/>
            <w:hideMark/>
          </w:tcPr>
          <w:p w14:paraId="4B8E38FB" w14:textId="77777777" w:rsidR="006054AA" w:rsidRDefault="001F7667">
            <w:pPr>
              <w:pStyle w:val="P68B1DB1-Normal11"/>
              <w:jc w:val="center"/>
              <w:rPr>
                <w:noProof/>
              </w:rPr>
            </w:pPr>
            <w:r>
              <w:rPr>
                <w:noProof/>
              </w:rPr>
              <w:t>M4C1—4</w:t>
            </w:r>
          </w:p>
        </w:tc>
        <w:tc>
          <w:tcPr>
            <w:tcW w:w="500" w:type="pct"/>
            <w:shd w:val="clear" w:color="auto" w:fill="C6EFCE"/>
            <w:noWrap/>
            <w:vAlign w:val="center"/>
            <w:hideMark/>
          </w:tcPr>
          <w:p w14:paraId="2A2CC822" w14:textId="77777777" w:rsidR="006054AA" w:rsidRDefault="001F7667">
            <w:pPr>
              <w:pStyle w:val="P68B1DB1-Normal11"/>
              <w:jc w:val="center"/>
              <w:rPr>
                <w:noProof/>
              </w:rPr>
            </w:pPr>
            <w:r>
              <w:rPr>
                <w:noProof/>
              </w:rPr>
              <w:t>Инвестиция 3.2: Училище 4.0: иновативни училища, окабеляване, нови класни стаи и семинари</w:t>
            </w:r>
          </w:p>
        </w:tc>
        <w:tc>
          <w:tcPr>
            <w:tcW w:w="358" w:type="pct"/>
            <w:shd w:val="clear" w:color="auto" w:fill="C6EFCE"/>
            <w:noWrap/>
            <w:vAlign w:val="center"/>
            <w:hideMark/>
          </w:tcPr>
          <w:p w14:paraId="130676C1" w14:textId="20F16329" w:rsidR="006054AA" w:rsidRDefault="001F7667">
            <w:pPr>
              <w:pStyle w:val="P68B1DB1-Normal11"/>
              <w:jc w:val="center"/>
              <w:rPr>
                <w:noProof/>
              </w:rPr>
            </w:pPr>
            <w:r>
              <w:rPr>
                <w:noProof/>
              </w:rPr>
              <w:t>Ключов етап</w:t>
            </w:r>
          </w:p>
        </w:tc>
        <w:tc>
          <w:tcPr>
            <w:tcW w:w="572" w:type="pct"/>
            <w:shd w:val="clear" w:color="auto" w:fill="C6EFCE"/>
            <w:noWrap/>
            <w:vAlign w:val="center"/>
            <w:hideMark/>
          </w:tcPr>
          <w:p w14:paraId="7A0678A4" w14:textId="77777777" w:rsidR="006054AA" w:rsidRDefault="001F7667">
            <w:pPr>
              <w:pStyle w:val="P68B1DB1-Normal11"/>
              <w:jc w:val="center"/>
              <w:rPr>
                <w:noProof/>
              </w:rPr>
            </w:pPr>
            <w:r>
              <w:rPr>
                <w:noProof/>
              </w:rPr>
              <w:t>Приет е план „Училище 4.0“ за насърчаване на цифровия преход на италианската училищна система</w:t>
            </w:r>
          </w:p>
        </w:tc>
        <w:tc>
          <w:tcPr>
            <w:tcW w:w="480" w:type="pct"/>
            <w:shd w:val="clear" w:color="auto" w:fill="C6EFCE"/>
            <w:noWrap/>
            <w:vAlign w:val="center"/>
            <w:hideMark/>
          </w:tcPr>
          <w:p w14:paraId="654F2410" w14:textId="77777777" w:rsidR="006054AA" w:rsidRDefault="001F7667">
            <w:pPr>
              <w:pStyle w:val="P68B1DB1-Normal11"/>
              <w:jc w:val="center"/>
              <w:rPr>
                <w:noProof/>
              </w:rPr>
            </w:pPr>
            <w:r>
              <w:rPr>
                <w:noProof/>
              </w:rPr>
              <w:t>Министерство на образованието — Постановление за приемане на плана „Училище 4.0“</w:t>
            </w:r>
          </w:p>
        </w:tc>
        <w:tc>
          <w:tcPr>
            <w:tcW w:w="422" w:type="pct"/>
            <w:shd w:val="clear" w:color="auto" w:fill="C6EFCE"/>
            <w:noWrap/>
            <w:vAlign w:val="center"/>
            <w:hideMark/>
          </w:tcPr>
          <w:p w14:paraId="282756A7" w14:textId="77777777" w:rsidR="006054AA" w:rsidRDefault="001F7667">
            <w:pPr>
              <w:pStyle w:val="P68B1DB1-Normal11"/>
              <w:jc w:val="center"/>
              <w:rPr>
                <w:noProof/>
              </w:rPr>
            </w:pPr>
            <w:r>
              <w:rPr>
                <w:noProof/>
              </w:rPr>
              <w:t>НЯМА</w:t>
            </w:r>
          </w:p>
        </w:tc>
        <w:tc>
          <w:tcPr>
            <w:tcW w:w="375" w:type="pct"/>
            <w:shd w:val="clear" w:color="auto" w:fill="C6EFCE"/>
            <w:noWrap/>
            <w:vAlign w:val="center"/>
            <w:hideMark/>
          </w:tcPr>
          <w:p w14:paraId="0833FA2C" w14:textId="77777777" w:rsidR="006054AA" w:rsidRDefault="001F7667">
            <w:pPr>
              <w:pStyle w:val="P68B1DB1-Normal11"/>
              <w:jc w:val="center"/>
              <w:rPr>
                <w:noProof/>
              </w:rPr>
            </w:pPr>
            <w:r>
              <w:rPr>
                <w:noProof/>
              </w:rPr>
              <w:t>НЯМА</w:t>
            </w:r>
          </w:p>
        </w:tc>
        <w:tc>
          <w:tcPr>
            <w:tcW w:w="343" w:type="pct"/>
            <w:shd w:val="clear" w:color="auto" w:fill="C6EFCE"/>
            <w:noWrap/>
            <w:vAlign w:val="center"/>
            <w:hideMark/>
          </w:tcPr>
          <w:p w14:paraId="4D11119F" w14:textId="77777777" w:rsidR="006054AA" w:rsidRDefault="001F7667">
            <w:pPr>
              <w:pStyle w:val="P68B1DB1-Normal11"/>
              <w:jc w:val="center"/>
              <w:rPr>
                <w:noProof/>
              </w:rPr>
            </w:pPr>
            <w:r>
              <w:rPr>
                <w:noProof/>
              </w:rPr>
              <w:t>НЯМА</w:t>
            </w:r>
          </w:p>
        </w:tc>
        <w:tc>
          <w:tcPr>
            <w:tcW w:w="286" w:type="pct"/>
            <w:shd w:val="clear" w:color="auto" w:fill="C6EFCE"/>
            <w:noWrap/>
            <w:vAlign w:val="center"/>
            <w:hideMark/>
          </w:tcPr>
          <w:p w14:paraId="22DDDDFA" w14:textId="77777777" w:rsidR="006054AA" w:rsidRDefault="001F7667">
            <w:pPr>
              <w:pStyle w:val="P68B1DB1-Normal11"/>
              <w:jc w:val="center"/>
              <w:rPr>
                <w:noProof/>
              </w:rPr>
            </w:pPr>
            <w:r>
              <w:rPr>
                <w:noProof/>
              </w:rPr>
              <w:t>Т2 Г.</w:t>
            </w:r>
          </w:p>
        </w:tc>
        <w:tc>
          <w:tcPr>
            <w:tcW w:w="238" w:type="pct"/>
            <w:shd w:val="clear" w:color="auto" w:fill="C6EFCE"/>
            <w:noWrap/>
            <w:vAlign w:val="center"/>
            <w:hideMark/>
          </w:tcPr>
          <w:p w14:paraId="349971CC" w14:textId="77777777" w:rsidR="006054AA" w:rsidRDefault="001F7667">
            <w:pPr>
              <w:pStyle w:val="P68B1DB1-Normal11"/>
              <w:jc w:val="center"/>
              <w:rPr>
                <w:noProof/>
              </w:rPr>
            </w:pPr>
            <w:r>
              <w:rPr>
                <w:noProof/>
              </w:rPr>
              <w:t>2022</w:t>
            </w:r>
          </w:p>
        </w:tc>
        <w:tc>
          <w:tcPr>
            <w:tcW w:w="1047" w:type="pct"/>
            <w:shd w:val="clear" w:color="auto" w:fill="C6EFCE"/>
            <w:noWrap/>
            <w:vAlign w:val="center"/>
            <w:hideMark/>
          </w:tcPr>
          <w:p w14:paraId="7DAF7EDD" w14:textId="77777777" w:rsidR="006054AA" w:rsidRDefault="006054AA">
            <w:pPr>
              <w:rPr>
                <w:rFonts w:ascii="Arial Narrow" w:hAnsi="Arial Narrow"/>
                <w:noProof/>
                <w:color w:val="006100"/>
                <w:sz w:val="20"/>
              </w:rPr>
            </w:pPr>
          </w:p>
          <w:p w14:paraId="50A2E9BB" w14:textId="616BE372" w:rsidR="006054AA" w:rsidRDefault="001F7667">
            <w:pPr>
              <w:pStyle w:val="P68B1DB1-Normal11"/>
              <w:rPr>
                <w:noProof/>
              </w:rPr>
            </w:pPr>
            <w:r>
              <w:rPr>
                <w:noProof/>
              </w:rPr>
              <w:t>Планът „Училище 4.0“, приет от Министерството на образованието за насърчаване на цифровия преход на италианската училищна система, включва:</w:t>
            </w:r>
          </w:p>
          <w:p w14:paraId="14ED981B" w14:textId="40C53121" w:rsidR="006054AA" w:rsidRDefault="001F7667">
            <w:pPr>
              <w:pStyle w:val="P68B1DB1-Normal11"/>
              <w:rPr>
                <w:noProof/>
              </w:rPr>
            </w:pPr>
            <w:r>
              <w:rPr>
                <w:noProof/>
              </w:rPr>
              <w:t>а) преобразуване на 100 000 класни стаи в иновативна учебна среда</w:t>
            </w:r>
          </w:p>
          <w:p w14:paraId="79F1103B" w14:textId="77777777" w:rsidR="006054AA" w:rsidRDefault="001F7667">
            <w:pPr>
              <w:pStyle w:val="P68B1DB1-Normal11"/>
              <w:rPr>
                <w:noProof/>
              </w:rPr>
            </w:pPr>
            <w:r>
              <w:rPr>
                <w:noProof/>
              </w:rPr>
              <w:t>създаване на лаборатории за новите цифрови професии във всички гимназии.</w:t>
            </w:r>
          </w:p>
          <w:p w14:paraId="3008B221" w14:textId="67CBD440" w:rsidR="006054AA" w:rsidRDefault="006054AA">
            <w:pPr>
              <w:rPr>
                <w:rFonts w:ascii="Arial Narrow" w:hAnsi="Arial Narrow"/>
                <w:noProof/>
                <w:color w:val="006100"/>
                <w:sz w:val="20"/>
              </w:rPr>
            </w:pPr>
          </w:p>
          <w:p w14:paraId="58A657DB" w14:textId="150D7FF2" w:rsidR="006054AA" w:rsidRDefault="001F7667">
            <w:pPr>
              <w:pStyle w:val="P68B1DB1-Normal11"/>
              <w:rPr>
                <w:noProof/>
              </w:rPr>
            </w:pPr>
            <w:r>
              <w:rPr>
                <w:noProof/>
              </w:rPr>
              <w:t>Действие а) преобразува училищните пространства, предназначени за традиционни класни стаи, в иновативна, адаптивна и гъвкава учебна среда, свързана, интегрирана заедно с цифрови, физически и виртуални технологии. Инвестициите в училищни съоръжения ще донесат най-иновативните технологии за преподаване (устройства за кодиране и роботика, устройства за виртуална реалност, усъвършенствани цифрови устройства за приобщаващо образование и т.н. в поне 100 000 класни стаи от начални и средни училища, използвани за уроци).</w:t>
            </w:r>
          </w:p>
          <w:p w14:paraId="00854B6C" w14:textId="77777777" w:rsidR="006054AA" w:rsidRDefault="001F7667">
            <w:pPr>
              <w:pStyle w:val="P68B1DB1-Normal11"/>
              <w:rPr>
                <w:noProof/>
              </w:rPr>
            </w:pPr>
            <w:r>
              <w:rPr>
                <w:noProof/>
              </w:rPr>
              <w:t>Действие б) създава поне една лаборатория за цифрови професии във всяко средно училище, лаборатория, тясно свързана с дружества и иновативни стартиращи предприятия за създаване на нови работни места в сектора на новите цифрови професии (като изкуствен интелект, роботика, големи информационни масиви и киберсигурност, синя и зелена икономика).</w:t>
            </w:r>
          </w:p>
          <w:p w14:paraId="14AB2011" w14:textId="119A783D" w:rsidR="006054AA" w:rsidRDefault="006054AA">
            <w:pPr>
              <w:rPr>
                <w:rFonts w:ascii="Arial Narrow" w:hAnsi="Arial Narrow"/>
                <w:noProof/>
                <w:color w:val="006100"/>
                <w:sz w:val="20"/>
              </w:rPr>
            </w:pPr>
          </w:p>
          <w:p w14:paraId="03F9D7A4" w14:textId="77777777" w:rsidR="006054AA" w:rsidRDefault="001F7667">
            <w:pPr>
              <w:pStyle w:val="P68B1DB1-Normal11"/>
              <w:rPr>
                <w:noProof/>
              </w:rPr>
            </w:pPr>
            <w:r>
              <w:rPr>
                <w:noProof/>
              </w:rPr>
              <w:t>Най-малко 40 % от училищата бенефициери трябва да са разположени в южната част на Италия.</w:t>
            </w:r>
          </w:p>
        </w:tc>
      </w:tr>
      <w:tr w:rsidR="006054AA" w14:paraId="30C585C6" w14:textId="77777777">
        <w:trPr>
          <w:trHeight w:val="309"/>
        </w:trPr>
        <w:tc>
          <w:tcPr>
            <w:tcW w:w="380" w:type="pct"/>
            <w:shd w:val="clear" w:color="auto" w:fill="C6EFCE"/>
            <w:noWrap/>
            <w:vAlign w:val="center"/>
            <w:hideMark/>
          </w:tcPr>
          <w:p w14:paraId="7A076BD7" w14:textId="77777777" w:rsidR="006054AA" w:rsidRDefault="001F7667">
            <w:pPr>
              <w:pStyle w:val="P68B1DB1-Normal11"/>
              <w:jc w:val="center"/>
              <w:rPr>
                <w:noProof/>
              </w:rPr>
            </w:pPr>
            <w:r>
              <w:rPr>
                <w:noProof/>
              </w:rPr>
              <w:t>M4C1—5</w:t>
            </w:r>
          </w:p>
        </w:tc>
        <w:tc>
          <w:tcPr>
            <w:tcW w:w="500" w:type="pct"/>
            <w:shd w:val="clear" w:color="auto" w:fill="C6EFCE"/>
            <w:noWrap/>
            <w:vAlign w:val="center"/>
            <w:hideMark/>
          </w:tcPr>
          <w:p w14:paraId="09C10A63" w14:textId="77777777" w:rsidR="006054AA" w:rsidRDefault="001F7667">
            <w:pPr>
              <w:pStyle w:val="P68B1DB1-Normal11"/>
              <w:jc w:val="center"/>
              <w:rPr>
                <w:noProof/>
              </w:rPr>
            </w:pPr>
            <w:r>
              <w:rPr>
                <w:noProof/>
              </w:rPr>
              <w:t>Реформа 1.3: Реорганизация на училищната система; Реформа 1.2: Реформа на системата за висше професионално обучение (ИТС); Реформа 1.1: Реформа на техническите и професионалните институти; Реформа 1.4: Реформа на системата за ориентиране</w:t>
            </w:r>
          </w:p>
        </w:tc>
        <w:tc>
          <w:tcPr>
            <w:tcW w:w="358" w:type="pct"/>
            <w:shd w:val="clear" w:color="auto" w:fill="C6EFCE"/>
            <w:noWrap/>
            <w:vAlign w:val="center"/>
            <w:hideMark/>
          </w:tcPr>
          <w:p w14:paraId="4DB829CB" w14:textId="77777777" w:rsidR="006054AA" w:rsidRDefault="001F7667">
            <w:pPr>
              <w:pStyle w:val="P68B1DB1-Normal11"/>
              <w:jc w:val="center"/>
              <w:rPr>
                <w:noProof/>
              </w:rPr>
            </w:pPr>
            <w:r>
              <w:rPr>
                <w:noProof/>
              </w:rPr>
              <w:t>Основни етапи</w:t>
            </w:r>
          </w:p>
        </w:tc>
        <w:tc>
          <w:tcPr>
            <w:tcW w:w="572" w:type="pct"/>
            <w:shd w:val="clear" w:color="auto" w:fill="C6EFCE"/>
            <w:noWrap/>
            <w:vAlign w:val="center"/>
            <w:hideMark/>
          </w:tcPr>
          <w:p w14:paraId="2D282292" w14:textId="77777777" w:rsidR="006054AA" w:rsidRDefault="001F7667">
            <w:pPr>
              <w:pStyle w:val="P68B1DB1-Normal11"/>
              <w:jc w:val="center"/>
              <w:rPr>
                <w:noProof/>
              </w:rPr>
            </w:pPr>
            <w:r>
              <w:rPr>
                <w:noProof/>
              </w:rPr>
              <w:t>Влизане в сила на реформите в системата на основното и средното образование с цел подобряване на образователните резултати</w:t>
            </w:r>
          </w:p>
        </w:tc>
        <w:tc>
          <w:tcPr>
            <w:tcW w:w="480" w:type="pct"/>
            <w:shd w:val="clear" w:color="auto" w:fill="C6EFCE"/>
            <w:noWrap/>
            <w:vAlign w:val="center"/>
            <w:hideMark/>
          </w:tcPr>
          <w:p w14:paraId="0E4A785A" w14:textId="77777777" w:rsidR="006054AA" w:rsidRDefault="001F7667">
            <w:pPr>
              <w:pStyle w:val="P68B1DB1-Normal11"/>
              <w:jc w:val="center"/>
              <w:rPr>
                <w:noProof/>
              </w:rPr>
            </w:pPr>
            <w:r>
              <w:rPr>
                <w:noProof/>
              </w:rPr>
              <w:t>Законова разпоредба, указваща влизането в сила на реформите</w:t>
            </w:r>
          </w:p>
        </w:tc>
        <w:tc>
          <w:tcPr>
            <w:tcW w:w="422" w:type="pct"/>
            <w:shd w:val="clear" w:color="auto" w:fill="C6EFCE"/>
            <w:noWrap/>
            <w:vAlign w:val="center"/>
            <w:hideMark/>
          </w:tcPr>
          <w:p w14:paraId="59F7BAFB" w14:textId="77777777" w:rsidR="006054AA" w:rsidRDefault="001F7667">
            <w:pPr>
              <w:pStyle w:val="P68B1DB1-Normal11"/>
              <w:jc w:val="center"/>
              <w:rPr>
                <w:noProof/>
              </w:rPr>
            </w:pPr>
            <w:r>
              <w:rPr>
                <w:noProof/>
              </w:rPr>
              <w:t>НЯМА</w:t>
            </w:r>
          </w:p>
        </w:tc>
        <w:tc>
          <w:tcPr>
            <w:tcW w:w="375" w:type="pct"/>
            <w:shd w:val="clear" w:color="auto" w:fill="C6EFCE"/>
            <w:noWrap/>
            <w:vAlign w:val="center"/>
            <w:hideMark/>
          </w:tcPr>
          <w:p w14:paraId="0FCD286C" w14:textId="77777777" w:rsidR="006054AA" w:rsidRDefault="001F7667">
            <w:pPr>
              <w:pStyle w:val="P68B1DB1-Normal11"/>
              <w:jc w:val="center"/>
              <w:rPr>
                <w:noProof/>
              </w:rPr>
            </w:pPr>
            <w:r>
              <w:rPr>
                <w:noProof/>
              </w:rPr>
              <w:t>НЯМА</w:t>
            </w:r>
          </w:p>
        </w:tc>
        <w:tc>
          <w:tcPr>
            <w:tcW w:w="343" w:type="pct"/>
            <w:shd w:val="clear" w:color="auto" w:fill="C6EFCE"/>
            <w:noWrap/>
            <w:vAlign w:val="center"/>
            <w:hideMark/>
          </w:tcPr>
          <w:p w14:paraId="4C9466AA" w14:textId="77777777" w:rsidR="006054AA" w:rsidRDefault="001F7667">
            <w:pPr>
              <w:pStyle w:val="P68B1DB1-Normal11"/>
              <w:jc w:val="center"/>
              <w:rPr>
                <w:noProof/>
              </w:rPr>
            </w:pPr>
            <w:r>
              <w:rPr>
                <w:noProof/>
              </w:rPr>
              <w:t>НЯМА</w:t>
            </w:r>
          </w:p>
        </w:tc>
        <w:tc>
          <w:tcPr>
            <w:tcW w:w="286" w:type="pct"/>
            <w:shd w:val="clear" w:color="auto" w:fill="C6EFCE"/>
            <w:noWrap/>
            <w:vAlign w:val="center"/>
            <w:hideMark/>
          </w:tcPr>
          <w:p w14:paraId="743360C5" w14:textId="77777777" w:rsidR="006054AA" w:rsidRDefault="001F7667">
            <w:pPr>
              <w:pStyle w:val="P68B1DB1-Normal11"/>
              <w:jc w:val="center"/>
              <w:rPr>
                <w:noProof/>
              </w:rPr>
            </w:pPr>
            <w:r>
              <w:rPr>
                <w:noProof/>
              </w:rPr>
              <w:t>Т4 Г.</w:t>
            </w:r>
          </w:p>
        </w:tc>
        <w:tc>
          <w:tcPr>
            <w:tcW w:w="238" w:type="pct"/>
            <w:shd w:val="clear" w:color="auto" w:fill="C6EFCE"/>
            <w:noWrap/>
            <w:vAlign w:val="center"/>
            <w:hideMark/>
          </w:tcPr>
          <w:p w14:paraId="72145DAC" w14:textId="77777777" w:rsidR="006054AA" w:rsidRDefault="001F7667">
            <w:pPr>
              <w:pStyle w:val="P68B1DB1-Normal11"/>
              <w:jc w:val="center"/>
              <w:rPr>
                <w:noProof/>
              </w:rPr>
            </w:pPr>
            <w:r>
              <w:rPr>
                <w:noProof/>
              </w:rPr>
              <w:t>2022</w:t>
            </w:r>
          </w:p>
        </w:tc>
        <w:tc>
          <w:tcPr>
            <w:tcW w:w="1047" w:type="pct"/>
            <w:shd w:val="clear" w:color="auto" w:fill="C6EFCE"/>
            <w:noWrap/>
            <w:vAlign w:val="center"/>
            <w:hideMark/>
          </w:tcPr>
          <w:p w14:paraId="125A9649" w14:textId="77777777" w:rsidR="006054AA" w:rsidRDefault="001F7667">
            <w:pPr>
              <w:pStyle w:val="P68B1DB1-Normal10"/>
              <w:rPr>
                <w:noProof/>
                <w:color w:val="006100"/>
                <w:sz w:val="20"/>
              </w:rPr>
            </w:pPr>
            <w:r>
              <w:rPr>
                <w:noProof/>
              </w:rPr>
              <w:t>Реформите на</w:t>
            </w:r>
            <w:r>
              <w:rPr>
                <w:noProof/>
                <w:color w:val="006100"/>
                <w:sz w:val="20"/>
              </w:rPr>
              <w:t xml:space="preserve">първичното законодателство в системата на началното и средното образование с цел подобряване на образователните резултати (чрез първичното законодателство) включват най-малко следните ключови елементи: </w:t>
            </w:r>
            <w:r>
              <w:rPr>
                <w:noProof/>
              </w:rPr>
              <w:t xml:space="preserve"> </w:t>
            </w:r>
            <w:r>
              <w:rPr>
                <w:noProof/>
              </w:rPr>
              <w:br/>
            </w:r>
            <w:r>
              <w:rPr>
                <w:noProof/>
                <w:color w:val="006100"/>
                <w:sz w:val="20"/>
              </w:rPr>
              <w:t>I) Инициативи за реформа на организацията на образователната система с цел адаптиране към демографските промени (като брой училища и съотношение ученици/учители)</w:t>
            </w:r>
            <w:r>
              <w:rPr>
                <w:noProof/>
              </w:rPr>
              <w:t xml:space="preserve"> </w:t>
            </w:r>
            <w:r>
              <w:rPr>
                <w:noProof/>
              </w:rPr>
              <w:br/>
              <w:t xml:space="preserve"> </w:t>
            </w:r>
            <w:r>
              <w:rPr>
                <w:noProof/>
                <w:color w:val="006100"/>
                <w:sz w:val="20"/>
              </w:rPr>
              <w:t>II) инициативи за реформа на системата за ориентиране с цел свеждане до минимум на процента на преждевременно напусналите системата на висшето образование;</w:t>
            </w:r>
            <w:r>
              <w:rPr>
                <w:noProof/>
              </w:rPr>
              <w:t xml:space="preserve"> </w:t>
            </w:r>
            <w:r>
              <w:rPr>
                <w:noProof/>
              </w:rPr>
              <w:br/>
            </w:r>
            <w:r>
              <w:rPr>
                <w:noProof/>
                <w:color w:val="006100"/>
                <w:sz w:val="20"/>
              </w:rPr>
              <w:t>инициативи за укрепване на средното професионално образование (Istituti tecnico-professionali), включително приемането на новата учебна програма и насочването им към иновационните резултати от Националния план за промишленост 4.0 (Ministero dello Sviluppo economico, Decreto 26 Maggio 2020);</w:t>
            </w:r>
            <w:r>
              <w:rPr>
                <w:noProof/>
              </w:rPr>
              <w:t xml:space="preserve"> </w:t>
            </w:r>
            <w:r>
              <w:rPr>
                <w:noProof/>
              </w:rPr>
              <w:br/>
            </w:r>
            <w:r>
              <w:rPr>
                <w:noProof/>
                <w:color w:val="006100"/>
                <w:sz w:val="20"/>
              </w:rPr>
              <w:t>инициативи за обучение на училищни ръководители, учители и административен/технически персонал и създаване на висше училище за обучение с цел подобряване на качеството на преподаване;</w:t>
            </w:r>
            <w:r>
              <w:rPr>
                <w:noProof/>
              </w:rPr>
              <w:t xml:space="preserve"> </w:t>
            </w:r>
            <w:r>
              <w:rPr>
                <w:noProof/>
              </w:rPr>
              <w:br/>
            </w:r>
            <w:r>
              <w:rPr>
                <w:noProof/>
                <w:color w:val="006100"/>
                <w:sz w:val="20"/>
              </w:rPr>
              <w:t>инициативи за интегриране на дейности, методологии и съдържание, насочени към разработване и укрепване на учебните програми в областта на науката, технологиите, инженерството и математиката (НТИМ), цифровите и иновационните умения във всички образователни цикли — от детската градина до гимназиалния етап на средното образование, с цел да се насърчи записването в учебните програми за висше образование в областта на НТИМ, особено за жените.</w:t>
            </w:r>
          </w:p>
          <w:p w14:paraId="3844194E" w14:textId="77777777" w:rsidR="006054AA" w:rsidRDefault="006054AA">
            <w:pPr>
              <w:rPr>
                <w:rFonts w:ascii="Arial Narrow" w:hAnsi="Arial Narrow"/>
                <w:noProof/>
                <w:color w:val="006100"/>
                <w:sz w:val="20"/>
              </w:rPr>
            </w:pPr>
          </w:p>
          <w:p w14:paraId="278B9450" w14:textId="77777777" w:rsidR="006054AA" w:rsidRDefault="001F7667">
            <w:pPr>
              <w:pStyle w:val="P68B1DB1-Normal11"/>
              <w:rPr>
                <w:noProof/>
              </w:rPr>
            </w:pPr>
            <w:r>
              <w:rPr>
                <w:noProof/>
              </w:rPr>
              <w:t>За да се постигне задоволително изпълнение на ключовия етап, законодателството трябва да включва задължителни срокове за издаване на вторичното законодателство, насоки и всички необходими регулаторни разпоредби (мониторинг от базата данни на Министерството на образованието), за да се гарантира гладко прилагане.</w:t>
            </w:r>
          </w:p>
        </w:tc>
      </w:tr>
      <w:tr w:rsidR="006054AA" w14:paraId="1DB2815D" w14:textId="77777777">
        <w:trPr>
          <w:trHeight w:val="309"/>
        </w:trPr>
        <w:tc>
          <w:tcPr>
            <w:tcW w:w="380" w:type="pct"/>
            <w:shd w:val="clear" w:color="auto" w:fill="C6EFCE"/>
            <w:noWrap/>
            <w:vAlign w:val="center"/>
          </w:tcPr>
          <w:p w14:paraId="24A9C610" w14:textId="77777777" w:rsidR="006054AA" w:rsidRDefault="001F7667">
            <w:pPr>
              <w:pStyle w:val="P68B1DB1-Normal11"/>
              <w:jc w:val="center"/>
              <w:rPr>
                <w:noProof/>
              </w:rPr>
            </w:pPr>
            <w:r>
              <w:rPr>
                <w:noProof/>
              </w:rPr>
              <w:t>M4C1—6</w:t>
            </w:r>
          </w:p>
        </w:tc>
        <w:tc>
          <w:tcPr>
            <w:tcW w:w="500" w:type="pct"/>
            <w:shd w:val="clear" w:color="auto" w:fill="C6EFCE"/>
            <w:noWrap/>
            <w:vAlign w:val="center"/>
          </w:tcPr>
          <w:p w14:paraId="20201215" w14:textId="77777777" w:rsidR="006054AA" w:rsidRDefault="001F7667">
            <w:pPr>
              <w:pStyle w:val="P68B1DB1-Normal11"/>
              <w:jc w:val="center"/>
              <w:rPr>
                <w:noProof/>
              </w:rPr>
            </w:pPr>
            <w:r>
              <w:rPr>
                <w:noProof/>
              </w:rPr>
              <w:t>Реформа 2.2: Висше училище и продължаващо обучение за училищни ръководители, учители, административен и технически персонал</w:t>
            </w:r>
          </w:p>
        </w:tc>
        <w:tc>
          <w:tcPr>
            <w:tcW w:w="358" w:type="pct"/>
            <w:shd w:val="clear" w:color="auto" w:fill="C6EFCE"/>
            <w:noWrap/>
            <w:vAlign w:val="center"/>
          </w:tcPr>
          <w:p w14:paraId="096260EF"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tcPr>
          <w:p w14:paraId="1E2D783C" w14:textId="77777777" w:rsidR="006054AA" w:rsidRDefault="001F7667">
            <w:pPr>
              <w:pStyle w:val="P68B1DB1-Normal11"/>
              <w:jc w:val="center"/>
              <w:rPr>
                <w:noProof/>
              </w:rPr>
            </w:pPr>
            <w:r>
              <w:rPr>
                <w:noProof/>
              </w:rPr>
              <w:t>Влизане в сила на законодателство, насочено към изграждане на система за качествено обучение за училищата.</w:t>
            </w:r>
          </w:p>
        </w:tc>
        <w:tc>
          <w:tcPr>
            <w:tcW w:w="480" w:type="pct"/>
            <w:shd w:val="clear" w:color="auto" w:fill="C6EFCE"/>
            <w:noWrap/>
            <w:vAlign w:val="center"/>
          </w:tcPr>
          <w:p w14:paraId="516A4D3E" w14:textId="77777777" w:rsidR="006054AA" w:rsidRDefault="001F7667">
            <w:pPr>
              <w:pStyle w:val="P68B1DB1-Normal11"/>
              <w:jc w:val="center"/>
              <w:rPr>
                <w:noProof/>
              </w:rPr>
            </w:pPr>
            <w:r>
              <w:rPr>
                <w:noProof/>
              </w:rPr>
              <w:t>Законова разпоредба, указваща влизането в сила на законодателството.</w:t>
            </w:r>
          </w:p>
        </w:tc>
        <w:tc>
          <w:tcPr>
            <w:tcW w:w="422" w:type="pct"/>
            <w:shd w:val="clear" w:color="auto" w:fill="C6EFCE"/>
            <w:noWrap/>
            <w:vAlign w:val="center"/>
          </w:tcPr>
          <w:p w14:paraId="76222D3F" w14:textId="77777777" w:rsidR="006054AA" w:rsidRDefault="001F7667">
            <w:pPr>
              <w:pStyle w:val="P68B1DB1-Normal11"/>
              <w:jc w:val="center"/>
              <w:rPr>
                <w:noProof/>
              </w:rPr>
            </w:pPr>
            <w:r>
              <w:rPr>
                <w:noProof/>
              </w:rPr>
              <w:t>НЯМА</w:t>
            </w:r>
          </w:p>
        </w:tc>
        <w:tc>
          <w:tcPr>
            <w:tcW w:w="375" w:type="pct"/>
            <w:shd w:val="clear" w:color="auto" w:fill="C6EFCE"/>
            <w:noWrap/>
            <w:vAlign w:val="center"/>
          </w:tcPr>
          <w:p w14:paraId="182EAF0B" w14:textId="77777777" w:rsidR="006054AA" w:rsidRDefault="001F7667">
            <w:pPr>
              <w:pStyle w:val="P68B1DB1-Normal11"/>
              <w:jc w:val="center"/>
              <w:rPr>
                <w:noProof/>
              </w:rPr>
            </w:pPr>
            <w:r>
              <w:rPr>
                <w:noProof/>
              </w:rPr>
              <w:t>НЯМА</w:t>
            </w:r>
          </w:p>
        </w:tc>
        <w:tc>
          <w:tcPr>
            <w:tcW w:w="343" w:type="pct"/>
            <w:shd w:val="clear" w:color="auto" w:fill="C6EFCE"/>
            <w:noWrap/>
            <w:vAlign w:val="center"/>
          </w:tcPr>
          <w:p w14:paraId="51FDF4DD" w14:textId="77777777" w:rsidR="006054AA" w:rsidRDefault="001F7667">
            <w:pPr>
              <w:pStyle w:val="P68B1DB1-Normal11"/>
              <w:jc w:val="center"/>
              <w:rPr>
                <w:noProof/>
              </w:rPr>
            </w:pPr>
            <w:r>
              <w:rPr>
                <w:noProof/>
              </w:rPr>
              <w:t>НЯМА</w:t>
            </w:r>
          </w:p>
        </w:tc>
        <w:tc>
          <w:tcPr>
            <w:tcW w:w="286" w:type="pct"/>
            <w:shd w:val="clear" w:color="auto" w:fill="C6EFCE"/>
            <w:noWrap/>
            <w:vAlign w:val="center"/>
          </w:tcPr>
          <w:p w14:paraId="16A7A126"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37DDE0A2" w14:textId="77777777" w:rsidR="006054AA" w:rsidRDefault="001F7667">
            <w:pPr>
              <w:pStyle w:val="P68B1DB1-Normal11"/>
              <w:jc w:val="center"/>
              <w:rPr>
                <w:noProof/>
              </w:rPr>
            </w:pPr>
            <w:r>
              <w:rPr>
                <w:noProof/>
              </w:rPr>
              <w:t>2022</w:t>
            </w:r>
          </w:p>
        </w:tc>
        <w:tc>
          <w:tcPr>
            <w:tcW w:w="1047" w:type="pct"/>
            <w:shd w:val="clear" w:color="auto" w:fill="C6EFCE"/>
            <w:noWrap/>
            <w:vAlign w:val="center"/>
          </w:tcPr>
          <w:p w14:paraId="5F14028B" w14:textId="76F35CE1" w:rsidR="006054AA" w:rsidRDefault="001F7667">
            <w:pPr>
              <w:pStyle w:val="P68B1DB1-Normal11"/>
              <w:rPr>
                <w:noProof/>
              </w:rPr>
            </w:pPr>
            <w:r>
              <w:rPr>
                <w:noProof/>
              </w:rPr>
              <w:t>Законодателството включва разпоредби, насочени към изграждането на система за качествено обучение на училищния персонал в съответствие с непрекъснатото професионално и кариерно развитие, създаването на квалифициран орган, който да отговаря за насоките за обучение на училищния персонал, подбора и координирането на инициативи за обучение и ги свързва с кариерното развитие, както е предвидено в реформата на набирането на персонал. Прилагането на система за първоначално и продължаващо обучение следва да позволи да се преодолее настоящата разпокъсаност на пътищата за обучение, която понастоящем не разполага с единна национална стратегия.</w:t>
            </w:r>
          </w:p>
        </w:tc>
      </w:tr>
      <w:tr w:rsidR="006054AA" w14:paraId="7BEA0B08" w14:textId="77777777">
        <w:trPr>
          <w:trHeight w:val="309"/>
        </w:trPr>
        <w:tc>
          <w:tcPr>
            <w:tcW w:w="380" w:type="pct"/>
            <w:shd w:val="clear" w:color="auto" w:fill="C6EFCE"/>
            <w:noWrap/>
            <w:vAlign w:val="center"/>
          </w:tcPr>
          <w:p w14:paraId="641991B8" w14:textId="77777777" w:rsidR="006054AA" w:rsidRDefault="001F7667">
            <w:pPr>
              <w:pStyle w:val="P68B1DB1-Normal11"/>
              <w:jc w:val="center"/>
              <w:rPr>
                <w:noProof/>
              </w:rPr>
            </w:pPr>
            <w:r>
              <w:rPr>
                <w:noProof/>
              </w:rPr>
              <w:t>M4C1—7</w:t>
            </w:r>
          </w:p>
        </w:tc>
        <w:tc>
          <w:tcPr>
            <w:tcW w:w="500" w:type="pct"/>
            <w:shd w:val="clear" w:color="auto" w:fill="C6EFCE"/>
            <w:noWrap/>
            <w:vAlign w:val="center"/>
          </w:tcPr>
          <w:p w14:paraId="43F81DE1" w14:textId="17DF95F9" w:rsidR="006054AA" w:rsidRDefault="001F7667">
            <w:pPr>
              <w:pStyle w:val="P68B1DB1-Normal11"/>
              <w:jc w:val="center"/>
              <w:rPr>
                <w:noProof/>
              </w:rPr>
            </w:pPr>
            <w:r>
              <w:rPr>
                <w:noProof/>
              </w:rPr>
              <w:t>Инвестиция 1.4: Извънредна намеса, насочена към намаляване на териториалните различия в първия и втория цикъл на средното образование и към справяне с преждевременното напускане на училище</w:t>
            </w:r>
          </w:p>
        </w:tc>
        <w:tc>
          <w:tcPr>
            <w:tcW w:w="358" w:type="pct"/>
            <w:shd w:val="clear" w:color="auto" w:fill="C6EFCE"/>
            <w:noWrap/>
            <w:vAlign w:val="center"/>
          </w:tcPr>
          <w:p w14:paraId="209F1902"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1604FF60" w14:textId="77777777" w:rsidR="006054AA" w:rsidRDefault="001F7667">
            <w:pPr>
              <w:pStyle w:val="P68B1DB1-Normal11"/>
              <w:jc w:val="center"/>
              <w:rPr>
                <w:noProof/>
              </w:rPr>
            </w:pPr>
            <w:r>
              <w:rPr>
                <w:noProof/>
              </w:rPr>
              <w:t>Студенти или млади хора, които са участвали в дейности по наставничество или курсове за обучение</w:t>
            </w:r>
          </w:p>
        </w:tc>
        <w:tc>
          <w:tcPr>
            <w:tcW w:w="480" w:type="pct"/>
            <w:shd w:val="clear" w:color="auto" w:fill="C6EFCE"/>
            <w:noWrap/>
            <w:vAlign w:val="center"/>
          </w:tcPr>
          <w:p w14:paraId="3738E2C7" w14:textId="77777777" w:rsidR="006054AA" w:rsidRDefault="001F7667">
            <w:pPr>
              <w:pStyle w:val="P68B1DB1-Normal11"/>
              <w:jc w:val="center"/>
              <w:rPr>
                <w:noProof/>
              </w:rPr>
            </w:pPr>
            <w:r>
              <w:rPr>
                <w:noProof/>
              </w:rPr>
              <w:t>Предоставят се наставнически дейности</w:t>
            </w:r>
          </w:p>
        </w:tc>
        <w:tc>
          <w:tcPr>
            <w:tcW w:w="422" w:type="pct"/>
            <w:shd w:val="clear" w:color="auto" w:fill="C6EFCE"/>
            <w:noWrap/>
            <w:vAlign w:val="center"/>
          </w:tcPr>
          <w:p w14:paraId="1C60C2FD"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47251D74"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75E7D829" w14:textId="042F8EDC" w:rsidR="006054AA" w:rsidRDefault="001F7667">
            <w:pPr>
              <w:pStyle w:val="P68B1DB1-Normal11"/>
              <w:jc w:val="center"/>
              <w:rPr>
                <w:noProof/>
              </w:rPr>
            </w:pPr>
            <w:r>
              <w:rPr>
                <w:noProof/>
              </w:rPr>
              <w:t>820 000</w:t>
            </w:r>
          </w:p>
        </w:tc>
        <w:tc>
          <w:tcPr>
            <w:tcW w:w="286" w:type="pct"/>
            <w:shd w:val="clear" w:color="auto" w:fill="C6EFCE"/>
            <w:noWrap/>
            <w:vAlign w:val="center"/>
          </w:tcPr>
          <w:p w14:paraId="5A5C81BF" w14:textId="77777777" w:rsidR="006054AA" w:rsidRDefault="001F7667">
            <w:pPr>
              <w:pStyle w:val="P68B1DB1-Normal11"/>
              <w:jc w:val="center"/>
              <w:rPr>
                <w:noProof/>
              </w:rPr>
            </w:pPr>
            <w:r>
              <w:rPr>
                <w:noProof/>
              </w:rPr>
              <w:t>Т3 Г.</w:t>
            </w:r>
          </w:p>
        </w:tc>
        <w:tc>
          <w:tcPr>
            <w:tcW w:w="238" w:type="pct"/>
            <w:shd w:val="clear" w:color="auto" w:fill="C6EFCE"/>
            <w:noWrap/>
            <w:vAlign w:val="center"/>
          </w:tcPr>
          <w:p w14:paraId="29EA691C" w14:textId="77777777" w:rsidR="006054AA" w:rsidRDefault="001F7667">
            <w:pPr>
              <w:pStyle w:val="P68B1DB1-Normal11"/>
              <w:jc w:val="center"/>
              <w:rPr>
                <w:noProof/>
              </w:rPr>
            </w:pPr>
            <w:r>
              <w:rPr>
                <w:noProof/>
              </w:rPr>
              <w:t>2025</w:t>
            </w:r>
          </w:p>
        </w:tc>
        <w:tc>
          <w:tcPr>
            <w:tcW w:w="1047" w:type="pct"/>
            <w:shd w:val="clear" w:color="auto" w:fill="C6EFCE"/>
            <w:noWrap/>
            <w:vAlign w:val="center"/>
          </w:tcPr>
          <w:p w14:paraId="440B2DD5" w14:textId="1A38EC9B" w:rsidR="006054AA" w:rsidRDefault="001F7667">
            <w:pPr>
              <w:pStyle w:val="P68B1DB1-Normal11"/>
              <w:rPr>
                <w:noProof/>
              </w:rPr>
            </w:pPr>
            <w:r>
              <w:rPr>
                <w:noProof/>
              </w:rPr>
              <w:t>Осъществяване на дейности по наставничество за най-малко 820 000 млади хора, изложени на риск от преждевременно напускане на училище, и за млади хора, които вече са отпаднали.</w:t>
            </w:r>
          </w:p>
        </w:tc>
      </w:tr>
      <w:tr w:rsidR="006054AA" w14:paraId="5AFBFB82" w14:textId="77777777">
        <w:trPr>
          <w:trHeight w:val="309"/>
        </w:trPr>
        <w:tc>
          <w:tcPr>
            <w:tcW w:w="380" w:type="pct"/>
            <w:shd w:val="clear" w:color="auto" w:fill="C6EFCE"/>
            <w:noWrap/>
            <w:vAlign w:val="center"/>
          </w:tcPr>
          <w:p w14:paraId="5CB63D1F" w14:textId="77777777" w:rsidR="006054AA" w:rsidRDefault="001F7667">
            <w:pPr>
              <w:pStyle w:val="P68B1DB1-Normal11"/>
              <w:jc w:val="center"/>
              <w:rPr>
                <w:noProof/>
              </w:rPr>
            </w:pPr>
            <w:r>
              <w:rPr>
                <w:noProof/>
              </w:rPr>
              <w:t>M4C1—8</w:t>
            </w:r>
          </w:p>
          <w:p w14:paraId="5653BAFB" w14:textId="77777777" w:rsidR="006054AA" w:rsidRDefault="006054AA">
            <w:pPr>
              <w:jc w:val="center"/>
              <w:rPr>
                <w:rFonts w:ascii="Arial Narrow" w:hAnsi="Arial Narrow"/>
                <w:noProof/>
                <w:color w:val="006100"/>
                <w:sz w:val="20"/>
              </w:rPr>
            </w:pPr>
          </w:p>
        </w:tc>
        <w:tc>
          <w:tcPr>
            <w:tcW w:w="500" w:type="pct"/>
            <w:shd w:val="clear" w:color="auto" w:fill="C6EFCE"/>
            <w:noWrap/>
            <w:vAlign w:val="center"/>
          </w:tcPr>
          <w:p w14:paraId="65391E86" w14:textId="77777777" w:rsidR="006054AA" w:rsidRDefault="001F7667">
            <w:pPr>
              <w:pStyle w:val="P68B1DB1-Normal11"/>
              <w:jc w:val="center"/>
              <w:rPr>
                <w:noProof/>
              </w:rPr>
            </w:pPr>
            <w:r>
              <w:rPr>
                <w:noProof/>
              </w:rPr>
              <w:t>Инвестиция 1.3: План за подобряване на училищната спортна инфраструктура</w:t>
            </w:r>
          </w:p>
        </w:tc>
        <w:tc>
          <w:tcPr>
            <w:tcW w:w="358" w:type="pct"/>
            <w:shd w:val="clear" w:color="auto" w:fill="C6EFCE"/>
            <w:noWrap/>
            <w:vAlign w:val="center"/>
          </w:tcPr>
          <w:p w14:paraId="5B54F7BC"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tcPr>
          <w:p w14:paraId="65B0C734" w14:textId="77777777" w:rsidR="006054AA" w:rsidRDefault="001F7667">
            <w:pPr>
              <w:pStyle w:val="P68B1DB1-Normal11"/>
              <w:jc w:val="center"/>
              <w:rPr>
                <w:noProof/>
              </w:rPr>
            </w:pPr>
            <w:r>
              <w:rPr>
                <w:noProof/>
              </w:rPr>
              <w:t>Възлагане на договори за интервенции за изграждане и обновяване на спортни съоръжения и спортни зали, предвидени в постановлението на Министерството на образованието</w:t>
            </w:r>
          </w:p>
        </w:tc>
        <w:tc>
          <w:tcPr>
            <w:tcW w:w="480" w:type="pct"/>
            <w:shd w:val="clear" w:color="auto" w:fill="C6EFCE"/>
            <w:noWrap/>
            <w:vAlign w:val="center"/>
          </w:tcPr>
          <w:p w14:paraId="60F9A1D4" w14:textId="77777777" w:rsidR="006054AA" w:rsidRDefault="001F7667">
            <w:pPr>
              <w:pStyle w:val="P68B1DB1-Normal11"/>
              <w:jc w:val="center"/>
              <w:rPr>
                <w:noProof/>
              </w:rPr>
            </w:pPr>
            <w:r>
              <w:rPr>
                <w:noProof/>
              </w:rPr>
              <w:t>Уведомяване от страна на местните органи бенефициери за финансирането на възлагането на всички обществени поръчки за допустимите интервенции</w:t>
            </w:r>
          </w:p>
          <w:p w14:paraId="63C2212C" w14:textId="77777777" w:rsidR="006054AA" w:rsidRDefault="006054AA">
            <w:pPr>
              <w:jc w:val="center"/>
              <w:rPr>
                <w:rFonts w:ascii="Arial Narrow" w:hAnsi="Arial Narrow"/>
                <w:b/>
                <w:noProof/>
                <w:color w:val="006100"/>
                <w:sz w:val="20"/>
              </w:rPr>
            </w:pPr>
          </w:p>
        </w:tc>
        <w:tc>
          <w:tcPr>
            <w:tcW w:w="422" w:type="pct"/>
            <w:shd w:val="clear" w:color="auto" w:fill="C6EFCE"/>
            <w:noWrap/>
            <w:vAlign w:val="center"/>
          </w:tcPr>
          <w:p w14:paraId="297F890D" w14:textId="77777777" w:rsidR="006054AA" w:rsidRDefault="001F7667">
            <w:pPr>
              <w:pStyle w:val="P68B1DB1-Normal11"/>
              <w:jc w:val="center"/>
              <w:rPr>
                <w:noProof/>
              </w:rPr>
            </w:pPr>
            <w:r>
              <w:rPr>
                <w:noProof/>
              </w:rPr>
              <w:t>НЯМА</w:t>
            </w:r>
          </w:p>
        </w:tc>
        <w:tc>
          <w:tcPr>
            <w:tcW w:w="375" w:type="pct"/>
            <w:shd w:val="clear" w:color="auto" w:fill="C6EFCE"/>
            <w:noWrap/>
            <w:vAlign w:val="center"/>
          </w:tcPr>
          <w:p w14:paraId="1CB97910" w14:textId="77777777" w:rsidR="006054AA" w:rsidRDefault="001F7667">
            <w:pPr>
              <w:pStyle w:val="P68B1DB1-Normal11"/>
              <w:jc w:val="center"/>
              <w:rPr>
                <w:noProof/>
              </w:rPr>
            </w:pPr>
            <w:r>
              <w:rPr>
                <w:noProof/>
              </w:rPr>
              <w:t>НЯМА</w:t>
            </w:r>
          </w:p>
        </w:tc>
        <w:tc>
          <w:tcPr>
            <w:tcW w:w="343" w:type="pct"/>
            <w:shd w:val="clear" w:color="auto" w:fill="C6EFCE"/>
            <w:noWrap/>
            <w:vAlign w:val="center"/>
          </w:tcPr>
          <w:p w14:paraId="12661D47" w14:textId="77777777" w:rsidR="006054AA" w:rsidRDefault="001F7667">
            <w:pPr>
              <w:pStyle w:val="P68B1DB1-Normal11"/>
              <w:jc w:val="center"/>
              <w:rPr>
                <w:noProof/>
              </w:rPr>
            </w:pPr>
            <w:r>
              <w:rPr>
                <w:noProof/>
              </w:rPr>
              <w:t>НЯМА</w:t>
            </w:r>
          </w:p>
        </w:tc>
        <w:tc>
          <w:tcPr>
            <w:tcW w:w="286" w:type="pct"/>
            <w:shd w:val="clear" w:color="auto" w:fill="C6EFCE"/>
            <w:noWrap/>
            <w:vAlign w:val="center"/>
          </w:tcPr>
          <w:p w14:paraId="727DE4B0" w14:textId="77777777" w:rsidR="006054AA" w:rsidRDefault="001F7667">
            <w:pPr>
              <w:pStyle w:val="P68B1DB1-Normal11"/>
              <w:jc w:val="center"/>
              <w:rPr>
                <w:noProof/>
              </w:rPr>
            </w:pPr>
            <w:r>
              <w:rPr>
                <w:noProof/>
              </w:rPr>
              <w:t>Т1 Г.</w:t>
            </w:r>
          </w:p>
        </w:tc>
        <w:tc>
          <w:tcPr>
            <w:tcW w:w="238" w:type="pct"/>
            <w:shd w:val="clear" w:color="auto" w:fill="C6EFCE"/>
            <w:noWrap/>
            <w:vAlign w:val="center"/>
          </w:tcPr>
          <w:p w14:paraId="62BB211B" w14:textId="77777777" w:rsidR="006054AA" w:rsidRDefault="001F7667">
            <w:pPr>
              <w:pStyle w:val="P68B1DB1-Normal11"/>
              <w:jc w:val="center"/>
              <w:rPr>
                <w:noProof/>
              </w:rPr>
            </w:pPr>
            <w:r>
              <w:rPr>
                <w:noProof/>
              </w:rPr>
              <w:t>2024</w:t>
            </w:r>
          </w:p>
        </w:tc>
        <w:tc>
          <w:tcPr>
            <w:tcW w:w="1047" w:type="pct"/>
            <w:shd w:val="clear" w:color="auto" w:fill="C6EFCE"/>
            <w:noWrap/>
            <w:vAlign w:val="center"/>
          </w:tcPr>
          <w:p w14:paraId="3FF1FBAD" w14:textId="77777777" w:rsidR="006054AA" w:rsidRDefault="001F7667">
            <w:pPr>
              <w:pStyle w:val="P68B1DB1-Normal11"/>
              <w:rPr>
                <w:noProof/>
              </w:rPr>
            </w:pPr>
            <w:r>
              <w:rPr>
                <w:noProof/>
              </w:rPr>
              <w:t>Възлагане на договори за интервенции за изграждане и обновяване на спортни съоръжения и спортни зали при условията, определени с наредба на Министерството на образованието, и след провеждане на процедура за възлагане на обществена поръчка. Възлагането трябва да бъде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4150E0C8" w14:textId="77777777" w:rsidR="006054AA" w:rsidRDefault="006054AA">
            <w:pPr>
              <w:rPr>
                <w:rFonts w:ascii="Arial Narrow" w:hAnsi="Arial Narrow"/>
                <w:noProof/>
                <w:color w:val="006100"/>
                <w:sz w:val="20"/>
              </w:rPr>
            </w:pPr>
          </w:p>
          <w:p w14:paraId="56CC36B1" w14:textId="77777777" w:rsidR="006054AA" w:rsidRDefault="006054AA">
            <w:pPr>
              <w:rPr>
                <w:rFonts w:ascii="Arial Narrow" w:hAnsi="Arial Narrow"/>
                <w:noProof/>
                <w:color w:val="006100"/>
                <w:sz w:val="20"/>
              </w:rPr>
            </w:pPr>
          </w:p>
          <w:p w14:paraId="735AFC90" w14:textId="77777777" w:rsidR="006054AA" w:rsidRDefault="001F7667">
            <w:pPr>
              <w:pStyle w:val="P68B1DB1-Normal11"/>
              <w:rPr>
                <w:noProof/>
              </w:rPr>
            </w:pPr>
            <w:r>
              <w:rPr>
                <w:noProof/>
              </w:rPr>
              <w:t>Инвестиционният план изгражда и обновява спортни съоръжения и спортни зали, прикрепени към училищата, за да се гарантира увеличаване на предлаганото образование и укрепване на училищните съоръжения, което ще насърчи увеличаването на училищното време. Очаква се инициативата да насърчи интеграцията на училището с околните райони и да подобри практикуването на спортни и двигателни дейности.</w:t>
            </w:r>
          </w:p>
          <w:p w14:paraId="04981F78" w14:textId="77777777" w:rsidR="006054AA" w:rsidRDefault="006054AA">
            <w:pPr>
              <w:rPr>
                <w:rFonts w:ascii="Arial Narrow" w:hAnsi="Arial Narrow"/>
                <w:noProof/>
                <w:color w:val="006100"/>
                <w:sz w:val="20"/>
              </w:rPr>
            </w:pPr>
          </w:p>
        </w:tc>
      </w:tr>
      <w:tr w:rsidR="006054AA" w14:paraId="64647706" w14:textId="77777777">
        <w:trPr>
          <w:trHeight w:val="309"/>
        </w:trPr>
        <w:tc>
          <w:tcPr>
            <w:tcW w:w="380" w:type="pct"/>
            <w:shd w:val="clear" w:color="auto" w:fill="C6EFCE"/>
            <w:noWrap/>
            <w:vAlign w:val="center"/>
          </w:tcPr>
          <w:p w14:paraId="0FEC9DEB" w14:textId="77777777" w:rsidR="006054AA" w:rsidRDefault="001F7667">
            <w:pPr>
              <w:pStyle w:val="P68B1DB1-Normal11"/>
              <w:jc w:val="center"/>
              <w:rPr>
                <w:noProof/>
              </w:rPr>
            </w:pPr>
            <w:r>
              <w:rPr>
                <w:noProof/>
              </w:rPr>
              <w:t>M4C1—9</w:t>
            </w:r>
          </w:p>
        </w:tc>
        <w:tc>
          <w:tcPr>
            <w:tcW w:w="500" w:type="pct"/>
            <w:shd w:val="clear" w:color="auto" w:fill="C6EFCE"/>
            <w:noWrap/>
            <w:vAlign w:val="center"/>
          </w:tcPr>
          <w:p w14:paraId="0373053C" w14:textId="77777777" w:rsidR="006054AA" w:rsidRDefault="001F7667">
            <w:pPr>
              <w:pStyle w:val="P68B1DB1-Normal11"/>
              <w:jc w:val="center"/>
              <w:rPr>
                <w:noProof/>
              </w:rPr>
            </w:pPr>
            <w:r>
              <w:rPr>
                <w:noProof/>
              </w:rPr>
              <w:t>Инвестиция 1.1: План за детски градини и предучилищни заведения и услуги за образование и грижи в ранна детска възраст</w:t>
            </w:r>
          </w:p>
        </w:tc>
        <w:tc>
          <w:tcPr>
            <w:tcW w:w="358" w:type="pct"/>
            <w:shd w:val="clear" w:color="auto" w:fill="C6EFCE"/>
            <w:noWrap/>
            <w:vAlign w:val="center"/>
          </w:tcPr>
          <w:p w14:paraId="6E9C7F7F"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tcPr>
          <w:p w14:paraId="04D42DE4" w14:textId="14D9C68F" w:rsidR="006054AA" w:rsidRDefault="001F7667">
            <w:pPr>
              <w:pStyle w:val="P68B1DB1-Normal11"/>
              <w:jc w:val="center"/>
              <w:rPr>
                <w:noProof/>
              </w:rPr>
            </w:pPr>
            <w:r>
              <w:rPr>
                <w:noProof/>
              </w:rPr>
              <w:t>Възлагане на договори за строителство, обновяване и гарантиране на безопасността на детските ясли, предучилищните заведения и услугите за образование и грижи в ранна детска възраст</w:t>
            </w:r>
          </w:p>
        </w:tc>
        <w:tc>
          <w:tcPr>
            <w:tcW w:w="480" w:type="pct"/>
            <w:shd w:val="clear" w:color="auto" w:fill="C6EFCE"/>
            <w:noWrap/>
            <w:vAlign w:val="center"/>
          </w:tcPr>
          <w:p w14:paraId="5AF135F4" w14:textId="77777777" w:rsidR="006054AA" w:rsidRDefault="006054AA">
            <w:pPr>
              <w:jc w:val="center"/>
              <w:rPr>
                <w:rFonts w:ascii="Arial Narrow" w:hAnsi="Arial Narrow"/>
                <w:noProof/>
                <w:color w:val="006100"/>
                <w:sz w:val="20"/>
              </w:rPr>
            </w:pPr>
          </w:p>
          <w:p w14:paraId="72AFBF55" w14:textId="77777777" w:rsidR="006054AA" w:rsidRDefault="001F7667">
            <w:pPr>
              <w:pStyle w:val="P68B1DB1-Normal11"/>
              <w:jc w:val="center"/>
              <w:rPr>
                <w:noProof/>
              </w:rPr>
            </w:pPr>
            <w:r>
              <w:rPr>
                <w:noProof/>
              </w:rPr>
              <w:t>Уведомяване от страна на местните органи бенефициери за финансирането на възлагането на обществени поръчки за първия набор от допустими интервенции</w:t>
            </w:r>
          </w:p>
        </w:tc>
        <w:tc>
          <w:tcPr>
            <w:tcW w:w="422" w:type="pct"/>
            <w:shd w:val="clear" w:color="auto" w:fill="C6EFCE"/>
            <w:noWrap/>
            <w:vAlign w:val="center"/>
          </w:tcPr>
          <w:p w14:paraId="5B4C1D15" w14:textId="77777777" w:rsidR="006054AA" w:rsidRDefault="001F7667">
            <w:pPr>
              <w:pStyle w:val="P68B1DB1-Normal11"/>
              <w:jc w:val="center"/>
              <w:rPr>
                <w:noProof/>
              </w:rPr>
            </w:pPr>
            <w:r>
              <w:rPr>
                <w:noProof/>
              </w:rPr>
              <w:t>НЯМА</w:t>
            </w:r>
          </w:p>
        </w:tc>
        <w:tc>
          <w:tcPr>
            <w:tcW w:w="375" w:type="pct"/>
            <w:shd w:val="clear" w:color="auto" w:fill="C6EFCE"/>
            <w:noWrap/>
            <w:vAlign w:val="center"/>
          </w:tcPr>
          <w:p w14:paraId="12049C8D" w14:textId="77777777" w:rsidR="006054AA" w:rsidRDefault="001F7667">
            <w:pPr>
              <w:pStyle w:val="P68B1DB1-Normal11"/>
              <w:jc w:val="center"/>
              <w:rPr>
                <w:noProof/>
              </w:rPr>
            </w:pPr>
            <w:r>
              <w:rPr>
                <w:noProof/>
              </w:rPr>
              <w:t>НЯМА</w:t>
            </w:r>
          </w:p>
        </w:tc>
        <w:tc>
          <w:tcPr>
            <w:tcW w:w="343" w:type="pct"/>
            <w:shd w:val="clear" w:color="auto" w:fill="C6EFCE"/>
            <w:noWrap/>
            <w:vAlign w:val="center"/>
          </w:tcPr>
          <w:p w14:paraId="55F6929B" w14:textId="77777777" w:rsidR="006054AA" w:rsidRDefault="001F7667">
            <w:pPr>
              <w:pStyle w:val="P68B1DB1-Normal11"/>
              <w:jc w:val="center"/>
              <w:rPr>
                <w:noProof/>
              </w:rPr>
            </w:pPr>
            <w:r>
              <w:rPr>
                <w:noProof/>
              </w:rPr>
              <w:t>НЯМА</w:t>
            </w:r>
          </w:p>
        </w:tc>
        <w:tc>
          <w:tcPr>
            <w:tcW w:w="286" w:type="pct"/>
            <w:shd w:val="clear" w:color="auto" w:fill="C6EFCE"/>
            <w:noWrap/>
            <w:vAlign w:val="center"/>
          </w:tcPr>
          <w:p w14:paraId="6F6325CA"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49AD9C49" w14:textId="77777777" w:rsidR="006054AA" w:rsidRDefault="001F7667">
            <w:pPr>
              <w:pStyle w:val="P68B1DB1-Normal11"/>
              <w:jc w:val="center"/>
              <w:rPr>
                <w:noProof/>
              </w:rPr>
            </w:pPr>
            <w:r>
              <w:rPr>
                <w:noProof/>
              </w:rPr>
              <w:t>2023</w:t>
            </w:r>
          </w:p>
        </w:tc>
        <w:tc>
          <w:tcPr>
            <w:tcW w:w="1047" w:type="pct"/>
            <w:shd w:val="clear" w:color="auto" w:fill="C6EFCE"/>
            <w:noWrap/>
            <w:vAlign w:val="center"/>
          </w:tcPr>
          <w:p w14:paraId="2451778F" w14:textId="77777777" w:rsidR="006054AA" w:rsidRDefault="001F7667">
            <w:pPr>
              <w:pStyle w:val="P68B1DB1-Normal11"/>
              <w:rPr>
                <w:noProof/>
              </w:rPr>
            </w:pPr>
            <w:r>
              <w:rPr>
                <w:noProof/>
              </w:rPr>
              <w:t>Възлагане на договори и териториално разпределение за детски градини, предучилищни заведения, услуги за образование и грижи в ранна детска възраст. Възлагането се извършва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18F10699" w14:textId="77777777">
        <w:trPr>
          <w:trHeight w:val="309"/>
        </w:trPr>
        <w:tc>
          <w:tcPr>
            <w:tcW w:w="380" w:type="pct"/>
            <w:shd w:val="clear" w:color="auto" w:fill="C6EFCE"/>
            <w:noWrap/>
            <w:vAlign w:val="center"/>
          </w:tcPr>
          <w:p w14:paraId="7D37055B" w14:textId="77777777" w:rsidR="006054AA" w:rsidRDefault="001F7667">
            <w:pPr>
              <w:pStyle w:val="P68B1DB1-Normal11"/>
              <w:jc w:val="center"/>
              <w:rPr>
                <w:noProof/>
              </w:rPr>
            </w:pPr>
            <w:r>
              <w:rPr>
                <w:noProof/>
              </w:rPr>
              <w:t>M4C1—10</w:t>
            </w:r>
          </w:p>
        </w:tc>
        <w:tc>
          <w:tcPr>
            <w:tcW w:w="500" w:type="pct"/>
            <w:shd w:val="clear" w:color="auto" w:fill="C6EFCE"/>
            <w:noWrap/>
            <w:vAlign w:val="center"/>
          </w:tcPr>
          <w:p w14:paraId="42D56EA4" w14:textId="77777777" w:rsidR="006054AA" w:rsidRDefault="001F7667">
            <w:pPr>
              <w:pStyle w:val="P68B1DB1-Normal11"/>
              <w:jc w:val="center"/>
              <w:rPr>
                <w:noProof/>
              </w:rPr>
            </w:pPr>
            <w:r>
              <w:rPr>
                <w:noProof/>
              </w:rPr>
              <w:t>Реформа 2.1: Набиране на учители; Реформа 1.3: Реорганизация на училищната система; Реформа 1.2: Реформа на системата за висше професионално обучение (ИТС); Реформа 1.4: Реформа на системата за ориентиране; Реформа 1.5: Реформа на групите университетски дипломи; Реформа 1.6: Създаване на условия за реформа на университетските степени</w:t>
            </w:r>
          </w:p>
        </w:tc>
        <w:tc>
          <w:tcPr>
            <w:tcW w:w="358" w:type="pct"/>
            <w:shd w:val="clear" w:color="auto" w:fill="C6EFCE"/>
            <w:noWrap/>
            <w:vAlign w:val="center"/>
          </w:tcPr>
          <w:p w14:paraId="110269B7"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tcPr>
          <w:p w14:paraId="249E46AE" w14:textId="77777777" w:rsidR="006054AA" w:rsidRDefault="001F7667">
            <w:pPr>
              <w:pStyle w:val="P68B1DB1-Normal11"/>
              <w:jc w:val="center"/>
              <w:rPr>
                <w:noProof/>
              </w:rPr>
            </w:pPr>
            <w:r>
              <w:rPr>
                <w:noProof/>
              </w:rPr>
              <w:t>Влизане в сила на регламенти за ефективно изпълнение и прилагане на всички мерки, свързани с реформите в началното, средното и висшето образование, когато е необходимо</w:t>
            </w:r>
          </w:p>
        </w:tc>
        <w:tc>
          <w:tcPr>
            <w:tcW w:w="480" w:type="pct"/>
            <w:shd w:val="clear" w:color="auto" w:fill="C6EFCE"/>
            <w:noWrap/>
            <w:vAlign w:val="center"/>
          </w:tcPr>
          <w:p w14:paraId="670A59B3" w14:textId="77777777" w:rsidR="006054AA" w:rsidRDefault="001F7667">
            <w:pPr>
              <w:pStyle w:val="P68B1DB1-Normal11"/>
              <w:jc w:val="center"/>
              <w:rPr>
                <w:noProof/>
                <w:color w:val="375623"/>
              </w:rPr>
            </w:pPr>
            <w:r>
              <w:rPr>
                <w:noProof/>
              </w:rPr>
              <w:t>Законова разпоредба, указваща влизането в сила на регламентите.</w:t>
            </w:r>
          </w:p>
        </w:tc>
        <w:tc>
          <w:tcPr>
            <w:tcW w:w="422" w:type="pct"/>
            <w:shd w:val="clear" w:color="auto" w:fill="C6EFCE"/>
            <w:noWrap/>
            <w:vAlign w:val="center"/>
          </w:tcPr>
          <w:p w14:paraId="132015BA" w14:textId="77777777" w:rsidR="006054AA" w:rsidRDefault="001F7667">
            <w:pPr>
              <w:pStyle w:val="P68B1DB1-Normal11"/>
              <w:jc w:val="center"/>
              <w:rPr>
                <w:noProof/>
              </w:rPr>
            </w:pPr>
            <w:r>
              <w:rPr>
                <w:noProof/>
              </w:rPr>
              <w:t>НЯМА</w:t>
            </w:r>
          </w:p>
        </w:tc>
        <w:tc>
          <w:tcPr>
            <w:tcW w:w="375" w:type="pct"/>
            <w:shd w:val="clear" w:color="auto" w:fill="C6EFCE"/>
            <w:noWrap/>
            <w:vAlign w:val="center"/>
          </w:tcPr>
          <w:p w14:paraId="50EE310C" w14:textId="77777777" w:rsidR="006054AA" w:rsidRDefault="001F7667">
            <w:pPr>
              <w:pStyle w:val="P68B1DB1-Normal11"/>
              <w:jc w:val="center"/>
              <w:rPr>
                <w:noProof/>
              </w:rPr>
            </w:pPr>
            <w:r>
              <w:rPr>
                <w:noProof/>
              </w:rPr>
              <w:t>НЯМА</w:t>
            </w:r>
          </w:p>
        </w:tc>
        <w:tc>
          <w:tcPr>
            <w:tcW w:w="343" w:type="pct"/>
            <w:shd w:val="clear" w:color="auto" w:fill="C6EFCE"/>
            <w:noWrap/>
            <w:vAlign w:val="center"/>
          </w:tcPr>
          <w:p w14:paraId="5CDC8734" w14:textId="77777777" w:rsidR="006054AA" w:rsidRDefault="001F7667">
            <w:pPr>
              <w:pStyle w:val="P68B1DB1-Normal11"/>
              <w:jc w:val="center"/>
              <w:rPr>
                <w:noProof/>
              </w:rPr>
            </w:pPr>
            <w:r>
              <w:rPr>
                <w:noProof/>
              </w:rPr>
              <w:t>НЯМА</w:t>
            </w:r>
          </w:p>
        </w:tc>
        <w:tc>
          <w:tcPr>
            <w:tcW w:w="286" w:type="pct"/>
            <w:shd w:val="clear" w:color="auto" w:fill="C6EFCE"/>
            <w:noWrap/>
            <w:vAlign w:val="center"/>
          </w:tcPr>
          <w:p w14:paraId="133BBAAC"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757517B9" w14:textId="77777777" w:rsidR="006054AA" w:rsidRDefault="001F7667">
            <w:pPr>
              <w:pStyle w:val="P68B1DB1-Normal11"/>
              <w:jc w:val="center"/>
              <w:rPr>
                <w:noProof/>
              </w:rPr>
            </w:pPr>
            <w:r>
              <w:rPr>
                <w:noProof/>
              </w:rPr>
              <w:t>2023</w:t>
            </w:r>
          </w:p>
        </w:tc>
        <w:tc>
          <w:tcPr>
            <w:tcW w:w="1047" w:type="pct"/>
            <w:shd w:val="clear" w:color="auto" w:fill="C6EFCE"/>
            <w:noWrap/>
            <w:vAlign w:val="center"/>
          </w:tcPr>
          <w:p w14:paraId="281BF9BD" w14:textId="77777777" w:rsidR="006054AA" w:rsidRDefault="001F7667">
            <w:pPr>
              <w:pStyle w:val="P68B1DB1-Normal11"/>
              <w:rPr>
                <w:noProof/>
              </w:rPr>
            </w:pPr>
            <w:r>
              <w:rPr>
                <w:noProof/>
              </w:rPr>
              <w:t>Вторичното законодателство включва всички необходими разпоредби за ефективното изпълнение и прилагане на всички мерки, свързани с реформите в началното, средното и висшето образование:</w:t>
            </w:r>
          </w:p>
          <w:p w14:paraId="54487FEE" w14:textId="77777777" w:rsidR="006054AA" w:rsidRDefault="001F7667">
            <w:pPr>
              <w:pStyle w:val="P68B1DB1-Normal11"/>
              <w:rPr>
                <w:noProof/>
              </w:rPr>
            </w:pPr>
            <w:r>
              <w:rPr>
                <w:noProof/>
              </w:rPr>
              <w:t>Реформите на системата на висшето образование с цел подобряване на образователните резултати (първично законодателство) относно: а) даване на възможност за получаване на университетски степени; групи за придобиване на университетска степен; в) реформа на докторските програми;</w:t>
            </w:r>
          </w:p>
          <w:p w14:paraId="7C60B71B" w14:textId="77777777" w:rsidR="006054AA" w:rsidRDefault="001F7667">
            <w:pPr>
              <w:pStyle w:val="P68B1DB1-Normal11"/>
              <w:rPr>
                <w:noProof/>
              </w:rPr>
            </w:pPr>
            <w:r>
              <w:rPr>
                <w:noProof/>
              </w:rPr>
              <w:t>Министерски укази за реформа на стипендиите с цел подобряване на достъпа до висше образование;</w:t>
            </w:r>
          </w:p>
          <w:p w14:paraId="255D8B5C" w14:textId="77777777" w:rsidR="006054AA" w:rsidRDefault="001F7667">
            <w:pPr>
              <w:pStyle w:val="P68B1DB1-Normal11"/>
              <w:rPr>
                <w:noProof/>
              </w:rPr>
            </w:pPr>
            <w:r>
              <w:rPr>
                <w:noProof/>
              </w:rPr>
              <w:t>— Реформата на учителската професия;</w:t>
            </w:r>
          </w:p>
          <w:p w14:paraId="10B80857" w14:textId="77777777" w:rsidR="006054AA" w:rsidRDefault="001F7667">
            <w:pPr>
              <w:pStyle w:val="P68B1DB1-Normal11"/>
              <w:rPr>
                <w:noProof/>
              </w:rPr>
            </w:pPr>
            <w:r>
              <w:rPr>
                <w:noProof/>
              </w:rPr>
              <w:t>Реформите на системата на основното и средното образование с цел подобряване на образователните резултати;</w:t>
            </w:r>
          </w:p>
          <w:p w14:paraId="3B84CC4F" w14:textId="1DE5D471" w:rsidR="006054AA" w:rsidRDefault="001F7667">
            <w:pPr>
              <w:pStyle w:val="P68B1DB1-Normal11"/>
              <w:rPr>
                <w:noProof/>
              </w:rPr>
            </w:pPr>
            <w:r>
              <w:rPr>
                <w:noProof/>
              </w:rPr>
              <w:t xml:space="preserve">— Законодателството има за цел изграждането на система за качествено обучение за училищата. </w:t>
            </w:r>
          </w:p>
          <w:p w14:paraId="709ED8D3" w14:textId="77777777" w:rsidR="006054AA" w:rsidRDefault="006054AA">
            <w:pPr>
              <w:rPr>
                <w:rFonts w:ascii="Arial Narrow" w:hAnsi="Arial Narrow"/>
                <w:noProof/>
                <w:color w:val="006100"/>
                <w:sz w:val="20"/>
              </w:rPr>
            </w:pPr>
          </w:p>
        </w:tc>
      </w:tr>
      <w:tr w:rsidR="006054AA" w14:paraId="5FFCC573" w14:textId="77777777">
        <w:trPr>
          <w:trHeight w:val="309"/>
        </w:trPr>
        <w:tc>
          <w:tcPr>
            <w:tcW w:w="380" w:type="pct"/>
            <w:shd w:val="clear" w:color="auto" w:fill="C6EFCE"/>
            <w:noWrap/>
            <w:vAlign w:val="center"/>
          </w:tcPr>
          <w:p w14:paraId="7A9BD381" w14:textId="533D6100" w:rsidR="006054AA" w:rsidRDefault="001F7667">
            <w:pPr>
              <w:pStyle w:val="P68B1DB1-Normal11"/>
              <w:jc w:val="center"/>
              <w:rPr>
                <w:noProof/>
              </w:rPr>
            </w:pPr>
            <w:r>
              <w:rPr>
                <w:noProof/>
              </w:rPr>
              <w:t>M4C1—10 bis</w:t>
            </w:r>
          </w:p>
        </w:tc>
        <w:tc>
          <w:tcPr>
            <w:tcW w:w="500" w:type="pct"/>
            <w:shd w:val="clear" w:color="auto" w:fill="C6EFCE"/>
            <w:noWrap/>
            <w:vAlign w:val="center"/>
          </w:tcPr>
          <w:p w14:paraId="470DE403" w14:textId="74BF205A" w:rsidR="006054AA" w:rsidRDefault="001F7667">
            <w:pPr>
              <w:pStyle w:val="P68B1DB1-Normal11"/>
              <w:jc w:val="center"/>
              <w:rPr>
                <w:noProof/>
              </w:rPr>
            </w:pPr>
            <w:r>
              <w:rPr>
                <w:noProof/>
              </w:rPr>
              <w:t>Реформа 1.1: Реформа на техническите и професионалните институти</w:t>
            </w:r>
          </w:p>
        </w:tc>
        <w:tc>
          <w:tcPr>
            <w:tcW w:w="358" w:type="pct"/>
            <w:shd w:val="clear" w:color="auto" w:fill="C6EFCE"/>
            <w:noWrap/>
            <w:vAlign w:val="center"/>
          </w:tcPr>
          <w:p w14:paraId="7AF13382" w14:textId="6349175A" w:rsidR="006054AA" w:rsidRDefault="001F7667">
            <w:pPr>
              <w:pStyle w:val="P68B1DB1-Normal11"/>
              <w:jc w:val="center"/>
              <w:rPr>
                <w:noProof/>
              </w:rPr>
            </w:pPr>
            <w:r>
              <w:rPr>
                <w:noProof/>
              </w:rPr>
              <w:t>Ключов етап</w:t>
            </w:r>
          </w:p>
        </w:tc>
        <w:tc>
          <w:tcPr>
            <w:tcW w:w="572" w:type="pct"/>
            <w:shd w:val="clear" w:color="auto" w:fill="C6EFCE"/>
            <w:noWrap/>
            <w:vAlign w:val="center"/>
          </w:tcPr>
          <w:p w14:paraId="1251FC10" w14:textId="0611BEE0" w:rsidR="006054AA" w:rsidRDefault="001F7667">
            <w:pPr>
              <w:pStyle w:val="P68B1DB1-Normal11"/>
              <w:jc w:val="center"/>
              <w:rPr>
                <w:noProof/>
              </w:rPr>
            </w:pPr>
            <w:r>
              <w:rPr>
                <w:noProof/>
              </w:rPr>
              <w:t>Влизане в сила на вторичното законодателство.</w:t>
            </w:r>
          </w:p>
        </w:tc>
        <w:tc>
          <w:tcPr>
            <w:tcW w:w="480" w:type="pct"/>
            <w:shd w:val="clear" w:color="auto" w:fill="C6EFCE"/>
            <w:noWrap/>
            <w:vAlign w:val="center"/>
          </w:tcPr>
          <w:p w14:paraId="6E3FB2C6" w14:textId="69604A67" w:rsidR="006054AA" w:rsidRDefault="001F7667">
            <w:pPr>
              <w:pStyle w:val="P68B1DB1-Normal11"/>
              <w:jc w:val="center"/>
              <w:rPr>
                <w:noProof/>
              </w:rPr>
            </w:pPr>
            <w:r>
              <w:rPr>
                <w:noProof/>
              </w:rPr>
              <w:t>Законова разпоредба, указваща влизането в сила на вторичното законодателство.</w:t>
            </w:r>
          </w:p>
        </w:tc>
        <w:tc>
          <w:tcPr>
            <w:tcW w:w="422" w:type="pct"/>
            <w:shd w:val="clear" w:color="auto" w:fill="C6EFCE"/>
            <w:noWrap/>
            <w:vAlign w:val="center"/>
          </w:tcPr>
          <w:p w14:paraId="1CBA4247" w14:textId="78F7B6FA" w:rsidR="006054AA" w:rsidRDefault="001F7667">
            <w:pPr>
              <w:pStyle w:val="P68B1DB1-Normal11"/>
              <w:jc w:val="center"/>
              <w:rPr>
                <w:noProof/>
              </w:rPr>
            </w:pPr>
            <w:r>
              <w:rPr>
                <w:noProof/>
              </w:rPr>
              <w:t>НЯМА</w:t>
            </w:r>
          </w:p>
        </w:tc>
        <w:tc>
          <w:tcPr>
            <w:tcW w:w="375" w:type="pct"/>
            <w:shd w:val="clear" w:color="auto" w:fill="C6EFCE"/>
            <w:noWrap/>
            <w:vAlign w:val="center"/>
          </w:tcPr>
          <w:p w14:paraId="308D6A72" w14:textId="52337F71" w:rsidR="006054AA" w:rsidRDefault="001F7667">
            <w:pPr>
              <w:pStyle w:val="P68B1DB1-Normal11"/>
              <w:jc w:val="center"/>
              <w:rPr>
                <w:noProof/>
              </w:rPr>
            </w:pPr>
            <w:r>
              <w:rPr>
                <w:noProof/>
              </w:rPr>
              <w:t>НЯМА</w:t>
            </w:r>
          </w:p>
        </w:tc>
        <w:tc>
          <w:tcPr>
            <w:tcW w:w="343" w:type="pct"/>
            <w:shd w:val="clear" w:color="auto" w:fill="C6EFCE"/>
            <w:noWrap/>
            <w:vAlign w:val="center"/>
          </w:tcPr>
          <w:p w14:paraId="3C396A49" w14:textId="1CACFE2D" w:rsidR="006054AA" w:rsidRDefault="001F7667">
            <w:pPr>
              <w:pStyle w:val="P68B1DB1-Normal11"/>
              <w:jc w:val="center"/>
              <w:rPr>
                <w:noProof/>
              </w:rPr>
            </w:pPr>
            <w:r>
              <w:rPr>
                <w:noProof/>
              </w:rPr>
              <w:t>НЯМА</w:t>
            </w:r>
          </w:p>
        </w:tc>
        <w:tc>
          <w:tcPr>
            <w:tcW w:w="286" w:type="pct"/>
            <w:shd w:val="clear" w:color="auto" w:fill="C6EFCE"/>
            <w:noWrap/>
            <w:vAlign w:val="center"/>
          </w:tcPr>
          <w:p w14:paraId="01AF4851" w14:textId="339FBBF2" w:rsidR="006054AA" w:rsidRDefault="001F7667">
            <w:pPr>
              <w:pStyle w:val="P68B1DB1-Normal11"/>
              <w:jc w:val="center"/>
              <w:rPr>
                <w:noProof/>
              </w:rPr>
            </w:pPr>
            <w:r>
              <w:rPr>
                <w:noProof/>
              </w:rPr>
              <w:t xml:space="preserve">Т4 Г. </w:t>
            </w:r>
          </w:p>
        </w:tc>
        <w:tc>
          <w:tcPr>
            <w:tcW w:w="238" w:type="pct"/>
            <w:shd w:val="clear" w:color="auto" w:fill="C6EFCE"/>
            <w:noWrap/>
            <w:vAlign w:val="center"/>
          </w:tcPr>
          <w:p w14:paraId="3C75FE14" w14:textId="11FA0437" w:rsidR="006054AA" w:rsidRDefault="001F7667">
            <w:pPr>
              <w:pStyle w:val="P68B1DB1-Normal11"/>
              <w:jc w:val="center"/>
              <w:rPr>
                <w:noProof/>
              </w:rPr>
            </w:pPr>
            <w:r>
              <w:rPr>
                <w:noProof/>
              </w:rPr>
              <w:t>2024</w:t>
            </w:r>
          </w:p>
        </w:tc>
        <w:tc>
          <w:tcPr>
            <w:tcW w:w="1047" w:type="pct"/>
            <w:shd w:val="clear" w:color="auto" w:fill="C6EFCE"/>
            <w:noWrap/>
            <w:vAlign w:val="center"/>
          </w:tcPr>
          <w:p w14:paraId="15A11705" w14:textId="3F806887" w:rsidR="006054AA" w:rsidRDefault="001F7667">
            <w:pPr>
              <w:pStyle w:val="P68B1DB1-Normal11"/>
              <w:rPr>
                <w:noProof/>
              </w:rPr>
            </w:pPr>
            <w:r>
              <w:rPr>
                <w:noProof/>
              </w:rPr>
              <w:t>Влезе в сила вторичното законодателство относно реформата на техническите и професионалните институти.</w:t>
            </w:r>
          </w:p>
        </w:tc>
      </w:tr>
      <w:tr w:rsidR="006054AA" w14:paraId="4737FB24" w14:textId="77777777">
        <w:trPr>
          <w:trHeight w:val="309"/>
        </w:trPr>
        <w:tc>
          <w:tcPr>
            <w:tcW w:w="380" w:type="pct"/>
            <w:shd w:val="clear" w:color="auto" w:fill="C6EFCE"/>
            <w:noWrap/>
            <w:vAlign w:val="center"/>
          </w:tcPr>
          <w:p w14:paraId="43BA2B4A" w14:textId="3AA3D3AA" w:rsidR="006054AA" w:rsidRDefault="001F7667">
            <w:pPr>
              <w:pStyle w:val="P68B1DB1-Normal11"/>
              <w:jc w:val="center"/>
              <w:rPr>
                <w:noProof/>
              </w:rPr>
            </w:pPr>
            <w:r>
              <w:rPr>
                <w:noProof/>
              </w:rPr>
              <w:t>M4C1—11</w:t>
            </w:r>
          </w:p>
        </w:tc>
        <w:tc>
          <w:tcPr>
            <w:tcW w:w="500" w:type="pct"/>
            <w:shd w:val="clear" w:color="auto" w:fill="C6EFCE"/>
            <w:noWrap/>
            <w:vAlign w:val="center"/>
          </w:tcPr>
          <w:p w14:paraId="3681E591" w14:textId="7E29CAF6" w:rsidR="006054AA" w:rsidRDefault="001F7667">
            <w:pPr>
              <w:pStyle w:val="P68B1DB1-Normal11"/>
              <w:jc w:val="center"/>
              <w:rPr>
                <w:noProof/>
              </w:rPr>
            </w:pPr>
            <w:r>
              <w:rPr>
                <w:noProof/>
              </w:rPr>
              <w:t>Инвестиция 1.7: Стипендии за достъп до университет</w:t>
            </w:r>
          </w:p>
        </w:tc>
        <w:tc>
          <w:tcPr>
            <w:tcW w:w="358" w:type="pct"/>
            <w:shd w:val="clear" w:color="auto" w:fill="C6EFCE"/>
            <w:noWrap/>
            <w:vAlign w:val="center"/>
          </w:tcPr>
          <w:p w14:paraId="3050BD93"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2F663D1B" w14:textId="77777777" w:rsidR="006054AA" w:rsidRDefault="001F7667">
            <w:pPr>
              <w:pStyle w:val="P68B1DB1-Normal11"/>
              <w:jc w:val="center"/>
              <w:rPr>
                <w:noProof/>
              </w:rPr>
            </w:pPr>
            <w:r>
              <w:rPr>
                <w:noProof/>
              </w:rPr>
              <w:t>Присъдена университетска стипендия</w:t>
            </w:r>
          </w:p>
        </w:tc>
        <w:tc>
          <w:tcPr>
            <w:tcW w:w="480" w:type="pct"/>
            <w:shd w:val="clear" w:color="auto" w:fill="C6EFCE"/>
            <w:noWrap/>
            <w:vAlign w:val="center"/>
          </w:tcPr>
          <w:p w14:paraId="004301B0"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25A47E5A"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112E6A8F" w14:textId="6A34CB4F" w:rsidR="006054AA" w:rsidRDefault="001F7667">
            <w:pPr>
              <w:pStyle w:val="P68B1DB1-Normal11"/>
              <w:jc w:val="center"/>
              <w:rPr>
                <w:noProof/>
              </w:rPr>
            </w:pPr>
            <w:r>
              <w:rPr>
                <w:noProof/>
              </w:rPr>
              <w:t>0</w:t>
            </w:r>
          </w:p>
        </w:tc>
        <w:tc>
          <w:tcPr>
            <w:tcW w:w="343" w:type="pct"/>
            <w:shd w:val="clear" w:color="auto" w:fill="C6EFCE"/>
            <w:noWrap/>
            <w:vAlign w:val="center"/>
          </w:tcPr>
          <w:p w14:paraId="3CBAA0E1" w14:textId="6AAA16B4" w:rsidR="006054AA" w:rsidRDefault="001F7667">
            <w:pPr>
              <w:pStyle w:val="P68B1DB1-Normal11"/>
              <w:jc w:val="center"/>
              <w:rPr>
                <w:noProof/>
              </w:rPr>
            </w:pPr>
            <w:r>
              <w:rPr>
                <w:noProof/>
              </w:rPr>
              <w:t>55 000</w:t>
            </w:r>
          </w:p>
        </w:tc>
        <w:tc>
          <w:tcPr>
            <w:tcW w:w="286" w:type="pct"/>
            <w:shd w:val="clear" w:color="auto" w:fill="C6EFCE"/>
            <w:noWrap/>
            <w:vAlign w:val="center"/>
          </w:tcPr>
          <w:p w14:paraId="5EBAA2AA"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38FF462D" w14:textId="77777777" w:rsidR="006054AA" w:rsidRDefault="001F7667">
            <w:pPr>
              <w:pStyle w:val="P68B1DB1-Normal11"/>
              <w:jc w:val="center"/>
              <w:rPr>
                <w:noProof/>
              </w:rPr>
            </w:pPr>
            <w:r>
              <w:rPr>
                <w:noProof/>
              </w:rPr>
              <w:t>2023</w:t>
            </w:r>
          </w:p>
        </w:tc>
        <w:tc>
          <w:tcPr>
            <w:tcW w:w="1047" w:type="pct"/>
            <w:shd w:val="clear" w:color="auto" w:fill="C6EFCE"/>
            <w:noWrap/>
            <w:vAlign w:val="center"/>
          </w:tcPr>
          <w:p w14:paraId="3433EDD6" w14:textId="203AE3F5" w:rsidR="006054AA" w:rsidRDefault="001F7667">
            <w:pPr>
              <w:rPr>
                <w:rStyle w:val="normaltextrun"/>
                <w:rFonts w:ascii="Arial Narrow" w:eastAsiaTheme="majorEastAsia" w:hAnsi="Arial Narrow"/>
                <w:noProof/>
                <w:sz w:val="20"/>
              </w:rPr>
            </w:pPr>
            <w:r>
              <w:rPr>
                <w:rFonts w:ascii="Arial Narrow" w:hAnsi="Arial Narrow"/>
                <w:noProof/>
                <w:color w:val="006100"/>
                <w:sz w:val="20"/>
              </w:rPr>
              <w:t>Най-малко 55 000 студенти получават стипендии, финансирани изключително със средства по Механизма за възстановяване и устойчивост</w:t>
            </w:r>
            <w:r>
              <w:rPr>
                <w:rStyle w:val="normaltextrun"/>
                <w:rFonts w:ascii="Arial Narrow" w:hAnsi="Arial Narrow"/>
                <w:noProof/>
                <w:color w:val="006100"/>
                <w:sz w:val="20"/>
                <w:shd w:val="clear" w:color="auto" w:fill="FFFFFF"/>
              </w:rPr>
              <w:t xml:space="preserve"> </w:t>
            </w:r>
          </w:p>
        </w:tc>
      </w:tr>
      <w:tr w:rsidR="006054AA" w14:paraId="1B2ED885" w14:textId="77777777">
        <w:trPr>
          <w:trHeight w:val="309"/>
        </w:trPr>
        <w:tc>
          <w:tcPr>
            <w:tcW w:w="380" w:type="pct"/>
            <w:shd w:val="clear" w:color="auto" w:fill="C6EFCE"/>
            <w:noWrap/>
            <w:vAlign w:val="center"/>
          </w:tcPr>
          <w:p w14:paraId="12427534" w14:textId="3DFEA80A" w:rsidR="006054AA" w:rsidRDefault="001F7667">
            <w:pPr>
              <w:pStyle w:val="P68B1DB1-Normal11"/>
              <w:jc w:val="center"/>
              <w:rPr>
                <w:noProof/>
              </w:rPr>
            </w:pPr>
            <w:r>
              <w:rPr>
                <w:noProof/>
              </w:rPr>
              <w:t>M4C1—12</w:t>
            </w:r>
          </w:p>
        </w:tc>
        <w:tc>
          <w:tcPr>
            <w:tcW w:w="500" w:type="pct"/>
            <w:shd w:val="clear" w:color="auto" w:fill="C6EFCE"/>
            <w:noWrap/>
            <w:vAlign w:val="center"/>
          </w:tcPr>
          <w:p w14:paraId="1A971360" w14:textId="77777777" w:rsidR="006054AA" w:rsidRDefault="001F7667">
            <w:pPr>
              <w:pStyle w:val="P68B1DB1-Normal11"/>
              <w:jc w:val="center"/>
              <w:rPr>
                <w:noProof/>
              </w:rPr>
            </w:pPr>
            <w:r>
              <w:rPr>
                <w:noProof/>
              </w:rPr>
              <w:t>Инвестиция 4.1: Разширяване на броя и възможностите за професионално развитие на докторантите (ориентирани към научни изследвания, публична администрация и културно наследство)</w:t>
            </w:r>
          </w:p>
        </w:tc>
        <w:tc>
          <w:tcPr>
            <w:tcW w:w="358" w:type="pct"/>
            <w:shd w:val="clear" w:color="auto" w:fill="C6EFCE"/>
            <w:noWrap/>
            <w:vAlign w:val="center"/>
          </w:tcPr>
          <w:p w14:paraId="30CF084B"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117DE47D" w14:textId="77777777" w:rsidR="006054AA" w:rsidRDefault="001F7667">
            <w:pPr>
              <w:pStyle w:val="P68B1DB1-Normal11"/>
              <w:jc w:val="center"/>
              <w:rPr>
                <w:noProof/>
              </w:rPr>
            </w:pPr>
            <w:r>
              <w:rPr>
                <w:noProof/>
              </w:rPr>
              <w:t>Стипендиантски програми за докторантура, отпускани годишно (над три години)</w:t>
            </w:r>
          </w:p>
        </w:tc>
        <w:tc>
          <w:tcPr>
            <w:tcW w:w="480" w:type="pct"/>
            <w:shd w:val="clear" w:color="auto" w:fill="C6EFCE"/>
            <w:noWrap/>
            <w:vAlign w:val="center"/>
          </w:tcPr>
          <w:p w14:paraId="25B34E94"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6ADA3BF6"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513B2F0C" w14:textId="77AA7174" w:rsidR="006054AA" w:rsidRDefault="001F7667">
            <w:pPr>
              <w:pStyle w:val="P68B1DB1-Normal11"/>
              <w:jc w:val="center"/>
              <w:rPr>
                <w:noProof/>
              </w:rPr>
            </w:pPr>
            <w:r>
              <w:rPr>
                <w:noProof/>
              </w:rPr>
              <w:t>9 000</w:t>
            </w:r>
          </w:p>
        </w:tc>
        <w:tc>
          <w:tcPr>
            <w:tcW w:w="343" w:type="pct"/>
            <w:shd w:val="clear" w:color="auto" w:fill="C6EFCE"/>
            <w:noWrap/>
            <w:vAlign w:val="center"/>
          </w:tcPr>
          <w:p w14:paraId="6688C1BD" w14:textId="118A8DBC" w:rsidR="006054AA" w:rsidRDefault="001F7667">
            <w:pPr>
              <w:pStyle w:val="P68B1DB1-Normal11"/>
              <w:jc w:val="center"/>
              <w:rPr>
                <w:noProof/>
              </w:rPr>
            </w:pPr>
            <w:r>
              <w:rPr>
                <w:noProof/>
              </w:rPr>
              <w:t>16 200</w:t>
            </w:r>
          </w:p>
        </w:tc>
        <w:tc>
          <w:tcPr>
            <w:tcW w:w="286" w:type="pct"/>
            <w:shd w:val="clear" w:color="auto" w:fill="C6EFCE"/>
            <w:noWrap/>
            <w:vAlign w:val="center"/>
          </w:tcPr>
          <w:p w14:paraId="277D5C75"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0F50C475" w14:textId="77777777" w:rsidR="006054AA" w:rsidRDefault="001F7667">
            <w:pPr>
              <w:pStyle w:val="P68B1DB1-Normal11"/>
              <w:jc w:val="center"/>
              <w:rPr>
                <w:noProof/>
              </w:rPr>
            </w:pPr>
            <w:r>
              <w:rPr>
                <w:noProof/>
              </w:rPr>
              <w:t>2024</w:t>
            </w:r>
          </w:p>
        </w:tc>
        <w:tc>
          <w:tcPr>
            <w:tcW w:w="1047" w:type="pct"/>
            <w:shd w:val="clear" w:color="auto" w:fill="C6EFCE"/>
            <w:noWrap/>
            <w:vAlign w:val="center"/>
          </w:tcPr>
          <w:p w14:paraId="288D68B7" w14:textId="252D9DCB" w:rsidR="006054AA" w:rsidRDefault="001F7667">
            <w:pPr>
              <w:pStyle w:val="P68B1DB1-Normal11"/>
              <w:rPr>
                <w:noProof/>
              </w:rPr>
            </w:pPr>
            <w:r>
              <w:rPr>
                <w:noProof/>
              </w:rPr>
              <w:t>Най-малко 1 200 допълнителни стипендиантски програми за докторантура годишно за период от три години); годишно се отпускат най-малко 1 000 допълнителни стипендиантски програми за докторантура по публична администрация (за период от три години); годишно (над три години) се отпускат най-малко 200 нови стипендиантски програми за докторантура в областта на културното наследство.</w:t>
            </w:r>
          </w:p>
          <w:p w14:paraId="53F6EE66" w14:textId="77777777" w:rsidR="006054AA" w:rsidRDefault="001F7667">
            <w:pPr>
              <w:pStyle w:val="P68B1DB1-Normal11"/>
              <w:rPr>
                <w:noProof/>
              </w:rPr>
            </w:pPr>
            <w:r>
              <w:rPr>
                <w:noProof/>
              </w:rPr>
              <w:t>Базовото равнище беше определено като настоящия (закръглен) брой докторанти, които започват своята програма всяка година в Италия:</w:t>
            </w:r>
          </w:p>
          <w:p w14:paraId="4324A88E" w14:textId="77777777" w:rsidR="006054AA" w:rsidRDefault="006054AA">
            <w:pPr>
              <w:rPr>
                <w:rFonts w:ascii="Arial Narrow" w:hAnsi="Arial Narrow"/>
                <w:noProof/>
                <w:color w:val="006100"/>
                <w:sz w:val="20"/>
              </w:rPr>
            </w:pPr>
          </w:p>
          <w:p w14:paraId="2F639A9A" w14:textId="6DE67562" w:rsidR="006054AA" w:rsidRDefault="001F7667">
            <w:pPr>
              <w:pStyle w:val="P68B1DB1-Normal10"/>
              <w:rPr>
                <w:noProof/>
                <w:color w:val="006100"/>
                <w:sz w:val="20"/>
              </w:rPr>
            </w:pPr>
            <w:r>
              <w:rPr>
                <w:noProof/>
              </w:rPr>
              <w:t>докторската</w:t>
            </w:r>
            <w:r>
              <w:rPr>
                <w:noProof/>
                <w:color w:val="006100"/>
                <w:sz w:val="20"/>
              </w:rPr>
              <w:t xml:space="preserve">степен се проектира така, че да включва в по-голяма степен фирмите и да стимулира приложните изследвания; </w:t>
            </w:r>
            <w:r>
              <w:rPr>
                <w:noProof/>
              </w:rPr>
              <w:t xml:space="preserve"> </w:t>
            </w:r>
            <w:r>
              <w:rPr>
                <w:noProof/>
              </w:rPr>
              <w:br/>
            </w:r>
            <w:r>
              <w:rPr>
                <w:noProof/>
                <w:color w:val="006100"/>
                <w:sz w:val="20"/>
              </w:rPr>
              <w:t>докторска степен по публична администрация се придържа към регулаторната рамка, която ще се прилага в сътрудничество с Министерството на публичната администрация. Докторска степен по публична администрация може да се предлага в различни класове докторантури, определени от CUN, Consiglio Universitario Nazionale (напр. Право, икономика и статистика, политически и социални науки), доколкото целта е да се даде допълнителна квалификация на кандидата за принос към развитието на подобрени правителствени системи.</w:t>
            </w:r>
            <w:r>
              <w:rPr>
                <w:noProof/>
              </w:rPr>
              <w:t xml:space="preserve"> </w:t>
            </w:r>
            <w:r>
              <w:rPr>
                <w:noProof/>
              </w:rPr>
              <w:br/>
            </w:r>
            <w:r>
              <w:rPr>
                <w:noProof/>
                <w:color w:val="006100"/>
                <w:sz w:val="20"/>
              </w:rPr>
              <w:t>докторантите в областта на културното наследство се придържат към рамка, която ще бъде определена в тясно сътрудничество с Министерството на културата (като например антики, филология, литературни науки, художествена история и история, философия, педагогика и психология, както са определени от CUN, Consiglio Universitario Nazionale).</w:t>
            </w:r>
          </w:p>
        </w:tc>
      </w:tr>
      <w:tr w:rsidR="006054AA" w14:paraId="774C7E77" w14:textId="77777777">
        <w:trPr>
          <w:trHeight w:val="309"/>
        </w:trPr>
        <w:tc>
          <w:tcPr>
            <w:tcW w:w="380" w:type="pct"/>
            <w:shd w:val="clear" w:color="auto" w:fill="C6EFCE"/>
            <w:noWrap/>
            <w:vAlign w:val="center"/>
          </w:tcPr>
          <w:p w14:paraId="6F35203C" w14:textId="77777777" w:rsidR="006054AA" w:rsidRDefault="001F7667">
            <w:pPr>
              <w:pStyle w:val="P68B1DB1-Normal11"/>
              <w:jc w:val="center"/>
              <w:rPr>
                <w:noProof/>
              </w:rPr>
            </w:pPr>
            <w:r>
              <w:rPr>
                <w:noProof/>
              </w:rPr>
              <w:t>M4C1—13</w:t>
            </w:r>
          </w:p>
        </w:tc>
        <w:tc>
          <w:tcPr>
            <w:tcW w:w="500" w:type="pct"/>
            <w:shd w:val="clear" w:color="auto" w:fill="C6EFCE"/>
            <w:noWrap/>
            <w:vAlign w:val="center"/>
          </w:tcPr>
          <w:p w14:paraId="1BAD3EDC" w14:textId="7AA976F0" w:rsidR="006054AA" w:rsidRDefault="001F7667">
            <w:pPr>
              <w:pStyle w:val="P68B1DB1-Normal11"/>
              <w:jc w:val="center"/>
              <w:rPr>
                <w:noProof/>
              </w:rPr>
            </w:pPr>
            <w:r>
              <w:rPr>
                <w:noProof/>
              </w:rPr>
              <w:t>Инвестиция 2.1: Интегрирано цифрово преподаване и обучение относно цифровата трансформация за училищния персонал;</w:t>
            </w:r>
          </w:p>
        </w:tc>
        <w:tc>
          <w:tcPr>
            <w:tcW w:w="358" w:type="pct"/>
            <w:shd w:val="clear" w:color="auto" w:fill="C6EFCE"/>
            <w:noWrap/>
            <w:vAlign w:val="center"/>
          </w:tcPr>
          <w:p w14:paraId="60514600"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35CA63E5" w14:textId="0F6CD556" w:rsidR="006054AA" w:rsidRDefault="001F7667">
            <w:pPr>
              <w:pStyle w:val="P68B1DB1-Normal11"/>
              <w:jc w:val="center"/>
              <w:rPr>
                <w:noProof/>
              </w:rPr>
            </w:pPr>
            <w:r>
              <w:rPr>
                <w:noProof/>
              </w:rPr>
              <w:t>Обучение на училищни ръководители, учители и административен персонал</w:t>
            </w:r>
          </w:p>
        </w:tc>
        <w:tc>
          <w:tcPr>
            <w:tcW w:w="480" w:type="pct"/>
            <w:shd w:val="clear" w:color="auto" w:fill="C6EFCE"/>
            <w:noWrap/>
            <w:vAlign w:val="center"/>
          </w:tcPr>
          <w:p w14:paraId="30670A5B"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67FB77B4"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352C25C2"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79B1567E" w14:textId="2905FA1E" w:rsidR="006054AA" w:rsidRDefault="001F7667">
            <w:pPr>
              <w:pStyle w:val="P68B1DB1-Normal11"/>
              <w:jc w:val="center"/>
              <w:rPr>
                <w:noProof/>
              </w:rPr>
            </w:pPr>
            <w:r>
              <w:rPr>
                <w:noProof/>
              </w:rPr>
              <w:t>650 000</w:t>
            </w:r>
          </w:p>
        </w:tc>
        <w:tc>
          <w:tcPr>
            <w:tcW w:w="286" w:type="pct"/>
            <w:shd w:val="clear" w:color="auto" w:fill="C6EFCE"/>
            <w:noWrap/>
            <w:vAlign w:val="center"/>
          </w:tcPr>
          <w:p w14:paraId="235029DE"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5562FA7F" w14:textId="77777777" w:rsidR="006054AA" w:rsidRDefault="001F7667">
            <w:pPr>
              <w:pStyle w:val="P68B1DB1-Normal11"/>
              <w:jc w:val="center"/>
              <w:rPr>
                <w:noProof/>
              </w:rPr>
            </w:pPr>
            <w:r>
              <w:rPr>
                <w:noProof/>
              </w:rPr>
              <w:t>2025</w:t>
            </w:r>
          </w:p>
        </w:tc>
        <w:tc>
          <w:tcPr>
            <w:tcW w:w="1047" w:type="pct"/>
            <w:shd w:val="clear" w:color="auto" w:fill="C6EFCE"/>
            <w:noWrap/>
            <w:vAlign w:val="center"/>
          </w:tcPr>
          <w:p w14:paraId="5130B39A" w14:textId="62B3B1A0" w:rsidR="006054AA" w:rsidRDefault="001F7667">
            <w:pPr>
              <w:pStyle w:val="P68B1DB1-Normal11"/>
              <w:rPr>
                <w:noProof/>
              </w:rPr>
            </w:pPr>
            <w:r>
              <w:rPr>
                <w:noProof/>
              </w:rPr>
              <w:t>Обучени са най-малко 650 000 училищни ръководители, учители и административен персонал</w:t>
            </w:r>
          </w:p>
          <w:p w14:paraId="5466F023" w14:textId="77777777" w:rsidR="006054AA" w:rsidRDefault="006054AA">
            <w:pPr>
              <w:rPr>
                <w:rFonts w:ascii="Arial Narrow" w:hAnsi="Arial Narrow"/>
                <w:noProof/>
                <w:color w:val="006100"/>
                <w:sz w:val="20"/>
              </w:rPr>
            </w:pPr>
          </w:p>
          <w:p w14:paraId="0C175CB7" w14:textId="24E3F336" w:rsidR="006054AA" w:rsidRDefault="001F7667">
            <w:pPr>
              <w:pStyle w:val="P68B1DB1-Normal11"/>
              <w:rPr>
                <w:noProof/>
              </w:rPr>
            </w:pPr>
            <w:r>
              <w:rPr>
                <w:noProof/>
              </w:rPr>
              <w:t>Интегрирано цифрово образование и обучение на училищния персонал в цифровия преход (650 000 учители, ръководители и административен персонал, като цяло обучени).</w:t>
            </w:r>
          </w:p>
        </w:tc>
      </w:tr>
      <w:tr w:rsidR="006054AA" w14:paraId="2593C82D" w14:textId="77777777">
        <w:trPr>
          <w:trHeight w:val="309"/>
        </w:trPr>
        <w:tc>
          <w:tcPr>
            <w:tcW w:w="380" w:type="pct"/>
            <w:shd w:val="clear" w:color="auto" w:fill="C6EFCE"/>
            <w:noWrap/>
            <w:vAlign w:val="center"/>
          </w:tcPr>
          <w:p w14:paraId="4C9C9EF4" w14:textId="77777777" w:rsidR="006054AA" w:rsidRDefault="001F7667">
            <w:pPr>
              <w:pStyle w:val="P68B1DB1-Normal11"/>
              <w:jc w:val="center"/>
              <w:rPr>
                <w:noProof/>
              </w:rPr>
            </w:pPr>
            <w:r>
              <w:rPr>
                <w:noProof/>
              </w:rPr>
              <w:t>M4C1—14</w:t>
            </w:r>
          </w:p>
          <w:p w14:paraId="2F8ADD12" w14:textId="77777777" w:rsidR="006054AA" w:rsidRDefault="006054AA">
            <w:pPr>
              <w:jc w:val="center"/>
              <w:rPr>
                <w:rFonts w:ascii="Arial Narrow" w:hAnsi="Arial Narrow"/>
                <w:noProof/>
                <w:color w:val="006100"/>
                <w:sz w:val="20"/>
              </w:rPr>
            </w:pPr>
          </w:p>
        </w:tc>
        <w:tc>
          <w:tcPr>
            <w:tcW w:w="500" w:type="pct"/>
            <w:shd w:val="clear" w:color="auto" w:fill="C6EFCE"/>
            <w:noWrap/>
            <w:vAlign w:val="center"/>
          </w:tcPr>
          <w:p w14:paraId="76B78A14" w14:textId="1E92FF4B" w:rsidR="006054AA" w:rsidRDefault="001F7667">
            <w:pPr>
              <w:pStyle w:val="P68B1DB1-Normal11"/>
              <w:jc w:val="center"/>
              <w:rPr>
                <w:noProof/>
              </w:rPr>
            </w:pPr>
            <w:r>
              <w:rPr>
                <w:noProof/>
              </w:rPr>
              <w:t>Реформа 2.1: Набиране на учители</w:t>
            </w:r>
          </w:p>
        </w:tc>
        <w:tc>
          <w:tcPr>
            <w:tcW w:w="358" w:type="pct"/>
            <w:shd w:val="clear" w:color="auto" w:fill="C6EFCE"/>
            <w:noWrap/>
            <w:vAlign w:val="center"/>
          </w:tcPr>
          <w:p w14:paraId="7A390824"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78FA360D" w14:textId="77777777" w:rsidR="006054AA" w:rsidRDefault="001F7667">
            <w:pPr>
              <w:pStyle w:val="P68B1DB1-Normal11"/>
              <w:jc w:val="center"/>
              <w:rPr>
                <w:noProof/>
              </w:rPr>
            </w:pPr>
            <w:r>
              <w:rPr>
                <w:noProof/>
              </w:rPr>
              <w:t>Учители, назначени чрез реформираната система за набиране на персонал</w:t>
            </w:r>
          </w:p>
        </w:tc>
        <w:tc>
          <w:tcPr>
            <w:tcW w:w="480" w:type="pct"/>
            <w:shd w:val="clear" w:color="auto" w:fill="C6EFCE"/>
            <w:noWrap/>
            <w:vAlign w:val="center"/>
          </w:tcPr>
          <w:p w14:paraId="31F87CFF"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24E0083F"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41A928E9"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5ADE833C" w14:textId="17A502EF" w:rsidR="006054AA" w:rsidRDefault="001F7667">
            <w:pPr>
              <w:pStyle w:val="P68B1DB1-Normal11"/>
              <w:jc w:val="center"/>
              <w:rPr>
                <w:noProof/>
              </w:rPr>
            </w:pPr>
            <w:r>
              <w:rPr>
                <w:noProof/>
              </w:rPr>
              <w:t>20 000</w:t>
            </w:r>
          </w:p>
        </w:tc>
        <w:tc>
          <w:tcPr>
            <w:tcW w:w="286" w:type="pct"/>
            <w:shd w:val="clear" w:color="auto" w:fill="C6EFCE"/>
            <w:noWrap/>
            <w:vAlign w:val="center"/>
          </w:tcPr>
          <w:p w14:paraId="255D7EAC"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0ED15937" w14:textId="77777777" w:rsidR="006054AA" w:rsidRDefault="001F7667">
            <w:pPr>
              <w:pStyle w:val="P68B1DB1-Normal11"/>
              <w:jc w:val="center"/>
              <w:rPr>
                <w:noProof/>
              </w:rPr>
            </w:pPr>
            <w:r>
              <w:rPr>
                <w:noProof/>
              </w:rPr>
              <w:t>2024</w:t>
            </w:r>
          </w:p>
        </w:tc>
        <w:tc>
          <w:tcPr>
            <w:tcW w:w="1047" w:type="pct"/>
            <w:shd w:val="clear" w:color="auto" w:fill="C6EFCE"/>
            <w:noWrap/>
            <w:vAlign w:val="center"/>
          </w:tcPr>
          <w:p w14:paraId="10584676" w14:textId="1324A172" w:rsidR="006054AA" w:rsidRDefault="001F7667">
            <w:pPr>
              <w:pStyle w:val="P68B1DB1-Normal11"/>
              <w:rPr>
                <w:noProof/>
              </w:rPr>
            </w:pPr>
            <w:r>
              <w:rPr>
                <w:noProof/>
              </w:rPr>
              <w:t>Най-малко 20 000 учители, назначени чрез реформираната система за набиране на персонал</w:t>
            </w:r>
          </w:p>
        </w:tc>
      </w:tr>
      <w:tr w:rsidR="006054AA" w14:paraId="5233C2A3" w14:textId="77777777">
        <w:trPr>
          <w:trHeight w:val="309"/>
        </w:trPr>
        <w:tc>
          <w:tcPr>
            <w:tcW w:w="380" w:type="pct"/>
            <w:shd w:val="clear" w:color="auto" w:fill="C6EFCE"/>
            <w:noWrap/>
            <w:vAlign w:val="center"/>
          </w:tcPr>
          <w:p w14:paraId="658D2EFE" w14:textId="7B76C42C" w:rsidR="006054AA" w:rsidRDefault="001F7667">
            <w:pPr>
              <w:pStyle w:val="P68B1DB1-Normal11"/>
              <w:jc w:val="center"/>
              <w:rPr>
                <w:noProof/>
              </w:rPr>
            </w:pPr>
            <w:r>
              <w:rPr>
                <w:noProof/>
              </w:rPr>
              <w:t>M4C1—14 bis</w:t>
            </w:r>
          </w:p>
        </w:tc>
        <w:tc>
          <w:tcPr>
            <w:tcW w:w="500" w:type="pct"/>
            <w:shd w:val="clear" w:color="auto" w:fill="C6EFCE"/>
            <w:noWrap/>
            <w:vAlign w:val="center"/>
          </w:tcPr>
          <w:p w14:paraId="7450B610" w14:textId="0615F425" w:rsidR="006054AA" w:rsidRDefault="001F7667">
            <w:pPr>
              <w:pStyle w:val="P68B1DB1-Normal11"/>
              <w:jc w:val="center"/>
              <w:rPr>
                <w:noProof/>
              </w:rPr>
            </w:pPr>
            <w:r>
              <w:rPr>
                <w:noProof/>
              </w:rPr>
              <w:t xml:space="preserve">Реформа 2.1: Набиране на учители  </w:t>
            </w:r>
          </w:p>
        </w:tc>
        <w:tc>
          <w:tcPr>
            <w:tcW w:w="358" w:type="pct"/>
            <w:shd w:val="clear" w:color="auto" w:fill="C6EFCE"/>
            <w:noWrap/>
            <w:vAlign w:val="center"/>
          </w:tcPr>
          <w:p w14:paraId="57658450" w14:textId="69DCC9B6" w:rsidR="006054AA" w:rsidRDefault="001F7667">
            <w:pPr>
              <w:pStyle w:val="P68B1DB1-Normal11"/>
              <w:jc w:val="center"/>
              <w:rPr>
                <w:noProof/>
              </w:rPr>
            </w:pPr>
            <w:r>
              <w:rPr>
                <w:noProof/>
              </w:rPr>
              <w:t xml:space="preserve">Целеви </w:t>
            </w:r>
          </w:p>
        </w:tc>
        <w:tc>
          <w:tcPr>
            <w:tcW w:w="572" w:type="pct"/>
            <w:shd w:val="clear" w:color="auto" w:fill="C6EFCE"/>
            <w:noWrap/>
            <w:vAlign w:val="center"/>
          </w:tcPr>
          <w:p w14:paraId="6C91DEAE" w14:textId="563345C6" w:rsidR="006054AA" w:rsidRDefault="001F7667">
            <w:pPr>
              <w:pStyle w:val="P68B1DB1-Normal11"/>
              <w:jc w:val="center"/>
              <w:rPr>
                <w:noProof/>
              </w:rPr>
            </w:pPr>
            <w:r>
              <w:rPr>
                <w:noProof/>
              </w:rPr>
              <w:t>Учители, назначени чрез реформираната система за набиране на персонал</w:t>
            </w:r>
          </w:p>
        </w:tc>
        <w:tc>
          <w:tcPr>
            <w:tcW w:w="480" w:type="pct"/>
            <w:shd w:val="clear" w:color="auto" w:fill="C6EFCE"/>
            <w:noWrap/>
            <w:vAlign w:val="center"/>
          </w:tcPr>
          <w:p w14:paraId="3318AF73" w14:textId="0808A409" w:rsidR="006054AA" w:rsidRDefault="001F7667">
            <w:pPr>
              <w:pStyle w:val="P68B1DB1-Normal11"/>
              <w:jc w:val="center"/>
              <w:rPr>
                <w:noProof/>
              </w:rPr>
            </w:pPr>
            <w:r>
              <w:rPr>
                <w:noProof/>
              </w:rPr>
              <w:t xml:space="preserve">НЯМА </w:t>
            </w:r>
          </w:p>
        </w:tc>
        <w:tc>
          <w:tcPr>
            <w:tcW w:w="422" w:type="pct"/>
            <w:shd w:val="clear" w:color="auto" w:fill="C6EFCE"/>
            <w:noWrap/>
            <w:vAlign w:val="center"/>
          </w:tcPr>
          <w:p w14:paraId="550F9A87" w14:textId="4E899E59" w:rsidR="006054AA" w:rsidRDefault="001F7667">
            <w:pPr>
              <w:pStyle w:val="P68B1DB1-Normal11"/>
              <w:jc w:val="center"/>
              <w:rPr>
                <w:noProof/>
              </w:rPr>
            </w:pPr>
            <w:r>
              <w:rPr>
                <w:noProof/>
              </w:rPr>
              <w:t xml:space="preserve">Брой </w:t>
            </w:r>
          </w:p>
        </w:tc>
        <w:tc>
          <w:tcPr>
            <w:tcW w:w="375" w:type="pct"/>
            <w:shd w:val="clear" w:color="auto" w:fill="C6EFCE"/>
            <w:noWrap/>
            <w:vAlign w:val="center"/>
          </w:tcPr>
          <w:p w14:paraId="52A81F62" w14:textId="108C9533" w:rsidR="006054AA" w:rsidRDefault="001F7667">
            <w:pPr>
              <w:pStyle w:val="P68B1DB1-Normal11"/>
              <w:jc w:val="center"/>
              <w:rPr>
                <w:noProof/>
              </w:rPr>
            </w:pPr>
            <w:r>
              <w:rPr>
                <w:noProof/>
              </w:rPr>
              <w:t xml:space="preserve">0 </w:t>
            </w:r>
          </w:p>
        </w:tc>
        <w:tc>
          <w:tcPr>
            <w:tcW w:w="343" w:type="pct"/>
            <w:shd w:val="clear" w:color="auto" w:fill="C6EFCE"/>
            <w:noWrap/>
            <w:vAlign w:val="center"/>
          </w:tcPr>
          <w:p w14:paraId="16C8D37D" w14:textId="79FC21DC" w:rsidR="006054AA" w:rsidRDefault="001F7667">
            <w:pPr>
              <w:pStyle w:val="P68B1DB1-Normal11"/>
              <w:jc w:val="center"/>
              <w:rPr>
                <w:noProof/>
              </w:rPr>
            </w:pPr>
            <w:r>
              <w:rPr>
                <w:noProof/>
              </w:rPr>
              <w:t>20 000</w:t>
            </w:r>
          </w:p>
        </w:tc>
        <w:tc>
          <w:tcPr>
            <w:tcW w:w="286" w:type="pct"/>
            <w:shd w:val="clear" w:color="auto" w:fill="C6EFCE"/>
            <w:noWrap/>
            <w:vAlign w:val="center"/>
          </w:tcPr>
          <w:p w14:paraId="31661091" w14:textId="6C5590D7" w:rsidR="006054AA" w:rsidRDefault="001F7667">
            <w:pPr>
              <w:pStyle w:val="P68B1DB1-Normal11"/>
              <w:jc w:val="center"/>
              <w:rPr>
                <w:noProof/>
              </w:rPr>
            </w:pPr>
            <w:r>
              <w:rPr>
                <w:noProof/>
              </w:rPr>
              <w:t>Т3 Г.</w:t>
            </w:r>
          </w:p>
        </w:tc>
        <w:tc>
          <w:tcPr>
            <w:tcW w:w="238" w:type="pct"/>
            <w:shd w:val="clear" w:color="auto" w:fill="C6EFCE"/>
            <w:noWrap/>
            <w:vAlign w:val="center"/>
          </w:tcPr>
          <w:p w14:paraId="33966052" w14:textId="29A277D3" w:rsidR="006054AA" w:rsidRDefault="001F7667">
            <w:pPr>
              <w:pStyle w:val="P68B1DB1-Normal11"/>
              <w:jc w:val="center"/>
              <w:rPr>
                <w:noProof/>
              </w:rPr>
            </w:pPr>
            <w:r>
              <w:rPr>
                <w:noProof/>
              </w:rPr>
              <w:t xml:space="preserve">2025 </w:t>
            </w:r>
          </w:p>
        </w:tc>
        <w:tc>
          <w:tcPr>
            <w:tcW w:w="1047" w:type="pct"/>
            <w:shd w:val="clear" w:color="auto" w:fill="C6EFCE"/>
            <w:noWrap/>
            <w:vAlign w:val="center"/>
          </w:tcPr>
          <w:p w14:paraId="2AF9F4DE" w14:textId="13B19D99" w:rsidR="006054AA" w:rsidRDefault="001F7667">
            <w:pPr>
              <w:pStyle w:val="P68B1DB1-Normal11"/>
              <w:rPr>
                <w:noProof/>
              </w:rPr>
            </w:pPr>
            <w:r>
              <w:rPr>
                <w:noProof/>
              </w:rPr>
              <w:t>Най-малко 20 000 учители, назначени чрез реформираната система за набиране на персонал</w:t>
            </w:r>
          </w:p>
        </w:tc>
      </w:tr>
      <w:tr w:rsidR="006054AA" w14:paraId="53E5EFC8" w14:textId="77777777">
        <w:trPr>
          <w:trHeight w:val="309"/>
        </w:trPr>
        <w:tc>
          <w:tcPr>
            <w:tcW w:w="380" w:type="pct"/>
            <w:shd w:val="clear" w:color="auto" w:fill="C6EFCE"/>
            <w:noWrap/>
            <w:vAlign w:val="center"/>
          </w:tcPr>
          <w:p w14:paraId="47770153" w14:textId="53DE99C3" w:rsidR="006054AA" w:rsidRDefault="001F7667">
            <w:pPr>
              <w:pStyle w:val="P68B1DB1-Normal11"/>
              <w:jc w:val="center"/>
              <w:rPr>
                <w:noProof/>
              </w:rPr>
            </w:pPr>
            <w:r>
              <w:rPr>
                <w:noProof/>
              </w:rPr>
              <w:t>M4C1—15 ter</w:t>
            </w:r>
          </w:p>
        </w:tc>
        <w:tc>
          <w:tcPr>
            <w:tcW w:w="500" w:type="pct"/>
            <w:shd w:val="clear" w:color="auto" w:fill="C6EFCE"/>
            <w:noWrap/>
            <w:vAlign w:val="center"/>
          </w:tcPr>
          <w:p w14:paraId="3B7A9C34" w14:textId="5ADC3FA8" w:rsidR="006054AA" w:rsidRDefault="001F7667">
            <w:pPr>
              <w:pStyle w:val="P68B1DB1-Normal11"/>
              <w:jc w:val="center"/>
              <w:rPr>
                <w:noProof/>
              </w:rPr>
            </w:pPr>
            <w:r>
              <w:rPr>
                <w:noProof/>
              </w:rPr>
              <w:t>Реформа 2.1: Набиране на учители</w:t>
            </w:r>
          </w:p>
        </w:tc>
        <w:tc>
          <w:tcPr>
            <w:tcW w:w="358" w:type="pct"/>
            <w:shd w:val="clear" w:color="auto" w:fill="C6EFCE"/>
            <w:noWrap/>
            <w:vAlign w:val="center"/>
          </w:tcPr>
          <w:p w14:paraId="69C74291" w14:textId="4E82F52F" w:rsidR="006054AA" w:rsidRDefault="001F7667">
            <w:pPr>
              <w:pStyle w:val="P68B1DB1-Normal11"/>
              <w:jc w:val="center"/>
              <w:rPr>
                <w:noProof/>
              </w:rPr>
            </w:pPr>
            <w:r>
              <w:rPr>
                <w:noProof/>
              </w:rPr>
              <w:t>Целеви</w:t>
            </w:r>
          </w:p>
        </w:tc>
        <w:tc>
          <w:tcPr>
            <w:tcW w:w="572" w:type="pct"/>
            <w:shd w:val="clear" w:color="auto" w:fill="C6EFCE"/>
            <w:noWrap/>
            <w:vAlign w:val="center"/>
          </w:tcPr>
          <w:p w14:paraId="1C51A00D" w14:textId="1104EE29" w:rsidR="006054AA" w:rsidRDefault="001F7667">
            <w:pPr>
              <w:pStyle w:val="P68B1DB1-Normal11"/>
              <w:jc w:val="center"/>
              <w:rPr>
                <w:noProof/>
              </w:rPr>
            </w:pPr>
            <w:r>
              <w:rPr>
                <w:noProof/>
              </w:rPr>
              <w:t>Кандидатите, успешно издържали публичния конкурс, за да станат учители след реформираната система за набиране на персонал.</w:t>
            </w:r>
          </w:p>
        </w:tc>
        <w:tc>
          <w:tcPr>
            <w:tcW w:w="480" w:type="pct"/>
            <w:shd w:val="clear" w:color="auto" w:fill="C6EFCE"/>
            <w:noWrap/>
            <w:vAlign w:val="center"/>
          </w:tcPr>
          <w:p w14:paraId="0275D15E" w14:textId="05314575" w:rsidR="006054AA" w:rsidRDefault="001F7667">
            <w:pPr>
              <w:pStyle w:val="P68B1DB1-Normal11"/>
              <w:jc w:val="center"/>
              <w:rPr>
                <w:noProof/>
              </w:rPr>
            </w:pPr>
            <w:r>
              <w:rPr>
                <w:noProof/>
              </w:rPr>
              <w:t xml:space="preserve">НЯМА </w:t>
            </w:r>
          </w:p>
        </w:tc>
        <w:tc>
          <w:tcPr>
            <w:tcW w:w="422" w:type="pct"/>
            <w:shd w:val="clear" w:color="auto" w:fill="C6EFCE"/>
            <w:noWrap/>
            <w:vAlign w:val="center"/>
          </w:tcPr>
          <w:p w14:paraId="7CEDB0ED" w14:textId="4E425393" w:rsidR="006054AA" w:rsidRDefault="001F7667">
            <w:pPr>
              <w:pStyle w:val="P68B1DB1-Normal11"/>
              <w:jc w:val="center"/>
              <w:rPr>
                <w:noProof/>
              </w:rPr>
            </w:pPr>
            <w:r>
              <w:rPr>
                <w:noProof/>
              </w:rPr>
              <w:t>Брой</w:t>
            </w:r>
          </w:p>
        </w:tc>
        <w:tc>
          <w:tcPr>
            <w:tcW w:w="375" w:type="pct"/>
            <w:shd w:val="clear" w:color="auto" w:fill="C6EFCE"/>
            <w:noWrap/>
            <w:vAlign w:val="center"/>
          </w:tcPr>
          <w:p w14:paraId="45A973A1" w14:textId="380D7624" w:rsidR="006054AA" w:rsidRDefault="001F7667">
            <w:pPr>
              <w:pStyle w:val="P68B1DB1-Normal11"/>
              <w:jc w:val="center"/>
              <w:rPr>
                <w:noProof/>
              </w:rPr>
            </w:pPr>
            <w:r>
              <w:rPr>
                <w:noProof/>
              </w:rPr>
              <w:t>0</w:t>
            </w:r>
          </w:p>
        </w:tc>
        <w:tc>
          <w:tcPr>
            <w:tcW w:w="343" w:type="pct"/>
            <w:shd w:val="clear" w:color="auto" w:fill="C6EFCE"/>
            <w:noWrap/>
            <w:vAlign w:val="center"/>
          </w:tcPr>
          <w:p w14:paraId="10C5B7E4" w14:textId="59408EDA" w:rsidR="006054AA" w:rsidRDefault="001F7667">
            <w:pPr>
              <w:pStyle w:val="P68B1DB1-Normal11"/>
              <w:jc w:val="center"/>
              <w:rPr>
                <w:noProof/>
              </w:rPr>
            </w:pPr>
            <w:r>
              <w:rPr>
                <w:noProof/>
              </w:rPr>
              <w:t>30 000</w:t>
            </w:r>
          </w:p>
        </w:tc>
        <w:tc>
          <w:tcPr>
            <w:tcW w:w="286" w:type="pct"/>
            <w:shd w:val="clear" w:color="auto" w:fill="C6EFCE"/>
            <w:noWrap/>
            <w:vAlign w:val="center"/>
          </w:tcPr>
          <w:p w14:paraId="0C2C557C" w14:textId="02B9665A" w:rsidR="006054AA" w:rsidRDefault="001F7667">
            <w:pPr>
              <w:pStyle w:val="P68B1DB1-Normal11"/>
              <w:jc w:val="center"/>
              <w:rPr>
                <w:noProof/>
              </w:rPr>
            </w:pPr>
            <w:r>
              <w:rPr>
                <w:noProof/>
              </w:rPr>
              <w:t xml:space="preserve">Т2 Г. </w:t>
            </w:r>
          </w:p>
        </w:tc>
        <w:tc>
          <w:tcPr>
            <w:tcW w:w="238" w:type="pct"/>
            <w:shd w:val="clear" w:color="auto" w:fill="C6EFCE"/>
            <w:noWrap/>
            <w:vAlign w:val="center"/>
          </w:tcPr>
          <w:p w14:paraId="1BD83D9B" w14:textId="1D982D17" w:rsidR="006054AA" w:rsidRDefault="001F7667">
            <w:pPr>
              <w:pStyle w:val="P68B1DB1-Normal11"/>
              <w:jc w:val="center"/>
              <w:rPr>
                <w:noProof/>
              </w:rPr>
            </w:pPr>
            <w:r>
              <w:rPr>
                <w:noProof/>
              </w:rPr>
              <w:t>2026</w:t>
            </w:r>
          </w:p>
        </w:tc>
        <w:tc>
          <w:tcPr>
            <w:tcW w:w="1047" w:type="pct"/>
            <w:shd w:val="clear" w:color="auto" w:fill="C6EFCE"/>
            <w:noWrap/>
            <w:vAlign w:val="center"/>
          </w:tcPr>
          <w:p w14:paraId="72068D24" w14:textId="6C760772" w:rsidR="006054AA" w:rsidRDefault="001F7667">
            <w:pPr>
              <w:pStyle w:val="P68B1DB1-Normal11"/>
              <w:rPr>
                <w:noProof/>
              </w:rPr>
            </w:pPr>
            <w:r>
              <w:rPr>
                <w:noProof/>
              </w:rPr>
              <w:t xml:space="preserve">Най-малко 30 000 кандидати са издържали успешно публичния конкурс, за да станат учители след реформираната система за набиране на персонал.  </w:t>
            </w:r>
          </w:p>
          <w:p w14:paraId="0061A15B" w14:textId="77777777" w:rsidR="006054AA" w:rsidRDefault="006054AA">
            <w:pPr>
              <w:rPr>
                <w:rFonts w:ascii="Arial Narrow" w:hAnsi="Arial Narrow"/>
                <w:noProof/>
                <w:color w:val="006100"/>
                <w:sz w:val="20"/>
              </w:rPr>
            </w:pPr>
          </w:p>
          <w:p w14:paraId="51C028B1" w14:textId="3C77DC87" w:rsidR="006054AA" w:rsidRDefault="001F7667">
            <w:pPr>
              <w:pStyle w:val="P68B1DB1-Normal11"/>
              <w:rPr>
                <w:noProof/>
              </w:rPr>
            </w:pPr>
            <w:r>
              <w:rPr>
                <w:noProof/>
              </w:rPr>
              <w:t>Всички успешно издържали конкурса кандидати трябва да са завършили 60 ECTS от процеса на начална квалификация, преди да участват в публичния конкурс.</w:t>
            </w:r>
          </w:p>
        </w:tc>
      </w:tr>
      <w:tr w:rsidR="006054AA" w14:paraId="1F2DF8BB" w14:textId="77777777">
        <w:trPr>
          <w:trHeight w:val="309"/>
        </w:trPr>
        <w:tc>
          <w:tcPr>
            <w:tcW w:w="380" w:type="pct"/>
            <w:shd w:val="clear" w:color="auto" w:fill="C6EFCE"/>
            <w:noWrap/>
            <w:vAlign w:val="center"/>
          </w:tcPr>
          <w:p w14:paraId="31733FBD" w14:textId="77777777" w:rsidR="006054AA" w:rsidRDefault="001F7667">
            <w:pPr>
              <w:pStyle w:val="P68B1DB1-Normal11"/>
              <w:jc w:val="center"/>
              <w:rPr>
                <w:noProof/>
              </w:rPr>
            </w:pPr>
            <w:r>
              <w:rPr>
                <w:noProof/>
              </w:rPr>
              <w:t>M4C1—15</w:t>
            </w:r>
          </w:p>
        </w:tc>
        <w:tc>
          <w:tcPr>
            <w:tcW w:w="500" w:type="pct"/>
            <w:shd w:val="clear" w:color="auto" w:fill="C6EFCE"/>
            <w:noWrap/>
            <w:vAlign w:val="center"/>
          </w:tcPr>
          <w:p w14:paraId="2D6103E3" w14:textId="77777777" w:rsidR="006054AA" w:rsidRDefault="001F7667">
            <w:pPr>
              <w:pStyle w:val="P68B1DB1-Normal11"/>
              <w:jc w:val="center"/>
              <w:rPr>
                <w:noProof/>
              </w:rPr>
            </w:pPr>
            <w:r>
              <w:rPr>
                <w:noProof/>
              </w:rPr>
              <w:t>Инвестиция 1.7: Стипендии за достъп до университет</w:t>
            </w:r>
          </w:p>
        </w:tc>
        <w:tc>
          <w:tcPr>
            <w:tcW w:w="358" w:type="pct"/>
            <w:shd w:val="clear" w:color="auto" w:fill="C6EFCE"/>
            <w:noWrap/>
            <w:vAlign w:val="center"/>
          </w:tcPr>
          <w:p w14:paraId="7DDEE737" w14:textId="77777777" w:rsidR="006054AA" w:rsidRDefault="001F7667">
            <w:pPr>
              <w:pStyle w:val="P68B1DB1-Normal11"/>
              <w:rPr>
                <w:noProof/>
              </w:rPr>
            </w:pPr>
            <w:r>
              <w:rPr>
                <w:noProof/>
              </w:rPr>
              <w:t>Целеви</w:t>
            </w:r>
          </w:p>
        </w:tc>
        <w:tc>
          <w:tcPr>
            <w:tcW w:w="572" w:type="pct"/>
            <w:shd w:val="clear" w:color="auto" w:fill="C6EFCE"/>
            <w:noWrap/>
            <w:vAlign w:val="center"/>
          </w:tcPr>
          <w:p w14:paraId="6B591B52" w14:textId="77777777" w:rsidR="006054AA" w:rsidRDefault="001F7667">
            <w:pPr>
              <w:pStyle w:val="P68B1DB1-Normal11"/>
              <w:jc w:val="center"/>
              <w:rPr>
                <w:noProof/>
              </w:rPr>
            </w:pPr>
            <w:r>
              <w:rPr>
                <w:noProof/>
              </w:rPr>
              <w:t>Отпуснати стипендии за достъп до университет</w:t>
            </w:r>
          </w:p>
        </w:tc>
        <w:tc>
          <w:tcPr>
            <w:tcW w:w="480" w:type="pct"/>
            <w:shd w:val="clear" w:color="auto" w:fill="C6EFCE"/>
            <w:noWrap/>
            <w:vAlign w:val="center"/>
          </w:tcPr>
          <w:p w14:paraId="5479F9D2"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6671CFD1"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73B43E19" w14:textId="5E8B4148" w:rsidR="006054AA" w:rsidRDefault="001F7667">
            <w:pPr>
              <w:pStyle w:val="P68B1DB1-Normal11"/>
              <w:jc w:val="center"/>
              <w:rPr>
                <w:noProof/>
              </w:rPr>
            </w:pPr>
            <w:r>
              <w:rPr>
                <w:noProof/>
              </w:rPr>
              <w:t>0</w:t>
            </w:r>
          </w:p>
        </w:tc>
        <w:tc>
          <w:tcPr>
            <w:tcW w:w="343" w:type="pct"/>
            <w:shd w:val="clear" w:color="auto" w:fill="C6EFCE"/>
            <w:noWrap/>
            <w:vAlign w:val="center"/>
          </w:tcPr>
          <w:p w14:paraId="17D7BE72" w14:textId="6EE197C5" w:rsidR="006054AA" w:rsidRDefault="001F7667">
            <w:pPr>
              <w:pStyle w:val="P68B1DB1-Normal11"/>
              <w:jc w:val="center"/>
              <w:rPr>
                <w:noProof/>
              </w:rPr>
            </w:pPr>
            <w:r>
              <w:rPr>
                <w:noProof/>
              </w:rPr>
              <w:t>55 000</w:t>
            </w:r>
          </w:p>
        </w:tc>
        <w:tc>
          <w:tcPr>
            <w:tcW w:w="286" w:type="pct"/>
            <w:shd w:val="clear" w:color="auto" w:fill="C6EFCE"/>
            <w:noWrap/>
            <w:vAlign w:val="center"/>
          </w:tcPr>
          <w:p w14:paraId="4AB1DBB4"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24465C63" w14:textId="77777777" w:rsidR="006054AA" w:rsidRDefault="001F7667">
            <w:pPr>
              <w:pStyle w:val="P68B1DB1-Normal11"/>
              <w:rPr>
                <w:noProof/>
              </w:rPr>
            </w:pPr>
            <w:r>
              <w:rPr>
                <w:noProof/>
              </w:rPr>
              <w:t>2024</w:t>
            </w:r>
          </w:p>
        </w:tc>
        <w:tc>
          <w:tcPr>
            <w:tcW w:w="1047" w:type="pct"/>
            <w:shd w:val="clear" w:color="auto" w:fill="C6EFCE"/>
            <w:noWrap/>
            <w:vAlign w:val="center"/>
          </w:tcPr>
          <w:p w14:paraId="3A530D32" w14:textId="26E52422" w:rsidR="006054AA" w:rsidRDefault="001F7667">
            <w:pPr>
              <w:pStyle w:val="P68B1DB1-Normal11"/>
              <w:rPr>
                <w:noProof/>
              </w:rPr>
            </w:pPr>
            <w:r>
              <w:rPr>
                <w:noProof/>
              </w:rPr>
              <w:t>Най-малко 55 000 студенти получават стипендии, финансирани изключително със средства по Механизма за възстановяване и устойчивост</w:t>
            </w:r>
          </w:p>
        </w:tc>
      </w:tr>
      <w:tr w:rsidR="006054AA" w14:paraId="4A1F5368" w14:textId="77777777">
        <w:trPr>
          <w:trHeight w:val="309"/>
        </w:trPr>
        <w:tc>
          <w:tcPr>
            <w:tcW w:w="380" w:type="pct"/>
            <w:shd w:val="clear" w:color="auto" w:fill="C6EFCE"/>
            <w:noWrap/>
            <w:vAlign w:val="center"/>
          </w:tcPr>
          <w:p w14:paraId="41ABCEF0" w14:textId="77777777" w:rsidR="006054AA" w:rsidRDefault="001F7667">
            <w:pPr>
              <w:pStyle w:val="P68B1DB1-Normal11"/>
              <w:jc w:val="center"/>
              <w:rPr>
                <w:noProof/>
              </w:rPr>
            </w:pPr>
            <w:r>
              <w:rPr>
                <w:noProof/>
              </w:rPr>
              <w:t>M4C1—15 bis</w:t>
            </w:r>
          </w:p>
        </w:tc>
        <w:tc>
          <w:tcPr>
            <w:tcW w:w="500" w:type="pct"/>
            <w:shd w:val="clear" w:color="auto" w:fill="C6EFCE"/>
            <w:noWrap/>
            <w:vAlign w:val="center"/>
          </w:tcPr>
          <w:p w14:paraId="772E9F15" w14:textId="77777777" w:rsidR="006054AA" w:rsidRDefault="001F7667">
            <w:pPr>
              <w:pStyle w:val="P68B1DB1-Normal11"/>
              <w:jc w:val="center"/>
              <w:rPr>
                <w:noProof/>
              </w:rPr>
            </w:pPr>
            <w:r>
              <w:rPr>
                <w:noProof/>
              </w:rPr>
              <w:t>Инвестиция 1.7: Стипендии за достъп до университет</w:t>
            </w:r>
          </w:p>
        </w:tc>
        <w:tc>
          <w:tcPr>
            <w:tcW w:w="358" w:type="pct"/>
            <w:shd w:val="clear" w:color="auto" w:fill="C6EFCE"/>
            <w:noWrap/>
            <w:vAlign w:val="center"/>
          </w:tcPr>
          <w:p w14:paraId="5299D6EC"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72D703F5" w14:textId="77777777" w:rsidR="006054AA" w:rsidRDefault="001F7667">
            <w:pPr>
              <w:pStyle w:val="P68B1DB1-Normal11"/>
              <w:jc w:val="center"/>
              <w:rPr>
                <w:noProof/>
              </w:rPr>
            </w:pPr>
            <w:r>
              <w:rPr>
                <w:noProof/>
              </w:rPr>
              <w:t>Отпуснати стипендии за достъп до университет</w:t>
            </w:r>
          </w:p>
        </w:tc>
        <w:tc>
          <w:tcPr>
            <w:tcW w:w="480" w:type="pct"/>
            <w:shd w:val="clear" w:color="auto" w:fill="C6EFCE"/>
            <w:noWrap/>
            <w:vAlign w:val="center"/>
          </w:tcPr>
          <w:p w14:paraId="3DBFC13E"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00654F74"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77AF4B56" w14:textId="3C4EA51A" w:rsidR="006054AA" w:rsidRDefault="001F7667">
            <w:pPr>
              <w:pStyle w:val="P68B1DB1-Normal11"/>
              <w:jc w:val="center"/>
              <w:rPr>
                <w:noProof/>
              </w:rPr>
            </w:pPr>
            <w:r>
              <w:rPr>
                <w:noProof/>
              </w:rPr>
              <w:t>0</w:t>
            </w:r>
          </w:p>
        </w:tc>
        <w:tc>
          <w:tcPr>
            <w:tcW w:w="343" w:type="pct"/>
            <w:shd w:val="clear" w:color="auto" w:fill="C6EFCE"/>
            <w:noWrap/>
            <w:vAlign w:val="center"/>
          </w:tcPr>
          <w:p w14:paraId="22B1272B" w14:textId="0B1DF81C" w:rsidR="006054AA" w:rsidRDefault="001F7667">
            <w:pPr>
              <w:pStyle w:val="P68B1DB1-Normal11"/>
              <w:jc w:val="center"/>
              <w:rPr>
                <w:noProof/>
              </w:rPr>
            </w:pPr>
            <w:r>
              <w:rPr>
                <w:noProof/>
              </w:rPr>
              <w:t>55 000</w:t>
            </w:r>
          </w:p>
        </w:tc>
        <w:tc>
          <w:tcPr>
            <w:tcW w:w="286" w:type="pct"/>
            <w:shd w:val="clear" w:color="auto" w:fill="C6EFCE"/>
            <w:noWrap/>
            <w:vAlign w:val="center"/>
          </w:tcPr>
          <w:p w14:paraId="01385186"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689C3E4B" w14:textId="77777777" w:rsidR="006054AA" w:rsidRDefault="001F7667">
            <w:pPr>
              <w:pStyle w:val="P68B1DB1-Normal11"/>
              <w:jc w:val="center"/>
              <w:rPr>
                <w:noProof/>
              </w:rPr>
            </w:pPr>
            <w:r>
              <w:rPr>
                <w:noProof/>
              </w:rPr>
              <w:t>2025</w:t>
            </w:r>
          </w:p>
        </w:tc>
        <w:tc>
          <w:tcPr>
            <w:tcW w:w="1047" w:type="pct"/>
            <w:shd w:val="clear" w:color="auto" w:fill="C6EFCE"/>
            <w:noWrap/>
            <w:vAlign w:val="center"/>
          </w:tcPr>
          <w:p w14:paraId="4D0EC16D" w14:textId="57F197EE" w:rsidR="006054AA" w:rsidRDefault="001F7667">
            <w:pPr>
              <w:pStyle w:val="P68B1DB1-Normal11"/>
              <w:rPr>
                <w:noProof/>
              </w:rPr>
            </w:pPr>
            <w:r>
              <w:rPr>
                <w:noProof/>
              </w:rPr>
              <w:t>Най-малко 55 000 студенти получават стипендии, финансирани изключително със средства по Механизма за възстановяване и устойчивост</w:t>
            </w:r>
          </w:p>
        </w:tc>
      </w:tr>
      <w:tr w:rsidR="006054AA" w14:paraId="4246AE0D" w14:textId="77777777">
        <w:trPr>
          <w:trHeight w:val="309"/>
        </w:trPr>
        <w:tc>
          <w:tcPr>
            <w:tcW w:w="380" w:type="pct"/>
            <w:shd w:val="clear" w:color="auto" w:fill="C6EFCE"/>
            <w:noWrap/>
            <w:vAlign w:val="center"/>
          </w:tcPr>
          <w:p w14:paraId="2ECF8A55" w14:textId="77777777" w:rsidR="006054AA" w:rsidRDefault="001F7667">
            <w:pPr>
              <w:pStyle w:val="P68B1DB1-Normal11"/>
              <w:jc w:val="center"/>
              <w:rPr>
                <w:noProof/>
              </w:rPr>
            </w:pPr>
            <w:r>
              <w:rPr>
                <w:noProof/>
              </w:rPr>
              <w:t>M4C1—16</w:t>
            </w:r>
          </w:p>
        </w:tc>
        <w:tc>
          <w:tcPr>
            <w:tcW w:w="500" w:type="pct"/>
            <w:shd w:val="clear" w:color="auto" w:fill="C6EFCE"/>
            <w:noWrap/>
            <w:vAlign w:val="center"/>
          </w:tcPr>
          <w:p w14:paraId="6AFAB8A4" w14:textId="77777777" w:rsidR="006054AA" w:rsidRDefault="001F7667">
            <w:pPr>
              <w:pStyle w:val="P68B1DB1-Normal11"/>
              <w:jc w:val="center"/>
              <w:rPr>
                <w:noProof/>
              </w:rPr>
            </w:pPr>
            <w:r>
              <w:rPr>
                <w:noProof/>
              </w:rPr>
              <w:t>Инвестиция 3.1: Нови умения и нови езици</w:t>
            </w:r>
          </w:p>
        </w:tc>
        <w:tc>
          <w:tcPr>
            <w:tcW w:w="358" w:type="pct"/>
            <w:shd w:val="clear" w:color="auto" w:fill="C6EFCE"/>
            <w:noWrap/>
            <w:vAlign w:val="center"/>
          </w:tcPr>
          <w:p w14:paraId="2F8A5CA5"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6A110386" w14:textId="77777777" w:rsidR="006054AA" w:rsidRDefault="001F7667">
            <w:pPr>
              <w:pStyle w:val="P68B1DB1-Normal11"/>
              <w:jc w:val="center"/>
              <w:rPr>
                <w:noProof/>
              </w:rPr>
            </w:pPr>
            <w:r>
              <w:rPr>
                <w:noProof/>
              </w:rPr>
              <w:t>Училища, които са активирали проекти за насоки в областта на НТИМ през 2024/25 г.</w:t>
            </w:r>
          </w:p>
          <w:p w14:paraId="29C126DD" w14:textId="77777777" w:rsidR="006054AA" w:rsidRDefault="006054AA">
            <w:pPr>
              <w:jc w:val="center"/>
              <w:rPr>
                <w:rFonts w:ascii="Arial Narrow" w:hAnsi="Arial Narrow"/>
                <w:noProof/>
                <w:color w:val="006100"/>
                <w:sz w:val="20"/>
              </w:rPr>
            </w:pPr>
          </w:p>
          <w:p w14:paraId="71FCB76F" w14:textId="77777777" w:rsidR="006054AA" w:rsidRDefault="006054AA">
            <w:pPr>
              <w:jc w:val="center"/>
              <w:rPr>
                <w:rFonts w:ascii="Arial Narrow" w:hAnsi="Arial Narrow"/>
                <w:noProof/>
                <w:color w:val="006100"/>
                <w:sz w:val="20"/>
              </w:rPr>
            </w:pPr>
          </w:p>
        </w:tc>
        <w:tc>
          <w:tcPr>
            <w:tcW w:w="480" w:type="pct"/>
            <w:shd w:val="clear" w:color="auto" w:fill="C6EFCE"/>
            <w:noWrap/>
            <w:vAlign w:val="center"/>
          </w:tcPr>
          <w:p w14:paraId="071624A6"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7788A993"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50DE7239"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00D0DE6F" w14:textId="40C5C6CB" w:rsidR="006054AA" w:rsidRDefault="001F7667">
            <w:pPr>
              <w:pStyle w:val="P68B1DB1-Normal11"/>
              <w:jc w:val="center"/>
              <w:rPr>
                <w:noProof/>
              </w:rPr>
            </w:pPr>
            <w:r>
              <w:rPr>
                <w:noProof/>
              </w:rPr>
              <w:t>8 000</w:t>
            </w:r>
          </w:p>
        </w:tc>
        <w:tc>
          <w:tcPr>
            <w:tcW w:w="286" w:type="pct"/>
            <w:shd w:val="clear" w:color="auto" w:fill="C6EFCE"/>
            <w:noWrap/>
            <w:vAlign w:val="center"/>
          </w:tcPr>
          <w:p w14:paraId="67F2071D"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4B07C59E" w14:textId="77777777" w:rsidR="006054AA" w:rsidRDefault="001F7667">
            <w:pPr>
              <w:pStyle w:val="P68B1DB1-Normal11"/>
              <w:jc w:val="center"/>
              <w:rPr>
                <w:noProof/>
              </w:rPr>
            </w:pPr>
            <w:r>
              <w:rPr>
                <w:noProof/>
              </w:rPr>
              <w:t>2025</w:t>
            </w:r>
          </w:p>
        </w:tc>
        <w:tc>
          <w:tcPr>
            <w:tcW w:w="1047" w:type="pct"/>
            <w:shd w:val="clear" w:color="auto" w:fill="C6EFCE"/>
            <w:noWrap/>
            <w:vAlign w:val="center"/>
          </w:tcPr>
          <w:p w14:paraId="04351ACA" w14:textId="7D288354" w:rsidR="006054AA" w:rsidRDefault="001F7667">
            <w:pPr>
              <w:pStyle w:val="P68B1DB1-Normal11"/>
              <w:rPr>
                <w:noProof/>
              </w:rPr>
            </w:pPr>
            <w:r>
              <w:rPr>
                <w:noProof/>
              </w:rPr>
              <w:t>Най-малко 8 000 училища, които са активирали проекти за ориентиране в областта на НТИМ.</w:t>
            </w:r>
          </w:p>
          <w:p w14:paraId="04516970" w14:textId="77777777" w:rsidR="006054AA" w:rsidRDefault="001F7667">
            <w:pPr>
              <w:pStyle w:val="P68B1DB1-Normal11"/>
              <w:rPr>
                <w:noProof/>
              </w:rPr>
            </w:pPr>
            <w:r>
              <w:rPr>
                <w:noProof/>
              </w:rPr>
              <w:t>Проектите са насочени към разработването и цифровизацията на националната цифрова платформа НТИМ, насочена към пълното изпълнение на програмата, мониторинга и разпространението на информация и данни (разбити по пол), като се започне от предучилищните и началните училища, до първото и второто средно училище, до техническите и професионалните институти и университети.</w:t>
            </w:r>
          </w:p>
        </w:tc>
      </w:tr>
      <w:tr w:rsidR="006054AA" w14:paraId="1EC3EEDC" w14:textId="77777777">
        <w:trPr>
          <w:trHeight w:val="309"/>
        </w:trPr>
        <w:tc>
          <w:tcPr>
            <w:tcW w:w="380" w:type="pct"/>
            <w:shd w:val="clear" w:color="auto" w:fill="C6EFCE"/>
            <w:noWrap/>
            <w:vAlign w:val="center"/>
          </w:tcPr>
          <w:p w14:paraId="2C9003B0" w14:textId="77777777" w:rsidR="006054AA" w:rsidRDefault="001F7667">
            <w:pPr>
              <w:pStyle w:val="P68B1DB1-Normal11"/>
              <w:jc w:val="center"/>
              <w:rPr>
                <w:noProof/>
              </w:rPr>
            </w:pPr>
            <w:r>
              <w:rPr>
                <w:noProof/>
              </w:rPr>
              <w:t>M4C1—17</w:t>
            </w:r>
          </w:p>
        </w:tc>
        <w:tc>
          <w:tcPr>
            <w:tcW w:w="500" w:type="pct"/>
            <w:shd w:val="clear" w:color="auto" w:fill="C6EFCE"/>
            <w:noWrap/>
            <w:vAlign w:val="center"/>
          </w:tcPr>
          <w:p w14:paraId="2BEA3E0C" w14:textId="77777777" w:rsidR="006054AA" w:rsidRDefault="001F7667">
            <w:pPr>
              <w:pStyle w:val="P68B1DB1-Normal11"/>
              <w:jc w:val="center"/>
              <w:rPr>
                <w:noProof/>
              </w:rPr>
            </w:pPr>
            <w:r>
              <w:rPr>
                <w:noProof/>
              </w:rPr>
              <w:t>Инвестиция 3.1: Нови умения и нови езици</w:t>
            </w:r>
          </w:p>
        </w:tc>
        <w:tc>
          <w:tcPr>
            <w:tcW w:w="358" w:type="pct"/>
            <w:shd w:val="clear" w:color="auto" w:fill="C6EFCE"/>
            <w:noWrap/>
            <w:vAlign w:val="center"/>
          </w:tcPr>
          <w:p w14:paraId="545B144C"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45267B74" w14:textId="4F89E87D" w:rsidR="006054AA" w:rsidRDefault="001F7667">
            <w:pPr>
              <w:pStyle w:val="P68B1DB1-Normal11"/>
              <w:jc w:val="center"/>
              <w:rPr>
                <w:noProof/>
              </w:rPr>
            </w:pPr>
            <w:r>
              <w:rPr>
                <w:noProof/>
              </w:rPr>
              <w:t>Годишни езикови и методологични курсове, които се предоставят на учителите</w:t>
            </w:r>
          </w:p>
        </w:tc>
        <w:tc>
          <w:tcPr>
            <w:tcW w:w="480" w:type="pct"/>
            <w:shd w:val="clear" w:color="auto" w:fill="C6EFCE"/>
            <w:noWrap/>
            <w:vAlign w:val="center"/>
          </w:tcPr>
          <w:p w14:paraId="705AF4CB"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6C6DFFE9"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52FF8AB3"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2690A1B8" w14:textId="5DD0A060" w:rsidR="006054AA" w:rsidRDefault="001F7667">
            <w:pPr>
              <w:pStyle w:val="P68B1DB1-Normal11"/>
              <w:jc w:val="center"/>
              <w:rPr>
                <w:noProof/>
              </w:rPr>
            </w:pPr>
            <w:r>
              <w:rPr>
                <w:noProof/>
              </w:rPr>
              <w:t>1 000</w:t>
            </w:r>
          </w:p>
        </w:tc>
        <w:tc>
          <w:tcPr>
            <w:tcW w:w="286" w:type="pct"/>
            <w:shd w:val="clear" w:color="auto" w:fill="C6EFCE"/>
            <w:noWrap/>
            <w:vAlign w:val="center"/>
          </w:tcPr>
          <w:p w14:paraId="1598CA37"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21926691" w14:textId="77777777" w:rsidR="006054AA" w:rsidRDefault="001F7667">
            <w:pPr>
              <w:pStyle w:val="P68B1DB1-Normal11"/>
              <w:jc w:val="center"/>
              <w:rPr>
                <w:noProof/>
              </w:rPr>
            </w:pPr>
            <w:r>
              <w:rPr>
                <w:noProof/>
              </w:rPr>
              <w:t>2025</w:t>
            </w:r>
          </w:p>
        </w:tc>
        <w:tc>
          <w:tcPr>
            <w:tcW w:w="1047" w:type="pct"/>
            <w:shd w:val="clear" w:color="auto" w:fill="C6EFCE"/>
            <w:noWrap/>
            <w:vAlign w:val="center"/>
          </w:tcPr>
          <w:p w14:paraId="08758034" w14:textId="68AA06B8" w:rsidR="006054AA" w:rsidRDefault="001F7667">
            <w:pPr>
              <w:pStyle w:val="P68B1DB1-Normal11"/>
              <w:rPr>
                <w:noProof/>
              </w:rPr>
            </w:pPr>
            <w:r>
              <w:rPr>
                <w:noProof/>
              </w:rPr>
              <w:t>Най-малко 1 000 езикови и методологични курса годишно се предоставят на всички учители</w:t>
            </w:r>
          </w:p>
        </w:tc>
      </w:tr>
      <w:tr w:rsidR="006054AA" w14:paraId="48ECBEFB" w14:textId="77777777">
        <w:trPr>
          <w:trHeight w:val="309"/>
        </w:trPr>
        <w:tc>
          <w:tcPr>
            <w:tcW w:w="380" w:type="pct"/>
            <w:shd w:val="clear" w:color="auto" w:fill="C6EFCE"/>
            <w:noWrap/>
            <w:vAlign w:val="center"/>
          </w:tcPr>
          <w:p w14:paraId="50558E2F" w14:textId="77777777" w:rsidR="006054AA" w:rsidRDefault="001F7667">
            <w:pPr>
              <w:pStyle w:val="P68B1DB1-Normal11"/>
              <w:jc w:val="center"/>
              <w:rPr>
                <w:noProof/>
              </w:rPr>
            </w:pPr>
            <w:r>
              <w:rPr>
                <w:noProof/>
              </w:rPr>
              <w:t>M4C1—18</w:t>
            </w:r>
          </w:p>
        </w:tc>
        <w:tc>
          <w:tcPr>
            <w:tcW w:w="500" w:type="pct"/>
            <w:shd w:val="clear" w:color="auto" w:fill="C6EFCE"/>
            <w:noWrap/>
            <w:vAlign w:val="center"/>
          </w:tcPr>
          <w:p w14:paraId="7D3C706B" w14:textId="77777777" w:rsidR="006054AA" w:rsidRDefault="001F7667">
            <w:pPr>
              <w:pStyle w:val="P68B1DB1-Normal11"/>
              <w:jc w:val="center"/>
              <w:rPr>
                <w:noProof/>
              </w:rPr>
            </w:pPr>
            <w:r>
              <w:rPr>
                <w:noProof/>
              </w:rPr>
              <w:t>Инвестиция 1.1: План за детски градини и предучилищни заведения и услуги за образование и грижи в ранна детска възраст</w:t>
            </w:r>
          </w:p>
        </w:tc>
        <w:tc>
          <w:tcPr>
            <w:tcW w:w="358" w:type="pct"/>
            <w:shd w:val="clear" w:color="auto" w:fill="C6EFCE"/>
            <w:noWrap/>
            <w:vAlign w:val="center"/>
          </w:tcPr>
          <w:p w14:paraId="12B1C6CA"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4923E80F" w14:textId="77777777" w:rsidR="006054AA" w:rsidRDefault="001F7667">
            <w:pPr>
              <w:pStyle w:val="P68B1DB1-Normal11"/>
              <w:jc w:val="center"/>
              <w:rPr>
                <w:noProof/>
              </w:rPr>
            </w:pPr>
            <w:r>
              <w:rPr>
                <w:noProof/>
              </w:rPr>
              <w:t>Нови места, активирани за образователни услуги и грижи в ранна детска възраст (на възраст от нула до шест години)</w:t>
            </w:r>
          </w:p>
        </w:tc>
        <w:tc>
          <w:tcPr>
            <w:tcW w:w="480" w:type="pct"/>
            <w:shd w:val="clear" w:color="auto" w:fill="C6EFCE"/>
            <w:noWrap/>
            <w:vAlign w:val="center"/>
          </w:tcPr>
          <w:p w14:paraId="018A5587"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32FFD9DC"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1C55A125"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1C13CDB7" w14:textId="1149A2F8" w:rsidR="006054AA" w:rsidRDefault="001F7667">
            <w:pPr>
              <w:pStyle w:val="P68B1DB1-Normal11"/>
              <w:rPr>
                <w:noProof/>
              </w:rPr>
            </w:pPr>
            <w:r>
              <w:rPr>
                <w:noProof/>
              </w:rPr>
              <w:t>150 480</w:t>
            </w:r>
          </w:p>
        </w:tc>
        <w:tc>
          <w:tcPr>
            <w:tcW w:w="286" w:type="pct"/>
            <w:shd w:val="clear" w:color="auto" w:fill="C6EFCE"/>
            <w:noWrap/>
            <w:vAlign w:val="center"/>
          </w:tcPr>
          <w:p w14:paraId="3EC7A954"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0CB7D46C" w14:textId="77777777" w:rsidR="006054AA" w:rsidRDefault="001F7667">
            <w:pPr>
              <w:pStyle w:val="P68B1DB1-Normal11"/>
              <w:jc w:val="center"/>
              <w:rPr>
                <w:noProof/>
              </w:rPr>
            </w:pPr>
            <w:r>
              <w:rPr>
                <w:noProof/>
              </w:rPr>
              <w:t>2026</w:t>
            </w:r>
          </w:p>
        </w:tc>
        <w:tc>
          <w:tcPr>
            <w:tcW w:w="1047" w:type="pct"/>
            <w:shd w:val="clear" w:color="auto" w:fill="C6EFCE"/>
            <w:noWrap/>
            <w:vAlign w:val="center"/>
          </w:tcPr>
          <w:p w14:paraId="1E2584A1" w14:textId="32FEF09D" w:rsidR="006054AA" w:rsidRDefault="001F7667">
            <w:pPr>
              <w:pStyle w:val="P68B1DB1-Normal11"/>
              <w:rPr>
                <w:noProof/>
              </w:rPr>
            </w:pPr>
            <w:r>
              <w:rPr>
                <w:noProof/>
              </w:rPr>
              <w:t>Създадени са поне 150 480 нови места за образователни услуги и грижи в ранна детска възраст (от нула до шест години).</w:t>
            </w:r>
          </w:p>
          <w:p w14:paraId="109DF8E3" w14:textId="77777777" w:rsidR="006054AA" w:rsidRDefault="006054AA">
            <w:pPr>
              <w:rPr>
                <w:rFonts w:ascii="Arial Narrow" w:hAnsi="Arial Narrow"/>
                <w:noProof/>
                <w:color w:val="006100"/>
                <w:sz w:val="20"/>
              </w:rPr>
            </w:pPr>
          </w:p>
          <w:p w14:paraId="205DC8CA" w14:textId="77777777" w:rsidR="006054AA" w:rsidRDefault="001F7667">
            <w:pPr>
              <w:pStyle w:val="P68B1DB1-Normal11"/>
              <w:rPr>
                <w:noProof/>
              </w:rPr>
            </w:pPr>
            <w:r>
              <w:rPr>
                <w:noProof/>
              </w:rPr>
              <w:t>С плана за изграждане и преустройство на детските градини целта е да се увеличат наличните места, като се увеличи броят на образователните услуги на възраст между нула и шест години.</w:t>
            </w:r>
          </w:p>
        </w:tc>
      </w:tr>
      <w:tr w:rsidR="006054AA" w14:paraId="443532E3" w14:textId="77777777">
        <w:trPr>
          <w:trHeight w:val="309"/>
        </w:trPr>
        <w:tc>
          <w:tcPr>
            <w:tcW w:w="380" w:type="pct"/>
            <w:shd w:val="clear" w:color="auto" w:fill="C6EFCE"/>
            <w:noWrap/>
            <w:vAlign w:val="center"/>
          </w:tcPr>
          <w:p w14:paraId="3D67759B" w14:textId="77777777" w:rsidR="006054AA" w:rsidRDefault="001F7667">
            <w:pPr>
              <w:pStyle w:val="P68B1DB1-Normal11"/>
              <w:jc w:val="center"/>
              <w:rPr>
                <w:noProof/>
              </w:rPr>
            </w:pPr>
            <w:r>
              <w:rPr>
                <w:noProof/>
              </w:rPr>
              <w:t>M4C1—19</w:t>
            </w:r>
          </w:p>
        </w:tc>
        <w:tc>
          <w:tcPr>
            <w:tcW w:w="500" w:type="pct"/>
            <w:shd w:val="clear" w:color="auto" w:fill="C6EFCE"/>
            <w:noWrap/>
            <w:vAlign w:val="center"/>
          </w:tcPr>
          <w:p w14:paraId="45178DA8" w14:textId="77777777" w:rsidR="006054AA" w:rsidRDefault="001F7667">
            <w:pPr>
              <w:pStyle w:val="P68B1DB1-Normal11"/>
              <w:jc w:val="center"/>
              <w:rPr>
                <w:noProof/>
              </w:rPr>
            </w:pPr>
            <w:r>
              <w:rPr>
                <w:noProof/>
              </w:rPr>
              <w:t>Инвестиция 3.2: Училище 4.0: иновативни училища, окабеляване, нови класни стаи и семинари</w:t>
            </w:r>
          </w:p>
        </w:tc>
        <w:tc>
          <w:tcPr>
            <w:tcW w:w="358" w:type="pct"/>
            <w:shd w:val="clear" w:color="auto" w:fill="C6EFCE"/>
            <w:noWrap/>
            <w:vAlign w:val="center"/>
          </w:tcPr>
          <w:p w14:paraId="33A23169"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704E58A4" w14:textId="77777777" w:rsidR="006054AA" w:rsidRDefault="001F7667">
            <w:pPr>
              <w:pStyle w:val="P68B1DB1-Normal11"/>
              <w:jc w:val="center"/>
              <w:rPr>
                <w:noProof/>
              </w:rPr>
            </w:pPr>
            <w:r>
              <w:rPr>
                <w:noProof/>
              </w:rPr>
              <w:t>Часовете се трансформират в иновативна учебна среда благодарение на Училище 4.0</w:t>
            </w:r>
          </w:p>
        </w:tc>
        <w:tc>
          <w:tcPr>
            <w:tcW w:w="480" w:type="pct"/>
            <w:shd w:val="clear" w:color="auto" w:fill="C6EFCE"/>
            <w:noWrap/>
            <w:vAlign w:val="center"/>
          </w:tcPr>
          <w:p w14:paraId="08AB8112"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36833BD3"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44F26983" w14:textId="4757F060" w:rsidR="006054AA" w:rsidRDefault="001F7667">
            <w:pPr>
              <w:pStyle w:val="P68B1DB1-Normal11"/>
              <w:jc w:val="center"/>
              <w:rPr>
                <w:noProof/>
              </w:rPr>
            </w:pPr>
            <w:r>
              <w:rPr>
                <w:noProof/>
              </w:rPr>
              <w:t>0</w:t>
            </w:r>
          </w:p>
        </w:tc>
        <w:tc>
          <w:tcPr>
            <w:tcW w:w="343" w:type="pct"/>
            <w:shd w:val="clear" w:color="auto" w:fill="C6EFCE"/>
            <w:noWrap/>
            <w:vAlign w:val="center"/>
          </w:tcPr>
          <w:p w14:paraId="22C69737" w14:textId="2DF45F13" w:rsidR="006054AA" w:rsidRDefault="001F7667">
            <w:pPr>
              <w:pStyle w:val="P68B1DB1-Normal11"/>
              <w:jc w:val="center"/>
              <w:rPr>
                <w:noProof/>
              </w:rPr>
            </w:pPr>
            <w:r>
              <w:rPr>
                <w:noProof/>
              </w:rPr>
              <w:t>100 000</w:t>
            </w:r>
          </w:p>
        </w:tc>
        <w:tc>
          <w:tcPr>
            <w:tcW w:w="286" w:type="pct"/>
            <w:shd w:val="clear" w:color="auto" w:fill="C6EFCE"/>
            <w:noWrap/>
            <w:vAlign w:val="center"/>
          </w:tcPr>
          <w:p w14:paraId="37A3DD8A"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2476D8B1" w14:textId="77777777" w:rsidR="006054AA" w:rsidRDefault="001F7667">
            <w:pPr>
              <w:pStyle w:val="P68B1DB1-Normal11"/>
              <w:jc w:val="center"/>
              <w:rPr>
                <w:noProof/>
              </w:rPr>
            </w:pPr>
            <w:r>
              <w:rPr>
                <w:noProof/>
              </w:rPr>
              <w:t>2025</w:t>
            </w:r>
          </w:p>
        </w:tc>
        <w:tc>
          <w:tcPr>
            <w:tcW w:w="1047" w:type="pct"/>
            <w:shd w:val="clear" w:color="auto" w:fill="C6EFCE"/>
            <w:noWrap/>
            <w:vAlign w:val="center"/>
          </w:tcPr>
          <w:p w14:paraId="5482101D" w14:textId="242DCCFE" w:rsidR="006054AA" w:rsidRDefault="001F7667">
            <w:pPr>
              <w:pStyle w:val="P68B1DB1-Normal11"/>
              <w:rPr>
                <w:noProof/>
              </w:rPr>
            </w:pPr>
            <w:r>
              <w:rPr>
                <w:noProof/>
              </w:rPr>
              <w:t>Брой класни стаи, преобразувани в иновативна учебна среда в плана „Училище 4.0“.</w:t>
            </w:r>
          </w:p>
          <w:p w14:paraId="1CB11D5A" w14:textId="77777777" w:rsidR="006054AA" w:rsidRDefault="006054AA">
            <w:pPr>
              <w:rPr>
                <w:rFonts w:ascii="Arial Narrow" w:hAnsi="Arial Narrow"/>
                <w:noProof/>
                <w:color w:val="006100"/>
                <w:sz w:val="20"/>
              </w:rPr>
            </w:pPr>
          </w:p>
          <w:p w14:paraId="51BFBFFD" w14:textId="71799648" w:rsidR="006054AA" w:rsidRDefault="001F7667">
            <w:pPr>
              <w:pStyle w:val="P68B1DB1-Normal11"/>
              <w:rPr>
                <w:noProof/>
              </w:rPr>
            </w:pPr>
            <w:r>
              <w:rPr>
                <w:noProof/>
              </w:rPr>
              <w:t>Действието преобразува училищните пространства, използвани за традиционните класни стаи, в иновативна, адаптивна и гъвкава учебна среда, свързана и интегрирана с цифровите технологии, физически и виртуални заедно. Инвестицията включва всички най-иновативни преподавателски технологии (като например устройства за кодиране и роботика, устройства за виртуална реалност и усъвършенствани цифрови устройства за приобщаващо преподаване) в поне 100 000 класни стаи в началните и средните училища, използвани за преподаване.</w:t>
            </w:r>
          </w:p>
        </w:tc>
      </w:tr>
      <w:tr w:rsidR="006054AA" w14:paraId="628CB384" w14:textId="77777777">
        <w:trPr>
          <w:trHeight w:val="309"/>
        </w:trPr>
        <w:tc>
          <w:tcPr>
            <w:tcW w:w="380" w:type="pct"/>
            <w:shd w:val="clear" w:color="auto" w:fill="C6EFCE"/>
            <w:noWrap/>
            <w:vAlign w:val="center"/>
          </w:tcPr>
          <w:p w14:paraId="47EE1079" w14:textId="77777777" w:rsidR="006054AA" w:rsidRDefault="001F7667">
            <w:pPr>
              <w:pStyle w:val="P68B1DB1-Normal11"/>
              <w:jc w:val="center"/>
              <w:rPr>
                <w:noProof/>
              </w:rPr>
            </w:pPr>
            <w:r>
              <w:rPr>
                <w:noProof/>
              </w:rPr>
              <w:t>M4C1—20</w:t>
            </w:r>
          </w:p>
        </w:tc>
        <w:tc>
          <w:tcPr>
            <w:tcW w:w="500" w:type="pct"/>
            <w:shd w:val="clear" w:color="auto" w:fill="C6EFCE"/>
            <w:noWrap/>
            <w:vAlign w:val="center"/>
          </w:tcPr>
          <w:p w14:paraId="12FABBEA" w14:textId="77777777" w:rsidR="006054AA" w:rsidRDefault="001F7667">
            <w:pPr>
              <w:pStyle w:val="P68B1DB1-Normal11"/>
              <w:jc w:val="center"/>
              <w:rPr>
                <w:noProof/>
              </w:rPr>
            </w:pPr>
            <w:r>
              <w:rPr>
                <w:noProof/>
              </w:rPr>
              <w:t>Инвестиция 1.5: Развитие на системата за висше професионално обучение (ИТС)</w:t>
            </w:r>
          </w:p>
        </w:tc>
        <w:tc>
          <w:tcPr>
            <w:tcW w:w="358" w:type="pct"/>
            <w:shd w:val="clear" w:color="auto" w:fill="C6EFCE"/>
            <w:noWrap/>
            <w:vAlign w:val="center"/>
          </w:tcPr>
          <w:p w14:paraId="3807BE33"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1C187B3A" w14:textId="77777777" w:rsidR="006054AA" w:rsidRDefault="001F7667">
            <w:pPr>
              <w:pStyle w:val="P68B1DB1-Normal11"/>
              <w:jc w:val="center"/>
              <w:rPr>
                <w:noProof/>
              </w:rPr>
            </w:pPr>
            <w:r>
              <w:rPr>
                <w:noProof/>
              </w:rPr>
              <w:t>Брой ученици, записани в системата за професионално обучение (ИТС)</w:t>
            </w:r>
          </w:p>
        </w:tc>
        <w:tc>
          <w:tcPr>
            <w:tcW w:w="480" w:type="pct"/>
            <w:shd w:val="clear" w:color="auto" w:fill="C6EFCE"/>
            <w:noWrap/>
            <w:vAlign w:val="center"/>
          </w:tcPr>
          <w:p w14:paraId="723C2B98"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09616A05"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792D08C5" w14:textId="3E5AA0EA" w:rsidR="006054AA" w:rsidRDefault="001F7667">
            <w:pPr>
              <w:pStyle w:val="P68B1DB1-Normal11"/>
              <w:jc w:val="center"/>
              <w:rPr>
                <w:noProof/>
              </w:rPr>
            </w:pPr>
            <w:r>
              <w:rPr>
                <w:noProof/>
              </w:rPr>
              <w:t>11 000</w:t>
            </w:r>
          </w:p>
        </w:tc>
        <w:tc>
          <w:tcPr>
            <w:tcW w:w="343" w:type="pct"/>
            <w:shd w:val="clear" w:color="auto" w:fill="C6EFCE"/>
            <w:noWrap/>
            <w:vAlign w:val="center"/>
          </w:tcPr>
          <w:p w14:paraId="4FB66E4B" w14:textId="54E3E0A7" w:rsidR="006054AA" w:rsidRDefault="001F7667">
            <w:pPr>
              <w:pStyle w:val="P68B1DB1-Normal11"/>
              <w:jc w:val="center"/>
              <w:rPr>
                <w:noProof/>
              </w:rPr>
            </w:pPr>
            <w:r>
              <w:rPr>
                <w:noProof/>
              </w:rPr>
              <w:t>22 000</w:t>
            </w:r>
          </w:p>
        </w:tc>
        <w:tc>
          <w:tcPr>
            <w:tcW w:w="286" w:type="pct"/>
            <w:shd w:val="clear" w:color="auto" w:fill="C6EFCE"/>
            <w:noWrap/>
            <w:vAlign w:val="center"/>
          </w:tcPr>
          <w:p w14:paraId="24B20F7C"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5E08D286" w14:textId="77777777" w:rsidR="006054AA" w:rsidRDefault="001F7667">
            <w:pPr>
              <w:pStyle w:val="P68B1DB1-Normal11"/>
              <w:jc w:val="center"/>
              <w:rPr>
                <w:noProof/>
              </w:rPr>
            </w:pPr>
            <w:r>
              <w:rPr>
                <w:noProof/>
              </w:rPr>
              <w:t>2025</w:t>
            </w:r>
          </w:p>
        </w:tc>
        <w:tc>
          <w:tcPr>
            <w:tcW w:w="1047" w:type="pct"/>
            <w:shd w:val="clear" w:color="auto" w:fill="C6EFCE"/>
            <w:noWrap/>
            <w:vAlign w:val="center"/>
          </w:tcPr>
          <w:p w14:paraId="13814DA7" w14:textId="77777777" w:rsidR="006054AA" w:rsidRDefault="001F7667">
            <w:pPr>
              <w:pStyle w:val="P68B1DB1-Normal11"/>
              <w:rPr>
                <w:noProof/>
              </w:rPr>
            </w:pPr>
            <w:r>
              <w:rPr>
                <w:noProof/>
              </w:rPr>
              <w:t>Увеличаване на броя на учениците, записани ежегодно в системата за професионално обучение (100 %).</w:t>
            </w:r>
          </w:p>
        </w:tc>
      </w:tr>
      <w:tr w:rsidR="006054AA" w14:paraId="54B0EA6B" w14:textId="77777777">
        <w:trPr>
          <w:trHeight w:val="309"/>
        </w:trPr>
        <w:tc>
          <w:tcPr>
            <w:tcW w:w="380" w:type="pct"/>
            <w:shd w:val="clear" w:color="auto" w:fill="C6EFCE"/>
            <w:noWrap/>
            <w:vAlign w:val="center"/>
          </w:tcPr>
          <w:p w14:paraId="4ACFC377" w14:textId="7E64EAB4" w:rsidR="006054AA" w:rsidRDefault="001F7667">
            <w:pPr>
              <w:pStyle w:val="P68B1DB1-Normal11"/>
              <w:jc w:val="center"/>
              <w:rPr>
                <w:noProof/>
              </w:rPr>
            </w:pPr>
            <w:r>
              <w:rPr>
                <w:noProof/>
              </w:rPr>
              <w:t>M4C1—20 bis</w:t>
            </w:r>
          </w:p>
        </w:tc>
        <w:tc>
          <w:tcPr>
            <w:tcW w:w="500" w:type="pct"/>
            <w:shd w:val="clear" w:color="auto" w:fill="C6EFCE"/>
            <w:noWrap/>
            <w:vAlign w:val="center"/>
          </w:tcPr>
          <w:p w14:paraId="22DE3457" w14:textId="78F56727" w:rsidR="006054AA" w:rsidRDefault="001F7667">
            <w:pPr>
              <w:pStyle w:val="P68B1DB1-Normal11"/>
              <w:jc w:val="center"/>
              <w:rPr>
                <w:noProof/>
              </w:rPr>
            </w:pPr>
            <w:r>
              <w:rPr>
                <w:noProof/>
              </w:rPr>
              <w:t>Инвестиция 1.5: Развитие на системата за висше професионално обучение (ИТС)</w:t>
            </w:r>
          </w:p>
        </w:tc>
        <w:tc>
          <w:tcPr>
            <w:tcW w:w="358" w:type="pct"/>
            <w:shd w:val="clear" w:color="auto" w:fill="C6EFCE"/>
            <w:noWrap/>
            <w:vAlign w:val="center"/>
          </w:tcPr>
          <w:p w14:paraId="418AA7C0"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tcPr>
          <w:p w14:paraId="7F5248CA" w14:textId="77777777" w:rsidR="006054AA" w:rsidRDefault="001F7667">
            <w:pPr>
              <w:pStyle w:val="P68B1DB1-Normal11"/>
              <w:jc w:val="center"/>
              <w:rPr>
                <w:noProof/>
              </w:rPr>
            </w:pPr>
            <w:r>
              <w:rPr>
                <w:noProof/>
              </w:rPr>
              <w:t xml:space="preserve">Прилагане на новата национална система за мониторинг </w:t>
            </w:r>
          </w:p>
        </w:tc>
        <w:tc>
          <w:tcPr>
            <w:tcW w:w="480" w:type="pct"/>
            <w:shd w:val="clear" w:color="auto" w:fill="C6EFCE"/>
            <w:noWrap/>
            <w:vAlign w:val="center"/>
          </w:tcPr>
          <w:p w14:paraId="12BF57A2" w14:textId="77777777" w:rsidR="006054AA" w:rsidRDefault="001F7667">
            <w:pPr>
              <w:pStyle w:val="P68B1DB1-Normal11"/>
              <w:jc w:val="center"/>
              <w:rPr>
                <w:noProof/>
              </w:rPr>
            </w:pPr>
            <w:r>
              <w:rPr>
                <w:noProof/>
              </w:rPr>
              <w:t xml:space="preserve">Стартиране на новата система за наблюдение на ИТС </w:t>
            </w:r>
          </w:p>
        </w:tc>
        <w:tc>
          <w:tcPr>
            <w:tcW w:w="422" w:type="pct"/>
            <w:shd w:val="clear" w:color="auto" w:fill="C6EFCE"/>
            <w:noWrap/>
            <w:vAlign w:val="center"/>
          </w:tcPr>
          <w:p w14:paraId="5191AB35" w14:textId="77777777" w:rsidR="006054AA" w:rsidRDefault="001F7667">
            <w:pPr>
              <w:pStyle w:val="P68B1DB1-Normal11"/>
              <w:jc w:val="center"/>
              <w:rPr>
                <w:noProof/>
              </w:rPr>
            </w:pPr>
            <w:r>
              <w:rPr>
                <w:noProof/>
              </w:rPr>
              <w:t>НЯМА</w:t>
            </w:r>
          </w:p>
        </w:tc>
        <w:tc>
          <w:tcPr>
            <w:tcW w:w="375" w:type="pct"/>
            <w:shd w:val="clear" w:color="auto" w:fill="C6EFCE"/>
            <w:noWrap/>
            <w:vAlign w:val="center"/>
          </w:tcPr>
          <w:p w14:paraId="5C61E36C" w14:textId="77777777" w:rsidR="006054AA" w:rsidRDefault="001F7667">
            <w:pPr>
              <w:pStyle w:val="P68B1DB1-Normal11"/>
              <w:jc w:val="center"/>
              <w:rPr>
                <w:noProof/>
              </w:rPr>
            </w:pPr>
            <w:r>
              <w:rPr>
                <w:noProof/>
              </w:rPr>
              <w:t>НЯМА</w:t>
            </w:r>
          </w:p>
        </w:tc>
        <w:tc>
          <w:tcPr>
            <w:tcW w:w="343" w:type="pct"/>
            <w:shd w:val="clear" w:color="auto" w:fill="C6EFCE"/>
            <w:noWrap/>
            <w:vAlign w:val="center"/>
          </w:tcPr>
          <w:p w14:paraId="325E97E7" w14:textId="77777777" w:rsidR="006054AA" w:rsidRDefault="001F7667">
            <w:pPr>
              <w:pStyle w:val="P68B1DB1-Normal11"/>
              <w:jc w:val="center"/>
              <w:rPr>
                <w:noProof/>
              </w:rPr>
            </w:pPr>
            <w:r>
              <w:rPr>
                <w:noProof/>
              </w:rPr>
              <w:t>НЯМА</w:t>
            </w:r>
          </w:p>
        </w:tc>
        <w:tc>
          <w:tcPr>
            <w:tcW w:w="286" w:type="pct"/>
            <w:shd w:val="clear" w:color="auto" w:fill="C6EFCE"/>
            <w:noWrap/>
            <w:vAlign w:val="center"/>
          </w:tcPr>
          <w:p w14:paraId="71F64172" w14:textId="77777777" w:rsidR="006054AA" w:rsidRDefault="001F7667">
            <w:pPr>
              <w:pStyle w:val="P68B1DB1-Normal11"/>
              <w:jc w:val="center"/>
              <w:rPr>
                <w:noProof/>
              </w:rPr>
            </w:pPr>
            <w:r>
              <w:rPr>
                <w:noProof/>
              </w:rPr>
              <w:t>Т4 Г.</w:t>
            </w:r>
          </w:p>
        </w:tc>
        <w:tc>
          <w:tcPr>
            <w:tcW w:w="238" w:type="pct"/>
            <w:shd w:val="clear" w:color="auto" w:fill="C6EFCE"/>
            <w:noWrap/>
            <w:vAlign w:val="center"/>
          </w:tcPr>
          <w:p w14:paraId="0F39AC07" w14:textId="77777777" w:rsidR="006054AA" w:rsidRDefault="001F7667">
            <w:pPr>
              <w:pStyle w:val="P68B1DB1-Normal11"/>
              <w:jc w:val="center"/>
              <w:rPr>
                <w:noProof/>
              </w:rPr>
            </w:pPr>
            <w:r>
              <w:rPr>
                <w:noProof/>
              </w:rPr>
              <w:t>2025</w:t>
            </w:r>
          </w:p>
        </w:tc>
        <w:tc>
          <w:tcPr>
            <w:tcW w:w="1047" w:type="pct"/>
            <w:shd w:val="clear" w:color="auto" w:fill="C6EFCE"/>
            <w:noWrap/>
            <w:vAlign w:val="center"/>
          </w:tcPr>
          <w:p w14:paraId="32893487" w14:textId="77777777" w:rsidR="006054AA" w:rsidRDefault="001F7667">
            <w:pPr>
              <w:pStyle w:val="P68B1DB1-Normal11"/>
              <w:jc w:val="both"/>
              <w:rPr>
                <w:rFonts w:eastAsiaTheme="minorEastAsia" w:cstheme="minorBidi"/>
                <w:noProof/>
              </w:rPr>
            </w:pPr>
            <w:r>
              <w:rPr>
                <w:noProof/>
              </w:rPr>
              <w:t>Новата национална система за мониторинг на резултатите, постигнати от курсовете по ИТС, изцяло внедрена и функционираща.</w:t>
            </w:r>
          </w:p>
        </w:tc>
      </w:tr>
      <w:tr w:rsidR="006054AA" w14:paraId="2669CE1F" w14:textId="77777777">
        <w:trPr>
          <w:trHeight w:val="309"/>
        </w:trPr>
        <w:tc>
          <w:tcPr>
            <w:tcW w:w="380" w:type="pct"/>
            <w:shd w:val="clear" w:color="auto" w:fill="C6EFCE"/>
            <w:noWrap/>
            <w:vAlign w:val="center"/>
          </w:tcPr>
          <w:p w14:paraId="221E00BC" w14:textId="77777777" w:rsidR="006054AA" w:rsidRDefault="001F7667">
            <w:pPr>
              <w:pStyle w:val="P68B1DB1-Normal11"/>
              <w:jc w:val="center"/>
              <w:rPr>
                <w:noProof/>
              </w:rPr>
            </w:pPr>
            <w:r>
              <w:rPr>
                <w:noProof/>
              </w:rPr>
              <w:t>M4C1—21</w:t>
            </w:r>
          </w:p>
        </w:tc>
        <w:tc>
          <w:tcPr>
            <w:tcW w:w="500" w:type="pct"/>
            <w:shd w:val="clear" w:color="auto" w:fill="C6EFCE"/>
            <w:noWrap/>
            <w:vAlign w:val="center"/>
          </w:tcPr>
          <w:p w14:paraId="740EFB6B" w14:textId="77777777" w:rsidR="006054AA" w:rsidRDefault="001F7667">
            <w:pPr>
              <w:pStyle w:val="P68B1DB1-Normal11"/>
              <w:jc w:val="center"/>
              <w:rPr>
                <w:noProof/>
              </w:rPr>
            </w:pPr>
            <w:r>
              <w:rPr>
                <w:noProof/>
              </w:rPr>
              <w:t>Инвестиция 1.2: План за продължаване на работата на пълно работно време</w:t>
            </w:r>
          </w:p>
        </w:tc>
        <w:tc>
          <w:tcPr>
            <w:tcW w:w="358" w:type="pct"/>
            <w:shd w:val="clear" w:color="auto" w:fill="C6EFCE"/>
            <w:noWrap/>
            <w:vAlign w:val="center"/>
          </w:tcPr>
          <w:p w14:paraId="7DD030E0"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36F00F11" w14:textId="77777777" w:rsidR="006054AA" w:rsidRDefault="001F7667">
            <w:pPr>
              <w:pStyle w:val="P68B1DB1-Normal11"/>
              <w:jc w:val="center"/>
              <w:rPr>
                <w:noProof/>
                <w:color w:val="375623"/>
              </w:rPr>
            </w:pPr>
            <w:r>
              <w:rPr>
                <w:noProof/>
              </w:rPr>
              <w:t>Структури за приемане на ученици след училищното време</w:t>
            </w:r>
          </w:p>
        </w:tc>
        <w:tc>
          <w:tcPr>
            <w:tcW w:w="480" w:type="pct"/>
            <w:shd w:val="clear" w:color="auto" w:fill="C6EFCE"/>
            <w:noWrap/>
            <w:vAlign w:val="center"/>
          </w:tcPr>
          <w:p w14:paraId="327EC53C"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44616244"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13CBE327" w14:textId="43F6B648" w:rsidR="006054AA" w:rsidRDefault="001F7667">
            <w:pPr>
              <w:pStyle w:val="P68B1DB1-Normal11"/>
              <w:jc w:val="center"/>
              <w:rPr>
                <w:noProof/>
              </w:rPr>
            </w:pPr>
            <w:r>
              <w:rPr>
                <w:noProof/>
              </w:rPr>
              <w:t>0</w:t>
            </w:r>
          </w:p>
        </w:tc>
        <w:tc>
          <w:tcPr>
            <w:tcW w:w="343" w:type="pct"/>
            <w:shd w:val="clear" w:color="auto" w:fill="C6EFCE"/>
            <w:noWrap/>
            <w:vAlign w:val="center"/>
          </w:tcPr>
          <w:p w14:paraId="1F6CCE69" w14:textId="452E3724" w:rsidR="006054AA" w:rsidRDefault="001F7667">
            <w:pPr>
              <w:pStyle w:val="P68B1DB1-Normal11"/>
              <w:jc w:val="center"/>
              <w:rPr>
                <w:noProof/>
              </w:rPr>
            </w:pPr>
            <w:r>
              <w:rPr>
                <w:noProof/>
              </w:rPr>
              <w:t>1 000</w:t>
            </w:r>
          </w:p>
        </w:tc>
        <w:tc>
          <w:tcPr>
            <w:tcW w:w="286" w:type="pct"/>
            <w:shd w:val="clear" w:color="auto" w:fill="C6EFCE"/>
            <w:noWrap/>
            <w:vAlign w:val="center"/>
          </w:tcPr>
          <w:p w14:paraId="2C3750DC"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6125E308" w14:textId="77777777" w:rsidR="006054AA" w:rsidRDefault="001F7667">
            <w:pPr>
              <w:pStyle w:val="P68B1DB1-Normal11"/>
              <w:jc w:val="center"/>
              <w:rPr>
                <w:noProof/>
              </w:rPr>
            </w:pPr>
            <w:r>
              <w:rPr>
                <w:noProof/>
              </w:rPr>
              <w:t>2026</w:t>
            </w:r>
          </w:p>
        </w:tc>
        <w:tc>
          <w:tcPr>
            <w:tcW w:w="1047" w:type="pct"/>
            <w:shd w:val="clear" w:color="auto" w:fill="C6EFCE"/>
            <w:noWrap/>
            <w:vAlign w:val="center"/>
          </w:tcPr>
          <w:p w14:paraId="0583A551" w14:textId="19063D11" w:rsidR="006054AA" w:rsidRDefault="001F7667">
            <w:pPr>
              <w:pStyle w:val="P68B1DB1-Normal11"/>
              <w:rPr>
                <w:noProof/>
              </w:rPr>
            </w:pPr>
            <w:r>
              <w:rPr>
                <w:noProof/>
              </w:rPr>
              <w:t xml:space="preserve">Изградени или модернизирани са най-малко 1 000 постройки, за да се улесни удължаването на училищното време и отварянето на училищата на територията извън учебните часове. </w:t>
            </w:r>
          </w:p>
        </w:tc>
      </w:tr>
      <w:tr w:rsidR="006054AA" w14:paraId="568866FA" w14:textId="77777777">
        <w:trPr>
          <w:trHeight w:val="309"/>
        </w:trPr>
        <w:tc>
          <w:tcPr>
            <w:tcW w:w="380" w:type="pct"/>
            <w:shd w:val="clear" w:color="auto" w:fill="C6EFCE"/>
            <w:noWrap/>
            <w:vAlign w:val="center"/>
          </w:tcPr>
          <w:p w14:paraId="44154FDB" w14:textId="77777777" w:rsidR="006054AA" w:rsidRDefault="001F7667">
            <w:pPr>
              <w:pStyle w:val="P68B1DB1-Normal11"/>
              <w:jc w:val="center"/>
              <w:rPr>
                <w:noProof/>
              </w:rPr>
            </w:pPr>
            <w:r>
              <w:rPr>
                <w:noProof/>
              </w:rPr>
              <w:t>M4C1—22</w:t>
            </w:r>
          </w:p>
        </w:tc>
        <w:tc>
          <w:tcPr>
            <w:tcW w:w="500" w:type="pct"/>
            <w:shd w:val="clear" w:color="auto" w:fill="C6EFCE"/>
            <w:noWrap/>
            <w:vAlign w:val="center"/>
          </w:tcPr>
          <w:p w14:paraId="638D9BF1" w14:textId="7A3787CD" w:rsidR="006054AA" w:rsidRDefault="001F7667">
            <w:pPr>
              <w:pStyle w:val="P68B1DB1-Normal11"/>
              <w:jc w:val="center"/>
              <w:rPr>
                <w:noProof/>
              </w:rPr>
            </w:pPr>
            <w:r>
              <w:rPr>
                <w:noProof/>
              </w:rPr>
              <w:t>Инвестиция 1.3: План за подобряване на училищната спортна инфраструктура</w:t>
            </w:r>
          </w:p>
        </w:tc>
        <w:tc>
          <w:tcPr>
            <w:tcW w:w="358" w:type="pct"/>
            <w:shd w:val="clear" w:color="auto" w:fill="C6EFCE"/>
            <w:noWrap/>
            <w:vAlign w:val="center"/>
          </w:tcPr>
          <w:p w14:paraId="4AA446EA"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1B416690" w14:textId="77777777" w:rsidR="006054AA" w:rsidRDefault="001F7667">
            <w:pPr>
              <w:pStyle w:val="P68B1DB1-Normal11"/>
              <w:jc w:val="center"/>
              <w:rPr>
                <w:noProof/>
              </w:rPr>
            </w:pPr>
            <w:r>
              <w:rPr>
                <w:noProof/>
              </w:rPr>
              <w:t>Sqm, построени или обновени, да се използват като спортни зали или спортни съоръжения</w:t>
            </w:r>
          </w:p>
        </w:tc>
        <w:tc>
          <w:tcPr>
            <w:tcW w:w="480" w:type="pct"/>
            <w:shd w:val="clear" w:color="auto" w:fill="C6EFCE"/>
            <w:noWrap/>
            <w:vAlign w:val="center"/>
          </w:tcPr>
          <w:p w14:paraId="370856D7"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55F8363E"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2E45D4F2"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53B265C7" w14:textId="795CE4CA" w:rsidR="006054AA" w:rsidRDefault="001F7667">
            <w:pPr>
              <w:pStyle w:val="P68B1DB1-Normal11"/>
              <w:jc w:val="center"/>
              <w:rPr>
                <w:noProof/>
              </w:rPr>
            </w:pPr>
            <w:r>
              <w:rPr>
                <w:noProof/>
              </w:rPr>
              <w:t>230 400</w:t>
            </w:r>
          </w:p>
        </w:tc>
        <w:tc>
          <w:tcPr>
            <w:tcW w:w="286" w:type="pct"/>
            <w:shd w:val="clear" w:color="auto" w:fill="C6EFCE"/>
            <w:noWrap/>
            <w:vAlign w:val="center"/>
          </w:tcPr>
          <w:p w14:paraId="7DF761B3"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166C0B23" w14:textId="77777777" w:rsidR="006054AA" w:rsidRDefault="001F7667">
            <w:pPr>
              <w:pStyle w:val="P68B1DB1-Normal11"/>
              <w:jc w:val="center"/>
              <w:rPr>
                <w:noProof/>
              </w:rPr>
            </w:pPr>
            <w:r>
              <w:rPr>
                <w:noProof/>
              </w:rPr>
              <w:t>2026</w:t>
            </w:r>
          </w:p>
        </w:tc>
        <w:tc>
          <w:tcPr>
            <w:tcW w:w="1047" w:type="pct"/>
            <w:shd w:val="clear" w:color="auto" w:fill="C6EFCE"/>
            <w:noWrap/>
            <w:vAlign w:val="center"/>
          </w:tcPr>
          <w:p w14:paraId="49F401F9" w14:textId="042EE174" w:rsidR="006054AA" w:rsidRDefault="001F7667">
            <w:pPr>
              <w:pStyle w:val="P68B1DB1-Normal11"/>
              <w:rPr>
                <w:noProof/>
              </w:rPr>
            </w:pPr>
            <w:r>
              <w:rPr>
                <w:noProof/>
              </w:rPr>
              <w:t>Най-малко 230 400 Sqm са построени или обновени, за да бъдат използвани като спортни зали или спортни съоръжения, прикрепени към училище.</w:t>
            </w:r>
          </w:p>
          <w:p w14:paraId="30FC9981" w14:textId="77777777" w:rsidR="006054AA" w:rsidRDefault="006054AA">
            <w:pPr>
              <w:rPr>
                <w:rFonts w:ascii="Arial Narrow" w:hAnsi="Arial Narrow"/>
                <w:noProof/>
                <w:color w:val="006100"/>
                <w:sz w:val="20"/>
              </w:rPr>
            </w:pPr>
          </w:p>
          <w:p w14:paraId="6599C0DA" w14:textId="77777777" w:rsidR="006054AA" w:rsidRDefault="001F7667">
            <w:pPr>
              <w:pStyle w:val="P68B1DB1-Normal11"/>
              <w:rPr>
                <w:noProof/>
              </w:rPr>
            </w:pPr>
            <w:r>
              <w:rPr>
                <w:noProof/>
              </w:rPr>
              <w:t>Национален регистър на училищните сгради и данни от наблюдението на GPU, валидни за националната тригодишна програма</w:t>
            </w:r>
          </w:p>
        </w:tc>
      </w:tr>
      <w:tr w:rsidR="006054AA" w14:paraId="49F23C07" w14:textId="77777777">
        <w:trPr>
          <w:trHeight w:val="309"/>
        </w:trPr>
        <w:tc>
          <w:tcPr>
            <w:tcW w:w="380" w:type="pct"/>
            <w:shd w:val="clear" w:color="auto" w:fill="C6EFCE"/>
            <w:noWrap/>
            <w:vAlign w:val="center"/>
            <w:hideMark/>
          </w:tcPr>
          <w:p w14:paraId="49E3615B" w14:textId="77777777" w:rsidR="006054AA" w:rsidRDefault="001F7667">
            <w:pPr>
              <w:pStyle w:val="P68B1DB1-Normal11"/>
              <w:jc w:val="center"/>
              <w:rPr>
                <w:noProof/>
              </w:rPr>
            </w:pPr>
            <w:r>
              <w:rPr>
                <w:noProof/>
              </w:rPr>
              <w:t>M4C1—23</w:t>
            </w:r>
          </w:p>
        </w:tc>
        <w:tc>
          <w:tcPr>
            <w:tcW w:w="500" w:type="pct"/>
            <w:shd w:val="clear" w:color="auto" w:fill="C6EFCE"/>
            <w:noWrap/>
            <w:vAlign w:val="center"/>
            <w:hideMark/>
          </w:tcPr>
          <w:p w14:paraId="253A88A2" w14:textId="46ACD213" w:rsidR="006054AA" w:rsidRDefault="001F7667">
            <w:pPr>
              <w:pStyle w:val="P68B1DB1-Normal11"/>
              <w:jc w:val="center"/>
              <w:rPr>
                <w:noProof/>
              </w:rPr>
            </w:pPr>
            <w:r>
              <w:rPr>
                <w:noProof/>
              </w:rPr>
              <w:t>Инвестиция 3.4: Преподаване и задълбочени университетски умения</w:t>
            </w:r>
          </w:p>
        </w:tc>
        <w:tc>
          <w:tcPr>
            <w:tcW w:w="358" w:type="pct"/>
            <w:shd w:val="clear" w:color="auto" w:fill="C6EFCE"/>
            <w:noWrap/>
            <w:vAlign w:val="center"/>
            <w:hideMark/>
          </w:tcPr>
          <w:p w14:paraId="51986433" w14:textId="77777777" w:rsidR="006054AA" w:rsidRDefault="001F7667">
            <w:pPr>
              <w:pStyle w:val="P68B1DB1-Normal11"/>
              <w:jc w:val="center"/>
              <w:rPr>
                <w:noProof/>
              </w:rPr>
            </w:pPr>
            <w:r>
              <w:rPr>
                <w:noProof/>
              </w:rPr>
              <w:t>Целеви</w:t>
            </w:r>
          </w:p>
        </w:tc>
        <w:tc>
          <w:tcPr>
            <w:tcW w:w="572" w:type="pct"/>
            <w:shd w:val="clear" w:color="auto" w:fill="C6EFCE"/>
            <w:noWrap/>
            <w:vAlign w:val="center"/>
            <w:hideMark/>
          </w:tcPr>
          <w:p w14:paraId="48A89C4F" w14:textId="3A2C84A5" w:rsidR="006054AA" w:rsidRDefault="001F7667">
            <w:pPr>
              <w:pStyle w:val="P68B1DB1-Normal11"/>
              <w:jc w:val="center"/>
              <w:rPr>
                <w:noProof/>
              </w:rPr>
            </w:pPr>
            <w:r>
              <w:rPr>
                <w:noProof/>
              </w:rPr>
              <w:t>Нови докторантури, присъждани за три години по програми, посветени на цифровия и екологичния преход</w:t>
            </w:r>
          </w:p>
        </w:tc>
        <w:tc>
          <w:tcPr>
            <w:tcW w:w="480" w:type="pct"/>
            <w:shd w:val="clear" w:color="auto" w:fill="C6EFCE"/>
            <w:noWrap/>
            <w:vAlign w:val="center"/>
            <w:hideMark/>
          </w:tcPr>
          <w:p w14:paraId="0AB9356F" w14:textId="77777777" w:rsidR="006054AA" w:rsidRDefault="001F7667">
            <w:pPr>
              <w:pStyle w:val="P68B1DB1-Normal11"/>
              <w:jc w:val="center"/>
              <w:rPr>
                <w:noProof/>
              </w:rPr>
            </w:pPr>
            <w:r>
              <w:rPr>
                <w:noProof/>
              </w:rPr>
              <w:t>НЯМА</w:t>
            </w:r>
          </w:p>
        </w:tc>
        <w:tc>
          <w:tcPr>
            <w:tcW w:w="422" w:type="pct"/>
            <w:shd w:val="clear" w:color="auto" w:fill="C6EFCE"/>
            <w:noWrap/>
            <w:vAlign w:val="center"/>
            <w:hideMark/>
          </w:tcPr>
          <w:p w14:paraId="7E43A64E" w14:textId="77777777" w:rsidR="006054AA" w:rsidRDefault="001F7667">
            <w:pPr>
              <w:pStyle w:val="P68B1DB1-Normal11"/>
              <w:jc w:val="center"/>
              <w:rPr>
                <w:noProof/>
              </w:rPr>
            </w:pPr>
            <w:r>
              <w:rPr>
                <w:noProof/>
              </w:rPr>
              <w:t>Брой</w:t>
            </w:r>
          </w:p>
        </w:tc>
        <w:tc>
          <w:tcPr>
            <w:tcW w:w="375" w:type="pct"/>
            <w:shd w:val="clear" w:color="auto" w:fill="C6EFCE"/>
            <w:noWrap/>
            <w:vAlign w:val="center"/>
            <w:hideMark/>
          </w:tcPr>
          <w:p w14:paraId="2CFE0F73" w14:textId="0B9FF507" w:rsidR="006054AA" w:rsidRDefault="001F7667">
            <w:pPr>
              <w:pStyle w:val="P68B1DB1-Normal11"/>
              <w:jc w:val="center"/>
              <w:rPr>
                <w:noProof/>
              </w:rPr>
            </w:pPr>
            <w:r>
              <w:rPr>
                <w:noProof/>
              </w:rPr>
              <w:t>0</w:t>
            </w:r>
          </w:p>
        </w:tc>
        <w:tc>
          <w:tcPr>
            <w:tcW w:w="343" w:type="pct"/>
            <w:shd w:val="clear" w:color="auto" w:fill="C6EFCE"/>
            <w:noWrap/>
            <w:vAlign w:val="center"/>
            <w:hideMark/>
          </w:tcPr>
          <w:p w14:paraId="2BDC899C" w14:textId="370A4481" w:rsidR="006054AA" w:rsidRDefault="001F7667">
            <w:pPr>
              <w:pStyle w:val="P68B1DB1-Normal11"/>
              <w:jc w:val="center"/>
              <w:rPr>
                <w:noProof/>
              </w:rPr>
            </w:pPr>
            <w:r>
              <w:rPr>
                <w:noProof/>
              </w:rPr>
              <w:t>500</w:t>
            </w:r>
          </w:p>
        </w:tc>
        <w:tc>
          <w:tcPr>
            <w:tcW w:w="286" w:type="pct"/>
            <w:shd w:val="clear" w:color="auto" w:fill="C6EFCE"/>
            <w:noWrap/>
            <w:vAlign w:val="center"/>
            <w:hideMark/>
          </w:tcPr>
          <w:p w14:paraId="4697E549" w14:textId="77777777" w:rsidR="006054AA" w:rsidRDefault="001F7667">
            <w:pPr>
              <w:pStyle w:val="P68B1DB1-Normal11"/>
              <w:jc w:val="center"/>
              <w:rPr>
                <w:noProof/>
              </w:rPr>
            </w:pPr>
            <w:r>
              <w:rPr>
                <w:noProof/>
              </w:rPr>
              <w:t>Т2 Г.</w:t>
            </w:r>
          </w:p>
        </w:tc>
        <w:tc>
          <w:tcPr>
            <w:tcW w:w="238" w:type="pct"/>
            <w:shd w:val="clear" w:color="auto" w:fill="C6EFCE"/>
            <w:noWrap/>
            <w:vAlign w:val="center"/>
            <w:hideMark/>
          </w:tcPr>
          <w:p w14:paraId="4C440386" w14:textId="77777777" w:rsidR="006054AA" w:rsidRDefault="001F7667">
            <w:pPr>
              <w:pStyle w:val="P68B1DB1-Normal11"/>
              <w:jc w:val="center"/>
              <w:rPr>
                <w:noProof/>
              </w:rPr>
            </w:pPr>
            <w:r>
              <w:rPr>
                <w:noProof/>
              </w:rPr>
              <w:t>2026</w:t>
            </w:r>
          </w:p>
        </w:tc>
        <w:tc>
          <w:tcPr>
            <w:tcW w:w="1047" w:type="pct"/>
            <w:shd w:val="clear" w:color="auto" w:fill="C6EFCE"/>
            <w:noWrap/>
            <w:vAlign w:val="center"/>
            <w:hideMark/>
          </w:tcPr>
          <w:p w14:paraId="3166EA31" w14:textId="77777777" w:rsidR="006054AA" w:rsidRDefault="001F7667">
            <w:pPr>
              <w:pStyle w:val="P68B1DB1-Normal11"/>
              <w:rPr>
                <w:noProof/>
              </w:rPr>
            </w:pPr>
            <w:r>
              <w:rPr>
                <w:noProof/>
              </w:rPr>
              <w:t>Най-малко 500 нови докторанти за три години по програми, посветени на цифровия и екологичния преход</w:t>
            </w:r>
          </w:p>
          <w:p w14:paraId="54332A7F" w14:textId="77777777" w:rsidR="006054AA" w:rsidRDefault="001F7667">
            <w:pPr>
              <w:pStyle w:val="P68B1DB1-Normal11"/>
              <w:rPr>
                <w:rFonts w:eastAsia="Calibri"/>
                <w:noProof/>
              </w:rPr>
            </w:pPr>
            <w:r>
              <w:rPr>
                <w:noProof/>
              </w:rPr>
              <w:t>Целта на проекта е да се определят и въвеждат иновации в университетските (и докторските) пътеки чрез лостовете на: а) цифровизация; б) „култура на иновации“; интернационализация.</w:t>
            </w:r>
          </w:p>
        </w:tc>
      </w:tr>
      <w:tr w:rsidR="006054AA" w14:paraId="26F5C392" w14:textId="77777777">
        <w:trPr>
          <w:trHeight w:val="309"/>
        </w:trPr>
        <w:tc>
          <w:tcPr>
            <w:tcW w:w="380" w:type="pct"/>
            <w:shd w:val="clear" w:color="auto" w:fill="C6EFCE"/>
            <w:noWrap/>
            <w:vAlign w:val="center"/>
            <w:hideMark/>
          </w:tcPr>
          <w:p w14:paraId="6CF5B5FA" w14:textId="7C6F60AA" w:rsidR="006054AA" w:rsidRDefault="001F7667">
            <w:pPr>
              <w:pStyle w:val="P68B1DB1-Normal11"/>
              <w:jc w:val="center"/>
              <w:rPr>
                <w:noProof/>
              </w:rPr>
            </w:pPr>
            <w:r>
              <w:rPr>
                <w:noProof/>
              </w:rPr>
              <w:t>M4C1—23 bis</w:t>
            </w:r>
          </w:p>
        </w:tc>
        <w:tc>
          <w:tcPr>
            <w:tcW w:w="500" w:type="pct"/>
            <w:shd w:val="clear" w:color="auto" w:fill="C6EFCE"/>
            <w:noWrap/>
            <w:vAlign w:val="center"/>
            <w:hideMark/>
          </w:tcPr>
          <w:p w14:paraId="75C1D0B8" w14:textId="4F19BF3D" w:rsidR="006054AA" w:rsidRDefault="001F7667">
            <w:pPr>
              <w:pStyle w:val="P68B1DB1-Normal11"/>
              <w:jc w:val="center"/>
              <w:rPr>
                <w:noProof/>
              </w:rPr>
            </w:pPr>
            <w:r>
              <w:rPr>
                <w:noProof/>
              </w:rPr>
              <w:t>Инвестиция 3.4: Преподаване и задълбочени университетски умения</w:t>
            </w:r>
          </w:p>
        </w:tc>
        <w:tc>
          <w:tcPr>
            <w:tcW w:w="358" w:type="pct"/>
            <w:shd w:val="clear" w:color="auto" w:fill="C6EFCE"/>
            <w:noWrap/>
            <w:vAlign w:val="center"/>
            <w:hideMark/>
          </w:tcPr>
          <w:p w14:paraId="277110FD" w14:textId="77777777" w:rsidR="006054AA" w:rsidRDefault="001F7667">
            <w:pPr>
              <w:pStyle w:val="P68B1DB1-Normal11"/>
              <w:jc w:val="center"/>
              <w:rPr>
                <w:noProof/>
              </w:rPr>
            </w:pPr>
            <w:r>
              <w:rPr>
                <w:noProof/>
              </w:rPr>
              <w:t>Ключов етап</w:t>
            </w:r>
          </w:p>
        </w:tc>
        <w:tc>
          <w:tcPr>
            <w:tcW w:w="572" w:type="pct"/>
            <w:shd w:val="clear" w:color="auto" w:fill="C6EFCE"/>
            <w:noWrap/>
            <w:vAlign w:val="center"/>
            <w:hideMark/>
          </w:tcPr>
          <w:p w14:paraId="37A59459" w14:textId="77777777" w:rsidR="006054AA" w:rsidRDefault="001F7667">
            <w:pPr>
              <w:pStyle w:val="P68B1DB1-Normal11"/>
              <w:jc w:val="center"/>
              <w:rPr>
                <w:noProof/>
              </w:rPr>
            </w:pPr>
            <w:r>
              <w:rPr>
                <w:noProof/>
              </w:rPr>
              <w:t>Приключване на изпълнението на подмерки за преподаване и задълбочени университетски умения</w:t>
            </w:r>
          </w:p>
        </w:tc>
        <w:tc>
          <w:tcPr>
            <w:tcW w:w="480" w:type="pct"/>
            <w:shd w:val="clear" w:color="auto" w:fill="C6EFCE"/>
            <w:noWrap/>
            <w:vAlign w:val="center"/>
            <w:hideMark/>
          </w:tcPr>
          <w:p w14:paraId="6638FD63" w14:textId="77777777" w:rsidR="006054AA" w:rsidRDefault="001F7667">
            <w:pPr>
              <w:pStyle w:val="P68B1DB1-Normal11"/>
              <w:jc w:val="center"/>
              <w:rPr>
                <w:noProof/>
              </w:rPr>
            </w:pPr>
            <w:r>
              <w:rPr>
                <w:noProof/>
              </w:rPr>
              <w:t>Прилагат се подмерките за преподаване и задълбочени университетски умения.</w:t>
            </w:r>
          </w:p>
        </w:tc>
        <w:tc>
          <w:tcPr>
            <w:tcW w:w="422" w:type="pct"/>
            <w:shd w:val="clear" w:color="auto" w:fill="C6EFCE"/>
            <w:noWrap/>
            <w:vAlign w:val="center"/>
            <w:hideMark/>
          </w:tcPr>
          <w:p w14:paraId="39FAE967" w14:textId="70C1BEB4" w:rsidR="006054AA" w:rsidRDefault="001F7667">
            <w:pPr>
              <w:pStyle w:val="P68B1DB1-Normal11"/>
              <w:jc w:val="center"/>
              <w:rPr>
                <w:noProof/>
              </w:rPr>
            </w:pPr>
            <w:r>
              <w:rPr>
                <w:noProof/>
              </w:rPr>
              <w:t>НЯМА</w:t>
            </w:r>
          </w:p>
        </w:tc>
        <w:tc>
          <w:tcPr>
            <w:tcW w:w="375" w:type="pct"/>
            <w:shd w:val="clear" w:color="auto" w:fill="C6EFCE"/>
            <w:noWrap/>
            <w:vAlign w:val="center"/>
            <w:hideMark/>
          </w:tcPr>
          <w:p w14:paraId="7B9AF38A" w14:textId="3689F34D" w:rsidR="006054AA" w:rsidRDefault="001F7667">
            <w:pPr>
              <w:pStyle w:val="P68B1DB1-Normal11"/>
              <w:jc w:val="center"/>
              <w:rPr>
                <w:noProof/>
              </w:rPr>
            </w:pPr>
            <w:r>
              <w:rPr>
                <w:noProof/>
              </w:rPr>
              <w:t>НЯМА</w:t>
            </w:r>
          </w:p>
        </w:tc>
        <w:tc>
          <w:tcPr>
            <w:tcW w:w="343" w:type="pct"/>
            <w:shd w:val="clear" w:color="auto" w:fill="C6EFCE"/>
            <w:noWrap/>
            <w:vAlign w:val="center"/>
            <w:hideMark/>
          </w:tcPr>
          <w:p w14:paraId="0E69CC83" w14:textId="7DF3C801" w:rsidR="006054AA" w:rsidRDefault="001F7667">
            <w:pPr>
              <w:pStyle w:val="P68B1DB1-Normal11"/>
              <w:jc w:val="center"/>
              <w:rPr>
                <w:noProof/>
              </w:rPr>
            </w:pPr>
            <w:r>
              <w:rPr>
                <w:noProof/>
              </w:rPr>
              <w:t>НЯМА</w:t>
            </w:r>
          </w:p>
        </w:tc>
        <w:tc>
          <w:tcPr>
            <w:tcW w:w="286" w:type="pct"/>
            <w:shd w:val="clear" w:color="auto" w:fill="C6EFCE"/>
            <w:noWrap/>
            <w:vAlign w:val="center"/>
            <w:hideMark/>
          </w:tcPr>
          <w:p w14:paraId="0BD77989" w14:textId="77777777" w:rsidR="006054AA" w:rsidRDefault="001F7667">
            <w:pPr>
              <w:pStyle w:val="P68B1DB1-Normal11"/>
              <w:jc w:val="center"/>
              <w:rPr>
                <w:noProof/>
              </w:rPr>
            </w:pPr>
            <w:r>
              <w:rPr>
                <w:noProof/>
              </w:rPr>
              <w:t>Т2 Г.</w:t>
            </w:r>
          </w:p>
        </w:tc>
        <w:tc>
          <w:tcPr>
            <w:tcW w:w="238" w:type="pct"/>
            <w:shd w:val="clear" w:color="auto" w:fill="C6EFCE"/>
            <w:noWrap/>
            <w:vAlign w:val="center"/>
            <w:hideMark/>
          </w:tcPr>
          <w:p w14:paraId="645E3C3B" w14:textId="77777777" w:rsidR="006054AA" w:rsidRDefault="001F7667">
            <w:pPr>
              <w:pStyle w:val="P68B1DB1-Normal11"/>
              <w:jc w:val="center"/>
              <w:rPr>
                <w:noProof/>
              </w:rPr>
            </w:pPr>
            <w:r>
              <w:rPr>
                <w:noProof/>
              </w:rPr>
              <w:t>2026</w:t>
            </w:r>
          </w:p>
        </w:tc>
        <w:tc>
          <w:tcPr>
            <w:tcW w:w="1047" w:type="pct"/>
            <w:shd w:val="clear" w:color="auto" w:fill="C6EFCE"/>
            <w:noWrap/>
            <w:vAlign w:val="center"/>
            <w:hideMark/>
          </w:tcPr>
          <w:p w14:paraId="0E399DDF" w14:textId="5CAA0504" w:rsidR="006054AA" w:rsidRDefault="001F7667">
            <w:pPr>
              <w:pStyle w:val="P68B1DB1-Normal11"/>
              <w:rPr>
                <w:noProof/>
              </w:rPr>
            </w:pPr>
            <w:r>
              <w:rPr>
                <w:noProof/>
              </w:rPr>
              <w:t xml:space="preserve">Прилагат се подмерките за преподаване и задълбочени университетски умения. </w:t>
            </w:r>
          </w:p>
          <w:p w14:paraId="536A1FD8" w14:textId="77777777" w:rsidR="006054AA" w:rsidRDefault="006054AA">
            <w:pPr>
              <w:rPr>
                <w:rFonts w:ascii="Arial Narrow" w:hAnsi="Arial Narrow"/>
                <w:noProof/>
                <w:color w:val="006100"/>
                <w:sz w:val="20"/>
              </w:rPr>
            </w:pPr>
          </w:p>
          <w:p w14:paraId="29548546" w14:textId="22EBFE58" w:rsidR="006054AA" w:rsidRDefault="001F7667">
            <w:pPr>
              <w:pStyle w:val="P68B1DB1-Normal11"/>
              <w:rPr>
                <w:noProof/>
              </w:rPr>
            </w:pPr>
            <w:r>
              <w:rPr>
                <w:noProof/>
              </w:rPr>
              <w:t xml:space="preserve">Подмерките включват: </w:t>
            </w:r>
          </w:p>
          <w:p w14:paraId="2A89A62C" w14:textId="2EDF9D51" w:rsidR="006054AA" w:rsidRDefault="001F7667">
            <w:pPr>
              <w:pStyle w:val="P68B1DB1-ListParagraph13"/>
              <w:numPr>
                <w:ilvl w:val="0"/>
                <w:numId w:val="56"/>
              </w:numPr>
              <w:spacing w:before="0" w:after="0"/>
              <w:jc w:val="left"/>
              <w:rPr>
                <w:noProof/>
              </w:rPr>
            </w:pPr>
            <w:r>
              <w:rPr>
                <w:noProof/>
              </w:rPr>
              <w:t>Създаване на три центъра за цифрово образование (DEH);</w:t>
            </w:r>
          </w:p>
          <w:p w14:paraId="7DB8B45B" w14:textId="2E78A130" w:rsidR="006054AA" w:rsidRDefault="001F7667">
            <w:pPr>
              <w:pStyle w:val="P68B1DB1-ListParagraph13"/>
              <w:numPr>
                <w:ilvl w:val="0"/>
                <w:numId w:val="56"/>
              </w:numPr>
              <w:spacing w:before="0" w:after="0"/>
              <w:jc w:val="left"/>
              <w:rPr>
                <w:noProof/>
              </w:rPr>
            </w:pPr>
            <w:r>
              <w:rPr>
                <w:noProof/>
              </w:rPr>
              <w:t>Активиране на три висши университетски училища;</w:t>
            </w:r>
          </w:p>
          <w:p w14:paraId="31EC071D" w14:textId="194F10F2" w:rsidR="006054AA" w:rsidRDefault="001F7667">
            <w:pPr>
              <w:pStyle w:val="P68B1DB1-ListParagraph13"/>
              <w:numPr>
                <w:ilvl w:val="0"/>
                <w:numId w:val="56"/>
              </w:numPr>
              <w:spacing w:before="0" w:after="0"/>
              <w:jc w:val="left"/>
              <w:rPr>
                <w:noProof/>
              </w:rPr>
            </w:pPr>
            <w:r>
              <w:rPr>
                <w:noProof/>
              </w:rPr>
              <w:t>Осъществяване на десет транснационални образователни инициативи — -TNE;</w:t>
            </w:r>
          </w:p>
          <w:p w14:paraId="46D9A758" w14:textId="77777777" w:rsidR="006054AA" w:rsidRDefault="001F7667">
            <w:pPr>
              <w:pStyle w:val="P68B1DB1-ListParagraph13"/>
              <w:numPr>
                <w:ilvl w:val="0"/>
                <w:numId w:val="56"/>
              </w:numPr>
              <w:spacing w:before="0" w:after="0"/>
              <w:jc w:val="left"/>
              <w:rPr>
                <w:noProof/>
              </w:rPr>
            </w:pPr>
            <w:r>
              <w:rPr>
                <w:noProof/>
              </w:rPr>
              <w:t>Осъществяване на 15 проекта за интернационализация на художествени и музикални висши учебни заведения (AFAM).</w:t>
            </w:r>
          </w:p>
        </w:tc>
      </w:tr>
      <w:tr w:rsidR="006054AA" w14:paraId="4B9ED250" w14:textId="77777777">
        <w:trPr>
          <w:trHeight w:val="309"/>
        </w:trPr>
        <w:tc>
          <w:tcPr>
            <w:tcW w:w="380" w:type="pct"/>
            <w:shd w:val="clear" w:color="auto" w:fill="C6EFCE"/>
            <w:noWrap/>
            <w:vAlign w:val="center"/>
          </w:tcPr>
          <w:p w14:paraId="3D5C8165" w14:textId="77777777" w:rsidR="006054AA" w:rsidRDefault="001F7667">
            <w:pPr>
              <w:pStyle w:val="P68B1DB1-Normal11"/>
              <w:jc w:val="center"/>
              <w:rPr>
                <w:noProof/>
              </w:rPr>
            </w:pPr>
            <w:r>
              <w:rPr>
                <w:noProof/>
              </w:rPr>
              <w:t>M4C1—24</w:t>
            </w:r>
          </w:p>
        </w:tc>
        <w:tc>
          <w:tcPr>
            <w:tcW w:w="500" w:type="pct"/>
            <w:shd w:val="clear" w:color="auto" w:fill="C6EFCE"/>
            <w:noWrap/>
            <w:vAlign w:val="center"/>
          </w:tcPr>
          <w:p w14:paraId="4DD1F063" w14:textId="598BA570" w:rsidR="006054AA" w:rsidRDefault="001F7667">
            <w:pPr>
              <w:pStyle w:val="P68B1DB1-Normal11"/>
              <w:jc w:val="center"/>
              <w:rPr>
                <w:noProof/>
              </w:rPr>
            </w:pPr>
            <w:r>
              <w:rPr>
                <w:noProof/>
              </w:rPr>
              <w:t>Инвестиция 1.6: Активна ориентация в прехода между училищата и университетите.</w:t>
            </w:r>
          </w:p>
        </w:tc>
        <w:tc>
          <w:tcPr>
            <w:tcW w:w="358" w:type="pct"/>
            <w:shd w:val="clear" w:color="auto" w:fill="C6EFCE"/>
            <w:noWrap/>
            <w:vAlign w:val="center"/>
          </w:tcPr>
          <w:p w14:paraId="09FFD937"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3073F53D" w14:textId="77777777" w:rsidR="006054AA" w:rsidRDefault="001F7667">
            <w:pPr>
              <w:pStyle w:val="P68B1DB1-Normal11"/>
              <w:jc w:val="center"/>
              <w:rPr>
                <w:noProof/>
              </w:rPr>
            </w:pPr>
            <w:r>
              <w:rPr>
                <w:noProof/>
              </w:rPr>
              <w:t>Студенти, които са посещавали курсове за преход между училища и университети</w:t>
            </w:r>
          </w:p>
        </w:tc>
        <w:tc>
          <w:tcPr>
            <w:tcW w:w="480" w:type="pct"/>
            <w:shd w:val="clear" w:color="auto" w:fill="C6EFCE"/>
            <w:noWrap/>
            <w:vAlign w:val="center"/>
          </w:tcPr>
          <w:p w14:paraId="2A8E15A5"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4B164AB2"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1264B0C6"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4555DEAE" w14:textId="52620D92" w:rsidR="006054AA" w:rsidRDefault="001F7667">
            <w:pPr>
              <w:pStyle w:val="P68B1DB1-Normal11"/>
              <w:jc w:val="center"/>
              <w:rPr>
                <w:noProof/>
              </w:rPr>
            </w:pPr>
            <w:r>
              <w:rPr>
                <w:noProof/>
              </w:rPr>
              <w:t>1 000 000</w:t>
            </w:r>
          </w:p>
        </w:tc>
        <w:tc>
          <w:tcPr>
            <w:tcW w:w="286" w:type="pct"/>
            <w:shd w:val="clear" w:color="auto" w:fill="C6EFCE"/>
            <w:noWrap/>
            <w:vAlign w:val="center"/>
          </w:tcPr>
          <w:p w14:paraId="0A4C9AD9"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37DD1DF2" w14:textId="77777777" w:rsidR="006054AA" w:rsidRDefault="001F7667">
            <w:pPr>
              <w:pStyle w:val="P68B1DB1-Normal11"/>
              <w:jc w:val="center"/>
              <w:rPr>
                <w:noProof/>
              </w:rPr>
            </w:pPr>
            <w:r>
              <w:rPr>
                <w:noProof/>
              </w:rPr>
              <w:t>2026</w:t>
            </w:r>
          </w:p>
        </w:tc>
        <w:tc>
          <w:tcPr>
            <w:tcW w:w="1047" w:type="pct"/>
            <w:shd w:val="clear" w:color="auto" w:fill="C6EFCE"/>
            <w:noWrap/>
            <w:vAlign w:val="center"/>
          </w:tcPr>
          <w:p w14:paraId="297A15B0" w14:textId="14B5C973" w:rsidR="006054AA" w:rsidRDefault="001F7667">
            <w:pPr>
              <w:pStyle w:val="P68B1DB1-Normal11"/>
              <w:jc w:val="center"/>
              <w:rPr>
                <w:noProof/>
              </w:rPr>
            </w:pPr>
            <w:r>
              <w:rPr>
                <w:noProof/>
              </w:rPr>
              <w:t xml:space="preserve">Най-малко 1 000 000 ученици в гимназиалния етап на средното образование са преминали през един преходен курс между училището и университета.  </w:t>
            </w:r>
          </w:p>
        </w:tc>
      </w:tr>
      <w:tr w:rsidR="006054AA" w14:paraId="051650DB" w14:textId="77777777">
        <w:trPr>
          <w:trHeight w:val="309"/>
        </w:trPr>
        <w:tc>
          <w:tcPr>
            <w:tcW w:w="380" w:type="pct"/>
            <w:shd w:val="clear" w:color="auto" w:fill="C6EFCE"/>
            <w:noWrap/>
            <w:vAlign w:val="center"/>
          </w:tcPr>
          <w:p w14:paraId="26F71B95" w14:textId="77777777" w:rsidR="006054AA" w:rsidRDefault="001F7667">
            <w:pPr>
              <w:pStyle w:val="P68B1DB1-Normal11"/>
              <w:jc w:val="center"/>
              <w:rPr>
                <w:noProof/>
              </w:rPr>
            </w:pPr>
            <w:r>
              <w:rPr>
                <w:noProof/>
              </w:rPr>
              <w:t>M4C1—25</w:t>
            </w:r>
          </w:p>
        </w:tc>
        <w:tc>
          <w:tcPr>
            <w:tcW w:w="500" w:type="pct"/>
            <w:shd w:val="clear" w:color="auto" w:fill="C6EFCE"/>
            <w:noWrap/>
            <w:vAlign w:val="center"/>
          </w:tcPr>
          <w:p w14:paraId="70E9F8C5" w14:textId="77777777" w:rsidR="006054AA" w:rsidRDefault="001F7667">
            <w:pPr>
              <w:pStyle w:val="P68B1DB1-Normal11"/>
              <w:jc w:val="center"/>
              <w:rPr>
                <w:noProof/>
              </w:rPr>
            </w:pPr>
            <w:r>
              <w:rPr>
                <w:noProof/>
              </w:rPr>
              <w:t>Инвестиция 1.4: Извънредна намеса, насочена към намаляване на териториалните различия в първия и втория цикъл на средното образование и към справяне с преждевременното напускане на училище</w:t>
            </w:r>
          </w:p>
        </w:tc>
        <w:tc>
          <w:tcPr>
            <w:tcW w:w="358" w:type="pct"/>
            <w:shd w:val="clear" w:color="auto" w:fill="C6EFCE"/>
            <w:noWrap/>
            <w:vAlign w:val="center"/>
          </w:tcPr>
          <w:p w14:paraId="5AF98F02"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32F019DE" w14:textId="46F92B79" w:rsidR="006054AA" w:rsidRDefault="001F7667">
            <w:pPr>
              <w:pStyle w:val="P68B1DB1-Normal11"/>
              <w:jc w:val="center"/>
              <w:rPr>
                <w:noProof/>
              </w:rPr>
            </w:pPr>
            <w:r>
              <w:rPr>
                <w:noProof/>
              </w:rPr>
              <w:t>Разликата в процента на преждевременно напускащите системата на средното образование</w:t>
            </w:r>
          </w:p>
        </w:tc>
        <w:tc>
          <w:tcPr>
            <w:tcW w:w="480" w:type="pct"/>
            <w:shd w:val="clear" w:color="auto" w:fill="C6EFCE"/>
            <w:noWrap/>
            <w:vAlign w:val="center"/>
          </w:tcPr>
          <w:p w14:paraId="401D20D5"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38815449" w14:textId="77777777" w:rsidR="006054AA" w:rsidRDefault="001F7667">
            <w:pPr>
              <w:pStyle w:val="P68B1DB1-Normal11"/>
              <w:jc w:val="center"/>
              <w:rPr>
                <w:noProof/>
              </w:rPr>
            </w:pPr>
            <w:r>
              <w:rPr>
                <w:noProof/>
              </w:rPr>
              <w:t>Проценти</w:t>
            </w:r>
          </w:p>
        </w:tc>
        <w:tc>
          <w:tcPr>
            <w:tcW w:w="375" w:type="pct"/>
            <w:shd w:val="clear" w:color="auto" w:fill="C6EFCE"/>
            <w:noWrap/>
            <w:vAlign w:val="center"/>
          </w:tcPr>
          <w:p w14:paraId="548B443E" w14:textId="77777777" w:rsidR="006054AA" w:rsidRDefault="001F7667">
            <w:pPr>
              <w:pStyle w:val="P68B1DB1-Normal11"/>
              <w:jc w:val="center"/>
              <w:rPr>
                <w:noProof/>
              </w:rPr>
            </w:pPr>
            <w:r>
              <w:rPr>
                <w:noProof/>
              </w:rPr>
              <w:t>13,5</w:t>
            </w:r>
          </w:p>
        </w:tc>
        <w:tc>
          <w:tcPr>
            <w:tcW w:w="343" w:type="pct"/>
            <w:shd w:val="clear" w:color="auto" w:fill="C6EFCE"/>
            <w:noWrap/>
            <w:vAlign w:val="center"/>
          </w:tcPr>
          <w:p w14:paraId="7DC5E28D" w14:textId="77777777" w:rsidR="006054AA" w:rsidRDefault="001F7667">
            <w:pPr>
              <w:pStyle w:val="P68B1DB1-Normal11"/>
              <w:jc w:val="center"/>
              <w:rPr>
                <w:noProof/>
              </w:rPr>
            </w:pPr>
            <w:r>
              <w:rPr>
                <w:noProof/>
              </w:rPr>
              <w:t>10,2</w:t>
            </w:r>
          </w:p>
        </w:tc>
        <w:tc>
          <w:tcPr>
            <w:tcW w:w="286" w:type="pct"/>
            <w:shd w:val="clear" w:color="auto" w:fill="C6EFCE"/>
            <w:noWrap/>
            <w:vAlign w:val="center"/>
          </w:tcPr>
          <w:p w14:paraId="2B9127DF"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7AB3582C" w14:textId="77777777" w:rsidR="006054AA" w:rsidRDefault="001F7667">
            <w:pPr>
              <w:pStyle w:val="P68B1DB1-Normal11"/>
              <w:jc w:val="center"/>
              <w:rPr>
                <w:noProof/>
              </w:rPr>
            </w:pPr>
            <w:r>
              <w:rPr>
                <w:noProof/>
              </w:rPr>
              <w:t>2026</w:t>
            </w:r>
          </w:p>
        </w:tc>
        <w:tc>
          <w:tcPr>
            <w:tcW w:w="1047" w:type="pct"/>
            <w:shd w:val="clear" w:color="auto" w:fill="C6EFCE"/>
            <w:noWrap/>
            <w:vAlign w:val="center"/>
          </w:tcPr>
          <w:p w14:paraId="41917A86" w14:textId="31617746" w:rsidR="006054AA" w:rsidRDefault="001F7667">
            <w:pPr>
              <w:pStyle w:val="P68B1DB1-Normal11"/>
              <w:rPr>
                <w:noProof/>
              </w:rPr>
            </w:pPr>
            <w:r>
              <w:rPr>
                <w:noProof/>
              </w:rPr>
              <w:t>Намаляване на разликата в процента на преждевременно напускащите системата на средното образование, за да се достигне средната стойност за ЕС за 2019 г. (10,2 %).</w:t>
            </w:r>
          </w:p>
        </w:tc>
      </w:tr>
      <w:tr w:rsidR="006054AA" w14:paraId="74A857BF" w14:textId="77777777">
        <w:trPr>
          <w:trHeight w:val="309"/>
        </w:trPr>
        <w:tc>
          <w:tcPr>
            <w:tcW w:w="380" w:type="pct"/>
            <w:shd w:val="clear" w:color="auto" w:fill="C6EFCE"/>
            <w:noWrap/>
            <w:vAlign w:val="center"/>
          </w:tcPr>
          <w:p w14:paraId="4428A3CC" w14:textId="77777777" w:rsidR="006054AA" w:rsidRDefault="001F7667">
            <w:pPr>
              <w:pStyle w:val="P68B1DB1-Normal11"/>
              <w:jc w:val="center"/>
              <w:rPr>
                <w:noProof/>
              </w:rPr>
            </w:pPr>
            <w:r>
              <w:rPr>
                <w:noProof/>
              </w:rPr>
              <w:t>M4C1—26</w:t>
            </w:r>
          </w:p>
        </w:tc>
        <w:tc>
          <w:tcPr>
            <w:tcW w:w="500" w:type="pct"/>
            <w:shd w:val="clear" w:color="auto" w:fill="C6EFCE"/>
            <w:noWrap/>
            <w:vAlign w:val="center"/>
          </w:tcPr>
          <w:p w14:paraId="66209276" w14:textId="77777777" w:rsidR="006054AA" w:rsidRDefault="001F7667">
            <w:pPr>
              <w:pStyle w:val="P68B1DB1-Normal11"/>
              <w:jc w:val="center"/>
              <w:rPr>
                <w:noProof/>
              </w:rPr>
            </w:pPr>
            <w:r>
              <w:rPr>
                <w:noProof/>
              </w:rPr>
              <w:t>Инвестиция 3.3: Сигурност на училищните сгради и план за структурно възстановяване</w:t>
            </w:r>
          </w:p>
        </w:tc>
        <w:tc>
          <w:tcPr>
            <w:tcW w:w="358" w:type="pct"/>
            <w:shd w:val="clear" w:color="auto" w:fill="C6EFCE"/>
            <w:noWrap/>
            <w:vAlign w:val="center"/>
          </w:tcPr>
          <w:p w14:paraId="0A9FB268" w14:textId="77777777" w:rsidR="006054AA" w:rsidRDefault="001F7667">
            <w:pPr>
              <w:pStyle w:val="P68B1DB1-Normal11"/>
              <w:jc w:val="center"/>
              <w:rPr>
                <w:noProof/>
              </w:rPr>
            </w:pPr>
            <w:r>
              <w:rPr>
                <w:noProof/>
              </w:rPr>
              <w:t>Целеви</w:t>
            </w:r>
          </w:p>
        </w:tc>
        <w:tc>
          <w:tcPr>
            <w:tcW w:w="572" w:type="pct"/>
            <w:shd w:val="clear" w:color="auto" w:fill="C6EFCE"/>
            <w:noWrap/>
            <w:vAlign w:val="center"/>
          </w:tcPr>
          <w:p w14:paraId="2B8BE4B9" w14:textId="3BDE76D8" w:rsidR="006054AA" w:rsidRDefault="001F7667">
            <w:pPr>
              <w:pStyle w:val="P68B1DB1-Normal11"/>
              <w:jc w:val="center"/>
              <w:rPr>
                <w:noProof/>
              </w:rPr>
            </w:pPr>
            <w:r>
              <w:rPr>
                <w:noProof/>
              </w:rPr>
              <w:t>Квм на санираните училищни сгради</w:t>
            </w:r>
          </w:p>
        </w:tc>
        <w:tc>
          <w:tcPr>
            <w:tcW w:w="480" w:type="pct"/>
            <w:shd w:val="clear" w:color="auto" w:fill="C6EFCE"/>
            <w:noWrap/>
            <w:vAlign w:val="center"/>
          </w:tcPr>
          <w:p w14:paraId="30D255BD" w14:textId="77777777" w:rsidR="006054AA" w:rsidRDefault="001F7667">
            <w:pPr>
              <w:pStyle w:val="P68B1DB1-Normal11"/>
              <w:jc w:val="center"/>
              <w:rPr>
                <w:noProof/>
              </w:rPr>
            </w:pPr>
            <w:r>
              <w:rPr>
                <w:noProof/>
              </w:rPr>
              <w:t>НЯМА</w:t>
            </w:r>
          </w:p>
        </w:tc>
        <w:tc>
          <w:tcPr>
            <w:tcW w:w="422" w:type="pct"/>
            <w:shd w:val="clear" w:color="auto" w:fill="C6EFCE"/>
            <w:noWrap/>
            <w:vAlign w:val="center"/>
          </w:tcPr>
          <w:p w14:paraId="103006E9" w14:textId="77777777" w:rsidR="006054AA" w:rsidRDefault="001F7667">
            <w:pPr>
              <w:pStyle w:val="P68B1DB1-Normal11"/>
              <w:jc w:val="center"/>
              <w:rPr>
                <w:noProof/>
              </w:rPr>
            </w:pPr>
            <w:r>
              <w:rPr>
                <w:noProof/>
              </w:rPr>
              <w:t>Брой</w:t>
            </w:r>
          </w:p>
        </w:tc>
        <w:tc>
          <w:tcPr>
            <w:tcW w:w="375" w:type="pct"/>
            <w:shd w:val="clear" w:color="auto" w:fill="C6EFCE"/>
            <w:noWrap/>
            <w:vAlign w:val="center"/>
          </w:tcPr>
          <w:p w14:paraId="1D85C48E" w14:textId="77777777" w:rsidR="006054AA" w:rsidRDefault="001F7667">
            <w:pPr>
              <w:pStyle w:val="P68B1DB1-Normal11"/>
              <w:jc w:val="center"/>
              <w:rPr>
                <w:noProof/>
              </w:rPr>
            </w:pPr>
            <w:r>
              <w:rPr>
                <w:noProof/>
              </w:rPr>
              <w:t>0</w:t>
            </w:r>
          </w:p>
        </w:tc>
        <w:tc>
          <w:tcPr>
            <w:tcW w:w="343" w:type="pct"/>
            <w:shd w:val="clear" w:color="auto" w:fill="C6EFCE"/>
            <w:noWrap/>
            <w:vAlign w:val="center"/>
          </w:tcPr>
          <w:p w14:paraId="2FEDED42" w14:textId="49711FAF" w:rsidR="006054AA" w:rsidRDefault="001F7667">
            <w:pPr>
              <w:pStyle w:val="P68B1DB1-Normal11"/>
              <w:jc w:val="center"/>
              <w:rPr>
                <w:noProof/>
              </w:rPr>
            </w:pPr>
            <w:r>
              <w:rPr>
                <w:noProof/>
              </w:rPr>
              <w:t>2 600 000</w:t>
            </w:r>
          </w:p>
        </w:tc>
        <w:tc>
          <w:tcPr>
            <w:tcW w:w="286" w:type="pct"/>
            <w:shd w:val="clear" w:color="auto" w:fill="C6EFCE"/>
            <w:noWrap/>
            <w:vAlign w:val="center"/>
          </w:tcPr>
          <w:p w14:paraId="55B3CBBA" w14:textId="77777777" w:rsidR="006054AA" w:rsidRDefault="001F7667">
            <w:pPr>
              <w:pStyle w:val="P68B1DB1-Normal11"/>
              <w:jc w:val="center"/>
              <w:rPr>
                <w:noProof/>
              </w:rPr>
            </w:pPr>
            <w:r>
              <w:rPr>
                <w:noProof/>
              </w:rPr>
              <w:t>Т2 Г.</w:t>
            </w:r>
          </w:p>
        </w:tc>
        <w:tc>
          <w:tcPr>
            <w:tcW w:w="238" w:type="pct"/>
            <w:shd w:val="clear" w:color="auto" w:fill="C6EFCE"/>
            <w:noWrap/>
            <w:vAlign w:val="center"/>
          </w:tcPr>
          <w:p w14:paraId="6D9B74BC" w14:textId="77777777" w:rsidR="006054AA" w:rsidRDefault="001F7667">
            <w:pPr>
              <w:pStyle w:val="P68B1DB1-Normal11"/>
              <w:jc w:val="center"/>
              <w:rPr>
                <w:noProof/>
              </w:rPr>
            </w:pPr>
            <w:r>
              <w:rPr>
                <w:noProof/>
              </w:rPr>
              <w:t>2026</w:t>
            </w:r>
          </w:p>
        </w:tc>
        <w:tc>
          <w:tcPr>
            <w:tcW w:w="1047" w:type="pct"/>
            <w:shd w:val="clear" w:color="auto" w:fill="C6EFCE"/>
            <w:noWrap/>
            <w:vAlign w:val="center"/>
          </w:tcPr>
          <w:p w14:paraId="7FDA4C26" w14:textId="4420997C" w:rsidR="006054AA" w:rsidRDefault="001F7667">
            <w:pPr>
              <w:pStyle w:val="P68B1DB1-Normal11"/>
              <w:rPr>
                <w:noProof/>
              </w:rPr>
            </w:pPr>
            <w:r>
              <w:rPr>
                <w:noProof/>
              </w:rPr>
              <w:t>Най-малко 2 600 000 Sqm училищни сгради са обновени или реконструирани. С плана за структурно и енергийно преустройство на училищните сгради се очаква да бъде реконструирана обща площ от 2 600 000 кв.м.</w:t>
            </w:r>
          </w:p>
        </w:tc>
      </w:tr>
    </w:tbl>
    <w:p w14:paraId="0CC31A72" w14:textId="77777777" w:rsidR="006054AA" w:rsidRDefault="006054AA">
      <w:pPr>
        <w:tabs>
          <w:tab w:val="left" w:pos="3045"/>
        </w:tabs>
        <w:spacing w:before="120" w:after="120"/>
        <w:jc w:val="both"/>
        <w:rPr>
          <w:b/>
          <w:noProof/>
          <w:u w:val="single"/>
        </w:rPr>
        <w:sectPr w:rsidR="006054AA" w:rsidSect="000D3774">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60"/>
        </w:sectPr>
      </w:pPr>
    </w:p>
    <w:p w14:paraId="082D8ECF" w14:textId="77777777" w:rsidR="006054AA" w:rsidRPr="00940CC8" w:rsidRDefault="001F7667">
      <w:pPr>
        <w:pStyle w:val="Heading3"/>
        <w:numPr>
          <w:ilvl w:val="0"/>
          <w:numId w:val="0"/>
        </w:numPr>
        <w:ind w:left="850" w:hanging="850"/>
        <w:rPr>
          <w:rFonts w:ascii="Segoe UI" w:hAnsi="Segoe UI" w:cs="Segoe UI"/>
          <w:i w:val="0"/>
          <w:iCs/>
          <w:noProof/>
          <w:sz w:val="18"/>
        </w:rPr>
      </w:pPr>
      <w:r w:rsidRPr="00940CC8">
        <w:rPr>
          <w:rStyle w:val="normaltextrun"/>
          <w:b/>
          <w:i w:val="0"/>
          <w:iCs/>
          <w:noProof/>
          <w:u w:val="single"/>
        </w:rPr>
        <w:t>Й.3. Описание на реформите и инвестициите за заема</w:t>
      </w:r>
      <w:r w:rsidRPr="00940CC8">
        <w:rPr>
          <w:rStyle w:val="eop"/>
          <w:i w:val="0"/>
          <w:iCs/>
          <w:noProof/>
        </w:rPr>
        <w:t xml:space="preserve"> </w:t>
      </w:r>
    </w:p>
    <w:p w14:paraId="56CC4EF9" w14:textId="77777777" w:rsidR="006054AA" w:rsidRDefault="001F7667">
      <w:pPr>
        <w:pStyle w:val="paragraph"/>
        <w:spacing w:before="0" w:beforeAutospacing="0" w:after="0" w:afterAutospacing="0"/>
        <w:jc w:val="both"/>
        <w:textAlignment w:val="baseline"/>
        <w:rPr>
          <w:rStyle w:val="normaltextrun"/>
          <w:rFonts w:ascii="Segoe UI" w:hAnsi="Segoe UI" w:cs="Segoe UI"/>
          <w:noProof/>
          <w:sz w:val="18"/>
        </w:rPr>
      </w:pPr>
      <w:r>
        <w:rPr>
          <w:rStyle w:val="eop"/>
          <w:noProof/>
        </w:rPr>
        <w:t xml:space="preserve"> </w:t>
      </w:r>
    </w:p>
    <w:p w14:paraId="76FE9400" w14:textId="77777777" w:rsidR="006054AA" w:rsidRDefault="001F7667">
      <w:pPr>
        <w:pStyle w:val="paragraph"/>
        <w:spacing w:before="0" w:beforeAutospacing="0" w:after="0" w:afterAutospacing="0"/>
        <w:jc w:val="both"/>
        <w:textAlignment w:val="baseline"/>
        <w:rPr>
          <w:rFonts w:ascii="Segoe UI" w:hAnsi="Segoe UI" w:cs="Segoe UI"/>
          <w:noProof/>
          <w:sz w:val="18"/>
        </w:rPr>
      </w:pPr>
      <w:r>
        <w:rPr>
          <w:rStyle w:val="normaltextrun"/>
          <w:b/>
          <w:noProof/>
        </w:rPr>
        <w:t xml:space="preserve">Реформа 1.7: Реформа на регулирането на студентското жилищно настаняване и инвестиции в студентски жилища </w:t>
      </w:r>
      <w:r>
        <w:rPr>
          <w:rStyle w:val="eop"/>
          <w:noProof/>
        </w:rPr>
        <w:t xml:space="preserve"> </w:t>
      </w:r>
    </w:p>
    <w:p w14:paraId="1F80B345" w14:textId="77777777" w:rsidR="006054AA" w:rsidRDefault="006054AA">
      <w:pPr>
        <w:pStyle w:val="paragraph"/>
        <w:spacing w:before="0" w:beforeAutospacing="0" w:after="0" w:afterAutospacing="0"/>
        <w:jc w:val="both"/>
        <w:textAlignment w:val="baseline"/>
        <w:rPr>
          <w:rStyle w:val="normaltextrun"/>
          <w:noProof/>
          <w:sz w:val="22"/>
        </w:rPr>
      </w:pPr>
    </w:p>
    <w:p w14:paraId="276A2DDE" w14:textId="77777777" w:rsidR="006054AA" w:rsidRDefault="001F7667">
      <w:pPr>
        <w:pStyle w:val="paragraph"/>
        <w:spacing w:before="0" w:beforeAutospacing="0" w:after="120" w:afterAutospacing="0"/>
        <w:jc w:val="both"/>
        <w:textAlignment w:val="baseline"/>
        <w:rPr>
          <w:rFonts w:ascii="Segoe UI" w:hAnsi="Segoe UI" w:cs="Segoe UI"/>
          <w:noProof/>
        </w:rPr>
      </w:pPr>
      <w:r>
        <w:rPr>
          <w:rStyle w:val="normaltextrun"/>
          <w:noProof/>
        </w:rPr>
        <w:t xml:space="preserve">Реформата има за цел да насърчи частните и публичните субекти да създадат съоръжения за настаняване на студенти, като Министерството на университетите и научните изследвания допринася за част от приходите от наем през първите три години от функционирането на структурите. Целта е да се увеличат наличните места за извънучилищни ученици до 2026 г.  </w:t>
      </w:r>
    </w:p>
    <w:p w14:paraId="2F6E6249" w14:textId="57E2B3D9" w:rsidR="006054AA" w:rsidRDefault="001F7667">
      <w:pPr>
        <w:pStyle w:val="paragraph"/>
        <w:spacing w:before="0" w:beforeAutospacing="0" w:after="120" w:afterAutospacing="0"/>
        <w:jc w:val="both"/>
        <w:textAlignment w:val="baseline"/>
        <w:rPr>
          <w:rFonts w:ascii="Segoe UI" w:hAnsi="Segoe UI" w:cs="Segoe UI"/>
          <w:noProof/>
        </w:rPr>
      </w:pPr>
      <w:r>
        <w:rPr>
          <w:rStyle w:val="normaltextrun"/>
          <w:noProof/>
        </w:rPr>
        <w:t>Предвидената инвестиция има за цел да добави 60</w:t>
      </w:r>
      <w:r>
        <w:rPr>
          <w:rFonts w:ascii="Arial Narrow" w:hAnsi="Arial Narrow"/>
          <w:noProof/>
          <w:color w:val="006100"/>
          <w:sz w:val="20"/>
        </w:rPr>
        <w:t xml:space="preserve"> </w:t>
      </w:r>
      <w:r>
        <w:rPr>
          <w:rStyle w:val="normaltextrun"/>
          <w:noProof/>
        </w:rPr>
        <w:t xml:space="preserve">000 спални места за настаняване, като по този начин значително се намали разликата между Италия и средната стойност за ЕС по отношение на дела на студентите, на които е предоставено жилищно настаняване. Тя има за цел да гарантира широк достъп до жилищно настаняване, така че разумен брой студенти да могат да си позволят напреднало образование в предпочитаната от тях област и местоположение, независимо от социално-икономическия им произход. За тази цел 30 % от новите места се запазват за студенти в социално-икономически затруднения, както са определени от така наречените организации за „Diritto allo Studio“ (право на учебни организации).   </w:t>
      </w:r>
    </w:p>
    <w:p w14:paraId="38BD4CAF" w14:textId="7CA7112D" w:rsidR="006054AA" w:rsidRDefault="001F7667">
      <w:pPr>
        <w:pStyle w:val="paragraph"/>
        <w:spacing w:before="0" w:beforeAutospacing="0" w:after="120" w:afterAutospacing="0"/>
        <w:jc w:val="both"/>
        <w:textAlignment w:val="baseline"/>
        <w:rPr>
          <w:rFonts w:ascii="Segoe UI" w:hAnsi="Segoe UI" w:cs="Segoe UI"/>
          <w:noProof/>
        </w:rPr>
      </w:pPr>
      <w:r>
        <w:rPr>
          <w:rStyle w:val="normaltextrun"/>
          <w:noProof/>
        </w:rPr>
        <w:t xml:space="preserve">Наемната такса за студенти се определя най-малко с 15 % по-ниска от тази на местните пазарни цени. </w:t>
      </w:r>
    </w:p>
    <w:p w14:paraId="513397F6" w14:textId="77777777" w:rsidR="006054AA" w:rsidRDefault="001F7667">
      <w:pPr>
        <w:pStyle w:val="paragraph"/>
        <w:spacing w:before="0" w:beforeAutospacing="0" w:after="120" w:afterAutospacing="0"/>
        <w:jc w:val="both"/>
        <w:textAlignment w:val="baseline"/>
        <w:rPr>
          <w:rFonts w:ascii="Segoe UI" w:hAnsi="Segoe UI" w:cs="Segoe UI"/>
          <w:noProof/>
        </w:rPr>
      </w:pPr>
      <w:r>
        <w:rPr>
          <w:rStyle w:val="normaltextrun"/>
          <w:noProof/>
        </w:rPr>
        <w:t xml:space="preserve">Инвестицията не включва възлагането на обществени поръчки за котли на природен газ.  </w:t>
      </w:r>
    </w:p>
    <w:p w14:paraId="5DE91152" w14:textId="5EF385E8" w:rsidR="006054AA" w:rsidRDefault="001F7667">
      <w:pPr>
        <w:pStyle w:val="paragraph"/>
        <w:spacing w:before="0" w:beforeAutospacing="0" w:after="120" w:afterAutospacing="0"/>
        <w:jc w:val="both"/>
        <w:textAlignment w:val="baseline"/>
        <w:rPr>
          <w:rFonts w:ascii="Segoe UI" w:hAnsi="Segoe UI" w:cs="Segoe UI"/>
          <w:noProof/>
        </w:rPr>
      </w:pPr>
      <w:r>
        <w:rPr>
          <w:rStyle w:val="normaltextrun"/>
          <w:noProof/>
        </w:rPr>
        <w:t xml:space="preserve">Улесненията, които вече са били използвани за целите на студентското жилищно настаняване преди отправянето на съответната покана за представяне на проекти, не могат да бъдат отчитани за целите. За да се постигне крайната цел на създадените легла, поканите за представяне на проекти се обявяват между 2021 г. и 2025 г. </w:t>
      </w:r>
    </w:p>
    <w:p w14:paraId="514A6934" w14:textId="77777777" w:rsidR="006054AA" w:rsidRPr="00940CC8" w:rsidRDefault="001F7667">
      <w:pPr>
        <w:pStyle w:val="Heading3"/>
        <w:numPr>
          <w:ilvl w:val="0"/>
          <w:numId w:val="0"/>
        </w:numPr>
        <w:ind w:left="850" w:hanging="850"/>
        <w:rPr>
          <w:rFonts w:ascii="Segoe UI" w:hAnsi="Segoe UI" w:cs="Segoe UI"/>
          <w:i w:val="0"/>
          <w:iCs/>
          <w:noProof/>
          <w:sz w:val="18"/>
        </w:rPr>
      </w:pPr>
      <w:r w:rsidRPr="00940CC8">
        <w:rPr>
          <w:rStyle w:val="normaltextrun"/>
          <w:b/>
          <w:i w:val="0"/>
          <w:iCs/>
          <w:noProof/>
          <w:u w:val="single"/>
        </w:rPr>
        <w:t>Й.4. Ключови етапи, цели, показатели и график за мониторинг и изпълнение на заема</w:t>
      </w:r>
      <w:r w:rsidRPr="00940CC8">
        <w:rPr>
          <w:rStyle w:val="eop"/>
          <w:i w:val="0"/>
          <w:iCs/>
          <w:noProof/>
        </w:rPr>
        <w:t xml:space="preserve"> </w:t>
      </w:r>
    </w:p>
    <w:p w14:paraId="2EB2D7BE" w14:textId="77777777" w:rsidR="006054AA" w:rsidRPr="00940CC8" w:rsidRDefault="006054AA">
      <w:pPr>
        <w:spacing w:before="120" w:after="120"/>
        <w:ind w:left="709"/>
        <w:contextualSpacing/>
        <w:jc w:val="both"/>
        <w:rPr>
          <w:iCs/>
          <w:noProof/>
        </w:rPr>
        <w:sectPr w:rsidR="006054AA" w:rsidRPr="00940CC8" w:rsidSect="000D3774">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133"/>
        <w:gridCol w:w="1418"/>
        <w:gridCol w:w="1702"/>
        <w:gridCol w:w="1690"/>
        <w:gridCol w:w="1148"/>
        <w:gridCol w:w="1133"/>
        <w:gridCol w:w="848"/>
        <w:gridCol w:w="900"/>
        <w:gridCol w:w="710"/>
        <w:gridCol w:w="3264"/>
      </w:tblGrid>
      <w:tr w:rsidR="006054AA" w14:paraId="6F093A09" w14:textId="77777777">
        <w:trPr>
          <w:trHeight w:val="939"/>
          <w:tblHeader/>
          <w:jc w:val="center"/>
        </w:trPr>
        <w:tc>
          <w:tcPr>
            <w:tcW w:w="445" w:type="pct"/>
            <w:vMerge w:val="restart"/>
            <w:shd w:val="clear" w:color="auto" w:fill="BDD7EE"/>
            <w:vAlign w:val="center"/>
            <w:hideMark/>
          </w:tcPr>
          <w:p w14:paraId="1E0B646D" w14:textId="77777777" w:rsidR="006054AA" w:rsidRDefault="001F7667">
            <w:pPr>
              <w:pStyle w:val="P68B1DB1-Normal9"/>
              <w:jc w:val="center"/>
              <w:rPr>
                <w:noProof/>
              </w:rPr>
            </w:pPr>
            <w:r>
              <w:rPr>
                <w:noProof/>
              </w:rPr>
              <w:t>Пореден номер</w:t>
            </w:r>
          </w:p>
        </w:tc>
        <w:tc>
          <w:tcPr>
            <w:tcW w:w="370" w:type="pct"/>
            <w:vMerge w:val="restart"/>
            <w:shd w:val="clear" w:color="auto" w:fill="BDD7EE"/>
            <w:vAlign w:val="center"/>
            <w:hideMark/>
          </w:tcPr>
          <w:p w14:paraId="36185941" w14:textId="77777777" w:rsidR="006054AA" w:rsidRDefault="001F7667">
            <w:pPr>
              <w:pStyle w:val="P68B1DB1-Normal9"/>
              <w:jc w:val="center"/>
              <w:rPr>
                <w:noProof/>
              </w:rPr>
            </w:pPr>
            <w:r>
              <w:rPr>
                <w:noProof/>
              </w:rPr>
              <w:t>Свързана мярка (реформа или инвестиции)</w:t>
            </w:r>
          </w:p>
        </w:tc>
        <w:tc>
          <w:tcPr>
            <w:tcW w:w="463" w:type="pct"/>
            <w:vMerge w:val="restart"/>
            <w:shd w:val="clear" w:color="auto" w:fill="BDD7EE"/>
            <w:vAlign w:val="center"/>
            <w:hideMark/>
          </w:tcPr>
          <w:p w14:paraId="5F24DA2B" w14:textId="77777777" w:rsidR="006054AA" w:rsidRDefault="001F7667">
            <w:pPr>
              <w:pStyle w:val="P68B1DB1-Normal9"/>
              <w:jc w:val="center"/>
              <w:rPr>
                <w:noProof/>
              </w:rPr>
            </w:pPr>
            <w:r>
              <w:rPr>
                <w:noProof/>
              </w:rPr>
              <w:t>Ключов етап/Цел</w:t>
            </w:r>
          </w:p>
        </w:tc>
        <w:tc>
          <w:tcPr>
            <w:tcW w:w="556" w:type="pct"/>
            <w:vMerge w:val="restart"/>
            <w:shd w:val="clear" w:color="auto" w:fill="BDD7EE"/>
            <w:vAlign w:val="center"/>
            <w:hideMark/>
          </w:tcPr>
          <w:p w14:paraId="23D28F5F" w14:textId="77777777" w:rsidR="006054AA" w:rsidRDefault="001F7667">
            <w:pPr>
              <w:pStyle w:val="P68B1DB1-Normal9"/>
              <w:jc w:val="center"/>
              <w:rPr>
                <w:noProof/>
              </w:rPr>
            </w:pPr>
            <w:r>
              <w:rPr>
                <w:noProof/>
              </w:rPr>
              <w:t>Име</w:t>
            </w:r>
          </w:p>
        </w:tc>
        <w:tc>
          <w:tcPr>
            <w:tcW w:w="552" w:type="pct"/>
            <w:vMerge w:val="restart"/>
            <w:shd w:val="clear" w:color="auto" w:fill="BDD7EE"/>
            <w:vAlign w:val="center"/>
            <w:hideMark/>
          </w:tcPr>
          <w:p w14:paraId="5FD2EAA1"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1022" w:type="pct"/>
            <w:gridSpan w:val="3"/>
            <w:shd w:val="clear" w:color="auto" w:fill="BDD7EE"/>
            <w:vAlign w:val="center"/>
            <w:hideMark/>
          </w:tcPr>
          <w:p w14:paraId="39800864"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526" w:type="pct"/>
            <w:gridSpan w:val="2"/>
            <w:shd w:val="clear" w:color="auto" w:fill="BDD7EE"/>
            <w:vAlign w:val="center"/>
            <w:hideMark/>
          </w:tcPr>
          <w:p w14:paraId="7FCEBF5D" w14:textId="77777777" w:rsidR="006054AA" w:rsidRDefault="001F7667">
            <w:pPr>
              <w:pStyle w:val="P68B1DB1-Normal9"/>
              <w:jc w:val="center"/>
              <w:rPr>
                <w:noProof/>
              </w:rPr>
            </w:pPr>
            <w:r>
              <w:rPr>
                <w:noProof/>
              </w:rPr>
              <w:t>Примерен график за приключване</w:t>
            </w:r>
          </w:p>
        </w:tc>
        <w:tc>
          <w:tcPr>
            <w:tcW w:w="1066" w:type="pct"/>
            <w:vMerge w:val="restart"/>
            <w:shd w:val="clear" w:color="auto" w:fill="BDD7EE"/>
            <w:vAlign w:val="center"/>
            <w:hideMark/>
          </w:tcPr>
          <w:p w14:paraId="39904739" w14:textId="77777777" w:rsidR="006054AA" w:rsidRDefault="001F7667">
            <w:pPr>
              <w:pStyle w:val="P68B1DB1-Normal9"/>
              <w:jc w:val="center"/>
              <w:rPr>
                <w:noProof/>
              </w:rPr>
            </w:pPr>
            <w:r>
              <w:rPr>
                <w:noProof/>
              </w:rPr>
              <w:t>Описание на всеки ключов етап и цел</w:t>
            </w:r>
          </w:p>
        </w:tc>
      </w:tr>
      <w:tr w:rsidR="006054AA" w14:paraId="64DBB87F" w14:textId="77777777">
        <w:trPr>
          <w:trHeight w:val="1027"/>
          <w:jc w:val="center"/>
        </w:trPr>
        <w:tc>
          <w:tcPr>
            <w:tcW w:w="445" w:type="pct"/>
            <w:vMerge/>
            <w:vAlign w:val="center"/>
            <w:hideMark/>
          </w:tcPr>
          <w:p w14:paraId="50044D6D" w14:textId="77777777" w:rsidR="006054AA" w:rsidRDefault="006054AA">
            <w:pPr>
              <w:jc w:val="center"/>
              <w:rPr>
                <w:rFonts w:ascii="Arial Narrow" w:hAnsi="Arial Narrow"/>
                <w:b/>
                <w:noProof/>
                <w:sz w:val="20"/>
              </w:rPr>
            </w:pPr>
          </w:p>
        </w:tc>
        <w:tc>
          <w:tcPr>
            <w:tcW w:w="370" w:type="pct"/>
            <w:vMerge/>
            <w:vAlign w:val="center"/>
            <w:hideMark/>
          </w:tcPr>
          <w:p w14:paraId="501B26A3" w14:textId="77777777" w:rsidR="006054AA" w:rsidRDefault="006054AA">
            <w:pPr>
              <w:jc w:val="center"/>
              <w:rPr>
                <w:rFonts w:ascii="Arial Narrow" w:hAnsi="Arial Narrow"/>
                <w:b/>
                <w:noProof/>
                <w:sz w:val="20"/>
              </w:rPr>
            </w:pPr>
          </w:p>
        </w:tc>
        <w:tc>
          <w:tcPr>
            <w:tcW w:w="463" w:type="pct"/>
            <w:vMerge/>
            <w:vAlign w:val="center"/>
            <w:hideMark/>
          </w:tcPr>
          <w:p w14:paraId="3CA62577" w14:textId="77777777" w:rsidR="006054AA" w:rsidRDefault="006054AA">
            <w:pPr>
              <w:jc w:val="center"/>
              <w:rPr>
                <w:rFonts w:ascii="Arial Narrow" w:hAnsi="Arial Narrow"/>
                <w:b/>
                <w:noProof/>
                <w:sz w:val="20"/>
              </w:rPr>
            </w:pPr>
          </w:p>
        </w:tc>
        <w:tc>
          <w:tcPr>
            <w:tcW w:w="556" w:type="pct"/>
            <w:vMerge/>
            <w:vAlign w:val="center"/>
            <w:hideMark/>
          </w:tcPr>
          <w:p w14:paraId="4CF80F6F" w14:textId="77777777" w:rsidR="006054AA" w:rsidRDefault="006054AA">
            <w:pPr>
              <w:jc w:val="center"/>
              <w:rPr>
                <w:rFonts w:ascii="Arial Narrow" w:hAnsi="Arial Narrow"/>
                <w:b/>
                <w:noProof/>
                <w:sz w:val="20"/>
              </w:rPr>
            </w:pPr>
          </w:p>
        </w:tc>
        <w:tc>
          <w:tcPr>
            <w:tcW w:w="552" w:type="pct"/>
            <w:vMerge/>
            <w:vAlign w:val="center"/>
            <w:hideMark/>
          </w:tcPr>
          <w:p w14:paraId="637500EB" w14:textId="77777777" w:rsidR="006054AA" w:rsidRDefault="006054AA">
            <w:pPr>
              <w:jc w:val="center"/>
              <w:rPr>
                <w:rFonts w:ascii="Arial Narrow" w:hAnsi="Arial Narrow"/>
                <w:b/>
                <w:noProof/>
                <w:sz w:val="20"/>
              </w:rPr>
            </w:pPr>
          </w:p>
        </w:tc>
        <w:tc>
          <w:tcPr>
            <w:tcW w:w="375" w:type="pct"/>
            <w:shd w:val="clear" w:color="auto" w:fill="BDD7EE"/>
            <w:vAlign w:val="center"/>
            <w:hideMark/>
          </w:tcPr>
          <w:p w14:paraId="1AB13148" w14:textId="77777777" w:rsidR="006054AA" w:rsidRDefault="001F7667">
            <w:pPr>
              <w:pStyle w:val="P68B1DB1-Normal9"/>
              <w:jc w:val="center"/>
              <w:rPr>
                <w:noProof/>
              </w:rPr>
            </w:pPr>
            <w:r>
              <w:rPr>
                <w:noProof/>
              </w:rPr>
              <w:t>Единица мярка</w:t>
            </w:r>
          </w:p>
        </w:tc>
        <w:tc>
          <w:tcPr>
            <w:tcW w:w="370" w:type="pct"/>
            <w:shd w:val="clear" w:color="auto" w:fill="BDD7EE"/>
            <w:vAlign w:val="center"/>
            <w:hideMark/>
          </w:tcPr>
          <w:p w14:paraId="1ABC5EF1" w14:textId="77777777" w:rsidR="006054AA" w:rsidRDefault="001F7667">
            <w:pPr>
              <w:pStyle w:val="P68B1DB1-Normal9"/>
              <w:jc w:val="center"/>
              <w:rPr>
                <w:noProof/>
              </w:rPr>
            </w:pPr>
            <w:r>
              <w:rPr>
                <w:noProof/>
              </w:rPr>
              <w:t>Базова линия</w:t>
            </w:r>
          </w:p>
        </w:tc>
        <w:tc>
          <w:tcPr>
            <w:tcW w:w="277" w:type="pct"/>
            <w:shd w:val="clear" w:color="auto" w:fill="BDD7EE"/>
            <w:vAlign w:val="center"/>
            <w:hideMark/>
          </w:tcPr>
          <w:p w14:paraId="4792F77A" w14:textId="77777777" w:rsidR="006054AA" w:rsidRDefault="001F7667">
            <w:pPr>
              <w:pStyle w:val="P68B1DB1-Normal9"/>
              <w:jc w:val="center"/>
              <w:rPr>
                <w:noProof/>
              </w:rPr>
            </w:pPr>
            <w:r>
              <w:rPr>
                <w:noProof/>
              </w:rPr>
              <w:t>Цел</w:t>
            </w:r>
          </w:p>
        </w:tc>
        <w:tc>
          <w:tcPr>
            <w:tcW w:w="294" w:type="pct"/>
            <w:shd w:val="clear" w:color="auto" w:fill="BDD7EE"/>
            <w:vAlign w:val="center"/>
            <w:hideMark/>
          </w:tcPr>
          <w:p w14:paraId="6C2CD870" w14:textId="77777777" w:rsidR="006054AA" w:rsidRDefault="001F7667">
            <w:pPr>
              <w:pStyle w:val="P68B1DB1-Normal9"/>
              <w:jc w:val="center"/>
              <w:rPr>
                <w:noProof/>
              </w:rPr>
            </w:pPr>
            <w:r>
              <w:rPr>
                <w:noProof/>
              </w:rPr>
              <w:t>Тримесечие</w:t>
            </w:r>
          </w:p>
        </w:tc>
        <w:tc>
          <w:tcPr>
            <w:tcW w:w="232" w:type="pct"/>
            <w:shd w:val="clear" w:color="auto" w:fill="BDD7EE"/>
            <w:vAlign w:val="center"/>
            <w:hideMark/>
          </w:tcPr>
          <w:p w14:paraId="0F7827B8" w14:textId="77777777" w:rsidR="006054AA" w:rsidRDefault="001F7667">
            <w:pPr>
              <w:pStyle w:val="P68B1DB1-Normal9"/>
              <w:jc w:val="center"/>
              <w:rPr>
                <w:noProof/>
              </w:rPr>
            </w:pPr>
            <w:r>
              <w:rPr>
                <w:noProof/>
              </w:rPr>
              <w:t>Година</w:t>
            </w:r>
          </w:p>
        </w:tc>
        <w:tc>
          <w:tcPr>
            <w:tcW w:w="1066" w:type="pct"/>
            <w:vMerge/>
            <w:vAlign w:val="center"/>
            <w:hideMark/>
          </w:tcPr>
          <w:p w14:paraId="0F986808" w14:textId="77777777" w:rsidR="006054AA" w:rsidRDefault="006054AA">
            <w:pPr>
              <w:rPr>
                <w:rFonts w:ascii="Arial Narrow" w:hAnsi="Arial Narrow"/>
                <w:b/>
                <w:noProof/>
                <w:sz w:val="20"/>
              </w:rPr>
            </w:pPr>
          </w:p>
        </w:tc>
      </w:tr>
      <w:tr w:rsidR="006054AA" w14:paraId="0F4B3D77" w14:textId="77777777">
        <w:trPr>
          <w:trHeight w:val="313"/>
          <w:jc w:val="center"/>
        </w:trPr>
        <w:tc>
          <w:tcPr>
            <w:tcW w:w="445" w:type="pct"/>
            <w:shd w:val="clear" w:color="auto" w:fill="C6EFCE"/>
            <w:noWrap/>
            <w:vAlign w:val="center"/>
            <w:hideMark/>
          </w:tcPr>
          <w:p w14:paraId="5C41C5D0" w14:textId="77777777" w:rsidR="006054AA" w:rsidRDefault="001F7667">
            <w:pPr>
              <w:pStyle w:val="P68B1DB1-Normal11"/>
              <w:jc w:val="center"/>
              <w:rPr>
                <w:noProof/>
              </w:rPr>
            </w:pPr>
            <w:r>
              <w:rPr>
                <w:noProof/>
              </w:rPr>
              <w:t>M4C1—27</w:t>
            </w:r>
          </w:p>
        </w:tc>
        <w:tc>
          <w:tcPr>
            <w:tcW w:w="370" w:type="pct"/>
            <w:shd w:val="clear" w:color="auto" w:fill="C6EFCE"/>
            <w:noWrap/>
            <w:vAlign w:val="center"/>
          </w:tcPr>
          <w:p w14:paraId="624EA90F" w14:textId="77777777" w:rsidR="006054AA" w:rsidRDefault="001F7667">
            <w:pPr>
              <w:pStyle w:val="P68B1DB1-Normal11"/>
              <w:jc w:val="center"/>
              <w:rPr>
                <w:noProof/>
              </w:rPr>
            </w:pPr>
            <w:r>
              <w:rPr>
                <w:noProof/>
              </w:rPr>
              <w:t>Реформа 1.7: Реформа на регулирането на студентското жилищно настаняване и инвестиции в студентски жилища</w:t>
            </w:r>
          </w:p>
        </w:tc>
        <w:tc>
          <w:tcPr>
            <w:tcW w:w="463" w:type="pct"/>
            <w:shd w:val="clear" w:color="auto" w:fill="C6EFCE"/>
            <w:noWrap/>
            <w:vAlign w:val="center"/>
            <w:hideMark/>
          </w:tcPr>
          <w:p w14:paraId="7EB87EE2" w14:textId="77777777" w:rsidR="006054AA" w:rsidRDefault="001F7667">
            <w:pPr>
              <w:pStyle w:val="P68B1DB1-Normal11"/>
              <w:jc w:val="center"/>
              <w:rPr>
                <w:noProof/>
              </w:rPr>
            </w:pPr>
            <w:r>
              <w:rPr>
                <w:noProof/>
              </w:rPr>
              <w:t>Ключов етап</w:t>
            </w:r>
          </w:p>
        </w:tc>
        <w:tc>
          <w:tcPr>
            <w:tcW w:w="556" w:type="pct"/>
            <w:shd w:val="clear" w:color="auto" w:fill="C6EFCE"/>
            <w:noWrap/>
            <w:vAlign w:val="center"/>
          </w:tcPr>
          <w:p w14:paraId="06E8AD86" w14:textId="77777777" w:rsidR="006054AA" w:rsidRDefault="001F7667">
            <w:pPr>
              <w:pStyle w:val="P68B1DB1-Normal11"/>
              <w:jc w:val="center"/>
              <w:rPr>
                <w:noProof/>
              </w:rPr>
            </w:pPr>
            <w:r>
              <w:rPr>
                <w:noProof/>
              </w:rPr>
              <w:t>Влизане в сила на законодателство за изменение на действащите правила за студентските жилища.</w:t>
            </w:r>
          </w:p>
        </w:tc>
        <w:tc>
          <w:tcPr>
            <w:tcW w:w="552" w:type="pct"/>
            <w:shd w:val="clear" w:color="auto" w:fill="C6EFCE"/>
            <w:noWrap/>
            <w:vAlign w:val="center"/>
            <w:hideMark/>
          </w:tcPr>
          <w:p w14:paraId="2755A641" w14:textId="77777777" w:rsidR="006054AA" w:rsidRDefault="001F7667">
            <w:pPr>
              <w:pStyle w:val="P68B1DB1-Normal11"/>
              <w:jc w:val="center"/>
              <w:rPr>
                <w:noProof/>
              </w:rPr>
            </w:pPr>
            <w:r>
              <w:rPr>
                <w:noProof/>
              </w:rPr>
              <w:t>Законова разпоредба, указваща влизането в сила на законодателството.</w:t>
            </w:r>
          </w:p>
        </w:tc>
        <w:tc>
          <w:tcPr>
            <w:tcW w:w="375" w:type="pct"/>
            <w:shd w:val="clear" w:color="auto" w:fill="C6EFCE"/>
            <w:noWrap/>
            <w:vAlign w:val="center"/>
            <w:hideMark/>
          </w:tcPr>
          <w:p w14:paraId="1BD7C469" w14:textId="77777777" w:rsidR="006054AA" w:rsidRDefault="001F7667">
            <w:pPr>
              <w:pStyle w:val="P68B1DB1-Normal11"/>
              <w:jc w:val="center"/>
              <w:rPr>
                <w:noProof/>
              </w:rPr>
            </w:pPr>
            <w:r>
              <w:rPr>
                <w:noProof/>
              </w:rPr>
              <w:t>НЯМА</w:t>
            </w:r>
          </w:p>
        </w:tc>
        <w:tc>
          <w:tcPr>
            <w:tcW w:w="370" w:type="pct"/>
            <w:shd w:val="clear" w:color="auto" w:fill="C6EFCE"/>
            <w:noWrap/>
            <w:vAlign w:val="center"/>
          </w:tcPr>
          <w:p w14:paraId="3F96BDD8" w14:textId="77777777" w:rsidR="006054AA" w:rsidRDefault="001F7667">
            <w:pPr>
              <w:pStyle w:val="P68B1DB1-Normal11"/>
              <w:jc w:val="center"/>
              <w:rPr>
                <w:noProof/>
              </w:rPr>
            </w:pPr>
            <w:r>
              <w:rPr>
                <w:noProof/>
              </w:rPr>
              <w:t>НЯМА</w:t>
            </w:r>
          </w:p>
        </w:tc>
        <w:tc>
          <w:tcPr>
            <w:tcW w:w="277" w:type="pct"/>
            <w:shd w:val="clear" w:color="auto" w:fill="C6EFCE"/>
            <w:noWrap/>
            <w:vAlign w:val="center"/>
          </w:tcPr>
          <w:p w14:paraId="14FDEF2C" w14:textId="77777777" w:rsidR="006054AA" w:rsidRDefault="001F7667">
            <w:pPr>
              <w:pStyle w:val="P68B1DB1-Normal11"/>
              <w:jc w:val="center"/>
              <w:rPr>
                <w:noProof/>
              </w:rPr>
            </w:pPr>
            <w:r>
              <w:rPr>
                <w:noProof/>
              </w:rPr>
              <w:t>НЯМА</w:t>
            </w:r>
          </w:p>
        </w:tc>
        <w:tc>
          <w:tcPr>
            <w:tcW w:w="294" w:type="pct"/>
            <w:shd w:val="clear" w:color="auto" w:fill="C6EFCE"/>
            <w:noWrap/>
            <w:vAlign w:val="center"/>
            <w:hideMark/>
          </w:tcPr>
          <w:p w14:paraId="6CCD2D72" w14:textId="77777777" w:rsidR="006054AA" w:rsidRDefault="001F7667">
            <w:pPr>
              <w:pStyle w:val="P68B1DB1-Normal11"/>
              <w:jc w:val="center"/>
              <w:rPr>
                <w:noProof/>
              </w:rPr>
            </w:pPr>
            <w:r>
              <w:rPr>
                <w:noProof/>
              </w:rPr>
              <w:t>Т4 Г.</w:t>
            </w:r>
          </w:p>
        </w:tc>
        <w:tc>
          <w:tcPr>
            <w:tcW w:w="232" w:type="pct"/>
            <w:shd w:val="clear" w:color="auto" w:fill="C6EFCE"/>
            <w:noWrap/>
            <w:vAlign w:val="center"/>
            <w:hideMark/>
          </w:tcPr>
          <w:p w14:paraId="16554CAD" w14:textId="77777777" w:rsidR="006054AA" w:rsidRDefault="001F7667">
            <w:pPr>
              <w:pStyle w:val="P68B1DB1-Normal11"/>
              <w:jc w:val="center"/>
              <w:rPr>
                <w:noProof/>
              </w:rPr>
            </w:pPr>
            <w:r>
              <w:rPr>
                <w:noProof/>
              </w:rPr>
              <w:t>2021</w:t>
            </w:r>
          </w:p>
        </w:tc>
        <w:tc>
          <w:tcPr>
            <w:tcW w:w="1066" w:type="pct"/>
            <w:shd w:val="clear" w:color="auto" w:fill="C6EFCE"/>
            <w:noWrap/>
            <w:vAlign w:val="center"/>
            <w:hideMark/>
          </w:tcPr>
          <w:p w14:paraId="616B4FCE" w14:textId="77777777" w:rsidR="006054AA" w:rsidRDefault="001F7667">
            <w:pPr>
              <w:pStyle w:val="P68B1DB1-Normal10"/>
              <w:rPr>
                <w:noProof/>
                <w:color w:val="006100"/>
                <w:sz w:val="20"/>
              </w:rPr>
            </w:pPr>
            <w:r>
              <w:rPr>
                <w:noProof/>
                <w:color w:val="006100"/>
                <w:sz w:val="20"/>
              </w:rPr>
              <w:t>Преразгледаното законодателство:</w:t>
            </w:r>
            <w:r>
              <w:rPr>
                <w:noProof/>
              </w:rPr>
              <w:t xml:space="preserve"> </w:t>
            </w:r>
            <w:r>
              <w:rPr>
                <w:noProof/>
              </w:rPr>
              <w:br/>
            </w:r>
            <w:r>
              <w:rPr>
                <w:noProof/>
                <w:color w:val="006100"/>
                <w:sz w:val="20"/>
              </w:rPr>
              <w:t>Изменение на действащите правила за студентските жилища (Закон 338/2000 и Законодателен декрет № 68/2012) с цел:</w:t>
            </w:r>
          </w:p>
          <w:p w14:paraId="6CE16C32" w14:textId="77777777" w:rsidR="006054AA" w:rsidRDefault="001F7667">
            <w:pPr>
              <w:pStyle w:val="P68B1DB1-Normal11"/>
              <w:rPr>
                <w:noProof/>
              </w:rPr>
            </w:pPr>
            <w:r>
              <w:rPr>
                <w:noProof/>
              </w:rPr>
              <w:t>(1). Насърчаване на преструктурирането и санирането на структури вместо на нови сгради на зелено (с по-голям процент на съвместно основаване, понастоящем 50 %), с най-висок екологичен стандарт, който трябва да се гарантира от представените проекти;</w:t>
            </w:r>
          </w:p>
          <w:p w14:paraId="1F00BC9E" w14:textId="77777777" w:rsidR="006054AA" w:rsidRDefault="006054AA">
            <w:pPr>
              <w:rPr>
                <w:rFonts w:ascii="Arial Narrow" w:hAnsi="Arial Narrow"/>
                <w:noProof/>
                <w:color w:val="006100"/>
                <w:sz w:val="20"/>
              </w:rPr>
            </w:pPr>
          </w:p>
          <w:p w14:paraId="7A50B603" w14:textId="77777777" w:rsidR="006054AA" w:rsidRDefault="001F7667">
            <w:pPr>
              <w:pStyle w:val="P68B1DB1-Normal11"/>
              <w:rPr>
                <w:noProof/>
              </w:rPr>
            </w:pPr>
            <w:r>
              <w:rPr>
                <w:noProof/>
              </w:rPr>
              <w:t>(2). Опростяване, също благодарение на цифровизацията, представянето и подбора на проекти и следователно на графика за изпълнение;</w:t>
            </w:r>
          </w:p>
          <w:p w14:paraId="05638F46" w14:textId="77777777" w:rsidR="006054AA" w:rsidRDefault="006054AA">
            <w:pPr>
              <w:rPr>
                <w:rFonts w:ascii="Arial Narrow" w:hAnsi="Arial Narrow"/>
                <w:noProof/>
                <w:color w:val="006100"/>
                <w:sz w:val="20"/>
              </w:rPr>
            </w:pPr>
          </w:p>
          <w:p w14:paraId="4FCDD4B6" w14:textId="577BDF79" w:rsidR="006054AA" w:rsidRDefault="001F7667">
            <w:pPr>
              <w:pStyle w:val="P68B1DB1-Normal11"/>
              <w:rPr>
                <w:noProof/>
              </w:rPr>
            </w:pPr>
            <w:r>
              <w:rPr>
                <w:noProof/>
              </w:rPr>
              <w:t>(3) предвижда със закон дерогация от критериите, определени в Закон № 338/2000 по отношение на процента на съфинансиране, който може да бъде отпуснат.</w:t>
            </w:r>
          </w:p>
          <w:p w14:paraId="26663498" w14:textId="77777777" w:rsidR="006054AA" w:rsidRDefault="006054AA">
            <w:pPr>
              <w:rPr>
                <w:rFonts w:ascii="Arial Narrow" w:hAnsi="Arial Narrow"/>
                <w:noProof/>
                <w:color w:val="006100"/>
                <w:sz w:val="20"/>
              </w:rPr>
            </w:pPr>
          </w:p>
          <w:p w14:paraId="39FC62F7" w14:textId="77777777" w:rsidR="006054AA" w:rsidRDefault="001F7667">
            <w:pPr>
              <w:pStyle w:val="P68B1DB1-Normal11"/>
              <w:rPr>
                <w:noProof/>
              </w:rPr>
            </w:pPr>
            <w:r>
              <w:rPr>
                <w:noProof/>
              </w:rPr>
              <w:t>Ще бъде осъществена реформа чрез въвеждане в италианската регулаторна рамка за финансиране на студентските жилища на следните основни промени:</w:t>
            </w:r>
          </w:p>
          <w:p w14:paraId="226D7CF7" w14:textId="77777777" w:rsidR="006054AA" w:rsidRDefault="001F7667">
            <w:pPr>
              <w:pStyle w:val="P68B1DB1-Normal11"/>
              <w:rPr>
                <w:noProof/>
              </w:rPr>
            </w:pPr>
            <w:r>
              <w:rPr>
                <w:noProof/>
              </w:rPr>
              <w:t>1. Отваряне на участието за финансиране и за частни инвеститори (съгласно схемата, описана в изпълнението), което също така позволява публично-частни партньорства, при които университетът ще използва наличното финансиране в подкрепа на финансовото равновесие на инвестициите в недвижими имоти за студентски жилища;</w:t>
            </w:r>
          </w:p>
          <w:p w14:paraId="5D5FE466" w14:textId="77777777" w:rsidR="006054AA" w:rsidRDefault="001F7667">
            <w:pPr>
              <w:pStyle w:val="P68B1DB1-Normal11"/>
              <w:rPr>
                <w:noProof/>
              </w:rPr>
            </w:pPr>
            <w:r>
              <w:rPr>
                <w:noProof/>
              </w:rPr>
              <w:t>2. Гарантиране на дългосрочната устойчивост на частните инвестиции чрез гарантиране на промяна в схемата за данъчно облагане от схемата, прилагана за хотелски услуги, към тази, която кандидатства за социални жилища, чрез ограничаване на използването на новите жилища за целите на студентските жилища по време на академичната година, но като се позволи използването на структурите, когато те не са необходими за студентското гостоприемство. Това от своя страна ще спомогне за предоставянето на нов набор от жилища на достъпни цени;</w:t>
            </w:r>
          </w:p>
          <w:p w14:paraId="42CA00A2" w14:textId="77777777" w:rsidR="006054AA" w:rsidRDefault="001F7667">
            <w:pPr>
              <w:pStyle w:val="P68B1DB1-Normal11"/>
              <w:rPr>
                <w:noProof/>
              </w:rPr>
            </w:pPr>
            <w:r>
              <w:rPr>
                <w:noProof/>
              </w:rPr>
              <w:t>3. Обвързване на финансирането, както и на допълнителните данъчни облекчения (напр. равно третиране със социалните жилища) с използването на новите жилища за студентски жилища през целия инвестиционен хоризонт и спазването на договорената горна граница на наемите, начислявани на студентите, дори след изтичането на срока на специалните схеми за финансиране, които допринасям за стимулиране на инвестициите от страна на частните оператори;</w:t>
            </w:r>
          </w:p>
          <w:p w14:paraId="5A87300D" w14:textId="77777777" w:rsidR="006054AA" w:rsidRDefault="001F7667">
            <w:pPr>
              <w:pStyle w:val="P68B1DB1-Normal11"/>
              <w:rPr>
                <w:noProof/>
              </w:rPr>
            </w:pPr>
            <w:r>
              <w:rPr>
                <w:noProof/>
              </w:rPr>
              <w:t>4. Предефиниране на стандартите за настаняване на студентите чрез ново определяне на законовите изисквания по отношение на общото пространство за всеки ученик, налично в сградите в замяна на по-добре оборудвани (единични) стаи.</w:t>
            </w:r>
          </w:p>
        </w:tc>
      </w:tr>
      <w:tr w:rsidR="006054AA" w14:paraId="35BB88A3" w14:textId="77777777">
        <w:trPr>
          <w:trHeight w:val="313"/>
          <w:jc w:val="center"/>
        </w:trPr>
        <w:tc>
          <w:tcPr>
            <w:tcW w:w="445" w:type="pct"/>
            <w:shd w:val="clear" w:color="auto" w:fill="C6EFCE"/>
            <w:noWrap/>
            <w:vAlign w:val="center"/>
            <w:hideMark/>
          </w:tcPr>
          <w:p w14:paraId="5481B06E" w14:textId="77777777" w:rsidR="006054AA" w:rsidRDefault="001F7667">
            <w:pPr>
              <w:pStyle w:val="P68B1DB1-Normal11"/>
              <w:jc w:val="center"/>
              <w:rPr>
                <w:noProof/>
              </w:rPr>
            </w:pPr>
            <w:r>
              <w:rPr>
                <w:noProof/>
              </w:rPr>
              <w:t>M4C1—28</w:t>
            </w:r>
          </w:p>
        </w:tc>
        <w:tc>
          <w:tcPr>
            <w:tcW w:w="370" w:type="pct"/>
            <w:shd w:val="clear" w:color="auto" w:fill="C6EFCE"/>
            <w:noWrap/>
            <w:vAlign w:val="center"/>
            <w:hideMark/>
          </w:tcPr>
          <w:p w14:paraId="0E5A60A1" w14:textId="77777777" w:rsidR="006054AA" w:rsidRDefault="001F7667">
            <w:pPr>
              <w:pStyle w:val="P68B1DB1-Normal11"/>
              <w:jc w:val="center"/>
              <w:rPr>
                <w:noProof/>
              </w:rPr>
            </w:pPr>
            <w:r>
              <w:rPr>
                <w:noProof/>
              </w:rPr>
              <w:t>Реформа 1.7: Реформа на регулирането на студентското жилищно настаняване и инвестиции в студентски жилища</w:t>
            </w:r>
          </w:p>
        </w:tc>
        <w:tc>
          <w:tcPr>
            <w:tcW w:w="463" w:type="pct"/>
            <w:shd w:val="clear" w:color="auto" w:fill="C6EFCE"/>
            <w:noWrap/>
            <w:vAlign w:val="center"/>
            <w:hideMark/>
          </w:tcPr>
          <w:p w14:paraId="3C39ACD9" w14:textId="77777777" w:rsidR="006054AA" w:rsidRDefault="001F7667">
            <w:pPr>
              <w:pStyle w:val="P68B1DB1-Normal11"/>
              <w:jc w:val="center"/>
              <w:rPr>
                <w:noProof/>
              </w:rPr>
            </w:pPr>
            <w:r>
              <w:rPr>
                <w:noProof/>
              </w:rPr>
              <w:t>Ключов етап</w:t>
            </w:r>
          </w:p>
        </w:tc>
        <w:tc>
          <w:tcPr>
            <w:tcW w:w="556" w:type="pct"/>
            <w:shd w:val="clear" w:color="auto" w:fill="C6EFCE"/>
            <w:noWrap/>
            <w:vAlign w:val="center"/>
            <w:hideMark/>
          </w:tcPr>
          <w:p w14:paraId="0BA8C8B1" w14:textId="77777777" w:rsidR="006054AA" w:rsidRDefault="001F7667">
            <w:pPr>
              <w:pStyle w:val="P68B1DB1-Normal11"/>
              <w:jc w:val="center"/>
              <w:rPr>
                <w:noProof/>
              </w:rPr>
            </w:pPr>
            <w:r>
              <w:rPr>
                <w:noProof/>
              </w:rPr>
              <w:t xml:space="preserve"> Възлагане на първоначални договори за създаване на допълнителни спални помещения (легла)</w:t>
            </w:r>
          </w:p>
        </w:tc>
        <w:tc>
          <w:tcPr>
            <w:tcW w:w="552" w:type="pct"/>
            <w:shd w:val="clear" w:color="auto" w:fill="C6EFCE"/>
            <w:noWrap/>
            <w:vAlign w:val="center"/>
            <w:hideMark/>
          </w:tcPr>
          <w:p w14:paraId="6527E931" w14:textId="77777777" w:rsidR="006054AA" w:rsidRDefault="001F7667">
            <w:pPr>
              <w:pStyle w:val="P68B1DB1-Normal11"/>
              <w:jc w:val="center"/>
              <w:rPr>
                <w:noProof/>
              </w:rPr>
            </w:pPr>
            <w:r>
              <w:rPr>
                <w:noProof/>
              </w:rPr>
              <w:t xml:space="preserve"> Публикуване на наградите на уебсайта на министерството</w:t>
            </w:r>
          </w:p>
        </w:tc>
        <w:tc>
          <w:tcPr>
            <w:tcW w:w="375" w:type="pct"/>
            <w:shd w:val="clear" w:color="auto" w:fill="C6EFCE"/>
            <w:noWrap/>
            <w:vAlign w:val="center"/>
            <w:hideMark/>
          </w:tcPr>
          <w:p w14:paraId="4729F429" w14:textId="77777777" w:rsidR="006054AA" w:rsidRDefault="001F7667">
            <w:pPr>
              <w:pStyle w:val="P68B1DB1-Normal11"/>
              <w:jc w:val="center"/>
              <w:rPr>
                <w:noProof/>
              </w:rPr>
            </w:pPr>
            <w:r>
              <w:rPr>
                <w:noProof/>
              </w:rPr>
              <w:t>НЯМА</w:t>
            </w:r>
          </w:p>
        </w:tc>
        <w:tc>
          <w:tcPr>
            <w:tcW w:w="370" w:type="pct"/>
            <w:shd w:val="clear" w:color="auto" w:fill="C6EFCE"/>
            <w:noWrap/>
            <w:vAlign w:val="center"/>
            <w:hideMark/>
          </w:tcPr>
          <w:p w14:paraId="2F88B04C" w14:textId="77777777" w:rsidR="006054AA" w:rsidRDefault="001F7667">
            <w:pPr>
              <w:pStyle w:val="P68B1DB1-Normal11"/>
              <w:jc w:val="center"/>
              <w:rPr>
                <w:noProof/>
              </w:rPr>
            </w:pPr>
            <w:r>
              <w:rPr>
                <w:noProof/>
              </w:rPr>
              <w:t>НЯМА</w:t>
            </w:r>
          </w:p>
        </w:tc>
        <w:tc>
          <w:tcPr>
            <w:tcW w:w="277" w:type="pct"/>
            <w:shd w:val="clear" w:color="auto" w:fill="C6EFCE"/>
            <w:noWrap/>
            <w:vAlign w:val="center"/>
            <w:hideMark/>
          </w:tcPr>
          <w:p w14:paraId="29E02090" w14:textId="77777777" w:rsidR="006054AA" w:rsidRDefault="001F7667">
            <w:pPr>
              <w:pStyle w:val="P68B1DB1-Normal11"/>
              <w:jc w:val="center"/>
              <w:rPr>
                <w:noProof/>
              </w:rPr>
            </w:pPr>
            <w:r>
              <w:rPr>
                <w:noProof/>
              </w:rPr>
              <w:t>НЯМА</w:t>
            </w:r>
          </w:p>
        </w:tc>
        <w:tc>
          <w:tcPr>
            <w:tcW w:w="294" w:type="pct"/>
            <w:shd w:val="clear" w:color="auto" w:fill="C6EFCE"/>
            <w:noWrap/>
            <w:vAlign w:val="center"/>
            <w:hideMark/>
          </w:tcPr>
          <w:p w14:paraId="164DFCB2" w14:textId="77777777" w:rsidR="006054AA" w:rsidRDefault="001F7667">
            <w:pPr>
              <w:pStyle w:val="P68B1DB1-Normal11"/>
              <w:jc w:val="center"/>
              <w:rPr>
                <w:noProof/>
              </w:rPr>
            </w:pPr>
            <w:r>
              <w:rPr>
                <w:noProof/>
              </w:rPr>
              <w:t>Т2 Г.</w:t>
            </w:r>
          </w:p>
        </w:tc>
        <w:tc>
          <w:tcPr>
            <w:tcW w:w="232" w:type="pct"/>
            <w:shd w:val="clear" w:color="auto" w:fill="C6EFCE"/>
            <w:noWrap/>
            <w:vAlign w:val="center"/>
            <w:hideMark/>
          </w:tcPr>
          <w:p w14:paraId="48E3FDF9" w14:textId="77777777" w:rsidR="006054AA" w:rsidRDefault="001F7667">
            <w:pPr>
              <w:pStyle w:val="P68B1DB1-Normal11"/>
              <w:jc w:val="center"/>
              <w:rPr>
                <w:noProof/>
              </w:rPr>
            </w:pPr>
            <w:r>
              <w:rPr>
                <w:noProof/>
              </w:rPr>
              <w:t>2023</w:t>
            </w:r>
          </w:p>
        </w:tc>
        <w:tc>
          <w:tcPr>
            <w:tcW w:w="1066" w:type="pct"/>
            <w:shd w:val="clear" w:color="auto" w:fill="C6EFCE"/>
            <w:noWrap/>
            <w:vAlign w:val="center"/>
            <w:hideMark/>
          </w:tcPr>
          <w:p w14:paraId="3E71FB1E" w14:textId="77777777" w:rsidR="006054AA" w:rsidRDefault="001F7667">
            <w:pPr>
              <w:pStyle w:val="P68B1DB1-Normal11"/>
              <w:rPr>
                <w:noProof/>
              </w:rPr>
            </w:pPr>
            <w:r>
              <w:rPr>
                <w:noProof/>
              </w:rPr>
              <w:t>Възлагане на първоначални договори за създаване на допълнителни спални помещения (легла)“;</w:t>
            </w:r>
          </w:p>
        </w:tc>
      </w:tr>
      <w:tr w:rsidR="006054AA" w14:paraId="2BCAFFB3" w14:textId="77777777">
        <w:trPr>
          <w:trHeight w:val="313"/>
          <w:jc w:val="center"/>
        </w:trPr>
        <w:tc>
          <w:tcPr>
            <w:tcW w:w="445" w:type="pct"/>
            <w:shd w:val="clear" w:color="auto" w:fill="C6EFCE"/>
            <w:noWrap/>
            <w:vAlign w:val="center"/>
            <w:hideMark/>
          </w:tcPr>
          <w:p w14:paraId="7675ADC7" w14:textId="77777777" w:rsidR="006054AA" w:rsidRDefault="001F7667">
            <w:pPr>
              <w:pStyle w:val="P68B1DB1-Normal11"/>
              <w:jc w:val="center"/>
              <w:rPr>
                <w:noProof/>
              </w:rPr>
            </w:pPr>
            <w:r>
              <w:rPr>
                <w:noProof/>
              </w:rPr>
              <w:t>M4C1—29</w:t>
            </w:r>
          </w:p>
        </w:tc>
        <w:tc>
          <w:tcPr>
            <w:tcW w:w="370" w:type="pct"/>
            <w:shd w:val="clear" w:color="auto" w:fill="C6EFCE"/>
            <w:noWrap/>
            <w:vAlign w:val="center"/>
            <w:hideMark/>
          </w:tcPr>
          <w:p w14:paraId="493D4CCD" w14:textId="54112503" w:rsidR="006054AA" w:rsidRDefault="001F7667">
            <w:pPr>
              <w:pStyle w:val="P68B1DB1-Normal11"/>
              <w:jc w:val="center"/>
              <w:rPr>
                <w:noProof/>
              </w:rPr>
            </w:pPr>
            <w:r>
              <w:rPr>
                <w:noProof/>
              </w:rPr>
              <w:t>Реформа 1.7: Реформа на регулирането на студентското жилищно настаняване и инвестиции в студентски жилища</w:t>
            </w:r>
          </w:p>
        </w:tc>
        <w:tc>
          <w:tcPr>
            <w:tcW w:w="463" w:type="pct"/>
            <w:shd w:val="clear" w:color="auto" w:fill="C6EFCE"/>
            <w:noWrap/>
            <w:vAlign w:val="center"/>
            <w:hideMark/>
          </w:tcPr>
          <w:p w14:paraId="4FB8234C" w14:textId="77777777" w:rsidR="006054AA" w:rsidRDefault="001F7667">
            <w:pPr>
              <w:pStyle w:val="P68B1DB1-Normal11"/>
              <w:jc w:val="center"/>
              <w:rPr>
                <w:noProof/>
              </w:rPr>
            </w:pPr>
            <w:r>
              <w:rPr>
                <w:noProof/>
              </w:rPr>
              <w:t>Ключов етап</w:t>
            </w:r>
          </w:p>
        </w:tc>
        <w:tc>
          <w:tcPr>
            <w:tcW w:w="556" w:type="pct"/>
            <w:shd w:val="clear" w:color="auto" w:fill="C6EFCE"/>
            <w:noWrap/>
            <w:vAlign w:val="center"/>
            <w:hideMark/>
          </w:tcPr>
          <w:p w14:paraId="5012955B" w14:textId="178039D8" w:rsidR="006054AA" w:rsidRDefault="001F7667">
            <w:pPr>
              <w:pStyle w:val="P68B1DB1-Normal11"/>
              <w:jc w:val="center"/>
              <w:rPr>
                <w:noProof/>
              </w:rPr>
            </w:pPr>
            <w:r>
              <w:rPr>
                <w:noProof/>
              </w:rPr>
              <w:t>Влизане в сила на реформата на законодателството в областта на жилищното настаняване на студентите.</w:t>
            </w:r>
          </w:p>
        </w:tc>
        <w:tc>
          <w:tcPr>
            <w:tcW w:w="552" w:type="pct"/>
            <w:shd w:val="clear" w:color="auto" w:fill="C6EFCE"/>
            <w:noWrap/>
            <w:vAlign w:val="center"/>
            <w:hideMark/>
          </w:tcPr>
          <w:p w14:paraId="248929D3" w14:textId="77777777" w:rsidR="006054AA" w:rsidRDefault="001F7667">
            <w:pPr>
              <w:pStyle w:val="P68B1DB1-Normal11"/>
              <w:jc w:val="center"/>
              <w:rPr>
                <w:noProof/>
              </w:rPr>
            </w:pPr>
            <w:r>
              <w:rPr>
                <w:noProof/>
              </w:rPr>
              <w:t>Законова разпоредба, указваща влизането в сила на реформата.</w:t>
            </w:r>
          </w:p>
        </w:tc>
        <w:tc>
          <w:tcPr>
            <w:tcW w:w="375" w:type="pct"/>
            <w:shd w:val="clear" w:color="auto" w:fill="C6EFCE"/>
            <w:noWrap/>
            <w:vAlign w:val="center"/>
            <w:hideMark/>
          </w:tcPr>
          <w:p w14:paraId="3D16376E" w14:textId="77777777" w:rsidR="006054AA" w:rsidRDefault="001F7667">
            <w:pPr>
              <w:pStyle w:val="P68B1DB1-Normal11"/>
              <w:jc w:val="center"/>
              <w:rPr>
                <w:noProof/>
              </w:rPr>
            </w:pPr>
            <w:r>
              <w:rPr>
                <w:noProof/>
              </w:rPr>
              <w:t>НЯМА</w:t>
            </w:r>
          </w:p>
        </w:tc>
        <w:tc>
          <w:tcPr>
            <w:tcW w:w="370" w:type="pct"/>
            <w:shd w:val="clear" w:color="auto" w:fill="C6EFCE"/>
            <w:noWrap/>
            <w:vAlign w:val="center"/>
            <w:hideMark/>
          </w:tcPr>
          <w:p w14:paraId="18593E25" w14:textId="77777777" w:rsidR="006054AA" w:rsidRDefault="001F7667">
            <w:pPr>
              <w:pStyle w:val="P68B1DB1-Normal11"/>
              <w:jc w:val="center"/>
              <w:rPr>
                <w:noProof/>
              </w:rPr>
            </w:pPr>
            <w:r>
              <w:rPr>
                <w:noProof/>
              </w:rPr>
              <w:t>НЯМА</w:t>
            </w:r>
          </w:p>
        </w:tc>
        <w:tc>
          <w:tcPr>
            <w:tcW w:w="277" w:type="pct"/>
            <w:shd w:val="clear" w:color="auto" w:fill="C6EFCE"/>
            <w:noWrap/>
            <w:vAlign w:val="center"/>
            <w:hideMark/>
          </w:tcPr>
          <w:p w14:paraId="32B1DA59" w14:textId="77777777" w:rsidR="006054AA" w:rsidRDefault="001F7667">
            <w:pPr>
              <w:pStyle w:val="P68B1DB1-Normal11"/>
              <w:jc w:val="center"/>
              <w:rPr>
                <w:noProof/>
              </w:rPr>
            </w:pPr>
            <w:r>
              <w:rPr>
                <w:noProof/>
              </w:rPr>
              <w:t>НЯМА</w:t>
            </w:r>
          </w:p>
        </w:tc>
        <w:tc>
          <w:tcPr>
            <w:tcW w:w="294" w:type="pct"/>
            <w:shd w:val="clear" w:color="auto" w:fill="C6EFCE"/>
            <w:noWrap/>
            <w:vAlign w:val="center"/>
            <w:hideMark/>
          </w:tcPr>
          <w:p w14:paraId="6C12580E" w14:textId="77777777" w:rsidR="006054AA" w:rsidRDefault="001F7667">
            <w:pPr>
              <w:pStyle w:val="P68B1DB1-Normal11"/>
              <w:jc w:val="center"/>
              <w:rPr>
                <w:noProof/>
              </w:rPr>
            </w:pPr>
            <w:r>
              <w:rPr>
                <w:noProof/>
              </w:rPr>
              <w:t>Т4 Г.</w:t>
            </w:r>
          </w:p>
        </w:tc>
        <w:tc>
          <w:tcPr>
            <w:tcW w:w="232" w:type="pct"/>
            <w:shd w:val="clear" w:color="auto" w:fill="C6EFCE"/>
            <w:noWrap/>
            <w:vAlign w:val="center"/>
            <w:hideMark/>
          </w:tcPr>
          <w:p w14:paraId="16C8F51E" w14:textId="77777777" w:rsidR="006054AA" w:rsidRDefault="001F7667">
            <w:pPr>
              <w:pStyle w:val="P68B1DB1-Normal11"/>
              <w:jc w:val="center"/>
              <w:rPr>
                <w:noProof/>
              </w:rPr>
            </w:pPr>
            <w:r>
              <w:rPr>
                <w:noProof/>
              </w:rPr>
              <w:t>2022</w:t>
            </w:r>
          </w:p>
        </w:tc>
        <w:tc>
          <w:tcPr>
            <w:tcW w:w="1066" w:type="pct"/>
            <w:shd w:val="clear" w:color="auto" w:fill="C6EFCE"/>
            <w:noWrap/>
            <w:vAlign w:val="center"/>
            <w:hideMark/>
          </w:tcPr>
          <w:p w14:paraId="0C441AF6" w14:textId="77777777" w:rsidR="006054AA" w:rsidRDefault="001F7667">
            <w:pPr>
              <w:pStyle w:val="P68B1DB1-Normal11"/>
              <w:rPr>
                <w:noProof/>
              </w:rPr>
            </w:pPr>
            <w:r>
              <w:rPr>
                <w:noProof/>
              </w:rPr>
              <w:t>Реформата включва: (1) отваряне на участието за финансиране и за частни инвеститори, което също така позволява публично-частни партньорства, при които университетът ще използва наличното финансиране в подкрепа на финансовото равновесие на инвестициите в недвижими имоти за студентски жилища; (2). Гарантиране на дългосрочната устойчивост на частните инвестиции чрез гарантиране на промяна в схемата за данъчно облагане от схемата, прилагана за хотелски услуги, към тази, която кандидатства за социални жилища, чрез ограничаване на използването на новите места за настаняване за целите на студентските жилища по време на академичната година, но като се позволи използването на структурите, когато те не са необходими за студентски гостоприемство; (3). Обвързване на финансирането, както и на допълнителните данъчни облекчения (като равно третиране със социалните жилища) с използването на новите жилища за студентски жилища през целия инвестиционен хоризонт и спазването на договорената горна граница на наемите, начислявани на студентите, дори след изтичането на срока на специалните схеми за финансиране, които допринасям за стимулиране на инвестициите от страна на частните оператори; (4). Предефиниране на стандартите за настаняване на студентите чрез ново определяне на законовите изисквания по отношение на общото пространство за всеки ученик, налично в сградите в замяна на по-добре оборудвани (единични) стаи.</w:t>
            </w:r>
          </w:p>
        </w:tc>
      </w:tr>
      <w:tr w:rsidR="006054AA" w14:paraId="56D36307" w14:textId="77777777">
        <w:trPr>
          <w:trHeight w:val="313"/>
          <w:jc w:val="center"/>
        </w:trPr>
        <w:tc>
          <w:tcPr>
            <w:tcW w:w="445" w:type="pct"/>
            <w:shd w:val="clear" w:color="auto" w:fill="C6EFCE"/>
            <w:noWrap/>
            <w:vAlign w:val="center"/>
            <w:hideMark/>
          </w:tcPr>
          <w:p w14:paraId="25C02F93" w14:textId="77777777" w:rsidR="006054AA" w:rsidRDefault="001F7667">
            <w:pPr>
              <w:pStyle w:val="P68B1DB1-Normal11"/>
              <w:jc w:val="center"/>
              <w:rPr>
                <w:noProof/>
              </w:rPr>
            </w:pPr>
            <w:r>
              <w:rPr>
                <w:noProof/>
              </w:rPr>
              <w:t>M4C1—30</w:t>
            </w:r>
          </w:p>
        </w:tc>
        <w:tc>
          <w:tcPr>
            <w:tcW w:w="370" w:type="pct"/>
            <w:shd w:val="clear" w:color="auto" w:fill="C6EFCE"/>
            <w:noWrap/>
            <w:vAlign w:val="center"/>
            <w:hideMark/>
          </w:tcPr>
          <w:p w14:paraId="58EDE10F" w14:textId="77777777" w:rsidR="006054AA" w:rsidRDefault="001F7667">
            <w:pPr>
              <w:pStyle w:val="P68B1DB1-Normal11"/>
              <w:jc w:val="center"/>
              <w:rPr>
                <w:noProof/>
              </w:rPr>
            </w:pPr>
            <w:r>
              <w:rPr>
                <w:noProof/>
              </w:rPr>
              <w:t>Реформа 1.7: Реформа на регулирането на студентското жилищно настаняване и инвестиции в студентски жилища</w:t>
            </w:r>
          </w:p>
        </w:tc>
        <w:tc>
          <w:tcPr>
            <w:tcW w:w="463" w:type="pct"/>
            <w:shd w:val="clear" w:color="auto" w:fill="C6EFCE"/>
            <w:noWrap/>
            <w:vAlign w:val="center"/>
            <w:hideMark/>
          </w:tcPr>
          <w:p w14:paraId="38DFE14E" w14:textId="77777777" w:rsidR="006054AA" w:rsidRDefault="001F7667">
            <w:pPr>
              <w:pStyle w:val="P68B1DB1-Normal11"/>
              <w:jc w:val="center"/>
              <w:rPr>
                <w:noProof/>
              </w:rPr>
            </w:pPr>
            <w:r>
              <w:rPr>
                <w:noProof/>
              </w:rPr>
              <w:t>Целеви</w:t>
            </w:r>
          </w:p>
        </w:tc>
        <w:tc>
          <w:tcPr>
            <w:tcW w:w="556" w:type="pct"/>
            <w:shd w:val="clear" w:color="auto" w:fill="C6EFCE"/>
            <w:noWrap/>
            <w:vAlign w:val="center"/>
            <w:hideMark/>
          </w:tcPr>
          <w:p w14:paraId="7FD3338A" w14:textId="41B48EA4" w:rsidR="006054AA" w:rsidRDefault="001F7667">
            <w:pPr>
              <w:pStyle w:val="P68B1DB1-Normal11"/>
              <w:jc w:val="center"/>
              <w:rPr>
                <w:noProof/>
              </w:rPr>
            </w:pPr>
            <w:r>
              <w:rPr>
                <w:noProof/>
              </w:rPr>
              <w:t>Създадени са студентски спални отделения съгласно съответното законодателство</w:t>
            </w:r>
          </w:p>
        </w:tc>
        <w:tc>
          <w:tcPr>
            <w:tcW w:w="552" w:type="pct"/>
            <w:shd w:val="clear" w:color="auto" w:fill="C6EFCE"/>
            <w:noWrap/>
            <w:vAlign w:val="center"/>
            <w:hideMark/>
          </w:tcPr>
          <w:p w14:paraId="646D3CE7" w14:textId="77777777" w:rsidR="006054AA" w:rsidRDefault="001F7667">
            <w:pPr>
              <w:pStyle w:val="P68B1DB1-Normal11"/>
              <w:jc w:val="center"/>
              <w:rPr>
                <w:noProof/>
              </w:rPr>
            </w:pPr>
            <w:r>
              <w:rPr>
                <w:noProof/>
              </w:rPr>
              <w:t>НЯМА</w:t>
            </w:r>
          </w:p>
        </w:tc>
        <w:tc>
          <w:tcPr>
            <w:tcW w:w="375" w:type="pct"/>
            <w:shd w:val="clear" w:color="auto" w:fill="C6EFCE"/>
            <w:noWrap/>
            <w:vAlign w:val="center"/>
            <w:hideMark/>
          </w:tcPr>
          <w:p w14:paraId="4DC648DA" w14:textId="77777777" w:rsidR="006054AA" w:rsidRDefault="001F7667">
            <w:pPr>
              <w:pStyle w:val="P68B1DB1-Normal11"/>
              <w:jc w:val="center"/>
              <w:rPr>
                <w:noProof/>
              </w:rPr>
            </w:pPr>
            <w:r>
              <w:rPr>
                <w:noProof/>
              </w:rPr>
              <w:t>Брой</w:t>
            </w:r>
          </w:p>
        </w:tc>
        <w:tc>
          <w:tcPr>
            <w:tcW w:w="370" w:type="pct"/>
            <w:shd w:val="clear" w:color="auto" w:fill="C6EFCE"/>
            <w:noWrap/>
            <w:vAlign w:val="center"/>
            <w:hideMark/>
          </w:tcPr>
          <w:p w14:paraId="68F81AC2" w14:textId="6A792054" w:rsidR="006054AA" w:rsidRDefault="001F7667">
            <w:pPr>
              <w:pStyle w:val="P68B1DB1-Normal11"/>
              <w:jc w:val="center"/>
              <w:rPr>
                <w:noProof/>
              </w:rPr>
            </w:pPr>
            <w:r>
              <w:rPr>
                <w:noProof/>
              </w:rPr>
              <w:t>0</w:t>
            </w:r>
          </w:p>
        </w:tc>
        <w:tc>
          <w:tcPr>
            <w:tcW w:w="277" w:type="pct"/>
            <w:shd w:val="clear" w:color="auto" w:fill="C6EFCE"/>
            <w:noWrap/>
            <w:vAlign w:val="center"/>
            <w:hideMark/>
          </w:tcPr>
          <w:p w14:paraId="306DE32C" w14:textId="176ABD8E" w:rsidR="006054AA" w:rsidRDefault="001F7667">
            <w:pPr>
              <w:pStyle w:val="P68B1DB1-Normal11"/>
              <w:jc w:val="center"/>
              <w:rPr>
                <w:noProof/>
              </w:rPr>
            </w:pPr>
            <w:r>
              <w:rPr>
                <w:noProof/>
              </w:rPr>
              <w:t>60 000</w:t>
            </w:r>
          </w:p>
        </w:tc>
        <w:tc>
          <w:tcPr>
            <w:tcW w:w="294" w:type="pct"/>
            <w:shd w:val="clear" w:color="auto" w:fill="C6EFCE"/>
            <w:noWrap/>
            <w:vAlign w:val="center"/>
            <w:hideMark/>
          </w:tcPr>
          <w:p w14:paraId="02B0ED40" w14:textId="77777777" w:rsidR="006054AA" w:rsidRDefault="001F7667">
            <w:pPr>
              <w:pStyle w:val="P68B1DB1-Normal11"/>
              <w:jc w:val="center"/>
              <w:rPr>
                <w:noProof/>
              </w:rPr>
            </w:pPr>
            <w:r>
              <w:rPr>
                <w:noProof/>
              </w:rPr>
              <w:t>Т2 Г.</w:t>
            </w:r>
          </w:p>
        </w:tc>
        <w:tc>
          <w:tcPr>
            <w:tcW w:w="232" w:type="pct"/>
            <w:shd w:val="clear" w:color="auto" w:fill="C6EFCE"/>
            <w:noWrap/>
            <w:vAlign w:val="center"/>
            <w:hideMark/>
          </w:tcPr>
          <w:p w14:paraId="588A50B1" w14:textId="77777777" w:rsidR="006054AA" w:rsidRDefault="001F7667">
            <w:pPr>
              <w:pStyle w:val="P68B1DB1-Normal11"/>
              <w:jc w:val="center"/>
              <w:rPr>
                <w:noProof/>
              </w:rPr>
            </w:pPr>
            <w:r>
              <w:rPr>
                <w:noProof/>
              </w:rPr>
              <w:t>2026</w:t>
            </w:r>
          </w:p>
        </w:tc>
        <w:tc>
          <w:tcPr>
            <w:tcW w:w="1066" w:type="pct"/>
            <w:shd w:val="clear" w:color="auto" w:fill="C6EFCE"/>
            <w:noWrap/>
            <w:vAlign w:val="center"/>
            <w:hideMark/>
          </w:tcPr>
          <w:p w14:paraId="260632B0" w14:textId="3670BAEE" w:rsidR="006054AA" w:rsidRDefault="001F7667">
            <w:pPr>
              <w:pStyle w:val="paragraph"/>
              <w:spacing w:before="0" w:beforeAutospacing="0" w:after="0" w:afterAutospacing="0"/>
              <w:textAlignment w:val="baseline"/>
              <w:rPr>
                <w:rFonts w:ascii="Arial Narrow" w:hAnsi="Arial Narrow" w:cs="Segoe UI"/>
                <w:noProof/>
                <w:sz w:val="20"/>
              </w:rPr>
            </w:pPr>
            <w:r>
              <w:rPr>
                <w:rStyle w:val="normaltextrun"/>
                <w:rFonts w:ascii="Arial Narrow" w:hAnsi="Arial Narrow"/>
                <w:noProof/>
                <w:color w:val="006100"/>
                <w:sz w:val="20"/>
              </w:rPr>
              <w:t xml:space="preserve">Най-малко 60 000 допълнителни спални единици (легла), създадени съгласно съответното законодателство, включително Закон № 338/2000, преработен през август 2022 г., и новата законодателна схема, приета в рамките на ключов етап M4C1—29, Реформа 1.7: Реформа на регулирането на студентското жилищно настаняване и инвестиции в студентски жилища </w:t>
            </w:r>
          </w:p>
        </w:tc>
      </w:tr>
    </w:tbl>
    <w:p w14:paraId="068ADC43" w14:textId="77777777" w:rsidR="006054AA" w:rsidRDefault="006054AA">
      <w:pPr>
        <w:spacing w:before="120" w:after="120"/>
        <w:ind w:left="709"/>
        <w:jc w:val="both"/>
        <w:rPr>
          <w:b/>
          <w:noProof/>
        </w:rPr>
        <w:sectPr w:rsidR="006054AA" w:rsidSect="000D3774">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134" w:right="1134" w:bottom="1134" w:left="1134" w:header="567" w:footer="567" w:gutter="0"/>
          <w:cols w:space="720"/>
          <w:docGrid w:linePitch="360"/>
        </w:sectPr>
      </w:pPr>
    </w:p>
    <w:p w14:paraId="3AAB366E" w14:textId="2ACCBCD3" w:rsidR="006054AA" w:rsidRDefault="001F7667">
      <w:pPr>
        <w:pStyle w:val="Heading2"/>
        <w:numPr>
          <w:ilvl w:val="0"/>
          <w:numId w:val="0"/>
        </w:numPr>
        <w:rPr>
          <w:noProof/>
        </w:rPr>
      </w:pPr>
      <w:r>
        <w:rPr>
          <w:noProof/>
        </w:rPr>
        <w:t xml:space="preserve">K. МИСИЯ 4 КОМПОНЕНТ 2: </w:t>
      </w:r>
      <w:r>
        <w:rPr>
          <w:noProof/>
          <w:u w:val="single"/>
        </w:rPr>
        <w:t>От научните изследвания до бизнеса</w:t>
      </w:r>
    </w:p>
    <w:p w14:paraId="5553EF27" w14:textId="77777777" w:rsidR="006054AA" w:rsidRDefault="001F7667">
      <w:pPr>
        <w:spacing w:before="120" w:after="120"/>
        <w:jc w:val="both"/>
        <w:rPr>
          <w:rFonts w:eastAsia="Calibri"/>
          <w:noProof/>
        </w:rPr>
      </w:pPr>
      <w:r>
        <w:rPr>
          <w:noProof/>
        </w:rPr>
        <w:t>Този компонент на италианския план за възстановяване и устойчивост има за цел да подкрепи инвестициите в научни изследвания и иновации, да насърчи иновациите и разпространението на технологии, да укрепи уменията и да подкрепи прехода към икономика, основана на знанието. Тя подпомага публичната система за научни изследвания, уменията и мобилността на изследователите, както и публично-частното сътрудничество на национално равнище и на равнище ЕС. Тя се основава на три основни стълба:  и) Подобряване на научната база; II) Силни връзки между бизнеса и науката (трансфер на знания и технологии; III) Подкрепа за бизнес иновации (по-специално МСП, стартиращи предприятия).</w:t>
      </w:r>
    </w:p>
    <w:p w14:paraId="100A992A" w14:textId="77777777" w:rsidR="006054AA" w:rsidRDefault="001F7667">
      <w:pPr>
        <w:spacing w:before="120" w:after="120"/>
        <w:jc w:val="both"/>
        <w:rPr>
          <w:noProof/>
        </w:rPr>
      </w:pPr>
      <w:r>
        <w:rPr>
          <w:noProof/>
        </w:rPr>
        <w:t xml:space="preserve">Инвестициите и реформите по този компонент допринасят за изпълнението на специфичните за всяка държава препоръки, отправени към Италия през 2020 г. и 2019 г., относно необходимостта от „съсредоточаване на свързаната с инвестициите икономическа политика върху научните изследвания и иновациите и качеството на инфраструктурата „(специфични за държавата препоръки 3 и 2019), „насърчаване на частните инвестиции за стимулиране на икономическото възстановяване„(специфични за всяка държава препоръки 3 и 2020), „съсредоточаване на инвестициите върху екологичния и цифровия преход, по-специално върху научните изследвания и иновациите“ (специфични за всяка държава препоръки 3 и 2020). </w:t>
      </w:r>
    </w:p>
    <w:p w14:paraId="01A2AC9D" w14:textId="77777777" w:rsidR="006054AA" w:rsidRDefault="001F7667">
      <w:pPr>
        <w:pStyle w:val="Heading3"/>
        <w:numPr>
          <w:ilvl w:val="0"/>
          <w:numId w:val="0"/>
        </w:numPr>
        <w:ind w:left="850" w:hanging="850"/>
        <w:rPr>
          <w:b/>
          <w:i w:val="0"/>
          <w:noProof/>
          <w:u w:val="single"/>
        </w:rPr>
      </w:pPr>
      <w:r>
        <w:rPr>
          <w:b/>
          <w:i w:val="0"/>
          <w:noProof/>
          <w:u w:val="single"/>
        </w:rPr>
        <w:t xml:space="preserve">К.1. </w:t>
      </w:r>
      <w:r>
        <w:rPr>
          <w:noProof/>
        </w:rPr>
        <w:tab/>
      </w:r>
      <w:r>
        <w:rPr>
          <w:b/>
          <w:i w:val="0"/>
          <w:noProof/>
          <w:u w:val="single"/>
        </w:rPr>
        <w:t>Описание на реформите и инвестициите за безвъзмездна финансова подкрепа</w:t>
      </w:r>
    </w:p>
    <w:p w14:paraId="58C4BA08" w14:textId="77777777" w:rsidR="006054AA" w:rsidRDefault="001F7667">
      <w:pPr>
        <w:pStyle w:val="P68B1DB1-Normal2"/>
        <w:spacing w:before="120" w:after="120"/>
        <w:jc w:val="both"/>
        <w:rPr>
          <w:noProof/>
        </w:rPr>
      </w:pPr>
      <w:r>
        <w:rPr>
          <w:noProof/>
        </w:rPr>
        <w:t>Инвестиция 1.2: Финансиране на проекти, представени от млади изследователи</w:t>
      </w:r>
    </w:p>
    <w:p w14:paraId="0E21AB30" w14:textId="21506BAB" w:rsidR="006054AA" w:rsidRDefault="001F7667">
      <w:pPr>
        <w:spacing w:after="120"/>
        <w:jc w:val="both"/>
        <w:rPr>
          <w:noProof/>
        </w:rPr>
      </w:pPr>
      <w:r>
        <w:rPr>
          <w:noProof/>
        </w:rPr>
        <w:t>Целта на инвестицията е да се предоставят нови възможности за младите изследователи, за да бъдат запазени в Италия. Мярката подкрепя научноизследователските дейности на най-малко 850 млади изследователи по модела на програми като Европейския научноизследователски съвет (ЕНС) и индивидуалните стипендии „Мария Склодовска-Кюри„(MSCA-IF), „Печат за високи постижения „и „Международни изследователи след докторска степен“, за да им се даде възможност да придобият първоначален опит в областта на отговорността за научните изследвания. Част от вноската, предназначена за изследователите от ERC, се заделя за назначаването на поне един изследовател, който не е постоянен.</w:t>
      </w:r>
    </w:p>
    <w:p w14:paraId="3CB10D0E" w14:textId="77777777" w:rsidR="006054AA" w:rsidRDefault="001F7667">
      <w:pPr>
        <w:spacing w:after="120"/>
        <w:jc w:val="both"/>
        <w:rPr>
          <w:rFonts w:eastAsia="Calibri"/>
          <w:noProof/>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71"/>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72"/>
      </w:r>
      <w:r>
        <w:rPr>
          <w:noProof/>
        </w:rPr>
        <w:t>; III) дейности, свързани с депа за отпадъци, инсинератори</w:t>
      </w:r>
      <w:r>
        <w:rPr>
          <w:rStyle w:val="FootnoteReference"/>
          <w:noProof/>
        </w:rPr>
        <w:footnoteReference w:id="73"/>
      </w:r>
      <w:r>
        <w:rPr>
          <w:noProof/>
        </w:rPr>
        <w:t xml:space="preserve"> и инсталации за механично-биологично третиране</w:t>
      </w:r>
      <w:r>
        <w:rPr>
          <w:rStyle w:val="FootnoteReference"/>
          <w:noProof/>
        </w:rPr>
        <w:footnoteReference w:id="74"/>
      </w:r>
      <w:r>
        <w:rPr>
          <w:noProof/>
        </w:rPr>
        <w:t>; и iv) дейности, при които дългосрочното обезвреждане на отпадъци може да причини вреда на околната среда. Освен това в заданието се изисква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6F4EA9E6" w14:textId="77777777" w:rsidR="006054AA" w:rsidRDefault="001F7667" w:rsidP="005175AE">
      <w:pPr>
        <w:pStyle w:val="P68B1DB1-Normal2"/>
        <w:spacing w:before="120" w:after="120" w:line="257" w:lineRule="auto"/>
        <w:ind w:left="90" w:hanging="61"/>
        <w:jc w:val="both"/>
        <w:rPr>
          <w:i/>
          <w:noProof/>
          <w:u w:val="single"/>
        </w:rPr>
      </w:pPr>
      <w:r>
        <w:rPr>
          <w:noProof/>
        </w:rPr>
        <w:t>Инвестиция 2.2: Партньорства в областта на научните изследвания и иновациите — „Хоризонт Европа“</w:t>
      </w:r>
    </w:p>
    <w:p w14:paraId="37D8D843" w14:textId="77777777" w:rsidR="006054AA" w:rsidRDefault="001F7667">
      <w:pPr>
        <w:spacing w:before="120" w:after="120"/>
        <w:jc w:val="both"/>
        <w:rPr>
          <w:noProof/>
        </w:rPr>
      </w:pPr>
      <w:r>
        <w:rPr>
          <w:noProof/>
        </w:rPr>
        <w:t>Целта на мярката е да се подкрепят проекти за научни изследвания, развойна дейност и иновации, набелязани със специални покани за участие в европейски партньорства в рамките на „Хоризонт Европа“. Тези транснационални научноизследователски инициативи могат да бъдат важен двигател за развитието на Р I по стратегически въпроси за възстановяването на италианската икономика. По-специално подкрепата се съсредоточава върху следните партньорства: I) високопроизводителни изчислителни технологии, ii) ключови цифрови технологии, iii) преход към чиста енергия; IV) Сини океани — неутрална по отношение на климата, устойчива и продуктивна синя икономика; V) Иновативни МСП;</w:t>
      </w:r>
    </w:p>
    <w:p w14:paraId="14ED57FC" w14:textId="77777777" w:rsidR="006054AA" w:rsidRDefault="001F7667">
      <w:pPr>
        <w:spacing w:before="120" w:after="120"/>
        <w:jc w:val="both"/>
        <w:rPr>
          <w:noProof/>
        </w:rPr>
      </w:pPr>
      <w:r>
        <w:rPr>
          <w:noProof/>
        </w:rPr>
        <w:t>Мярката, изпълнявана от MiSE — Министерство на икономическото развитие, ще даде възможност за продължаване на инициативите, осъществявани чрез Фонда за устойчив растеж (SFS), което ще даде възможност за полезни взаимодействия между равнищата на управление и различните финансови източници.</w:t>
      </w:r>
    </w:p>
    <w:p w14:paraId="7055299F" w14:textId="6E6F862B" w:rsidR="006054AA" w:rsidRDefault="001F7667">
      <w:pPr>
        <w:spacing w:before="120" w:after="120"/>
        <w:jc w:val="both"/>
        <w:rPr>
          <w:rFonts w:eastAsia="Calibri"/>
          <w:b/>
          <w:noProof/>
          <w:color w:val="000000" w:themeColor="text1"/>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color w:val="000000" w:themeColor="text1"/>
        </w:rPr>
        <w:footnoteReference w:id="75"/>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color w:val="000000" w:themeColor="text1"/>
        </w:rPr>
        <w:footnoteReference w:id="76"/>
      </w:r>
      <w:r>
        <w:rPr>
          <w:noProof/>
        </w:rPr>
        <w:t>; III) дейности и активи, свързани с депа за отпадъци, инсинератори</w:t>
      </w:r>
      <w:r>
        <w:rPr>
          <w:noProof/>
        </w:rPr>
        <w:footnoteReference w:id="77"/>
      </w:r>
      <w:r>
        <w:rPr>
          <w:noProof/>
        </w:rPr>
        <w:t xml:space="preserve"> и инсталации за механично-биологично третиране</w:t>
      </w:r>
      <w:r>
        <w:rPr>
          <w:rStyle w:val="FootnoteReference"/>
          <w:noProof/>
          <w:color w:val="000000" w:themeColor="text1"/>
        </w:rPr>
        <w:footnoteReference w:id="78"/>
      </w:r>
      <w:r>
        <w:rPr>
          <w:noProof/>
        </w:rPr>
        <w:t>. В заданието допълнително се изисква да могат да бъдат избирани само дейности, които отговарят на съответното законодателство на ЕС и национално законодателство в областта на околната среда.</w:t>
      </w:r>
    </w:p>
    <w:p w14:paraId="0E2AB91E" w14:textId="77777777" w:rsidR="006054AA" w:rsidRDefault="001F7667">
      <w:pPr>
        <w:pStyle w:val="P68B1DB1-Normal2"/>
        <w:spacing w:before="120" w:after="120"/>
        <w:jc w:val="both"/>
        <w:rPr>
          <w:rFonts w:eastAsia="Calibri"/>
          <w:noProof/>
        </w:rPr>
      </w:pPr>
      <w:r>
        <w:rPr>
          <w:noProof/>
        </w:rPr>
        <w:t>Инвестиция 3.3: Въвеждане на иновативни докторантури, които отговарят на нуждите на предприятията от иновации и насърчават наемането на изследователи от предприятията</w:t>
      </w:r>
    </w:p>
    <w:p w14:paraId="180C6D39" w14:textId="77777777" w:rsidR="006054AA" w:rsidRDefault="001F7667">
      <w:pPr>
        <w:spacing w:before="120" w:after="120"/>
        <w:jc w:val="both"/>
        <w:rPr>
          <w:rFonts w:eastAsiaTheme="minorEastAsia"/>
          <w:noProof/>
        </w:rPr>
      </w:pPr>
      <w:r>
        <w:rPr>
          <w:noProof/>
        </w:rPr>
        <w:t>Целта на мярката е да се повишат високите умения, особено в областите на главните базови технологии, чрез:</w:t>
      </w:r>
    </w:p>
    <w:p w14:paraId="2FC6D576" w14:textId="2B5CACA1" w:rsidR="006054AA" w:rsidRDefault="001F7667">
      <w:pPr>
        <w:pStyle w:val="ListParagraph"/>
        <w:numPr>
          <w:ilvl w:val="0"/>
          <w:numId w:val="54"/>
        </w:numPr>
        <w:spacing w:line="288" w:lineRule="auto"/>
        <w:rPr>
          <w:rFonts w:eastAsiaTheme="minorEastAsia"/>
          <w:noProof/>
        </w:rPr>
      </w:pPr>
      <w:r>
        <w:rPr>
          <w:noProof/>
        </w:rPr>
        <w:t>Създаване на специализирани докторски програми с участието и участието на предприятията;</w:t>
      </w:r>
    </w:p>
    <w:p w14:paraId="79F7DAB8" w14:textId="77777777" w:rsidR="006054AA" w:rsidRDefault="001F7667">
      <w:pPr>
        <w:pStyle w:val="ListParagraph"/>
        <w:numPr>
          <w:ilvl w:val="0"/>
          <w:numId w:val="54"/>
        </w:numPr>
        <w:spacing w:line="288" w:lineRule="auto"/>
        <w:rPr>
          <w:rFonts w:eastAsiaTheme="minorEastAsia"/>
          <w:noProof/>
        </w:rPr>
      </w:pPr>
      <w:r>
        <w:rPr>
          <w:noProof/>
        </w:rPr>
        <w:t>Стимули за фирмите да наемат изследователи.</w:t>
      </w:r>
    </w:p>
    <w:p w14:paraId="610DF301" w14:textId="3BC99986" w:rsidR="006054AA" w:rsidRDefault="001F7667">
      <w:pPr>
        <w:spacing w:before="120" w:after="120"/>
        <w:jc w:val="both"/>
        <w:rPr>
          <w:noProof/>
        </w:rPr>
      </w:pPr>
      <w:r>
        <w:rPr>
          <w:noProof/>
        </w:rPr>
        <w:t>По-конкретно мярката, прилагана от Министерството на университетите и научните изследвания (MUR), предвижда отпускането на общо 6000 стипендии за докторска степен за 3 години, с частно съфинансиране и стимули за дружествата за наемане на изследователи.</w:t>
      </w:r>
    </w:p>
    <w:p w14:paraId="6F304B52" w14:textId="77777777" w:rsidR="006054AA" w:rsidRDefault="001F7667">
      <w:pPr>
        <w:pStyle w:val="P68B1DB1-Normal2"/>
        <w:spacing w:before="120" w:after="120" w:line="288" w:lineRule="auto"/>
        <w:jc w:val="both"/>
        <w:rPr>
          <w:rFonts w:eastAsiaTheme="minorEastAsia"/>
          <w:noProof/>
        </w:rPr>
      </w:pPr>
      <w:r>
        <w:rPr>
          <w:noProof/>
        </w:rPr>
        <w:t>Реформа 1.1: Прилагане на мерки за подкрепа на Р I за насърчаване на опростяването и мобилността</w:t>
      </w:r>
    </w:p>
    <w:p w14:paraId="2AC68073" w14:textId="0C59C382" w:rsidR="006054AA" w:rsidRDefault="001F7667">
      <w:pPr>
        <w:spacing w:before="120" w:after="120"/>
        <w:jc w:val="both"/>
        <w:rPr>
          <w:noProof/>
        </w:rPr>
      </w:pPr>
      <w:r>
        <w:rPr>
          <w:noProof/>
        </w:rPr>
        <w:t>Реформата се осъществява от Министерството на университетите и научните изследвания (MUR) и Министерството на икономическото развитие (MiSE) чрез създаването на междуведомствен управителен съвет и издаването на два министерски декрета: I) увеличаване и подпомагане на мобилността (чрез стимули) на високопоставени лица (като например: изследователи и ръководители) между университети, научноизследователски инфраструктури и дружества и ii) опростяване на управлението на средствата за научни изследвания, iii) реформиране на кариерата на изследователите, за да се увеличи акцентът им върху научноизследователските дейности. Реформата ще премине към по-системен подход към научноизследователските и развойните дейности, който надхвърля настоящата логика за преразпределяне на ресурсите чрез насърчаване на подход на споделяне, и се съсредоточава върху опростяването на бюрокрацията при управлението на средствата, предназначени за публично-частни научноизследователски дейности, като по този начин се постига значително въздействие чрез избягване на разпиляването и фрагментирането на приоритетите, което също се подкрепя от първия компонент на мисията. Публичните научноизследователски органи (РОП) играят ключова роля както като възможни ръководители на проекти за партньорства, национални кампании и териториални екосистеми, така и като потенциални участници в покани за представяне на предложения за Фонда за резервационни данни на пътниците и инфраструктурния фонд.</w:t>
      </w:r>
    </w:p>
    <w:p w14:paraId="0F035AA4" w14:textId="3437F162" w:rsidR="006054AA" w:rsidRDefault="001F7667">
      <w:pPr>
        <w:pStyle w:val="Heading3"/>
        <w:numPr>
          <w:ilvl w:val="0"/>
          <w:numId w:val="0"/>
        </w:numPr>
        <w:ind w:left="850" w:hanging="850"/>
        <w:rPr>
          <w:b/>
          <w:i w:val="0"/>
          <w:noProof/>
          <w:u w:val="single"/>
        </w:rPr>
        <w:sectPr w:rsidR="006054AA">
          <w:headerReference w:type="even" r:id="rId254"/>
          <w:headerReference w:type="default" r:id="rId255"/>
          <w:footerReference w:type="even" r:id="rId256"/>
          <w:footerReference w:type="default" r:id="rId257"/>
          <w:headerReference w:type="first" r:id="rId258"/>
          <w:footerReference w:type="first" r:id="rId259"/>
          <w:pgSz w:w="11907" w:h="16839"/>
          <w:pgMar w:top="1440" w:right="1440" w:bottom="1440" w:left="1440" w:header="567" w:footer="567" w:gutter="0"/>
          <w:cols w:space="720"/>
          <w:docGrid w:linePitch="360"/>
        </w:sectPr>
      </w:pPr>
      <w:r>
        <w:rPr>
          <w:b/>
          <w:i w:val="0"/>
          <w:noProof/>
          <w:u w:val="single"/>
        </w:rPr>
        <w:t xml:space="preserve">К.2.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6BF4C033" w14:textId="77777777" w:rsidR="006054AA" w:rsidRDefault="006054AA">
      <w:pPr>
        <w:spacing w:before="120" w:after="120"/>
        <w:jc w:val="both"/>
        <w:rPr>
          <w:noProof/>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96"/>
        <w:gridCol w:w="1416"/>
        <w:gridCol w:w="2221"/>
        <w:gridCol w:w="1607"/>
        <w:gridCol w:w="1008"/>
        <w:gridCol w:w="991"/>
        <w:gridCol w:w="792"/>
        <w:gridCol w:w="1200"/>
        <w:gridCol w:w="811"/>
        <w:gridCol w:w="2977"/>
      </w:tblGrid>
      <w:tr w:rsidR="006054AA" w14:paraId="053A3E01" w14:textId="77777777">
        <w:trPr>
          <w:trHeight w:val="927"/>
          <w:tblHeader/>
          <w:jc w:val="center"/>
        </w:trPr>
        <w:tc>
          <w:tcPr>
            <w:tcW w:w="1503" w:type="dxa"/>
            <w:vMerge w:val="restart"/>
            <w:shd w:val="clear" w:color="auto" w:fill="BDD7EE"/>
            <w:vAlign w:val="center"/>
            <w:hideMark/>
          </w:tcPr>
          <w:p w14:paraId="277E5C31" w14:textId="77777777" w:rsidR="006054AA" w:rsidRDefault="001F7667">
            <w:pPr>
              <w:pStyle w:val="P68B1DB1-Normal9"/>
              <w:jc w:val="center"/>
              <w:rPr>
                <w:noProof/>
              </w:rPr>
            </w:pPr>
            <w:r>
              <w:rPr>
                <w:noProof/>
              </w:rPr>
              <w:t>Пореден номер</w:t>
            </w:r>
          </w:p>
        </w:tc>
        <w:tc>
          <w:tcPr>
            <w:tcW w:w="1596" w:type="dxa"/>
            <w:vMerge w:val="restart"/>
            <w:shd w:val="clear" w:color="auto" w:fill="BDD7EE"/>
            <w:vAlign w:val="center"/>
            <w:hideMark/>
          </w:tcPr>
          <w:p w14:paraId="35A37A6D" w14:textId="77777777" w:rsidR="006054AA" w:rsidRDefault="001F7667">
            <w:pPr>
              <w:pStyle w:val="P68B1DB1-Normal9"/>
              <w:jc w:val="center"/>
              <w:rPr>
                <w:noProof/>
              </w:rPr>
            </w:pPr>
            <w:r>
              <w:rPr>
                <w:noProof/>
              </w:rPr>
              <w:t>Свързана мярка (реформа или инвестиции)</w:t>
            </w:r>
          </w:p>
        </w:tc>
        <w:tc>
          <w:tcPr>
            <w:tcW w:w="1416" w:type="dxa"/>
            <w:vMerge w:val="restart"/>
            <w:shd w:val="clear" w:color="auto" w:fill="BDD7EE"/>
            <w:vAlign w:val="center"/>
            <w:hideMark/>
          </w:tcPr>
          <w:p w14:paraId="5B9C6B08" w14:textId="77777777" w:rsidR="006054AA" w:rsidRDefault="001F7667">
            <w:pPr>
              <w:pStyle w:val="P68B1DB1-Normal9"/>
              <w:jc w:val="center"/>
              <w:rPr>
                <w:noProof/>
              </w:rPr>
            </w:pPr>
            <w:r>
              <w:rPr>
                <w:noProof/>
              </w:rPr>
              <w:t>Ключов етап/Цел</w:t>
            </w:r>
          </w:p>
        </w:tc>
        <w:tc>
          <w:tcPr>
            <w:tcW w:w="1362" w:type="dxa"/>
            <w:vMerge w:val="restart"/>
            <w:shd w:val="clear" w:color="auto" w:fill="BDD7EE"/>
            <w:vAlign w:val="center"/>
            <w:hideMark/>
          </w:tcPr>
          <w:p w14:paraId="1AC2FE08" w14:textId="77777777" w:rsidR="006054AA" w:rsidRDefault="001F7667">
            <w:pPr>
              <w:pStyle w:val="P68B1DB1-Normal9"/>
              <w:jc w:val="center"/>
              <w:rPr>
                <w:noProof/>
              </w:rPr>
            </w:pPr>
            <w:r>
              <w:rPr>
                <w:noProof/>
              </w:rPr>
              <w:t>Име</w:t>
            </w:r>
          </w:p>
        </w:tc>
        <w:tc>
          <w:tcPr>
            <w:tcW w:w="1607" w:type="dxa"/>
            <w:vMerge w:val="restart"/>
            <w:shd w:val="clear" w:color="auto" w:fill="BDD7EE"/>
            <w:vAlign w:val="center"/>
            <w:hideMark/>
          </w:tcPr>
          <w:p w14:paraId="45983081"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2791" w:type="dxa"/>
            <w:gridSpan w:val="3"/>
            <w:shd w:val="clear" w:color="auto" w:fill="BDD7EE"/>
            <w:vAlign w:val="center"/>
            <w:hideMark/>
          </w:tcPr>
          <w:p w14:paraId="7A899628"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627" w:type="dxa"/>
            <w:gridSpan w:val="2"/>
            <w:shd w:val="clear" w:color="auto" w:fill="BDD7EE"/>
            <w:vAlign w:val="center"/>
            <w:hideMark/>
          </w:tcPr>
          <w:p w14:paraId="0B527FCF" w14:textId="77777777" w:rsidR="006054AA" w:rsidRDefault="001F7667">
            <w:pPr>
              <w:pStyle w:val="P68B1DB1-Normal9"/>
              <w:jc w:val="center"/>
              <w:rPr>
                <w:noProof/>
              </w:rPr>
            </w:pPr>
            <w:r>
              <w:rPr>
                <w:noProof/>
              </w:rPr>
              <w:t>Примерен график за приключване</w:t>
            </w:r>
          </w:p>
        </w:tc>
        <w:tc>
          <w:tcPr>
            <w:tcW w:w="2977" w:type="dxa"/>
            <w:vMerge w:val="restart"/>
            <w:shd w:val="clear" w:color="auto" w:fill="BDD7EE"/>
            <w:vAlign w:val="center"/>
            <w:hideMark/>
          </w:tcPr>
          <w:p w14:paraId="76FDE4AA" w14:textId="77777777" w:rsidR="006054AA" w:rsidRDefault="001F7667">
            <w:pPr>
              <w:pStyle w:val="P68B1DB1-Normal9"/>
              <w:jc w:val="center"/>
              <w:rPr>
                <w:noProof/>
              </w:rPr>
            </w:pPr>
            <w:r>
              <w:rPr>
                <w:noProof/>
              </w:rPr>
              <w:t>Описание на всеки ключов етап и цел</w:t>
            </w:r>
          </w:p>
        </w:tc>
      </w:tr>
      <w:tr w:rsidR="006054AA" w14:paraId="7354B6EC" w14:textId="77777777">
        <w:trPr>
          <w:trHeight w:val="802"/>
          <w:jc w:val="center"/>
        </w:trPr>
        <w:tc>
          <w:tcPr>
            <w:tcW w:w="1503" w:type="dxa"/>
            <w:vMerge/>
            <w:vAlign w:val="center"/>
            <w:hideMark/>
          </w:tcPr>
          <w:p w14:paraId="266963BD" w14:textId="77777777" w:rsidR="006054AA" w:rsidRDefault="006054AA">
            <w:pPr>
              <w:jc w:val="center"/>
              <w:rPr>
                <w:rFonts w:ascii="Arial Narrow" w:hAnsi="Arial Narrow"/>
                <w:b/>
                <w:noProof/>
                <w:sz w:val="20"/>
              </w:rPr>
            </w:pPr>
          </w:p>
        </w:tc>
        <w:tc>
          <w:tcPr>
            <w:tcW w:w="1596" w:type="dxa"/>
            <w:vMerge/>
            <w:vAlign w:val="center"/>
            <w:hideMark/>
          </w:tcPr>
          <w:p w14:paraId="3424060E" w14:textId="77777777" w:rsidR="006054AA" w:rsidRDefault="006054AA">
            <w:pPr>
              <w:jc w:val="center"/>
              <w:rPr>
                <w:rFonts w:ascii="Arial Narrow" w:hAnsi="Arial Narrow"/>
                <w:b/>
                <w:noProof/>
                <w:sz w:val="20"/>
              </w:rPr>
            </w:pPr>
          </w:p>
        </w:tc>
        <w:tc>
          <w:tcPr>
            <w:tcW w:w="1416" w:type="dxa"/>
            <w:vMerge/>
            <w:vAlign w:val="center"/>
            <w:hideMark/>
          </w:tcPr>
          <w:p w14:paraId="650909FF" w14:textId="77777777" w:rsidR="006054AA" w:rsidRDefault="006054AA">
            <w:pPr>
              <w:jc w:val="center"/>
              <w:rPr>
                <w:rFonts w:ascii="Arial Narrow" w:hAnsi="Arial Narrow"/>
                <w:b/>
                <w:noProof/>
                <w:sz w:val="20"/>
              </w:rPr>
            </w:pPr>
          </w:p>
        </w:tc>
        <w:tc>
          <w:tcPr>
            <w:tcW w:w="1362" w:type="dxa"/>
            <w:vMerge/>
            <w:vAlign w:val="center"/>
            <w:hideMark/>
          </w:tcPr>
          <w:p w14:paraId="26D15D58" w14:textId="77777777" w:rsidR="006054AA" w:rsidRDefault="006054AA">
            <w:pPr>
              <w:jc w:val="center"/>
              <w:rPr>
                <w:rFonts w:ascii="Arial Narrow" w:hAnsi="Arial Narrow"/>
                <w:b/>
                <w:noProof/>
                <w:sz w:val="20"/>
              </w:rPr>
            </w:pPr>
          </w:p>
        </w:tc>
        <w:tc>
          <w:tcPr>
            <w:tcW w:w="1607" w:type="dxa"/>
            <w:vMerge/>
            <w:vAlign w:val="center"/>
            <w:hideMark/>
          </w:tcPr>
          <w:p w14:paraId="48F6CD6A" w14:textId="77777777" w:rsidR="006054AA" w:rsidRDefault="006054AA">
            <w:pPr>
              <w:jc w:val="center"/>
              <w:rPr>
                <w:rFonts w:ascii="Arial Narrow" w:hAnsi="Arial Narrow"/>
                <w:b/>
                <w:noProof/>
                <w:sz w:val="20"/>
              </w:rPr>
            </w:pPr>
          </w:p>
        </w:tc>
        <w:tc>
          <w:tcPr>
            <w:tcW w:w="1008" w:type="dxa"/>
            <w:shd w:val="clear" w:color="auto" w:fill="BDD7EE"/>
            <w:vAlign w:val="center"/>
            <w:hideMark/>
          </w:tcPr>
          <w:p w14:paraId="3F332A2F" w14:textId="77777777" w:rsidR="006054AA" w:rsidRDefault="001F7667">
            <w:pPr>
              <w:pStyle w:val="P68B1DB1-Normal9"/>
              <w:jc w:val="center"/>
              <w:rPr>
                <w:noProof/>
              </w:rPr>
            </w:pPr>
            <w:r>
              <w:rPr>
                <w:noProof/>
              </w:rPr>
              <w:t>Единица мярка</w:t>
            </w:r>
          </w:p>
        </w:tc>
        <w:tc>
          <w:tcPr>
            <w:tcW w:w="991" w:type="dxa"/>
            <w:shd w:val="clear" w:color="auto" w:fill="BDD7EE"/>
            <w:vAlign w:val="center"/>
            <w:hideMark/>
          </w:tcPr>
          <w:p w14:paraId="28E61C46" w14:textId="77777777" w:rsidR="006054AA" w:rsidRDefault="001F7667">
            <w:pPr>
              <w:pStyle w:val="P68B1DB1-Normal9"/>
              <w:jc w:val="center"/>
              <w:rPr>
                <w:noProof/>
              </w:rPr>
            </w:pPr>
            <w:r>
              <w:rPr>
                <w:noProof/>
              </w:rPr>
              <w:t>Базова линия</w:t>
            </w:r>
          </w:p>
        </w:tc>
        <w:tc>
          <w:tcPr>
            <w:tcW w:w="792" w:type="dxa"/>
            <w:shd w:val="clear" w:color="auto" w:fill="BDD7EE"/>
            <w:vAlign w:val="center"/>
            <w:hideMark/>
          </w:tcPr>
          <w:p w14:paraId="1ED7830C" w14:textId="77777777" w:rsidR="006054AA" w:rsidRDefault="001F7667">
            <w:pPr>
              <w:pStyle w:val="P68B1DB1-Normal9"/>
              <w:jc w:val="center"/>
              <w:rPr>
                <w:noProof/>
              </w:rPr>
            </w:pPr>
            <w:r>
              <w:rPr>
                <w:noProof/>
              </w:rPr>
              <w:t>Цел</w:t>
            </w:r>
          </w:p>
        </w:tc>
        <w:tc>
          <w:tcPr>
            <w:tcW w:w="979" w:type="dxa"/>
            <w:shd w:val="clear" w:color="auto" w:fill="BDD7EE"/>
            <w:vAlign w:val="center"/>
            <w:hideMark/>
          </w:tcPr>
          <w:p w14:paraId="4CCB2020" w14:textId="77777777" w:rsidR="006054AA" w:rsidRDefault="001F7667">
            <w:pPr>
              <w:pStyle w:val="P68B1DB1-Normal9"/>
              <w:jc w:val="center"/>
              <w:rPr>
                <w:noProof/>
              </w:rPr>
            </w:pPr>
            <w:r>
              <w:rPr>
                <w:noProof/>
              </w:rPr>
              <w:t>Тримесечие</w:t>
            </w:r>
          </w:p>
        </w:tc>
        <w:tc>
          <w:tcPr>
            <w:tcW w:w="648" w:type="dxa"/>
            <w:shd w:val="clear" w:color="auto" w:fill="BDD7EE"/>
            <w:vAlign w:val="center"/>
            <w:hideMark/>
          </w:tcPr>
          <w:p w14:paraId="279C5161" w14:textId="77777777" w:rsidR="006054AA" w:rsidRDefault="001F7667">
            <w:pPr>
              <w:pStyle w:val="P68B1DB1-Normal9"/>
              <w:jc w:val="center"/>
              <w:rPr>
                <w:noProof/>
              </w:rPr>
            </w:pPr>
            <w:r>
              <w:rPr>
                <w:noProof/>
              </w:rPr>
              <w:t>Година</w:t>
            </w:r>
          </w:p>
        </w:tc>
        <w:tc>
          <w:tcPr>
            <w:tcW w:w="2977" w:type="dxa"/>
            <w:vMerge/>
            <w:vAlign w:val="center"/>
            <w:hideMark/>
          </w:tcPr>
          <w:p w14:paraId="32EAC357" w14:textId="77777777" w:rsidR="006054AA" w:rsidRDefault="006054AA">
            <w:pPr>
              <w:rPr>
                <w:rFonts w:ascii="Arial Narrow" w:hAnsi="Arial Narrow"/>
                <w:b/>
                <w:noProof/>
                <w:sz w:val="20"/>
              </w:rPr>
            </w:pPr>
          </w:p>
        </w:tc>
      </w:tr>
      <w:tr w:rsidR="006054AA" w14:paraId="5969AB8B" w14:textId="77777777">
        <w:trPr>
          <w:trHeight w:val="1065"/>
          <w:jc w:val="center"/>
        </w:trPr>
        <w:tc>
          <w:tcPr>
            <w:tcW w:w="1503" w:type="dxa"/>
            <w:shd w:val="clear" w:color="auto" w:fill="C6EFCE"/>
            <w:noWrap/>
            <w:vAlign w:val="center"/>
            <w:hideMark/>
          </w:tcPr>
          <w:p w14:paraId="13FA5F2B" w14:textId="77777777" w:rsidR="006054AA" w:rsidRDefault="001F7667">
            <w:pPr>
              <w:pStyle w:val="P68B1DB1-Normal11"/>
              <w:jc w:val="center"/>
              <w:rPr>
                <w:noProof/>
              </w:rPr>
            </w:pPr>
            <w:r>
              <w:rPr>
                <w:noProof/>
              </w:rPr>
              <w:t>M4C2—1</w:t>
            </w:r>
          </w:p>
        </w:tc>
        <w:tc>
          <w:tcPr>
            <w:tcW w:w="1596" w:type="dxa"/>
            <w:shd w:val="clear" w:color="auto" w:fill="C6EFCE"/>
            <w:noWrap/>
            <w:vAlign w:val="center"/>
            <w:hideMark/>
          </w:tcPr>
          <w:p w14:paraId="0721A999" w14:textId="77777777" w:rsidR="006054AA" w:rsidRDefault="001F7667">
            <w:pPr>
              <w:pStyle w:val="P68B1DB1-Normal11"/>
              <w:jc w:val="center"/>
              <w:rPr>
                <w:noProof/>
              </w:rPr>
            </w:pPr>
            <w:r>
              <w:rPr>
                <w:noProof/>
              </w:rPr>
              <w:t xml:space="preserve"> Инвестиция 1.2: Финансиране на проекти, представени от млади изследователи</w:t>
            </w:r>
          </w:p>
        </w:tc>
        <w:tc>
          <w:tcPr>
            <w:tcW w:w="1416" w:type="dxa"/>
            <w:shd w:val="clear" w:color="auto" w:fill="C6EFCE"/>
            <w:noWrap/>
            <w:vAlign w:val="center"/>
            <w:hideMark/>
          </w:tcPr>
          <w:p w14:paraId="3174162B" w14:textId="77777777" w:rsidR="006054AA" w:rsidRDefault="001F7667">
            <w:pPr>
              <w:pStyle w:val="P68B1DB1-Normal11"/>
              <w:jc w:val="center"/>
              <w:rPr>
                <w:noProof/>
              </w:rPr>
            </w:pPr>
            <w:r>
              <w:rPr>
                <w:noProof/>
              </w:rPr>
              <w:t>Целеви</w:t>
            </w:r>
          </w:p>
        </w:tc>
        <w:tc>
          <w:tcPr>
            <w:tcW w:w="1362" w:type="dxa"/>
            <w:shd w:val="clear" w:color="auto" w:fill="C6EFCE"/>
            <w:noWrap/>
            <w:vAlign w:val="center"/>
            <w:hideMark/>
          </w:tcPr>
          <w:p w14:paraId="3FBA5025" w14:textId="77777777" w:rsidR="006054AA" w:rsidRDefault="001F7667">
            <w:pPr>
              <w:pStyle w:val="P68B1DB1-Normal11"/>
              <w:jc w:val="center"/>
              <w:rPr>
                <w:rFonts w:eastAsia="Calibri"/>
                <w:noProof/>
              </w:rPr>
            </w:pPr>
            <w:r>
              <w:rPr>
                <w:noProof/>
              </w:rPr>
              <w:t>Брой на студентите, получили стипендия за научни изследвания</w:t>
            </w:r>
          </w:p>
        </w:tc>
        <w:tc>
          <w:tcPr>
            <w:tcW w:w="1607" w:type="dxa"/>
            <w:shd w:val="clear" w:color="auto" w:fill="C6EFCE"/>
            <w:noWrap/>
            <w:vAlign w:val="center"/>
            <w:hideMark/>
          </w:tcPr>
          <w:p w14:paraId="69A16D7C" w14:textId="77777777" w:rsidR="006054AA" w:rsidRDefault="001F7667">
            <w:pPr>
              <w:pStyle w:val="P68B1DB1-Normal11"/>
              <w:jc w:val="center"/>
              <w:rPr>
                <w:noProof/>
              </w:rPr>
            </w:pPr>
            <w:r>
              <w:rPr>
                <w:noProof/>
              </w:rPr>
              <w:t>НЯМА</w:t>
            </w:r>
          </w:p>
        </w:tc>
        <w:tc>
          <w:tcPr>
            <w:tcW w:w="1008" w:type="dxa"/>
            <w:shd w:val="clear" w:color="auto" w:fill="C6EFCE"/>
            <w:noWrap/>
            <w:vAlign w:val="center"/>
            <w:hideMark/>
          </w:tcPr>
          <w:p w14:paraId="70F22A46" w14:textId="77777777" w:rsidR="006054AA" w:rsidRDefault="001F7667">
            <w:pPr>
              <w:pStyle w:val="P68B1DB1-Normal11"/>
              <w:jc w:val="center"/>
              <w:rPr>
                <w:noProof/>
              </w:rPr>
            </w:pPr>
            <w:r>
              <w:rPr>
                <w:noProof/>
              </w:rPr>
              <w:t>Брой</w:t>
            </w:r>
          </w:p>
        </w:tc>
        <w:tc>
          <w:tcPr>
            <w:tcW w:w="991" w:type="dxa"/>
            <w:shd w:val="clear" w:color="auto" w:fill="C6EFCE"/>
            <w:noWrap/>
            <w:vAlign w:val="center"/>
            <w:hideMark/>
          </w:tcPr>
          <w:p w14:paraId="154CC5C7" w14:textId="77777777" w:rsidR="006054AA" w:rsidRDefault="001F7667">
            <w:pPr>
              <w:pStyle w:val="P68B1DB1-Normal11"/>
              <w:jc w:val="center"/>
              <w:rPr>
                <w:noProof/>
              </w:rPr>
            </w:pPr>
            <w:r>
              <w:rPr>
                <w:noProof/>
              </w:rPr>
              <w:t>50</w:t>
            </w:r>
          </w:p>
        </w:tc>
        <w:tc>
          <w:tcPr>
            <w:tcW w:w="792" w:type="dxa"/>
            <w:shd w:val="clear" w:color="auto" w:fill="C6EFCE"/>
            <w:noWrap/>
            <w:vAlign w:val="center"/>
            <w:hideMark/>
          </w:tcPr>
          <w:p w14:paraId="3D4C30FE" w14:textId="77777777" w:rsidR="006054AA" w:rsidRDefault="001F7667">
            <w:pPr>
              <w:pStyle w:val="P68B1DB1-Normal11"/>
              <w:jc w:val="center"/>
              <w:rPr>
                <w:noProof/>
              </w:rPr>
            </w:pPr>
            <w:r>
              <w:rPr>
                <w:noProof/>
              </w:rPr>
              <w:t>300</w:t>
            </w:r>
          </w:p>
        </w:tc>
        <w:tc>
          <w:tcPr>
            <w:tcW w:w="979" w:type="dxa"/>
            <w:shd w:val="clear" w:color="auto" w:fill="C6EFCE"/>
            <w:noWrap/>
            <w:vAlign w:val="center"/>
            <w:hideMark/>
          </w:tcPr>
          <w:p w14:paraId="2F0067FA" w14:textId="77777777" w:rsidR="006054AA" w:rsidRDefault="001F7667">
            <w:pPr>
              <w:pStyle w:val="P68B1DB1-Normal11"/>
              <w:jc w:val="center"/>
              <w:rPr>
                <w:noProof/>
              </w:rPr>
            </w:pPr>
            <w:r>
              <w:rPr>
                <w:noProof/>
              </w:rPr>
              <w:t>Т4 Г.</w:t>
            </w:r>
          </w:p>
        </w:tc>
        <w:tc>
          <w:tcPr>
            <w:tcW w:w="648" w:type="dxa"/>
            <w:shd w:val="clear" w:color="auto" w:fill="C6EFCE"/>
            <w:noWrap/>
            <w:vAlign w:val="center"/>
            <w:hideMark/>
          </w:tcPr>
          <w:p w14:paraId="3DA1A448" w14:textId="77777777" w:rsidR="006054AA" w:rsidRDefault="001F7667">
            <w:pPr>
              <w:pStyle w:val="P68B1DB1-Normal11"/>
              <w:jc w:val="center"/>
              <w:rPr>
                <w:noProof/>
              </w:rPr>
            </w:pPr>
            <w:r>
              <w:rPr>
                <w:noProof/>
              </w:rPr>
              <w:t>2022</w:t>
            </w:r>
          </w:p>
        </w:tc>
        <w:tc>
          <w:tcPr>
            <w:tcW w:w="2977" w:type="dxa"/>
            <w:shd w:val="clear" w:color="auto" w:fill="C6EFCE"/>
            <w:noWrap/>
            <w:vAlign w:val="center"/>
            <w:hideMark/>
          </w:tcPr>
          <w:p w14:paraId="7D283C6A" w14:textId="77777777" w:rsidR="006054AA" w:rsidRDefault="001F7667">
            <w:pPr>
              <w:pStyle w:val="P68B1DB1-Normal11"/>
              <w:rPr>
                <w:noProof/>
              </w:rPr>
            </w:pPr>
            <w:r>
              <w:rPr>
                <w:noProof/>
              </w:rPr>
              <w:t>Предоставяне на най-малко 300 стипендии за научни изследвания на студенти. Процедурата за подбор за възлагане включва 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0BA29BAF" w14:textId="77777777" w:rsidR="006054AA" w:rsidRDefault="006054AA">
            <w:pPr>
              <w:rPr>
                <w:rFonts w:ascii="Arial Narrow" w:hAnsi="Arial Narrow"/>
                <w:noProof/>
                <w:color w:val="006100"/>
                <w:sz w:val="20"/>
              </w:rPr>
            </w:pPr>
          </w:p>
          <w:p w14:paraId="117BE76B" w14:textId="7234F17B" w:rsidR="006054AA" w:rsidRDefault="001F7667">
            <w:pPr>
              <w:pStyle w:val="P68B1DB1-Normal11"/>
              <w:rPr>
                <w:noProof/>
              </w:rPr>
            </w:pPr>
            <w:r>
              <w:rPr>
                <w:noProof/>
              </w:rPr>
              <w:t>При задоволителното изпълнение на целта ще се вземе предвид и фактът, че са сключени договори за най-малко 300 млади изследователи.</w:t>
            </w:r>
          </w:p>
        </w:tc>
      </w:tr>
      <w:tr w:rsidR="006054AA" w14:paraId="45CF462A" w14:textId="77777777">
        <w:trPr>
          <w:trHeight w:val="1065"/>
          <w:jc w:val="center"/>
        </w:trPr>
        <w:tc>
          <w:tcPr>
            <w:tcW w:w="1503" w:type="dxa"/>
            <w:shd w:val="clear" w:color="auto" w:fill="C6EFCE"/>
            <w:noWrap/>
            <w:vAlign w:val="center"/>
            <w:hideMark/>
          </w:tcPr>
          <w:p w14:paraId="45E6CBC3" w14:textId="77777777" w:rsidR="006054AA" w:rsidRDefault="001F7667">
            <w:pPr>
              <w:pStyle w:val="P68B1DB1-Normal11"/>
              <w:jc w:val="center"/>
              <w:rPr>
                <w:rFonts w:eastAsia="Calibri"/>
                <w:noProof/>
              </w:rPr>
            </w:pPr>
            <w:r>
              <w:rPr>
                <w:noProof/>
              </w:rPr>
              <w:t>M4C2—1 bis</w:t>
            </w:r>
          </w:p>
        </w:tc>
        <w:tc>
          <w:tcPr>
            <w:tcW w:w="1596" w:type="dxa"/>
            <w:shd w:val="clear" w:color="auto" w:fill="C6EFCE"/>
            <w:noWrap/>
            <w:vAlign w:val="center"/>
            <w:hideMark/>
          </w:tcPr>
          <w:p w14:paraId="4223D0A1" w14:textId="77777777" w:rsidR="006054AA" w:rsidRDefault="001F7667">
            <w:pPr>
              <w:pStyle w:val="P68B1DB1-Normal11"/>
              <w:jc w:val="center"/>
              <w:rPr>
                <w:noProof/>
              </w:rPr>
            </w:pPr>
            <w:r>
              <w:rPr>
                <w:noProof/>
              </w:rPr>
              <w:t>Инвестиция 1.2: Финансиране на проекти, представени от млади изследователи</w:t>
            </w:r>
          </w:p>
          <w:p w14:paraId="730793B1" w14:textId="77777777" w:rsidR="006054AA" w:rsidRDefault="006054AA">
            <w:pPr>
              <w:jc w:val="center"/>
              <w:rPr>
                <w:rFonts w:ascii="Arial Narrow" w:hAnsi="Arial Narrow"/>
                <w:noProof/>
                <w:color w:val="006100"/>
                <w:sz w:val="20"/>
              </w:rPr>
            </w:pPr>
          </w:p>
        </w:tc>
        <w:tc>
          <w:tcPr>
            <w:tcW w:w="1416" w:type="dxa"/>
            <w:shd w:val="clear" w:color="auto" w:fill="C6EFCE"/>
            <w:noWrap/>
            <w:vAlign w:val="center"/>
            <w:hideMark/>
          </w:tcPr>
          <w:p w14:paraId="68EDE13C" w14:textId="1E39A0E3" w:rsidR="006054AA" w:rsidRDefault="001F7667">
            <w:pPr>
              <w:pStyle w:val="P68B1DB1-Normal11"/>
              <w:jc w:val="center"/>
              <w:rPr>
                <w:noProof/>
              </w:rPr>
            </w:pPr>
            <w:r>
              <w:rPr>
                <w:noProof/>
              </w:rPr>
              <w:t>Целеви</w:t>
            </w:r>
          </w:p>
        </w:tc>
        <w:tc>
          <w:tcPr>
            <w:tcW w:w="1362" w:type="dxa"/>
            <w:shd w:val="clear" w:color="auto" w:fill="C6EFCE"/>
            <w:noWrap/>
            <w:vAlign w:val="center"/>
            <w:hideMark/>
          </w:tcPr>
          <w:p w14:paraId="08E69876" w14:textId="77777777" w:rsidR="006054AA" w:rsidRDefault="001F7667">
            <w:pPr>
              <w:pStyle w:val="P68B1DB1-Normal11"/>
              <w:jc w:val="center"/>
              <w:rPr>
                <w:rFonts w:eastAsia="Calibri"/>
                <w:noProof/>
              </w:rPr>
            </w:pPr>
            <w:r>
              <w:rPr>
                <w:noProof/>
              </w:rPr>
              <w:t>Брой на студентите, получили стипендия за научни изследвания</w:t>
            </w:r>
          </w:p>
          <w:p w14:paraId="11739C4B" w14:textId="77777777" w:rsidR="006054AA" w:rsidRDefault="006054AA">
            <w:pPr>
              <w:jc w:val="center"/>
              <w:rPr>
                <w:rFonts w:ascii="Arial Narrow" w:eastAsia="Calibri" w:hAnsi="Arial Narrow"/>
                <w:noProof/>
                <w:color w:val="006100"/>
                <w:sz w:val="20"/>
              </w:rPr>
            </w:pPr>
          </w:p>
        </w:tc>
        <w:tc>
          <w:tcPr>
            <w:tcW w:w="1607" w:type="dxa"/>
            <w:shd w:val="clear" w:color="auto" w:fill="C6EFCE"/>
            <w:noWrap/>
            <w:vAlign w:val="center"/>
            <w:hideMark/>
          </w:tcPr>
          <w:p w14:paraId="755A751F" w14:textId="23FE1AF7" w:rsidR="006054AA" w:rsidRDefault="001F7667">
            <w:pPr>
              <w:pStyle w:val="P68B1DB1-Normal11"/>
              <w:jc w:val="center"/>
              <w:rPr>
                <w:noProof/>
              </w:rPr>
            </w:pPr>
            <w:r>
              <w:rPr>
                <w:noProof/>
              </w:rPr>
              <w:t>НЯМА</w:t>
            </w:r>
          </w:p>
        </w:tc>
        <w:tc>
          <w:tcPr>
            <w:tcW w:w="1008" w:type="dxa"/>
            <w:shd w:val="clear" w:color="auto" w:fill="C6EFCE"/>
            <w:noWrap/>
            <w:vAlign w:val="center"/>
            <w:hideMark/>
          </w:tcPr>
          <w:p w14:paraId="46249849" w14:textId="0B341B03" w:rsidR="006054AA" w:rsidRDefault="001F7667">
            <w:pPr>
              <w:pStyle w:val="P68B1DB1-Normal11"/>
              <w:jc w:val="center"/>
              <w:rPr>
                <w:noProof/>
              </w:rPr>
            </w:pPr>
            <w:r>
              <w:rPr>
                <w:noProof/>
              </w:rPr>
              <w:t>Брой</w:t>
            </w:r>
          </w:p>
        </w:tc>
        <w:tc>
          <w:tcPr>
            <w:tcW w:w="991" w:type="dxa"/>
            <w:shd w:val="clear" w:color="auto" w:fill="C6EFCE"/>
            <w:noWrap/>
            <w:vAlign w:val="center"/>
            <w:hideMark/>
          </w:tcPr>
          <w:p w14:paraId="04F303C9" w14:textId="77777777" w:rsidR="006054AA" w:rsidRDefault="001F7667">
            <w:pPr>
              <w:pStyle w:val="P68B1DB1-Normal11"/>
              <w:jc w:val="center"/>
              <w:rPr>
                <w:noProof/>
              </w:rPr>
            </w:pPr>
            <w:r>
              <w:rPr>
                <w:noProof/>
              </w:rPr>
              <w:t>300</w:t>
            </w:r>
          </w:p>
        </w:tc>
        <w:tc>
          <w:tcPr>
            <w:tcW w:w="792" w:type="dxa"/>
            <w:shd w:val="clear" w:color="auto" w:fill="C6EFCE"/>
            <w:noWrap/>
            <w:vAlign w:val="center"/>
            <w:hideMark/>
          </w:tcPr>
          <w:p w14:paraId="79E4F2A2" w14:textId="77777777" w:rsidR="006054AA" w:rsidRDefault="001F7667">
            <w:pPr>
              <w:pStyle w:val="P68B1DB1-Normal11"/>
              <w:jc w:val="center"/>
              <w:rPr>
                <w:noProof/>
              </w:rPr>
            </w:pPr>
            <w:r>
              <w:rPr>
                <w:noProof/>
              </w:rPr>
              <w:t>850</w:t>
            </w:r>
          </w:p>
        </w:tc>
        <w:tc>
          <w:tcPr>
            <w:tcW w:w="979" w:type="dxa"/>
            <w:shd w:val="clear" w:color="auto" w:fill="C6EFCE"/>
            <w:noWrap/>
            <w:vAlign w:val="center"/>
            <w:hideMark/>
          </w:tcPr>
          <w:p w14:paraId="5F3D2F07" w14:textId="77777777" w:rsidR="006054AA" w:rsidRDefault="001F7667">
            <w:pPr>
              <w:pStyle w:val="P68B1DB1-Normal11"/>
              <w:jc w:val="center"/>
              <w:rPr>
                <w:noProof/>
              </w:rPr>
            </w:pPr>
            <w:r>
              <w:rPr>
                <w:noProof/>
              </w:rPr>
              <w:t>Т2 Г.</w:t>
            </w:r>
          </w:p>
        </w:tc>
        <w:tc>
          <w:tcPr>
            <w:tcW w:w="648" w:type="dxa"/>
            <w:shd w:val="clear" w:color="auto" w:fill="C6EFCE"/>
            <w:noWrap/>
            <w:vAlign w:val="center"/>
            <w:hideMark/>
          </w:tcPr>
          <w:p w14:paraId="49421B40" w14:textId="77777777" w:rsidR="006054AA" w:rsidRDefault="001F7667">
            <w:pPr>
              <w:pStyle w:val="P68B1DB1-Normal11"/>
              <w:jc w:val="center"/>
              <w:rPr>
                <w:noProof/>
              </w:rPr>
            </w:pPr>
            <w:r>
              <w:rPr>
                <w:noProof/>
              </w:rPr>
              <w:t>2025</w:t>
            </w:r>
          </w:p>
        </w:tc>
        <w:tc>
          <w:tcPr>
            <w:tcW w:w="2977" w:type="dxa"/>
            <w:shd w:val="clear" w:color="auto" w:fill="C6EFCE"/>
            <w:noWrap/>
            <w:vAlign w:val="center"/>
            <w:hideMark/>
          </w:tcPr>
          <w:p w14:paraId="081C3BD2" w14:textId="05C513C2" w:rsidR="006054AA" w:rsidRDefault="001F7667">
            <w:pPr>
              <w:pStyle w:val="P68B1DB1-Normal11"/>
              <w:rPr>
                <w:noProof/>
              </w:rPr>
            </w:pPr>
            <w:r>
              <w:rPr>
                <w:noProof/>
              </w:rPr>
              <w:t>Предоставяне на най-малко 850 стипендии за научни изследвания на студенти. Процедурата за подбор за отпускане на безвъзмездни средства за научни изследвания включва 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3E2FAB66" w14:textId="4E8E17A9" w:rsidR="006054AA" w:rsidRDefault="001F7667">
            <w:pPr>
              <w:pStyle w:val="P68B1DB1-Normal11"/>
              <w:rPr>
                <w:noProof/>
              </w:rPr>
            </w:pPr>
            <w:r>
              <w:rPr>
                <w:noProof/>
              </w:rPr>
              <w:t>При задоволителното изпълнение на целта се взема предвид и фактът, че са сключени договори с най-малко 850 млади изследователи.</w:t>
            </w:r>
          </w:p>
        </w:tc>
      </w:tr>
      <w:tr w:rsidR="006054AA" w14:paraId="676776B2" w14:textId="77777777">
        <w:trPr>
          <w:trHeight w:val="309"/>
          <w:jc w:val="center"/>
        </w:trPr>
        <w:tc>
          <w:tcPr>
            <w:tcW w:w="1503" w:type="dxa"/>
            <w:shd w:val="clear" w:color="auto" w:fill="C6EFCE"/>
            <w:noWrap/>
            <w:vAlign w:val="center"/>
            <w:hideMark/>
          </w:tcPr>
          <w:p w14:paraId="3BC3987E" w14:textId="77777777" w:rsidR="006054AA" w:rsidRDefault="001F7667">
            <w:pPr>
              <w:pStyle w:val="P68B1DB1-Normal11"/>
              <w:jc w:val="center"/>
              <w:rPr>
                <w:noProof/>
              </w:rPr>
            </w:pPr>
            <w:r>
              <w:rPr>
                <w:noProof/>
              </w:rPr>
              <w:t>M4C2—2</w:t>
            </w:r>
          </w:p>
        </w:tc>
        <w:tc>
          <w:tcPr>
            <w:tcW w:w="1596" w:type="dxa"/>
            <w:shd w:val="clear" w:color="auto" w:fill="C6EFCE"/>
            <w:noWrap/>
            <w:vAlign w:val="center"/>
            <w:hideMark/>
          </w:tcPr>
          <w:p w14:paraId="59BDEE71" w14:textId="77777777" w:rsidR="006054AA" w:rsidRDefault="001F7667">
            <w:pPr>
              <w:pStyle w:val="P68B1DB1-Normal11"/>
              <w:jc w:val="center"/>
              <w:rPr>
                <w:noProof/>
              </w:rPr>
            </w:pPr>
            <w:r>
              <w:rPr>
                <w:noProof/>
              </w:rPr>
              <w:t>Инвестиция 2.2: Партньорства в областта на научните изследвания и иновациите — „Хоризонт Европа“</w:t>
            </w:r>
          </w:p>
        </w:tc>
        <w:tc>
          <w:tcPr>
            <w:tcW w:w="1416" w:type="dxa"/>
            <w:shd w:val="clear" w:color="auto" w:fill="C6EFCE"/>
            <w:noWrap/>
            <w:vAlign w:val="center"/>
            <w:hideMark/>
          </w:tcPr>
          <w:p w14:paraId="667148A1" w14:textId="77777777" w:rsidR="006054AA" w:rsidRDefault="001F7667">
            <w:pPr>
              <w:pStyle w:val="P68B1DB1-Normal11"/>
              <w:jc w:val="center"/>
              <w:rPr>
                <w:noProof/>
              </w:rPr>
            </w:pPr>
            <w:r>
              <w:rPr>
                <w:noProof/>
              </w:rPr>
              <w:t>Целеви</w:t>
            </w:r>
          </w:p>
        </w:tc>
        <w:tc>
          <w:tcPr>
            <w:tcW w:w="1362" w:type="dxa"/>
            <w:shd w:val="clear" w:color="auto" w:fill="C6EFCE"/>
            <w:noWrap/>
            <w:vAlign w:val="center"/>
            <w:hideMark/>
          </w:tcPr>
          <w:p w14:paraId="22FC31B1" w14:textId="77777777" w:rsidR="006054AA" w:rsidRDefault="001F7667">
            <w:pPr>
              <w:pStyle w:val="P68B1DB1-Normal11"/>
              <w:jc w:val="center"/>
              <w:rPr>
                <w:noProof/>
              </w:rPr>
            </w:pPr>
            <w:r>
              <w:rPr>
                <w:noProof/>
              </w:rPr>
              <w:t>Брой на проектите от дружества, получили безвъзмездни средства</w:t>
            </w:r>
          </w:p>
        </w:tc>
        <w:tc>
          <w:tcPr>
            <w:tcW w:w="1607" w:type="dxa"/>
            <w:shd w:val="clear" w:color="auto" w:fill="C6EFCE"/>
            <w:noWrap/>
            <w:vAlign w:val="center"/>
            <w:hideMark/>
          </w:tcPr>
          <w:p w14:paraId="400B07AD" w14:textId="77777777" w:rsidR="006054AA" w:rsidRDefault="001F7667">
            <w:pPr>
              <w:pStyle w:val="P68B1DB1-Normal11"/>
              <w:jc w:val="center"/>
              <w:rPr>
                <w:rFonts w:eastAsia="Calibri"/>
                <w:noProof/>
              </w:rPr>
            </w:pPr>
            <w:r>
              <w:rPr>
                <w:noProof/>
              </w:rPr>
              <w:t>НЯМА</w:t>
            </w:r>
          </w:p>
        </w:tc>
        <w:tc>
          <w:tcPr>
            <w:tcW w:w="1008" w:type="dxa"/>
            <w:shd w:val="clear" w:color="auto" w:fill="C6EFCE"/>
            <w:noWrap/>
            <w:vAlign w:val="center"/>
            <w:hideMark/>
          </w:tcPr>
          <w:p w14:paraId="0232506B" w14:textId="77777777" w:rsidR="006054AA" w:rsidRDefault="001F7667">
            <w:pPr>
              <w:pStyle w:val="P68B1DB1-Normal11"/>
              <w:jc w:val="center"/>
              <w:rPr>
                <w:noProof/>
              </w:rPr>
            </w:pPr>
            <w:r>
              <w:rPr>
                <w:noProof/>
              </w:rPr>
              <w:t>Брой</w:t>
            </w:r>
          </w:p>
        </w:tc>
        <w:tc>
          <w:tcPr>
            <w:tcW w:w="991" w:type="dxa"/>
            <w:shd w:val="clear" w:color="auto" w:fill="C6EFCE"/>
            <w:noWrap/>
            <w:vAlign w:val="center"/>
            <w:hideMark/>
          </w:tcPr>
          <w:p w14:paraId="5F43C0CE" w14:textId="77777777" w:rsidR="006054AA" w:rsidRDefault="001F7667">
            <w:pPr>
              <w:pStyle w:val="P68B1DB1-Normal11"/>
              <w:jc w:val="center"/>
              <w:rPr>
                <w:noProof/>
              </w:rPr>
            </w:pPr>
            <w:r>
              <w:rPr>
                <w:noProof/>
              </w:rPr>
              <w:t>11</w:t>
            </w:r>
          </w:p>
        </w:tc>
        <w:tc>
          <w:tcPr>
            <w:tcW w:w="792" w:type="dxa"/>
            <w:shd w:val="clear" w:color="auto" w:fill="C6EFCE"/>
            <w:noWrap/>
            <w:vAlign w:val="center"/>
            <w:hideMark/>
          </w:tcPr>
          <w:p w14:paraId="454897EC" w14:textId="2722FFB4" w:rsidR="006054AA" w:rsidRDefault="001F7667">
            <w:pPr>
              <w:pStyle w:val="P68B1DB1-Normal11"/>
              <w:jc w:val="center"/>
              <w:rPr>
                <w:noProof/>
              </w:rPr>
            </w:pPr>
            <w:r>
              <w:rPr>
                <w:noProof/>
              </w:rPr>
              <w:t>205</w:t>
            </w:r>
          </w:p>
        </w:tc>
        <w:tc>
          <w:tcPr>
            <w:tcW w:w="979" w:type="dxa"/>
            <w:shd w:val="clear" w:color="auto" w:fill="C6EFCE"/>
            <w:noWrap/>
            <w:vAlign w:val="center"/>
            <w:hideMark/>
          </w:tcPr>
          <w:p w14:paraId="0CF91799" w14:textId="77777777" w:rsidR="006054AA" w:rsidRDefault="001F7667">
            <w:pPr>
              <w:pStyle w:val="P68B1DB1-Normal11"/>
              <w:jc w:val="center"/>
              <w:rPr>
                <w:noProof/>
              </w:rPr>
            </w:pPr>
            <w:r>
              <w:rPr>
                <w:noProof/>
              </w:rPr>
              <w:t>Т4 Г.</w:t>
            </w:r>
          </w:p>
        </w:tc>
        <w:tc>
          <w:tcPr>
            <w:tcW w:w="648" w:type="dxa"/>
            <w:shd w:val="clear" w:color="auto" w:fill="C6EFCE"/>
            <w:noWrap/>
            <w:vAlign w:val="center"/>
            <w:hideMark/>
          </w:tcPr>
          <w:p w14:paraId="4B0AFA69" w14:textId="77777777" w:rsidR="006054AA" w:rsidRDefault="001F7667">
            <w:pPr>
              <w:pStyle w:val="P68B1DB1-Normal11"/>
              <w:jc w:val="center"/>
              <w:rPr>
                <w:noProof/>
              </w:rPr>
            </w:pPr>
            <w:r>
              <w:rPr>
                <w:noProof/>
              </w:rPr>
              <w:t>2025</w:t>
            </w:r>
          </w:p>
        </w:tc>
        <w:tc>
          <w:tcPr>
            <w:tcW w:w="2977" w:type="dxa"/>
            <w:shd w:val="clear" w:color="auto" w:fill="C6EFCE"/>
            <w:noWrap/>
            <w:vAlign w:val="center"/>
            <w:hideMark/>
          </w:tcPr>
          <w:p w14:paraId="7F355FF6" w14:textId="77777777" w:rsidR="006054AA" w:rsidRDefault="001F7667">
            <w:pPr>
              <w:pStyle w:val="P68B1DB1-Normal11"/>
              <w:rPr>
                <w:noProof/>
              </w:rPr>
            </w:pPr>
            <w:r>
              <w:rPr>
                <w:noProof/>
              </w:rPr>
              <w:t>Ще бъдат възложени най-малко 205 проекта. Процедурата за подбор за възлагане включва следното:</w:t>
            </w:r>
          </w:p>
          <w:p w14:paraId="3DAF6E0F" w14:textId="77777777" w:rsidR="006054AA" w:rsidRDefault="001F7667">
            <w:pPr>
              <w:pStyle w:val="P68B1DB1-Normal11"/>
              <w:rPr>
                <w:noProof/>
              </w:rPr>
            </w:pPr>
            <w:r>
              <w:rPr>
                <w:noProof/>
              </w:rPr>
              <w:t>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съответствие със съответното законодателство на ЕС и национално законодателство в областта на околната среда.</w:t>
            </w:r>
          </w:p>
          <w:p w14:paraId="0E1DFB83" w14:textId="77777777" w:rsidR="006054AA" w:rsidRDefault="001F7667">
            <w:pPr>
              <w:pStyle w:val="P68B1DB1-Normal11"/>
              <w:rPr>
                <w:noProof/>
              </w:rPr>
            </w:pPr>
            <w:r>
              <w:rPr>
                <w:noProof/>
              </w:rPr>
              <w:t>ангажимент, че приносът на инвестицията в областта на климата съгласно методиката в приложение VI към Регламент (ЕС) 2021/241 трябва да представлява най-малко 60 % от общите разходи за инвестицията, подкрепена от МВУ.</w:t>
            </w:r>
          </w:p>
          <w:p w14:paraId="2F467DB3" w14:textId="77777777" w:rsidR="006054AA" w:rsidRDefault="001F7667">
            <w:pPr>
              <w:pStyle w:val="P68B1DB1-Normal11"/>
              <w:rPr>
                <w:noProof/>
              </w:rPr>
            </w:pPr>
            <w:r>
              <w:rPr>
                <w:noProof/>
              </w:rPr>
              <w:t>ангажимент, че цифровият принос на инвестицията съгласно методиката в приложение VII към Регламент (ЕС) 2021/241 трябва да представлява най-малко 40 % от общите разходи за инвестицията, подкрепена от МВУ.</w:t>
            </w:r>
          </w:p>
          <w:p w14:paraId="3E50FCD7" w14:textId="77777777" w:rsidR="006054AA" w:rsidRDefault="001F7667">
            <w:pPr>
              <w:pStyle w:val="P68B1DB1-Normal11"/>
              <w:rPr>
                <w:noProof/>
              </w:rPr>
            </w:pPr>
            <w:r>
              <w:rPr>
                <w:noProof/>
              </w:rPr>
              <w:t>ангажимент за докладване относно изпълнението на мярката в средата на жизнения цикъл на схемата и края на схемата.</w:t>
            </w:r>
          </w:p>
          <w:p w14:paraId="4400A284" w14:textId="77777777" w:rsidR="006054AA" w:rsidRDefault="006054AA">
            <w:pPr>
              <w:rPr>
                <w:rFonts w:ascii="Arial Narrow" w:hAnsi="Arial Narrow"/>
                <w:noProof/>
                <w:color w:val="006100"/>
                <w:sz w:val="20"/>
              </w:rPr>
            </w:pPr>
          </w:p>
        </w:tc>
      </w:tr>
      <w:tr w:rsidR="006054AA" w14:paraId="6CDE79DE" w14:textId="77777777">
        <w:trPr>
          <w:trHeight w:val="309"/>
          <w:jc w:val="center"/>
        </w:trPr>
        <w:tc>
          <w:tcPr>
            <w:tcW w:w="1503" w:type="dxa"/>
            <w:shd w:val="clear" w:color="auto" w:fill="C6EFCE"/>
            <w:noWrap/>
            <w:vAlign w:val="center"/>
            <w:hideMark/>
          </w:tcPr>
          <w:p w14:paraId="07417537" w14:textId="77777777" w:rsidR="006054AA" w:rsidRDefault="001F7667">
            <w:pPr>
              <w:pStyle w:val="P68B1DB1-Normal11"/>
              <w:jc w:val="center"/>
              <w:rPr>
                <w:noProof/>
              </w:rPr>
            </w:pPr>
            <w:r>
              <w:rPr>
                <w:noProof/>
              </w:rPr>
              <w:t>M4C2—3</w:t>
            </w:r>
          </w:p>
        </w:tc>
        <w:tc>
          <w:tcPr>
            <w:tcW w:w="1596" w:type="dxa"/>
            <w:shd w:val="clear" w:color="auto" w:fill="C6EFCE"/>
            <w:noWrap/>
            <w:vAlign w:val="center"/>
            <w:hideMark/>
          </w:tcPr>
          <w:p w14:paraId="753A7DB1" w14:textId="77777777" w:rsidR="006054AA" w:rsidRDefault="001F7667">
            <w:pPr>
              <w:pStyle w:val="P68B1DB1-Normal11"/>
              <w:jc w:val="center"/>
              <w:rPr>
                <w:rFonts w:eastAsia="Calibri"/>
                <w:noProof/>
              </w:rPr>
            </w:pPr>
            <w:r>
              <w:rPr>
                <w:noProof/>
              </w:rPr>
              <w:t>Инвестиция 3.3: Въвеждане на иновативни докторантури, които отговарят на нуждите на предприятията от иновации и насърчават наемането на изследователи от предприятията</w:t>
            </w:r>
          </w:p>
        </w:tc>
        <w:tc>
          <w:tcPr>
            <w:tcW w:w="1416" w:type="dxa"/>
            <w:shd w:val="clear" w:color="auto" w:fill="C6EFCE"/>
            <w:noWrap/>
            <w:vAlign w:val="center"/>
            <w:hideMark/>
          </w:tcPr>
          <w:p w14:paraId="5FF4F0C6" w14:textId="77777777" w:rsidR="006054AA" w:rsidRDefault="001F7667">
            <w:pPr>
              <w:pStyle w:val="P68B1DB1-Normal11"/>
              <w:jc w:val="center"/>
              <w:rPr>
                <w:noProof/>
              </w:rPr>
            </w:pPr>
            <w:r>
              <w:rPr>
                <w:noProof/>
              </w:rPr>
              <w:t>Целеви</w:t>
            </w:r>
          </w:p>
        </w:tc>
        <w:tc>
          <w:tcPr>
            <w:tcW w:w="1362" w:type="dxa"/>
            <w:shd w:val="clear" w:color="auto" w:fill="C6EFCE"/>
            <w:noWrap/>
            <w:vAlign w:val="center"/>
            <w:hideMark/>
          </w:tcPr>
          <w:p w14:paraId="52C5D756" w14:textId="77777777" w:rsidR="006054AA" w:rsidRDefault="001F7667">
            <w:pPr>
              <w:pStyle w:val="P68B1DB1-Normal11"/>
              <w:jc w:val="center"/>
              <w:rPr>
                <w:noProof/>
              </w:rPr>
            </w:pPr>
            <w:r>
              <w:rPr>
                <w:noProof/>
              </w:rPr>
              <w:t>Брой на отпуснатите стипендии за иновативни докторанти</w:t>
            </w:r>
          </w:p>
        </w:tc>
        <w:tc>
          <w:tcPr>
            <w:tcW w:w="1607" w:type="dxa"/>
            <w:shd w:val="clear" w:color="auto" w:fill="C6EFCE"/>
            <w:noWrap/>
            <w:vAlign w:val="center"/>
            <w:hideMark/>
          </w:tcPr>
          <w:p w14:paraId="0AE2DE4E" w14:textId="77777777" w:rsidR="006054AA" w:rsidRDefault="001F7667">
            <w:pPr>
              <w:pStyle w:val="P68B1DB1-Normal11"/>
              <w:jc w:val="center"/>
              <w:rPr>
                <w:noProof/>
              </w:rPr>
            </w:pPr>
            <w:r>
              <w:rPr>
                <w:noProof/>
              </w:rPr>
              <w:t>НЯМА</w:t>
            </w:r>
          </w:p>
        </w:tc>
        <w:tc>
          <w:tcPr>
            <w:tcW w:w="1008" w:type="dxa"/>
            <w:shd w:val="clear" w:color="auto" w:fill="C6EFCE"/>
            <w:noWrap/>
            <w:vAlign w:val="center"/>
            <w:hideMark/>
          </w:tcPr>
          <w:p w14:paraId="3CF70B4A" w14:textId="7A3FEC34" w:rsidR="006054AA" w:rsidRDefault="001F7667">
            <w:pPr>
              <w:pStyle w:val="P68B1DB1-Normal11"/>
              <w:jc w:val="center"/>
              <w:rPr>
                <w:rFonts w:eastAsia="Calibri"/>
                <w:noProof/>
              </w:rPr>
            </w:pPr>
            <w:r>
              <w:rPr>
                <w:noProof/>
              </w:rPr>
              <w:t>Брой</w:t>
            </w:r>
          </w:p>
        </w:tc>
        <w:tc>
          <w:tcPr>
            <w:tcW w:w="991" w:type="dxa"/>
            <w:shd w:val="clear" w:color="auto" w:fill="C6EFCE"/>
            <w:noWrap/>
            <w:vAlign w:val="center"/>
            <w:hideMark/>
          </w:tcPr>
          <w:p w14:paraId="6C78DCD6" w14:textId="77777777" w:rsidR="006054AA" w:rsidRDefault="001F7667">
            <w:pPr>
              <w:pStyle w:val="P68B1DB1-Normal11"/>
              <w:jc w:val="center"/>
              <w:rPr>
                <w:noProof/>
              </w:rPr>
            </w:pPr>
            <w:r>
              <w:rPr>
                <w:noProof/>
              </w:rPr>
              <w:t>0</w:t>
            </w:r>
          </w:p>
        </w:tc>
        <w:tc>
          <w:tcPr>
            <w:tcW w:w="792" w:type="dxa"/>
            <w:shd w:val="clear" w:color="auto" w:fill="C6EFCE"/>
            <w:noWrap/>
            <w:vAlign w:val="center"/>
            <w:hideMark/>
          </w:tcPr>
          <w:p w14:paraId="73BCFE77" w14:textId="2FB9CD3B" w:rsidR="006054AA" w:rsidRDefault="001F7667">
            <w:pPr>
              <w:pStyle w:val="P68B1DB1-Normal11"/>
              <w:jc w:val="center"/>
              <w:rPr>
                <w:noProof/>
              </w:rPr>
            </w:pPr>
            <w:r>
              <w:rPr>
                <w:noProof/>
              </w:rPr>
              <w:t>6 000</w:t>
            </w:r>
          </w:p>
        </w:tc>
        <w:tc>
          <w:tcPr>
            <w:tcW w:w="979" w:type="dxa"/>
            <w:shd w:val="clear" w:color="auto" w:fill="C6EFCE"/>
            <w:noWrap/>
            <w:vAlign w:val="center"/>
            <w:hideMark/>
          </w:tcPr>
          <w:p w14:paraId="347B1DD5" w14:textId="77777777" w:rsidR="006054AA" w:rsidRDefault="001F7667">
            <w:pPr>
              <w:pStyle w:val="P68B1DB1-Normal11"/>
              <w:jc w:val="center"/>
              <w:rPr>
                <w:noProof/>
              </w:rPr>
            </w:pPr>
            <w:r>
              <w:rPr>
                <w:noProof/>
              </w:rPr>
              <w:t>Т4 Г.</w:t>
            </w:r>
          </w:p>
        </w:tc>
        <w:tc>
          <w:tcPr>
            <w:tcW w:w="648" w:type="dxa"/>
            <w:shd w:val="clear" w:color="auto" w:fill="C6EFCE"/>
            <w:noWrap/>
            <w:vAlign w:val="center"/>
            <w:hideMark/>
          </w:tcPr>
          <w:p w14:paraId="72343EEE" w14:textId="77777777" w:rsidR="006054AA" w:rsidRDefault="001F7667">
            <w:pPr>
              <w:pStyle w:val="P68B1DB1-Normal11"/>
              <w:jc w:val="center"/>
              <w:rPr>
                <w:noProof/>
              </w:rPr>
            </w:pPr>
            <w:r>
              <w:rPr>
                <w:noProof/>
              </w:rPr>
              <w:t>2024</w:t>
            </w:r>
          </w:p>
        </w:tc>
        <w:tc>
          <w:tcPr>
            <w:tcW w:w="2977" w:type="dxa"/>
            <w:shd w:val="clear" w:color="auto" w:fill="C6EFCE"/>
            <w:noWrap/>
            <w:vAlign w:val="center"/>
            <w:hideMark/>
          </w:tcPr>
          <w:p w14:paraId="3250ED4C" w14:textId="41825C39" w:rsidR="006054AA" w:rsidRDefault="001F7667">
            <w:pPr>
              <w:pStyle w:val="P68B1DB1-Normal11"/>
              <w:rPr>
                <w:noProof/>
              </w:rPr>
            </w:pPr>
            <w:r>
              <w:rPr>
                <w:noProof/>
              </w:rPr>
              <w:t>Предоставяне на най-малко 6 000 стипендии за докторска степен.</w:t>
            </w:r>
          </w:p>
          <w:p w14:paraId="65AC5912" w14:textId="77777777" w:rsidR="006054AA" w:rsidRDefault="001F7667">
            <w:pPr>
              <w:pStyle w:val="P68B1DB1-Normal11"/>
              <w:rPr>
                <w:noProof/>
              </w:rPr>
            </w:pPr>
            <w:r>
              <w:rPr>
                <w:noProof/>
              </w:rPr>
              <w:t>Критичните изисквания за идентифициране на иновативни докторантури включват:</w:t>
            </w:r>
          </w:p>
          <w:p w14:paraId="1FE1E6ED" w14:textId="77777777" w:rsidR="006054AA" w:rsidRDefault="001F7667">
            <w:pPr>
              <w:pStyle w:val="P68B1DB1-Normal11"/>
              <w:rPr>
                <w:noProof/>
              </w:rPr>
            </w:pPr>
            <w:r>
              <w:rPr>
                <w:noProof/>
              </w:rPr>
              <w:t>а) обхващат дисциплинарни и тематични области, съответстващи на нуждите, по отношение на висококвалифицирани личности, на пазара на труда на регионите, участващи в програмата;</w:t>
            </w:r>
          </w:p>
          <w:p w14:paraId="3864CE57" w14:textId="77777777" w:rsidR="006054AA" w:rsidRDefault="001F7667">
            <w:pPr>
              <w:pStyle w:val="P68B1DB1-Normal11"/>
              <w:rPr>
                <w:noProof/>
              </w:rPr>
            </w:pPr>
            <w:r>
              <w:rPr>
                <w:noProof/>
              </w:rPr>
              <w:t>има обща продължителност от 3 години;</w:t>
            </w:r>
          </w:p>
          <w:p w14:paraId="0E4CBAF2" w14:textId="77777777" w:rsidR="006054AA" w:rsidRDefault="001F7667">
            <w:pPr>
              <w:pStyle w:val="P68B1DB1-Normal11"/>
              <w:rPr>
                <w:noProof/>
              </w:rPr>
            </w:pPr>
            <w:r>
              <w:rPr>
                <w:noProof/>
              </w:rPr>
              <w:t>осигурява изпълнението на целия курс за докторанти, обучение, научни изследвания и оценка в административния и оперативния щаб на университета бенефициер, разположен в целевите региони на програмата, без да се засягат периодите на обучение и изследвания в дружеството и в чужбина, планирани в съответствие с дейностите по обучение и изследвания, предвидени в офисите на предлагания предмет;</w:t>
            </w:r>
          </w:p>
          <w:p w14:paraId="30AC9980" w14:textId="77777777" w:rsidR="006054AA" w:rsidRDefault="001F7667">
            <w:pPr>
              <w:pStyle w:val="P68B1DB1-Normal11"/>
              <w:rPr>
                <w:noProof/>
              </w:rPr>
            </w:pPr>
            <w:r>
              <w:rPr>
                <w:noProof/>
              </w:rPr>
              <w:t>г) предвиждат периоди на обучение и изследвания в дружеството от минимум шест (6) месеца до максимум осемнадесет (18) месеца;</w:t>
            </w:r>
          </w:p>
          <w:p w14:paraId="68899731" w14:textId="77777777" w:rsidR="006054AA" w:rsidRDefault="001F7667">
            <w:pPr>
              <w:pStyle w:val="P68B1DB1-Normal11"/>
              <w:rPr>
                <w:noProof/>
              </w:rPr>
            </w:pPr>
            <w:r>
              <w:rPr>
                <w:noProof/>
              </w:rPr>
              <w:t>д) предвиждат периоди на обучение и научни изследвания в чужбина от минимум шест (6) месеца до максимум осемнадесет (18) месеца;</w:t>
            </w:r>
          </w:p>
          <w:p w14:paraId="017A2EE3" w14:textId="77777777" w:rsidR="006054AA" w:rsidRDefault="001F7667">
            <w:pPr>
              <w:pStyle w:val="P68B1DB1-Normal11"/>
              <w:rPr>
                <w:noProof/>
              </w:rPr>
            </w:pPr>
            <w:r>
              <w:rPr>
                <w:noProof/>
              </w:rPr>
              <w:t>да гарантира, че докторантът може да използва квалифицирани и специфични оперативни и научни структури, в съответствие със закона, за учебни и изследователски дейности, включително (ако има отношение към вида на курса) научни лаборатории, библиотеки, бази данни и др.;</w:t>
            </w:r>
          </w:p>
          <w:p w14:paraId="47656626" w14:textId="77777777" w:rsidR="006054AA" w:rsidRDefault="001F7667">
            <w:pPr>
              <w:pStyle w:val="P68B1DB1-Normal11"/>
              <w:rPr>
                <w:noProof/>
              </w:rPr>
            </w:pPr>
            <w:r>
              <w:rPr>
                <w:noProof/>
              </w:rPr>
              <w:t>осигуряване на изпълнението на дидактически дейности за подобряване на езиковите и информационните технологии, за управление на научните изследвания и познаването на европейските и международните научноизследователски системи, за подобряване на резултатите от научните изследвания и интелектуалната собственост;</w:t>
            </w:r>
          </w:p>
          <w:p w14:paraId="180C95AD" w14:textId="77777777" w:rsidR="006054AA" w:rsidRDefault="001F7667">
            <w:pPr>
              <w:pStyle w:val="P68B1DB1-Normal11"/>
              <w:rPr>
                <w:noProof/>
              </w:rPr>
            </w:pPr>
            <w:r>
              <w:rPr>
                <w:noProof/>
              </w:rPr>
              <w:t>осигуряване на участието на дружествата в определянето на курса на обучение и в контекста на по-широко сътрудничество с университета;</w:t>
            </w:r>
          </w:p>
          <w:p w14:paraId="35D6D2EF" w14:textId="77777777" w:rsidR="006054AA" w:rsidRDefault="001F7667">
            <w:pPr>
              <w:pStyle w:val="P68B1DB1-Normal11"/>
              <w:rPr>
                <w:noProof/>
              </w:rPr>
            </w:pPr>
            <w:r>
              <w:rPr>
                <w:noProof/>
              </w:rPr>
              <w:t>I) гарантиране на спазването на хоризонталните принципи (устойчивост на околната среда; устойчивото развитие; равни възможности и недискриминация; достъпност за хора с увреждания).</w:t>
            </w:r>
          </w:p>
          <w:p w14:paraId="0D66E070" w14:textId="77777777" w:rsidR="006054AA" w:rsidRDefault="006054AA">
            <w:pPr>
              <w:rPr>
                <w:rFonts w:ascii="Arial Narrow" w:hAnsi="Arial Narrow"/>
                <w:noProof/>
                <w:color w:val="006100"/>
                <w:sz w:val="20"/>
              </w:rPr>
            </w:pPr>
          </w:p>
          <w:p w14:paraId="3EBCD259" w14:textId="77777777" w:rsidR="006054AA" w:rsidRDefault="001F7667">
            <w:pPr>
              <w:pStyle w:val="P68B1DB1-Normal11"/>
              <w:rPr>
                <w:noProof/>
              </w:rPr>
            </w:pPr>
            <w:r>
              <w:rPr>
                <w:noProof/>
              </w:rPr>
              <w:t>Процедурата за подбор включва 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1FBEBA9C" w14:textId="77777777">
        <w:trPr>
          <w:trHeight w:val="309"/>
          <w:jc w:val="center"/>
        </w:trPr>
        <w:tc>
          <w:tcPr>
            <w:tcW w:w="1503" w:type="dxa"/>
            <w:shd w:val="clear" w:color="auto" w:fill="C6EFCE"/>
            <w:noWrap/>
            <w:vAlign w:val="center"/>
            <w:hideMark/>
          </w:tcPr>
          <w:p w14:paraId="2DF63C2D" w14:textId="77777777" w:rsidR="006054AA" w:rsidRDefault="001F7667">
            <w:pPr>
              <w:pStyle w:val="P68B1DB1-Normal11"/>
              <w:jc w:val="center"/>
              <w:rPr>
                <w:noProof/>
              </w:rPr>
            </w:pPr>
            <w:r>
              <w:rPr>
                <w:noProof/>
              </w:rPr>
              <w:t>M4C2—4</w:t>
            </w:r>
          </w:p>
        </w:tc>
        <w:tc>
          <w:tcPr>
            <w:tcW w:w="1596" w:type="dxa"/>
            <w:shd w:val="clear" w:color="auto" w:fill="C6EFCE"/>
            <w:noWrap/>
            <w:vAlign w:val="center"/>
            <w:hideMark/>
          </w:tcPr>
          <w:p w14:paraId="5A6F4E02" w14:textId="77777777" w:rsidR="006054AA" w:rsidRDefault="001F7667">
            <w:pPr>
              <w:pStyle w:val="P68B1DB1-Normal11"/>
              <w:jc w:val="center"/>
              <w:rPr>
                <w:noProof/>
              </w:rPr>
            </w:pPr>
            <w:r>
              <w:rPr>
                <w:noProof/>
              </w:rPr>
              <w:t>Реформа 1.1: Прилагане на мерки за подкрепа на НИРД с цел насърчаване на опростяването и мобилността</w:t>
            </w:r>
          </w:p>
        </w:tc>
        <w:tc>
          <w:tcPr>
            <w:tcW w:w="1416" w:type="dxa"/>
            <w:shd w:val="clear" w:color="auto" w:fill="C6EFCE"/>
            <w:noWrap/>
            <w:vAlign w:val="center"/>
            <w:hideMark/>
          </w:tcPr>
          <w:p w14:paraId="7B107D63" w14:textId="77777777" w:rsidR="006054AA" w:rsidRDefault="001F7667">
            <w:pPr>
              <w:pStyle w:val="P68B1DB1-Normal11"/>
              <w:jc w:val="center"/>
              <w:rPr>
                <w:noProof/>
              </w:rPr>
            </w:pPr>
            <w:r>
              <w:rPr>
                <w:noProof/>
              </w:rPr>
              <w:t>Ключов етап</w:t>
            </w:r>
          </w:p>
        </w:tc>
        <w:tc>
          <w:tcPr>
            <w:tcW w:w="1362" w:type="dxa"/>
            <w:shd w:val="clear" w:color="auto" w:fill="C6EFCE"/>
            <w:noWrap/>
            <w:vAlign w:val="center"/>
            <w:hideMark/>
          </w:tcPr>
          <w:p w14:paraId="42A736ED" w14:textId="77777777" w:rsidR="006054AA" w:rsidRDefault="001F7667">
            <w:pPr>
              <w:pStyle w:val="P68B1DB1-Normal11"/>
              <w:jc w:val="center"/>
              <w:rPr>
                <w:noProof/>
              </w:rPr>
            </w:pPr>
            <w:r>
              <w:rPr>
                <w:noProof/>
              </w:rPr>
              <w:t>Влизане в сила на министерски укази за опростяване на научноизследователската и развойна дейност и мобилност, свързани с обикновения фонд за финансиране.</w:t>
            </w:r>
          </w:p>
        </w:tc>
        <w:tc>
          <w:tcPr>
            <w:tcW w:w="1607" w:type="dxa"/>
            <w:shd w:val="clear" w:color="auto" w:fill="C6EFCE"/>
            <w:noWrap/>
            <w:vAlign w:val="center"/>
            <w:hideMark/>
          </w:tcPr>
          <w:p w14:paraId="23F2F499" w14:textId="77777777" w:rsidR="006054AA" w:rsidRDefault="001F7667">
            <w:pPr>
              <w:pStyle w:val="P68B1DB1-Normal11"/>
              <w:jc w:val="center"/>
              <w:rPr>
                <w:noProof/>
              </w:rPr>
            </w:pPr>
            <w:r>
              <w:rPr>
                <w:noProof/>
              </w:rPr>
              <w:t>Разпоредба в постановлението, указваща влизането в сила на закона</w:t>
            </w:r>
          </w:p>
        </w:tc>
        <w:tc>
          <w:tcPr>
            <w:tcW w:w="1008" w:type="dxa"/>
            <w:shd w:val="clear" w:color="auto" w:fill="C6EFCE"/>
            <w:noWrap/>
            <w:vAlign w:val="center"/>
            <w:hideMark/>
          </w:tcPr>
          <w:p w14:paraId="3A9E4489" w14:textId="77777777" w:rsidR="006054AA" w:rsidRDefault="001F7667">
            <w:pPr>
              <w:pStyle w:val="P68B1DB1-Normal11"/>
              <w:jc w:val="center"/>
              <w:rPr>
                <w:noProof/>
              </w:rPr>
            </w:pPr>
            <w:r>
              <w:rPr>
                <w:noProof/>
              </w:rPr>
              <w:t>НЯМА</w:t>
            </w:r>
          </w:p>
        </w:tc>
        <w:tc>
          <w:tcPr>
            <w:tcW w:w="991" w:type="dxa"/>
            <w:shd w:val="clear" w:color="auto" w:fill="C6EFCE"/>
            <w:noWrap/>
            <w:vAlign w:val="center"/>
            <w:hideMark/>
          </w:tcPr>
          <w:p w14:paraId="64B80306" w14:textId="77777777" w:rsidR="006054AA" w:rsidRDefault="001F7667">
            <w:pPr>
              <w:pStyle w:val="P68B1DB1-Normal11"/>
              <w:jc w:val="center"/>
              <w:rPr>
                <w:noProof/>
              </w:rPr>
            </w:pPr>
            <w:r>
              <w:rPr>
                <w:noProof/>
              </w:rPr>
              <w:t>НЯМА</w:t>
            </w:r>
          </w:p>
        </w:tc>
        <w:tc>
          <w:tcPr>
            <w:tcW w:w="792" w:type="dxa"/>
            <w:shd w:val="clear" w:color="auto" w:fill="C6EFCE"/>
            <w:noWrap/>
            <w:vAlign w:val="center"/>
            <w:hideMark/>
          </w:tcPr>
          <w:p w14:paraId="0258F36C" w14:textId="77777777" w:rsidR="006054AA" w:rsidRDefault="006054AA">
            <w:pPr>
              <w:jc w:val="center"/>
              <w:rPr>
                <w:rFonts w:ascii="Arial Narrow" w:hAnsi="Arial Narrow"/>
                <w:noProof/>
                <w:color w:val="006100"/>
                <w:sz w:val="20"/>
              </w:rPr>
            </w:pPr>
          </w:p>
        </w:tc>
        <w:tc>
          <w:tcPr>
            <w:tcW w:w="979" w:type="dxa"/>
            <w:shd w:val="clear" w:color="auto" w:fill="C6EFCE"/>
            <w:noWrap/>
            <w:vAlign w:val="center"/>
            <w:hideMark/>
          </w:tcPr>
          <w:p w14:paraId="297F1B7A" w14:textId="77777777" w:rsidR="006054AA" w:rsidRDefault="001F7667">
            <w:pPr>
              <w:pStyle w:val="P68B1DB1-Normal11"/>
              <w:jc w:val="center"/>
              <w:rPr>
                <w:noProof/>
              </w:rPr>
            </w:pPr>
            <w:r>
              <w:rPr>
                <w:noProof/>
              </w:rPr>
              <w:t>Т2 Г.</w:t>
            </w:r>
          </w:p>
        </w:tc>
        <w:tc>
          <w:tcPr>
            <w:tcW w:w="648" w:type="dxa"/>
            <w:shd w:val="clear" w:color="auto" w:fill="C6EFCE"/>
            <w:noWrap/>
            <w:vAlign w:val="center"/>
            <w:hideMark/>
          </w:tcPr>
          <w:p w14:paraId="0C4DD55E" w14:textId="77777777" w:rsidR="006054AA" w:rsidRDefault="001F7667">
            <w:pPr>
              <w:pStyle w:val="P68B1DB1-Normal11"/>
              <w:jc w:val="center"/>
              <w:rPr>
                <w:noProof/>
              </w:rPr>
            </w:pPr>
            <w:r>
              <w:rPr>
                <w:noProof/>
              </w:rPr>
              <w:t>2022</w:t>
            </w:r>
          </w:p>
        </w:tc>
        <w:tc>
          <w:tcPr>
            <w:tcW w:w="2977" w:type="dxa"/>
            <w:shd w:val="clear" w:color="auto" w:fill="C6EFCE"/>
            <w:noWrap/>
            <w:vAlign w:val="center"/>
            <w:hideMark/>
          </w:tcPr>
          <w:p w14:paraId="20FF2A8D" w14:textId="77777777" w:rsidR="006054AA" w:rsidRDefault="001F7667">
            <w:pPr>
              <w:pStyle w:val="P68B1DB1-Normal11"/>
              <w:rPr>
                <w:noProof/>
              </w:rPr>
            </w:pPr>
            <w:r>
              <w:rPr>
                <w:noProof/>
              </w:rPr>
              <w:t>Министерските укази включват следните ключови елементи:</w:t>
            </w:r>
          </w:p>
          <w:p w14:paraId="78102DEC" w14:textId="77777777" w:rsidR="006054AA" w:rsidRDefault="001F7667">
            <w:pPr>
              <w:pStyle w:val="P68B1DB1-Normal11"/>
              <w:rPr>
                <w:noProof/>
              </w:rPr>
            </w:pPr>
            <w:r>
              <w:rPr>
                <w:noProof/>
              </w:rPr>
              <w:t>I) да премине към по-системен подход към научноизследователските и развойните дейности чрез нов опростен модел, насочен към генериране на значително въздействие чрез избягване на разпръснатостта и разпокъсаността на приоритетите; II) реформиране на законодателството за увеличаване на мобилността на високопоставени личности (като изследователи и ръководители) сред университетите, научноизследователските инфраструктури и дружествата; III) опростяване на управлението на средствата; реформиране на кариерата на изследователите, за да се увеличи акцентът им върху научноизследователските дейности.</w:t>
            </w:r>
          </w:p>
        </w:tc>
      </w:tr>
    </w:tbl>
    <w:p w14:paraId="7309C085" w14:textId="77777777" w:rsidR="006054AA" w:rsidRDefault="006054AA">
      <w:pPr>
        <w:spacing w:before="120" w:after="120"/>
        <w:ind w:left="709"/>
        <w:jc w:val="both"/>
        <w:rPr>
          <w:noProof/>
        </w:rPr>
        <w:sectPr w:rsidR="006054AA" w:rsidSect="000D3774">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20"/>
          <w:docGrid w:linePitch="360"/>
        </w:sectPr>
      </w:pPr>
    </w:p>
    <w:p w14:paraId="1D3DA860"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К.3. </w:t>
      </w:r>
      <w:r>
        <w:rPr>
          <w:noProof/>
        </w:rPr>
        <w:tab/>
      </w:r>
      <w:r>
        <w:rPr>
          <w:b/>
          <w:i w:val="0"/>
          <w:noProof/>
          <w:u w:val="single"/>
        </w:rPr>
        <w:t xml:space="preserve">Описание на реформите и инвестициите за заема </w:t>
      </w:r>
    </w:p>
    <w:p w14:paraId="61713175" w14:textId="77777777" w:rsidR="006054AA" w:rsidRDefault="001F7667">
      <w:pPr>
        <w:pStyle w:val="P68B1DB1-Normal24"/>
        <w:spacing w:before="120" w:after="120"/>
        <w:jc w:val="both"/>
        <w:rPr>
          <w:rFonts w:eastAsia="Calibri"/>
          <w:noProof/>
        </w:rPr>
      </w:pPr>
      <w:r>
        <w:rPr>
          <w:noProof/>
        </w:rPr>
        <w:t>Инвестиция 1.1: Научноизследователски проекти от значителен национален интерес (PRIN)</w:t>
      </w:r>
    </w:p>
    <w:p w14:paraId="4E833363" w14:textId="05CECCE5" w:rsidR="006054AA" w:rsidRDefault="001F7667">
      <w:pPr>
        <w:pStyle w:val="P68B1DB1-Normal16"/>
        <w:spacing w:before="120" w:after="120"/>
        <w:jc w:val="both"/>
        <w:rPr>
          <w:rFonts w:eastAsia="Calibri"/>
          <w:noProof/>
        </w:rPr>
      </w:pPr>
      <w:r>
        <w:rPr>
          <w:noProof/>
        </w:rPr>
        <w:t>Мярката се състои от финансиране на научноизследователски проекти от голям национален интерес (PRIN). Проектите са с продължителност най-малко две години и изискват сътрудничеството на изследователски звена, принадлежащи на университети и научноизследователски организации. Финансираните проекти се подбират от Министерството на университетите и научните изследвания въз основа на качеството на научния профил на отговорните лица, както и на оригиналността, методологичната целесъобразност, въздействието и осъществимостта на научноизследователския проект. Този вид дейност стимулира развитието на водени от научни изследвания инициативи за гранични изследвания и по-тясно взаимодействие между университетите и научноизследователските институции.</w:t>
      </w:r>
    </w:p>
    <w:p w14:paraId="1A574DA9" w14:textId="4118D93D" w:rsidR="006054AA" w:rsidRDefault="001F7667">
      <w:pPr>
        <w:spacing w:before="120" w:after="120"/>
        <w:jc w:val="both"/>
        <w:rPr>
          <w:rFonts w:eastAsia="Calibri"/>
          <w:noProof/>
          <w:color w:val="000000" w:themeColor="text1"/>
        </w:rPr>
      </w:pPr>
      <w:r>
        <w:rPr>
          <w:noProof/>
          <w:color w:val="000000" w:themeColor="text1"/>
        </w:rPr>
        <w:t>Очаква се инвестицията да финансира до 2026 г. 5</w:t>
      </w:r>
      <w:r>
        <w:rPr>
          <w:rFonts w:ascii="Arial Narrow" w:hAnsi="Arial Narrow"/>
          <w:noProof/>
          <w:color w:val="006100"/>
          <w:sz w:val="20"/>
        </w:rPr>
        <w:t xml:space="preserve"> </w:t>
      </w:r>
      <w:r>
        <w:rPr>
          <w:noProof/>
          <w:color w:val="000000" w:themeColor="text1"/>
        </w:rPr>
        <w:t>350 проекта.</w:t>
      </w:r>
    </w:p>
    <w:p w14:paraId="224B0711" w14:textId="77777777" w:rsidR="006054AA" w:rsidRDefault="001F7667">
      <w:pPr>
        <w:spacing w:before="120" w:after="120"/>
        <w:jc w:val="both"/>
        <w:rPr>
          <w:rFonts w:eastAsia="Calibri"/>
          <w:noProof/>
          <w:color w:val="000000" w:themeColor="text1"/>
        </w:rPr>
      </w:pPr>
      <w:r>
        <w:rPr>
          <w:noProof/>
          <w:color w:val="000000" w:themeColor="text1"/>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rFonts w:eastAsia="Calibri"/>
          <w:noProof/>
          <w:color w:val="000000" w:themeColor="text1"/>
        </w:rPr>
        <w:footnoteReference w:id="79"/>
      </w:r>
      <w:r>
        <w:rPr>
          <w:noProof/>
          <w:color w:val="000000" w:themeColor="text1"/>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rFonts w:eastAsia="Calibri"/>
          <w:noProof/>
          <w:color w:val="000000" w:themeColor="text1"/>
        </w:rPr>
        <w:footnoteReference w:id="80"/>
      </w:r>
      <w:r>
        <w:rPr>
          <w:noProof/>
          <w:color w:val="000000" w:themeColor="text1"/>
        </w:rPr>
        <w:t>; III) дейности, свързани с депа за отпадъци, инсинератори</w:t>
      </w:r>
      <w:r>
        <w:rPr>
          <w:rStyle w:val="FootnoteReference"/>
          <w:rFonts w:eastAsia="Calibri"/>
          <w:noProof/>
          <w:color w:val="000000" w:themeColor="text1"/>
        </w:rPr>
        <w:footnoteReference w:id="81"/>
      </w:r>
      <w:r>
        <w:rPr>
          <w:noProof/>
        </w:rPr>
        <w:t xml:space="preserve"> </w:t>
      </w:r>
      <w:r>
        <w:rPr>
          <w:noProof/>
          <w:color w:val="000000" w:themeColor="text1"/>
        </w:rPr>
        <w:t>и инсталации за механично-биологично третиране</w:t>
      </w:r>
      <w:r>
        <w:rPr>
          <w:rStyle w:val="FootnoteReference"/>
          <w:rFonts w:eastAsia="Calibri"/>
          <w:noProof/>
          <w:color w:val="000000" w:themeColor="text1"/>
        </w:rPr>
        <w:footnoteReference w:id="82"/>
      </w:r>
      <w:r>
        <w:rPr>
          <w:noProof/>
          <w:color w:val="000000" w:themeColor="text1"/>
        </w:rPr>
        <w:t>; и iv) дейности, при които дългосрочното обезвреждане на отпадъци може да причини вреда на околната среда. Освен това в заданието се изисква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335AD345" w14:textId="77777777" w:rsidR="006054AA" w:rsidRDefault="001F7667">
      <w:pPr>
        <w:pStyle w:val="paragraph"/>
        <w:spacing w:before="120" w:beforeAutospacing="0" w:after="120" w:afterAutospacing="0"/>
        <w:jc w:val="both"/>
        <w:textAlignment w:val="baseline"/>
        <w:rPr>
          <w:rStyle w:val="eop"/>
          <w:rFonts w:eastAsiaTheme="majorEastAsia"/>
          <w:b/>
          <w:noProof/>
          <w:color w:val="000000" w:themeColor="text1"/>
          <w:shd w:val="clear" w:color="auto" w:fill="FFFFFF"/>
        </w:rPr>
      </w:pPr>
      <w:r>
        <w:rPr>
          <w:rStyle w:val="normaltextrun"/>
          <w:b/>
          <w:noProof/>
          <w:color w:val="000000" w:themeColor="text1"/>
          <w:shd w:val="clear" w:color="auto" w:fill="FFFFFF"/>
        </w:rPr>
        <w:t>Инвестиция 1.3: Партньорства, които обхващат университети, научноизследователски центрове, дружества и финансиране на проекти за фундаментални научни изследвания</w:t>
      </w:r>
    </w:p>
    <w:p w14:paraId="3E67CB78" w14:textId="77777777" w:rsidR="006054AA" w:rsidRDefault="001F7667">
      <w:pPr>
        <w:spacing w:before="120" w:after="120"/>
        <w:jc w:val="both"/>
        <w:rPr>
          <w:rFonts w:eastAsia="Calibri"/>
          <w:noProof/>
          <w:color w:val="000000" w:themeColor="text1"/>
        </w:rPr>
      </w:pPr>
      <w:r>
        <w:rPr>
          <w:noProof/>
          <w:color w:val="000000" w:themeColor="text1"/>
        </w:rPr>
        <w:t>В сравнение с други европейски партньорски държави, слабите патенти и съпътстващи производства на италианската научноизследователска и университетска система изглеждат особено критични</w:t>
      </w:r>
      <w:r>
        <w:rPr>
          <w:rStyle w:val="FootnoteReference"/>
          <w:rFonts w:eastAsia="Calibri"/>
          <w:noProof/>
          <w:color w:val="000000" w:themeColor="text1"/>
        </w:rPr>
        <w:footnoteReference w:id="83"/>
      </w:r>
      <w:r>
        <w:rPr>
          <w:noProof/>
        </w:rPr>
        <w:t>.</w:t>
      </w:r>
      <w:r>
        <w:rPr>
          <w:noProof/>
          <w:color w:val="000000" w:themeColor="text1"/>
        </w:rPr>
        <w:t xml:space="preserve"> Това се дължи на някои структурни предизвикателства, като например доминиращата роля на малките и средните предприятия в националната икономика, големите регионални различия по отношение на доходите и производителността и слабата способност на университетите да се свързват с предприятията. </w:t>
      </w:r>
    </w:p>
    <w:p w14:paraId="2EF5866C" w14:textId="2D10D5BF" w:rsidR="006054AA" w:rsidRDefault="001F7667">
      <w:pPr>
        <w:pStyle w:val="P68B1DB1-Normal16"/>
        <w:spacing w:before="120" w:after="120"/>
        <w:jc w:val="both"/>
        <w:rPr>
          <w:rFonts w:eastAsia="Calibri"/>
          <w:noProof/>
        </w:rPr>
      </w:pPr>
      <w:r>
        <w:rPr>
          <w:noProof/>
        </w:rPr>
        <w:t xml:space="preserve">Инвестицията има за цел да финансира най-малко 14 основни програми за фундаментални научни изследвания, осъществявани от широки мрежи от публични и частни субекти. Инвестицията е съобразена с една от целите на PNR данните за насърчаване на положителни промени чрез привличане на фундаментални научни изследвания. За всяка програма се провеждат специални процеси на ангажиране на заинтересованите страни с цел ангажиране на гражданите, както и улесняване на трансфера на технологии и знания към териториите, дружествата и публичните администрации. </w:t>
      </w:r>
    </w:p>
    <w:p w14:paraId="1C32B02F" w14:textId="3E38B291" w:rsidR="006054AA" w:rsidRDefault="001F7667">
      <w:pPr>
        <w:pStyle w:val="P68B1DB1-Normal16"/>
        <w:spacing w:before="120" w:after="120"/>
        <w:jc w:val="both"/>
        <w:rPr>
          <w:rFonts w:eastAsia="Calibri"/>
          <w:noProof/>
        </w:rPr>
      </w:pPr>
      <w:r>
        <w:rPr>
          <w:noProof/>
        </w:rPr>
        <w:t>Очаква се инвестициите да укрепят националните технологични вериги и да насърчат тяхното участие в стратегически европейски и световни вериги за създаване на стойност. Възможни са следните примери: устойчива мобилност (устойчиви батерии, материали, логистика и др.), алтернативна енергия, суперпроводници, мониторинг и превенция на изменението на климата, кръгова икономика в модната промишленост, промишлена симбиоза, екодизайн и проектиране с цел устойчивост, управление на отпадъците, рециклиране и рециклиране, биологично разнообразие, екологосъобразни производствени процеси, самоуправляващи се превозни средства, ваксини, биореактори, нови суровини, управление на водите и опазване на водните ресурси културно наследство.  Очаква се всяка програма да насърчава обединяването на малки и средни предприятия около големи частни участници и публични научноизследователски центрове, както и да насърчава съвместни и допълващи се научноизследователски дейности. Проектите в областта на НИРД включват инвестиции както в човешки капитал, така и в развитие на фундаментални научни изследвания за университетите, научноизследователските центрове и предприятията. </w:t>
      </w:r>
    </w:p>
    <w:p w14:paraId="5F9DB178" w14:textId="77777777" w:rsidR="006054AA" w:rsidRDefault="001F7667">
      <w:pPr>
        <w:spacing w:before="120" w:after="120"/>
        <w:jc w:val="both"/>
        <w:rPr>
          <w:rFonts w:eastAsia="Calibri"/>
          <w:noProof/>
          <w:color w:val="000000" w:themeColor="text1"/>
        </w:rPr>
      </w:pPr>
      <w:r>
        <w:rPr>
          <w:noProof/>
          <w:color w:val="000000" w:themeColor="text1"/>
        </w:rPr>
        <w:t>За да се гарантира, че мярката е в съответствие с техническите насоки за ненанасяне на значителни вреди (2021/C58/01), критериите за допустимост, съдържащи се в заданието за предстоящи покани за представяне на предложения за програми, изключват следния списък с дейности: I) дейности, свързани с изкопаеми горива, включително използване надолу по веригата</w:t>
      </w:r>
      <w:r>
        <w:rPr>
          <w:rStyle w:val="FootnoteReference"/>
          <w:rFonts w:eastAsia="Calibri"/>
          <w:noProof/>
          <w:color w:val="000000" w:themeColor="text1"/>
        </w:rPr>
        <w:footnoteReference w:id="84"/>
      </w:r>
      <w:r>
        <w:rPr>
          <w:noProof/>
          <w:color w:val="000000" w:themeColor="text1"/>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rFonts w:eastAsia="Calibri"/>
          <w:noProof/>
          <w:color w:val="000000" w:themeColor="text1"/>
        </w:rPr>
        <w:footnoteReference w:id="85"/>
      </w:r>
      <w:r>
        <w:rPr>
          <w:noProof/>
          <w:color w:val="000000" w:themeColor="text1"/>
        </w:rPr>
        <w:t>; III) дейности, свързани с депа за отпадъци, инсинератори</w:t>
      </w:r>
      <w:r>
        <w:rPr>
          <w:rStyle w:val="FootnoteReference"/>
          <w:rFonts w:eastAsia="Calibri"/>
          <w:noProof/>
          <w:color w:val="000000" w:themeColor="text1"/>
        </w:rPr>
        <w:footnoteReference w:id="86"/>
      </w:r>
      <w:r>
        <w:rPr>
          <w:noProof/>
          <w:color w:val="000000" w:themeColor="text1"/>
        </w:rPr>
        <w:t xml:space="preserve"> и инсталации за механично-биологично третиране</w:t>
      </w:r>
      <w:r>
        <w:rPr>
          <w:rStyle w:val="FootnoteReference"/>
          <w:rFonts w:eastAsia="Calibri"/>
          <w:noProof/>
          <w:color w:val="000000" w:themeColor="text1"/>
        </w:rPr>
        <w:footnoteReference w:id="87"/>
      </w:r>
      <w:r>
        <w:rPr>
          <w:noProof/>
          <w:color w:val="000000" w:themeColor="text1"/>
        </w:rPr>
        <w:t>; и iv) дейности, при които дългосрочното обезвреждане на отпадъци може да причини вреда на околната среда. Освен това в заданието се изисква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 </w:t>
      </w:r>
    </w:p>
    <w:p w14:paraId="3FAE43DA" w14:textId="77777777" w:rsidR="006054AA" w:rsidRDefault="001F7667">
      <w:pPr>
        <w:pStyle w:val="P68B1DB1-Normal24"/>
        <w:spacing w:before="120" w:after="120"/>
        <w:jc w:val="both"/>
        <w:rPr>
          <w:rFonts w:eastAsia="Calibri"/>
          <w:noProof/>
        </w:rPr>
      </w:pPr>
      <w:r>
        <w:rPr>
          <w:noProof/>
        </w:rPr>
        <w:t>Инвестиция 1.4: Укрепване на научноизследователските структури и подкрепа за създаването на „национални лидери в областта на НИРД“ по отношение на някои главни базови технологии</w:t>
      </w:r>
    </w:p>
    <w:p w14:paraId="1B6DD452" w14:textId="667305E9" w:rsidR="006054AA" w:rsidRDefault="001F7667">
      <w:pPr>
        <w:pStyle w:val="P68B1DB1-Normal16"/>
        <w:spacing w:before="120" w:after="120"/>
        <w:jc w:val="both"/>
        <w:rPr>
          <w:rFonts w:eastAsia="Calibri"/>
          <w:noProof/>
        </w:rPr>
      </w:pPr>
      <w:r>
        <w:rPr>
          <w:noProof/>
        </w:rPr>
        <w:t>Тази мярка има за цел да финансира създаването на най-малко пет национални научноизследователски центъра, подбрани чрез конкурентни процедури, способни да достигнат критичен праг на капацитет за научни изследвания и иновации чрез сътрудничество между университети, научноизследователски центрове и предприятия. Подборът се извършва въз основа на конкурентни покани за представяне на предложения, в които могат да участват национални консорциуми, ръководени от координиращ ръководител, като се взема предвид и предишното картографиране.</w:t>
      </w:r>
    </w:p>
    <w:p w14:paraId="5F770443" w14:textId="57C02E9D" w:rsidR="006054AA" w:rsidRDefault="001F7667">
      <w:pPr>
        <w:pStyle w:val="P68B1DB1-Normal16"/>
        <w:spacing w:before="120" w:after="120"/>
        <w:jc w:val="both"/>
        <w:rPr>
          <w:rFonts w:eastAsia="Calibri"/>
          <w:noProof/>
        </w:rPr>
      </w:pPr>
      <w:r>
        <w:rPr>
          <w:noProof/>
        </w:rPr>
        <w:t>Основните елементи на всеки национален център са: а) създаването и обновяването на съответните научноизследователски съоръжения; б) участието на частни участници в изпълнението и изпълнението на научноизследователски проекти; в) подкрепа за стартиращи предприятия и разединено поколение. Подборът следва да се извърши чрез специални покани за представяне на предложения, първата от които ще бъде стартирана до началото на 2022 г. Изборът между предложенията за участие в поканите се прави по начин, подобен на приетия от Европейския съвет по иновациите.</w:t>
      </w:r>
    </w:p>
    <w:p w14:paraId="73EB5A33" w14:textId="14F424DA" w:rsidR="006054AA" w:rsidRDefault="001F7667">
      <w:pPr>
        <w:spacing w:before="120" w:after="120"/>
        <w:jc w:val="both"/>
        <w:rPr>
          <w:rFonts w:eastAsia="Calibri"/>
          <w:noProof/>
          <w:color w:val="000000" w:themeColor="text1"/>
        </w:rPr>
      </w:pPr>
      <w:r>
        <w:rPr>
          <w:noProof/>
          <w:color w:val="000000" w:themeColor="text1"/>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color w:val="000000" w:themeColor="text1"/>
        </w:rPr>
        <w:footnoteReference w:id="88"/>
      </w:r>
      <w:r>
        <w:rPr>
          <w:noProof/>
          <w:color w:val="000000" w:themeColor="text1"/>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color w:val="000000" w:themeColor="text1"/>
        </w:rPr>
        <w:footnoteReference w:id="89"/>
      </w:r>
      <w:r>
        <w:rPr>
          <w:noProof/>
          <w:color w:val="000000" w:themeColor="text1"/>
        </w:rPr>
        <w:t>; III) дейности, свързани с депа за отпадъци, инсинератори</w:t>
      </w:r>
      <w:r>
        <w:rPr>
          <w:rStyle w:val="FootnoteReference"/>
          <w:noProof/>
          <w:color w:val="000000" w:themeColor="text1"/>
        </w:rPr>
        <w:footnoteReference w:id="90"/>
      </w:r>
      <w:r>
        <w:rPr>
          <w:noProof/>
          <w:color w:val="000000" w:themeColor="text1"/>
        </w:rPr>
        <w:t xml:space="preserve"> и инсталации за механично-биологично третиране</w:t>
      </w:r>
      <w:r>
        <w:rPr>
          <w:rStyle w:val="FootnoteReference"/>
          <w:noProof/>
          <w:color w:val="000000" w:themeColor="text1"/>
        </w:rPr>
        <w:footnoteReference w:id="91"/>
      </w:r>
      <w:r>
        <w:rPr>
          <w:noProof/>
          <w:color w:val="000000" w:themeColor="text1"/>
        </w:rPr>
        <w:t>; и iv) дейности, при които дългосрочното обезвреждане на отпадъци може да причини вреда на околната среда. Освен това в заданието се изисква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26F04AE5" w14:textId="77777777" w:rsidR="006054AA" w:rsidRDefault="001F7667">
      <w:pPr>
        <w:pStyle w:val="P68B1DB1-Normal24"/>
        <w:spacing w:before="120" w:after="120"/>
        <w:jc w:val="both"/>
        <w:rPr>
          <w:rFonts w:eastAsia="Calibri"/>
          <w:noProof/>
        </w:rPr>
      </w:pPr>
      <w:r>
        <w:rPr>
          <w:noProof/>
        </w:rPr>
        <w:t xml:space="preserve">Инвестиция 1.5: Създаване и укрепване на „екосистеми за иновации за устойчивост „, изграждане на „териториални лидери на научноизследователската и развойната дейност“. </w:t>
      </w:r>
    </w:p>
    <w:p w14:paraId="6B75EA1D" w14:textId="471C6E57" w:rsidR="006054AA" w:rsidRDefault="001F7667">
      <w:pPr>
        <w:pStyle w:val="P68B1DB1-Normal16"/>
        <w:spacing w:before="120" w:after="120"/>
        <w:jc w:val="both"/>
        <w:rPr>
          <w:rFonts w:eastAsia="Calibri"/>
          <w:noProof/>
        </w:rPr>
      </w:pPr>
      <w:r>
        <w:rPr>
          <w:noProof/>
        </w:rPr>
        <w:t>С мярката, изпълнявана от MUR, се финансират до 2026 г. най-малко 10 „териториални извадки на Р -I“ (съществуващи или нови), които се избират въз основа на специфични конкурсни процедури, с акцент върху капацитета за насърчаване на проекти за социална устойчивост. Всеки проект трябва да включва следните елементи: а) иновативни дейности за обучение, провеждани в синергия между университетите и предприятията и насочени към намаляване на несъответствието между уменията, които се изискват от предприятията, и уменията, предоставяни от университетите, както и докторатите в областта на промишлеността; б) научноизследователски дейности и/или научноизследователски инфраструктури, извършвани съвместно от университети и предприятия, по-специално МСП, които извършват дейност на територията; в) подкрепа за стартиращи предприятия; г) участие на местните общности в областта на иновациите и устойчивостта.</w:t>
      </w:r>
    </w:p>
    <w:p w14:paraId="25A339D9" w14:textId="77777777" w:rsidR="006054AA" w:rsidRDefault="001F7667">
      <w:pPr>
        <w:pStyle w:val="P68B1DB1-Normal16"/>
        <w:spacing w:before="120" w:after="120"/>
        <w:jc w:val="both"/>
        <w:rPr>
          <w:rFonts w:eastAsia="Calibri"/>
          <w:noProof/>
        </w:rPr>
      </w:pPr>
      <w:r>
        <w:rPr>
          <w:noProof/>
        </w:rPr>
        <w:t>Проектите, които ще бъдат финансирани, се подбират въз основа на следните критерии: I) научно и техническо качество и неговата съгласуваност с териториалната ориентация; II) ефективна способност за стимулиране на иновационния капацитет на предприятията, по-специално на МСП; способност за създаване на национални и международни отношения с големи научноизследователски институции и водещи дружества; IV) ефективен капацитет за включване на местните общности.</w:t>
      </w:r>
    </w:p>
    <w:p w14:paraId="01EEEF1C" w14:textId="618EA53D" w:rsidR="006054AA" w:rsidRDefault="001F7667">
      <w:pPr>
        <w:spacing w:before="120" w:after="120"/>
        <w:jc w:val="both"/>
        <w:rPr>
          <w:rFonts w:eastAsiaTheme="minorEastAsia"/>
          <w:noProof/>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92"/>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93"/>
      </w:r>
      <w:r>
        <w:rPr>
          <w:noProof/>
        </w:rPr>
        <w:t>; III) дейности, свързани с депа за отпадъци, инсинератори</w:t>
      </w:r>
      <w:r>
        <w:rPr>
          <w:rStyle w:val="FootnoteReference"/>
          <w:noProof/>
        </w:rPr>
        <w:footnoteReference w:id="94"/>
      </w:r>
      <w:r>
        <w:rPr>
          <w:noProof/>
        </w:rPr>
        <w:t xml:space="preserve"> и инсталации за механично-биологично третиране</w:t>
      </w:r>
      <w:r>
        <w:rPr>
          <w:rStyle w:val="FootnoteReference"/>
          <w:noProof/>
        </w:rPr>
        <w:footnoteReference w:id="95"/>
      </w:r>
      <w:r>
        <w:rPr>
          <w:noProof/>
        </w:rPr>
        <w:t>; и iv) дейности, при които дългосрочното обезвреждане на отпадъци може да причини вреда на околната среда. Освен това в заданието се изисква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4657BE44" w14:textId="77777777" w:rsidR="006054AA" w:rsidRDefault="001F7667">
      <w:pPr>
        <w:pStyle w:val="P68B1DB1-Normal2"/>
        <w:spacing w:before="120" w:after="120"/>
        <w:jc w:val="both"/>
        <w:rPr>
          <w:rFonts w:eastAsia="Calibri"/>
          <w:noProof/>
        </w:rPr>
      </w:pPr>
      <w:r>
        <w:rPr>
          <w:noProof/>
        </w:rPr>
        <w:t>Инвестиция 2.1: Важен проект от общоевропейски интерес (ВПОЕИ)</w:t>
      </w:r>
    </w:p>
    <w:p w14:paraId="2F2B2048" w14:textId="77777777" w:rsidR="006054AA" w:rsidRDefault="001F7667">
      <w:pPr>
        <w:spacing w:before="120" w:after="120" w:line="288" w:lineRule="auto"/>
        <w:jc w:val="both"/>
        <w:rPr>
          <w:rFonts w:eastAsiaTheme="minorEastAsia"/>
          <w:noProof/>
        </w:rPr>
      </w:pPr>
      <w:r>
        <w:rPr>
          <w:noProof/>
        </w:rPr>
        <w:t>Целта на мярката е да се допълни настоящият фонд за ВПОИ, посочен в член 1, параграф 232 от Закона за бюджета за 2020 г., с допълнителни средства.</w:t>
      </w:r>
    </w:p>
    <w:p w14:paraId="24823204" w14:textId="77777777" w:rsidR="006054AA" w:rsidRDefault="001F7667">
      <w:pPr>
        <w:spacing w:before="120" w:after="120"/>
        <w:jc w:val="both"/>
        <w:rPr>
          <w:rFonts w:eastAsia="Calibri"/>
          <w:noProof/>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96"/>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97"/>
      </w:r>
      <w:r>
        <w:rPr>
          <w:noProof/>
        </w:rPr>
        <w:t>; III) дейности, свързани с депа за отпадъци, инсинератори</w:t>
      </w:r>
      <w:r>
        <w:rPr>
          <w:rStyle w:val="FootnoteReference"/>
          <w:noProof/>
        </w:rPr>
        <w:footnoteReference w:id="98"/>
      </w:r>
      <w:r>
        <w:rPr>
          <w:noProof/>
        </w:rPr>
        <w:t xml:space="preserve"> и инсталации за механично-биологично третиране</w:t>
      </w:r>
      <w:r>
        <w:rPr>
          <w:rStyle w:val="FootnoteReference"/>
          <w:noProof/>
        </w:rPr>
        <w:footnoteReference w:id="99"/>
      </w:r>
      <w:r>
        <w:rPr>
          <w:noProof/>
        </w:rPr>
        <w:t>; и iv) дейности, при които дългосрочното обезвреждане на отпадъци може да причини вреда на околната среда. Освен това в заданието се изисква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31C57E59" w14:textId="77777777" w:rsidR="006054AA" w:rsidRDefault="001F7667">
      <w:pPr>
        <w:pStyle w:val="P68B1DB1-Normal2"/>
        <w:spacing w:before="120" w:after="120"/>
        <w:jc w:val="both"/>
        <w:rPr>
          <w:rFonts w:eastAsia="Calibri"/>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p w14:paraId="008CED55" w14:textId="77777777" w:rsidR="006054AA" w:rsidRDefault="001F7667">
      <w:pPr>
        <w:spacing w:before="120" w:after="120"/>
        <w:jc w:val="both"/>
        <w:rPr>
          <w:rFonts w:eastAsia="Calibri"/>
          <w:noProof/>
        </w:rPr>
      </w:pPr>
      <w:r>
        <w:rPr>
          <w:noProof/>
        </w:rPr>
        <w:t xml:space="preserve">Целта на мярката, изпълнявана от Министерството на предприятията MiMIT и произведено в Италия, е да се подкрепи, включително чрез процес на реорганизация и рационализация, мрежа от петдесет центъра (експертни центрове, Европейски цифров иновационен център, Печат за високи постижения, инструмент за изпитване и експериментиране, национални центрове за цифрови иновации), отговарящи за разработването на проекти, предоставянето на модерни технологични услуги на дружествата и иновативни и отговарящи на условията услуги за трансфер на технологии. Целта на процеса на опростяване и рационализиране на центровете, към които се стреми мярката, е да се увеличат усъвършенстваните технологични услуги за предприятията чрез съсредоточаване върху авангардни производствени технологии и специализации. </w:t>
      </w:r>
    </w:p>
    <w:p w14:paraId="397996EB" w14:textId="77777777" w:rsidR="006054AA" w:rsidRDefault="001F7667">
      <w:pPr>
        <w:spacing w:before="120" w:after="120"/>
        <w:jc w:val="both"/>
        <w:rPr>
          <w:rFonts w:eastAsia="Calibri"/>
          <w:noProof/>
        </w:rPr>
      </w:pPr>
      <w:r>
        <w:rPr>
          <w:noProof/>
        </w:rPr>
        <w:t>Услугите, предоставяни от центровете, включват: I) цифрова оценка, ii) изпитване преди инвестиране, iii) обучение; IV) достъп до финансиране; финансова и оперативна подкрепа за разработването на иновационни проекти (ниво на технологична готовност (РТГ) над 5); VI) технологично посредничество; и vii) повишаване на осведомеността на местно равнище.</w:t>
      </w:r>
    </w:p>
    <w:p w14:paraId="089F8254" w14:textId="77777777" w:rsidR="006054AA" w:rsidRDefault="001F7667">
      <w:pPr>
        <w:spacing w:before="120" w:after="120"/>
        <w:jc w:val="both"/>
        <w:rPr>
          <w:rFonts w:eastAsia="Calibri"/>
          <w:noProof/>
        </w:rPr>
      </w:pPr>
      <w:r>
        <w:rPr>
          <w:noProof/>
        </w:rPr>
        <w:t>ЕЦЦИ и ТЕФ могат да получат финансиране от други фондове на ЕС, включително програмата „Цифрова Европа“, за изпълнението на своите дейности</w:t>
      </w:r>
      <w:r>
        <w:rPr>
          <w:noProof/>
          <w:color w:val="D13438"/>
          <w:u w:val="single"/>
        </w:rPr>
        <w:t>.</w:t>
      </w:r>
      <w:r>
        <w:rPr>
          <w:noProof/>
        </w:rPr>
        <w:t xml:space="preserve">  </w:t>
      </w:r>
    </w:p>
    <w:p w14:paraId="6A577DFF" w14:textId="77777777" w:rsidR="006054AA" w:rsidRDefault="001F7667">
      <w:pPr>
        <w:spacing w:before="120" w:after="120"/>
        <w:jc w:val="both"/>
        <w:rPr>
          <w:rFonts w:eastAsia="Calibri"/>
          <w:noProof/>
        </w:rPr>
      </w:pPr>
      <w:r>
        <w:rPr>
          <w:noProof/>
        </w:rPr>
        <w:t>Инвестицията се състои от две линии на намеса:</w:t>
      </w:r>
    </w:p>
    <w:p w14:paraId="3989834B" w14:textId="77777777" w:rsidR="006054AA" w:rsidRDefault="001F7667">
      <w:pPr>
        <w:spacing w:before="120" w:after="120"/>
        <w:jc w:val="both"/>
        <w:rPr>
          <w:rFonts w:eastAsia="Calibri"/>
          <w:noProof/>
        </w:rPr>
      </w:pPr>
      <w:r>
        <w:rPr>
          <w:noProof/>
        </w:rPr>
        <w:t xml:space="preserve">По първия ред МВУ финансира изключително 35 центъра, без подкрепа от други източници на ЕС. </w:t>
      </w:r>
    </w:p>
    <w:p w14:paraId="6B7E9E0C" w14:textId="77777777" w:rsidR="006054AA" w:rsidRDefault="001F7667">
      <w:pPr>
        <w:spacing w:before="120" w:after="120"/>
        <w:jc w:val="both"/>
        <w:rPr>
          <w:rFonts w:eastAsia="Calibri"/>
          <w:noProof/>
        </w:rPr>
      </w:pPr>
      <w:r>
        <w:rPr>
          <w:noProof/>
          <w:color w:val="000000" w:themeColor="text1"/>
        </w:rPr>
        <w:t xml:space="preserve">По втория бюджетен ред по </w:t>
      </w:r>
      <w:r>
        <w:rPr>
          <w:noProof/>
        </w:rPr>
        <w:t xml:space="preserve">МВУ се финансира част от 13 </w:t>
      </w:r>
      <w:r>
        <w:rPr>
          <w:noProof/>
          <w:color w:val="000000" w:themeColor="text1"/>
        </w:rPr>
        <w:t xml:space="preserve">европейски центъра за цифрови иновации (EDIH) </w:t>
      </w:r>
      <w:r>
        <w:rPr>
          <w:noProof/>
        </w:rPr>
        <w:t xml:space="preserve">и две </w:t>
      </w:r>
      <w:r>
        <w:rPr>
          <w:noProof/>
          <w:color w:val="000000" w:themeColor="text1"/>
        </w:rPr>
        <w:t>съоръжения за изпитване и експериментиране (TEF)</w:t>
      </w:r>
      <w:r>
        <w:rPr>
          <w:noProof/>
        </w:rPr>
        <w:t xml:space="preserve">, като другият дял от разходите идва от програмата „Цифрова Европа“. По-специално </w:t>
      </w:r>
      <w:r>
        <w:rPr>
          <w:noProof/>
          <w:color w:val="000000" w:themeColor="text1"/>
        </w:rPr>
        <w:t xml:space="preserve">функционирането на 13 </w:t>
      </w:r>
      <w:r>
        <w:rPr>
          <w:noProof/>
        </w:rPr>
        <w:t xml:space="preserve">EDIH </w:t>
      </w:r>
      <w:r>
        <w:rPr>
          <w:noProof/>
          <w:color w:val="000000" w:themeColor="text1"/>
        </w:rPr>
        <w:t>и два TEF, финансирани от МВУ и програмата „Цифрова Европа“, ще бъде структурирано в работни пакети</w:t>
      </w:r>
      <w:r>
        <w:rPr>
          <w:rStyle w:val="FootnoteReference"/>
          <w:noProof/>
          <w:color w:val="000000" w:themeColor="text1"/>
        </w:rPr>
        <w:footnoteReference w:id="100"/>
      </w:r>
      <w:r>
        <w:rPr>
          <w:noProof/>
          <w:color w:val="000000" w:themeColor="text1"/>
        </w:rPr>
        <w:t>. Подкрепата по МВУ не се отнася до работни пакети, за които EDIH и TEF получават подкрепа по линия на програмата „Цифрова Европа“.</w:t>
      </w:r>
    </w:p>
    <w:p w14:paraId="645EF58B" w14:textId="5ED23132" w:rsidR="006054AA" w:rsidRDefault="001F7667">
      <w:pPr>
        <w:pStyle w:val="P68B1DB1-Normal16"/>
        <w:spacing w:before="120" w:after="120"/>
        <w:jc w:val="both"/>
        <w:rPr>
          <w:noProof/>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noProof/>
        </w:rPr>
        <w:footnoteReference w:id="101"/>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noProof/>
        </w:rPr>
        <w:footnoteReference w:id="102"/>
      </w:r>
      <w:r>
        <w:rPr>
          <w:noProof/>
        </w:rPr>
        <w:t>; III) дейности, свързани с депа за отпадъци, инсинератори</w:t>
      </w:r>
      <w:r>
        <w:rPr>
          <w:noProof/>
        </w:rPr>
        <w:footnoteReference w:id="103"/>
      </w:r>
      <w:r>
        <w:rPr>
          <w:noProof/>
        </w:rPr>
        <w:t xml:space="preserve"> и инсталации за механично-биологично третиране</w:t>
      </w:r>
      <w:r>
        <w:rPr>
          <w:noProof/>
        </w:rPr>
        <w:footnoteReference w:id="104"/>
      </w:r>
      <w:r>
        <w:rPr>
          <w:noProof/>
        </w:rPr>
        <w:t>; и iv) дейности, при които дългосрочното обезвреждане на отпадъци може да причини вреда на околната среда. В заданието допълнително се изисква да могат да бъдат избирани само дейности, които отговарят на съответното законодателство на ЕС и национално законодателство в областта на околната среда.</w:t>
      </w:r>
    </w:p>
    <w:p w14:paraId="29FEC6B7" w14:textId="77777777" w:rsidR="006054AA" w:rsidRDefault="001F7667">
      <w:pPr>
        <w:pStyle w:val="P68B1DB1-Normal2"/>
        <w:spacing w:before="120" w:after="120" w:line="288" w:lineRule="auto"/>
        <w:jc w:val="both"/>
        <w:rPr>
          <w:rFonts w:eastAsia="Calibri"/>
          <w:noProof/>
        </w:rPr>
      </w:pPr>
      <w:r>
        <w:rPr>
          <w:noProof/>
        </w:rPr>
        <w:t>Инвестиция 3.1: Фонд за изграждане на интегрирана система от инфраструктури за научни изследвания и иновации</w:t>
      </w:r>
    </w:p>
    <w:p w14:paraId="2E1A1F91" w14:textId="77777777" w:rsidR="006054AA" w:rsidRDefault="001F7667">
      <w:pPr>
        <w:spacing w:before="120" w:after="120"/>
        <w:jc w:val="both"/>
        <w:rPr>
          <w:rFonts w:eastAsia="Calibri"/>
          <w:noProof/>
        </w:rPr>
      </w:pPr>
      <w:r>
        <w:rPr>
          <w:noProof/>
        </w:rPr>
        <w:t>Фондът има за цел да улесни осмозата между научните знания, генерирани от висококачествени научноизследователски инфраструктури, и икономическия сектор, като насърчава иновациите. За тази цел мярката, прилагана от Министерството на университетите и научните изследвания (MUR), подкрепя създаването на научноизследователски и иновационни инфраструктури, свързващи промишлеността и академичните среди. Фондът за строителство и научноизследователска инфраструктура подкрепя създаването или укрепването, на конкурентна основа, на научноизследователски инфраструктури от европейско значение и специализирани иновационни инфраструктури, като насърчава съчетаването на публични и частни инвестиции.</w:t>
      </w:r>
    </w:p>
    <w:p w14:paraId="3B39C349" w14:textId="77777777" w:rsidR="006054AA" w:rsidRDefault="001F7667">
      <w:pPr>
        <w:spacing w:before="120" w:after="120"/>
        <w:jc w:val="both"/>
        <w:rPr>
          <w:rFonts w:eastAsia="Calibri"/>
          <w:noProof/>
        </w:rPr>
      </w:pPr>
      <w:r>
        <w:rPr>
          <w:noProof/>
        </w:rPr>
        <w:t>По-специално с мярката се финансират най-малко 30 инфраструктурни проекта (съществуващи или новофинансирани) с ръководител на научни изследвания за всяка инфраструктура.</w:t>
      </w:r>
    </w:p>
    <w:p w14:paraId="3205978B" w14:textId="77777777" w:rsidR="006054AA" w:rsidRDefault="001F7667">
      <w:pPr>
        <w:spacing w:before="120" w:after="120"/>
        <w:jc w:val="both"/>
        <w:rPr>
          <w:noProof/>
          <w:color w:val="000000" w:themeColor="text1"/>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 I) дейности, свързани с изкопаеми горива, включително използване надолу по веригата</w:t>
      </w:r>
      <w:r>
        <w:rPr>
          <w:rStyle w:val="FootnoteReference"/>
          <w:noProof/>
        </w:rPr>
        <w:footnoteReference w:id="105"/>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106"/>
      </w:r>
      <w:r>
        <w:rPr>
          <w:noProof/>
        </w:rPr>
        <w:t>; III) дейности, свързани с депа за отпадъци, инсинератори</w:t>
      </w:r>
      <w:r>
        <w:rPr>
          <w:rStyle w:val="FootnoteReference"/>
          <w:noProof/>
        </w:rPr>
        <w:footnoteReference w:id="107"/>
      </w:r>
      <w:r>
        <w:rPr>
          <w:noProof/>
        </w:rPr>
        <w:t xml:space="preserve"> и инсталации за механично-биологично третиране</w:t>
      </w:r>
      <w:r>
        <w:rPr>
          <w:rStyle w:val="FootnoteReference"/>
          <w:noProof/>
        </w:rPr>
        <w:footnoteReference w:id="108"/>
      </w:r>
      <w:r>
        <w:rPr>
          <w:noProof/>
        </w:rPr>
        <w:t>; и iv) дейности, при които дългосрочното обезвреждане на отпадъци може да причини вреда на околната среда. Освен това в заданието се изисква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05FCFA6F" w14:textId="65552FCF" w:rsidR="006054AA" w:rsidRDefault="001F7667">
      <w:pPr>
        <w:pStyle w:val="P68B1DB1-Normal14"/>
        <w:spacing w:after="120"/>
        <w:jc w:val="both"/>
        <w:rPr>
          <w:noProof/>
        </w:rPr>
      </w:pPr>
      <w:r>
        <w:rPr>
          <w:noProof/>
        </w:rPr>
        <w:t>Инвестиция 3.2: Финансиране на стартиращи предприятия, Фонд за цифров преход</w:t>
      </w:r>
    </w:p>
    <w:p w14:paraId="552037D5" w14:textId="5ADF11FA" w:rsidR="006054AA" w:rsidRDefault="001F7667">
      <w:pPr>
        <w:spacing w:after="120"/>
        <w:jc w:val="both"/>
        <w:rPr>
          <w:noProof/>
        </w:rPr>
      </w:pPr>
      <w:r>
        <w:rPr>
          <w:noProof/>
        </w:rPr>
        <w:t xml:space="preserve">Тази мярка се състои от публични инвестиции в механизъм — Фонда за цифров преход, за да се стимулират частните инвестиции, да се подобри достъпът до финансиране в екосистемата на стартиращите предприятия в областта на цифровите технологии в Италия и да се развие пазарът на рисков капитал в този сектор. Механизмът функционира чрез предоставяне на капиталова или квазикапиталова подкрепа, пряко </w:t>
      </w:r>
      <w:r>
        <w:rPr>
          <w:noProof/>
          <w:color w:val="000000" w:themeColor="text1"/>
        </w:rPr>
        <w:t>или непряко</w:t>
      </w:r>
      <w:r>
        <w:rPr>
          <w:noProof/>
        </w:rPr>
        <w:t>. По-специално, в случай на преки инвестиции, DTF функционира чрез предоставяне на капиталова или квазикапиталова подкрепа (като конвертируеми облигации) на стартиращи предприятия; в случай на непреки инвестиции SGR функционира чрез финансиране на фондове на трети страни (АИФ — алтернативен инвестиционен фонд), които функционират чрез предоставяне на капиталови или квазикапиталови, дългови или квазидългови инструменти. Въз основа на инвестициите по МВУ Механизмът има за цел първоначално да предостави финансиране в размер на най-малко 400 000 000 EUR.</w:t>
      </w:r>
    </w:p>
    <w:p w14:paraId="500AD978" w14:textId="140A6A14" w:rsidR="006054AA" w:rsidRDefault="001F7667">
      <w:pPr>
        <w:spacing w:after="120"/>
        <w:jc w:val="both"/>
        <w:rPr>
          <w:noProof/>
        </w:rPr>
      </w:pPr>
      <w:r>
        <w:rPr>
          <w:noProof/>
        </w:rPr>
        <w:t>Механизмът се управлява от CDP Venture Capital SGR като партньор по изпълнението. DTF има срок от 15 години, за да съответства на продължителността на фондовете на трети страни, и инвестира в следните продуктови линии:</w:t>
      </w:r>
    </w:p>
    <w:p w14:paraId="4B45AA6F" w14:textId="3AC18D05" w:rsidR="006054AA" w:rsidRDefault="001F7667">
      <w:pPr>
        <w:pStyle w:val="ListParagraph"/>
        <w:numPr>
          <w:ilvl w:val="0"/>
          <w:numId w:val="52"/>
        </w:numPr>
        <w:spacing w:before="0"/>
        <w:contextualSpacing w:val="0"/>
        <w:rPr>
          <w:noProof/>
        </w:rPr>
      </w:pPr>
      <w:r>
        <w:rPr>
          <w:noProof/>
        </w:rPr>
        <w:t>Капиталова или квазикапиталова подкрепа за стартиращи предприятия в областта на цифровите технологии (пряк начин);</w:t>
      </w:r>
    </w:p>
    <w:p w14:paraId="4AA835FF" w14:textId="2E4BD38E" w:rsidR="006054AA" w:rsidRDefault="001F7667">
      <w:pPr>
        <w:pStyle w:val="ListParagraph"/>
        <w:numPr>
          <w:ilvl w:val="0"/>
          <w:numId w:val="52"/>
        </w:numPr>
        <w:spacing w:before="0"/>
        <w:contextualSpacing w:val="0"/>
        <w:rPr>
          <w:noProof/>
        </w:rPr>
      </w:pPr>
      <w:r>
        <w:rPr>
          <w:noProof/>
        </w:rPr>
        <w:t>Капиталова или квазикапиталова подкрепа за фондове за рисков капитал/фондове за дялово участие (непряк начин);</w:t>
      </w:r>
    </w:p>
    <w:p w14:paraId="322C5107" w14:textId="77777777" w:rsidR="006054AA" w:rsidRDefault="001F7667">
      <w:pPr>
        <w:pStyle w:val="ListParagraph"/>
        <w:numPr>
          <w:ilvl w:val="0"/>
          <w:numId w:val="52"/>
        </w:numPr>
        <w:spacing w:before="0"/>
        <w:contextualSpacing w:val="0"/>
        <w:rPr>
          <w:noProof/>
        </w:rPr>
      </w:pPr>
      <w:r>
        <w:rPr>
          <w:noProof/>
        </w:rPr>
        <w:t>Подкрепа под формата на собствен капитал, квазикапиталово финансиране за програми за инкубация/ускоряване.</w:t>
      </w:r>
    </w:p>
    <w:p w14:paraId="692D47C4" w14:textId="77777777" w:rsidR="006054AA" w:rsidRDefault="001F7667">
      <w:pPr>
        <w:spacing w:after="120"/>
        <w:jc w:val="both"/>
        <w:rPr>
          <w:noProof/>
        </w:rPr>
      </w:pPr>
      <w:r>
        <w:rPr>
          <w:noProof/>
        </w:rPr>
        <w:t>MIMIT и SGR изменят действащото споразумение за прилагане („</w:t>
      </w:r>
      <w:r>
        <w:rPr>
          <w:i/>
          <w:noProof/>
        </w:rPr>
        <w:t>Accordo Finanziario</w:t>
      </w:r>
      <w:r>
        <w:rPr>
          <w:noProof/>
        </w:rPr>
        <w:t>“) и правилата на DTF, за да включат следните разпоредби:</w:t>
      </w:r>
    </w:p>
    <w:p w14:paraId="09271C53" w14:textId="77777777" w:rsidR="006054AA" w:rsidRDefault="001F7667">
      <w:pPr>
        <w:pStyle w:val="LegalNumPar"/>
        <w:numPr>
          <w:ilvl w:val="0"/>
          <w:numId w:val="31"/>
        </w:numPr>
        <w:spacing w:after="120" w:line="240" w:lineRule="auto"/>
        <w:jc w:val="both"/>
        <w:rPr>
          <w:rFonts w:ascii="Times New Roman" w:eastAsia="Times New Roman" w:hAnsi="Times New Roman" w:cs="Times New Roman"/>
          <w:noProof/>
          <w:sz w:val="24"/>
        </w:rPr>
      </w:pPr>
      <w:r>
        <w:rPr>
          <w:rFonts w:ascii="Times New Roman" w:hAnsi="Times New Roman"/>
          <w:noProof/>
          <w:sz w:val="24"/>
        </w:rPr>
        <w:t>Описание на процеса на вземане на решения на механизма: Окончателното инвестиционно решение на механизма се взема от съвет на директорите или друг съответен равностоен управителен орган и се одобрява с мнозинство от гласовете на членове, които са независими от правителството</w:t>
      </w:r>
      <w:r>
        <w:rPr>
          <w:rStyle w:val="FootnoteReference"/>
          <w:noProof/>
        </w:rPr>
        <w:footnoteReference w:id="109"/>
      </w:r>
      <w:r>
        <w:rPr>
          <w:rFonts w:ascii="Times New Roman" w:hAnsi="Times New Roman"/>
          <w:noProof/>
          <w:sz w:val="24"/>
        </w:rPr>
        <w:t>.</w:t>
      </w:r>
    </w:p>
    <w:p w14:paraId="3C7641C4" w14:textId="77777777" w:rsidR="006054AA" w:rsidRDefault="001F7667">
      <w:pPr>
        <w:pStyle w:val="P68B1DB1-LegalNumPar27"/>
        <w:spacing w:after="120" w:line="240" w:lineRule="auto"/>
        <w:jc w:val="both"/>
        <w:rPr>
          <w:rFonts w:cs="Times New Roman"/>
          <w:noProof/>
        </w:rPr>
      </w:pPr>
      <w:r>
        <w:rPr>
          <w:noProof/>
        </w:rPr>
        <w:t>Основни изисквания на свързаната инвестиционна политика,</w:t>
      </w:r>
      <w:r>
        <w:rPr>
          <w:b/>
          <w:noProof/>
        </w:rPr>
        <w:t xml:space="preserve"> </w:t>
      </w:r>
      <w:r>
        <w:rPr>
          <w:noProof/>
        </w:rPr>
        <w:t>които включват:</w:t>
      </w:r>
    </w:p>
    <w:p w14:paraId="1FC5DD16" w14:textId="77777777" w:rsidR="006054AA" w:rsidRDefault="001F7667" w:rsidP="00F74E97">
      <w:pPr>
        <w:pStyle w:val="P68B1DB1-LegalNumPar228"/>
        <w:numPr>
          <w:ilvl w:val="0"/>
          <w:numId w:val="148"/>
        </w:numPr>
        <w:spacing w:after="120" w:line="240" w:lineRule="auto"/>
        <w:jc w:val="both"/>
        <w:rPr>
          <w:rFonts w:cs="Times New Roman"/>
          <w:noProof/>
        </w:rPr>
      </w:pPr>
      <w:r>
        <w:rPr>
          <w:noProof/>
        </w:rPr>
        <w:t xml:space="preserve">Описанието на финансовите продукти и допустимите крайни бенефициери. </w:t>
      </w:r>
    </w:p>
    <w:p w14:paraId="04BF6984" w14:textId="77777777" w:rsidR="006054AA" w:rsidRDefault="001F7667" w:rsidP="00F74E97">
      <w:pPr>
        <w:pStyle w:val="P68B1DB1-LegalNumPar228"/>
        <w:numPr>
          <w:ilvl w:val="0"/>
          <w:numId w:val="148"/>
        </w:numPr>
        <w:spacing w:after="120" w:line="240" w:lineRule="auto"/>
        <w:jc w:val="both"/>
        <w:rPr>
          <w:rFonts w:cs="Times New Roman"/>
          <w:noProof/>
        </w:rPr>
      </w:pPr>
      <w:r>
        <w:rPr>
          <w:noProof/>
        </w:rPr>
        <w:t>Изискването всички подпомагани инвестиции да са икономически жизнеспособни</w:t>
      </w:r>
      <w:r>
        <w:rPr>
          <w:b/>
          <w:noProof/>
        </w:rPr>
        <w:t>.</w:t>
      </w:r>
    </w:p>
    <w:p w14:paraId="3E3F9C3C" w14:textId="77777777" w:rsidR="006054AA" w:rsidRDefault="001F7667" w:rsidP="00F74E97">
      <w:pPr>
        <w:pStyle w:val="P68B1DB1-LegalNumPar228"/>
        <w:numPr>
          <w:ilvl w:val="0"/>
          <w:numId w:val="148"/>
        </w:numPr>
        <w:spacing w:after="120" w:line="240" w:lineRule="auto"/>
        <w:jc w:val="both"/>
        <w:rPr>
          <w:rFonts w:eastAsia="Times New Roman" w:cs="Times New Roman"/>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в случай на обща подкрепа за стартиращи предприятия, инвестиционната политика изключва дружества със значителен акцент</w:t>
      </w:r>
      <w:r>
        <w:rPr>
          <w:noProof/>
        </w:rPr>
        <w:footnoteReference w:id="110"/>
      </w:r>
      <w:r>
        <w:rPr>
          <w:noProof/>
        </w:rPr>
        <w:t xml:space="preserve"> в следните сектори: I) производство на енергия от изкопаеми горива и свързани с него дейности</w:t>
      </w:r>
      <w:r>
        <w:rPr>
          <w:noProof/>
        </w:rPr>
        <w:footnoteReference w:id="111"/>
      </w:r>
      <w:r>
        <w:rPr>
          <w:noProof/>
        </w:rPr>
        <w:t>; II) енергоемки и/или промишлени отрасли с високи емисии на CO2</w:t>
      </w:r>
      <w:r>
        <w:rPr>
          <w:noProof/>
        </w:rPr>
        <w:footnoteReference w:id="112"/>
      </w:r>
      <w:r>
        <w:rPr>
          <w:noProof/>
        </w:rPr>
        <w:t>; III) производство, отдаване под наем или продажба на замърсяващи превозни средства</w:t>
      </w:r>
      <w:r>
        <w:rPr>
          <w:noProof/>
        </w:rPr>
        <w:footnoteReference w:id="113"/>
      </w:r>
      <w:r>
        <w:rPr>
          <w:noProof/>
        </w:rPr>
        <w:t>; IV) събиране на отпадъци, третиране и погребване на отпадъци</w:t>
      </w:r>
      <w:r>
        <w:rPr>
          <w:noProof/>
        </w:rPr>
        <w:footnoteReference w:id="114"/>
      </w:r>
      <w:r>
        <w:rPr>
          <w:noProof/>
        </w:rPr>
        <w:t>, v) преработка на ядрено гориво, производство на ядрена енергия. Освен това инвестиционната политика изисква</w:t>
      </w:r>
      <w:r>
        <w:rPr>
          <w:b/>
          <w:noProof/>
        </w:rPr>
        <w:t xml:space="preserve"> </w:t>
      </w:r>
      <w:r>
        <w:rPr>
          <w:noProof/>
        </w:rPr>
        <w:t>спазване на съответното законодателство на ЕС и национално законодателство в областта на околната среда от крайните бенефициери на механизма.</w:t>
      </w:r>
    </w:p>
    <w:p w14:paraId="295974E0" w14:textId="77777777" w:rsidR="006054AA" w:rsidRDefault="001F7667" w:rsidP="00F74E97">
      <w:pPr>
        <w:pStyle w:val="P68B1DB1-LegalNumPar228"/>
        <w:numPr>
          <w:ilvl w:val="0"/>
          <w:numId w:val="148"/>
        </w:numPr>
        <w:spacing w:after="120" w:line="240" w:lineRule="auto"/>
        <w:jc w:val="both"/>
        <w:rPr>
          <w:rFonts w:cs="Times New Roman"/>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67E58F5D" w14:textId="77777777" w:rsidR="006054AA" w:rsidRDefault="001F7667">
      <w:pPr>
        <w:pStyle w:val="P68B1DB1-LegalNumPar27"/>
        <w:spacing w:after="120" w:line="240" w:lineRule="auto"/>
        <w:jc w:val="both"/>
        <w:rPr>
          <w:rFonts w:cs="Times New Roman"/>
          <w:noProof/>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w:t>
      </w:r>
    </w:p>
    <w:p w14:paraId="6CB9C264" w14:textId="77777777" w:rsidR="006054AA" w:rsidRDefault="001F7667">
      <w:pPr>
        <w:pStyle w:val="P68B1DB1-LegalNumPar27"/>
        <w:spacing w:after="120" w:line="240" w:lineRule="auto"/>
        <w:jc w:val="both"/>
        <w:rPr>
          <w:rFonts w:cs="Times New Roman"/>
          <w:noProof/>
        </w:rPr>
      </w:pPr>
      <w:r>
        <w:rPr>
          <w:noProof/>
        </w:rPr>
        <w:t>Изисквания за мониторинг, одит и контрол, включително:</w:t>
      </w:r>
    </w:p>
    <w:p w14:paraId="2D636DD7" w14:textId="77777777" w:rsidR="006054AA" w:rsidRDefault="001F7667">
      <w:pPr>
        <w:numPr>
          <w:ilvl w:val="0"/>
          <w:numId w:val="53"/>
        </w:numPr>
        <w:spacing w:after="120"/>
        <w:jc w:val="both"/>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5A79A027" w14:textId="38D243B6" w:rsidR="006054AA" w:rsidRDefault="001F7667">
      <w:pPr>
        <w:numPr>
          <w:ilvl w:val="0"/>
          <w:numId w:val="53"/>
        </w:numPr>
        <w:spacing w:after="120"/>
        <w:jc w:val="both"/>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0701EA36" w14:textId="77777777" w:rsidR="006054AA" w:rsidRDefault="001F7667">
      <w:pPr>
        <w:numPr>
          <w:ilvl w:val="0"/>
          <w:numId w:val="53"/>
        </w:numPr>
        <w:spacing w:after="120"/>
        <w:jc w:val="both"/>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операция.</w:t>
      </w:r>
    </w:p>
    <w:p w14:paraId="6F82DEA0" w14:textId="77777777" w:rsidR="006054AA" w:rsidRDefault="001F7667">
      <w:pPr>
        <w:numPr>
          <w:ilvl w:val="0"/>
          <w:numId w:val="53"/>
        </w:numPr>
        <w:spacing w:after="120"/>
        <w:jc w:val="both"/>
        <w:rPr>
          <w:noProof/>
        </w:rPr>
      </w:pPr>
      <w:r>
        <w:rPr>
          <w:noProof/>
        </w:rPr>
        <w:t xml:space="preserve">Задължението за извършване на последващи одити, основани на риска, в съответствие с плана за одит на SGR. Тези одити проверяват i) дали системите за контрол са ефективни, включително разкриването на измами, корупция и конфликт на интереси; спазването на принципа за ненанасяне на значителни вреди, правилата за държавна помощ и iii) спазването на изискването крайните бенефициери на механизма да не са получили подкрепа от други инструменти на Съюза за покриване на същите разходи. Одитите проверяват също така законосъобразността на трансакциите и спазването на условията на приложимите споразумение за изпълнение и споразумения за финансиране. </w:t>
      </w:r>
    </w:p>
    <w:p w14:paraId="0AA38522" w14:textId="77777777" w:rsidR="006054AA" w:rsidRDefault="001F7667">
      <w:pPr>
        <w:numPr>
          <w:ilvl w:val="0"/>
          <w:numId w:val="25"/>
        </w:numPr>
        <w:spacing w:after="120"/>
        <w:ind w:left="720" w:hanging="360"/>
        <w:jc w:val="both"/>
        <w:rPr>
          <w:noProof/>
        </w:rPr>
      </w:pPr>
      <w:r>
        <w:rPr>
          <w:b/>
          <w:noProof/>
        </w:rPr>
        <w:t>Изисквания за подбор на капиталови/дългови фондове за рисков капитал: Фондът за</w:t>
      </w:r>
      <w:r>
        <w:rPr>
          <w:noProof/>
        </w:rPr>
        <w:t xml:space="preserve">цифров преход избира финансовите посредници по открит, прозрачен и недискриминационен начин в съответствие с настоящата практика, наред с другото, чрез публикуване на всички изисквания и формуляри за кандидатстване както на уебсайта на SGR, така и на уебсайта на MIMIT. Контролът за липса на конфликт на интереси по отношение на финансовите посредници се извършва и се извършва </w:t>
      </w:r>
      <w:r>
        <w:rPr>
          <w:i/>
          <w:noProof/>
        </w:rPr>
        <w:t>предварително</w:t>
      </w:r>
      <w:r>
        <w:rPr>
          <w:noProof/>
        </w:rPr>
        <w:t xml:space="preserve"> за всички участващи финансови участници. Липсата на конфликт на интереси винаги се отнася до „крайния бенефициер“ на механизма.</w:t>
      </w:r>
    </w:p>
    <w:p w14:paraId="3E371722" w14:textId="77777777" w:rsidR="006054AA" w:rsidRDefault="001F7667">
      <w:pPr>
        <w:numPr>
          <w:ilvl w:val="0"/>
          <w:numId w:val="25"/>
        </w:numPr>
        <w:spacing w:after="120"/>
        <w:ind w:left="720" w:hanging="360"/>
        <w:jc w:val="both"/>
        <w:rPr>
          <w:noProof/>
        </w:rPr>
      </w:pPr>
      <w:r>
        <w:rPr>
          <w:b/>
          <w:noProof/>
        </w:rPr>
        <w:t>Изискване за подписване на споразумения за финансиране</w:t>
      </w:r>
      <w:r>
        <w:rPr>
          <w:noProof/>
        </w:rPr>
        <w:t xml:space="preserve">: Фондът за цифров преход подписва споразумения за финансиране с финансовите посредници в съответствие с основните изисквания, които включват всички изисквания, съгласно които DTF извършва дейност, включително: </w:t>
      </w:r>
    </w:p>
    <w:p w14:paraId="627F4C84" w14:textId="77777777" w:rsidR="006054AA" w:rsidRDefault="001F7667">
      <w:pPr>
        <w:numPr>
          <w:ilvl w:val="0"/>
          <w:numId w:val="51"/>
        </w:numPr>
        <w:spacing w:after="120"/>
        <w:jc w:val="both"/>
        <w:rPr>
          <w:noProof/>
        </w:rPr>
      </w:pPr>
      <w:r>
        <w:rPr>
          <w:noProof/>
        </w:rPr>
        <w:t xml:space="preserve">Задължението на финансовия посредник да взема решенията си в съответствие </w:t>
      </w:r>
      <w:r>
        <w:rPr>
          <w:i/>
          <w:noProof/>
        </w:rPr>
        <w:t>mutatis mutandis</w:t>
      </w:r>
      <w:r>
        <w:rPr>
          <w:noProof/>
        </w:rPr>
        <w:t xml:space="preserve"> с изискванията за вземане на решения и инвестиционната политика, посочени по-горе, включително във връзка със спазването на принципа за ненанасяне на значителни вреди.</w:t>
      </w:r>
    </w:p>
    <w:p w14:paraId="48A743A3" w14:textId="77777777" w:rsidR="006054AA" w:rsidRDefault="001F7667">
      <w:pPr>
        <w:numPr>
          <w:ilvl w:val="0"/>
          <w:numId w:val="51"/>
        </w:numPr>
        <w:spacing w:after="120"/>
        <w:jc w:val="both"/>
        <w:rPr>
          <w:noProof/>
        </w:rPr>
      </w:pPr>
      <w:r>
        <w:rPr>
          <w:noProof/>
        </w:rPr>
        <w:t xml:space="preserve">Описанието на рамката за мониторинг, одит и контрол, която финансовият посредник въвежда и която </w:t>
      </w:r>
      <w:r>
        <w:rPr>
          <w:i/>
          <w:noProof/>
        </w:rPr>
        <w:t>mutatis mutandis</w:t>
      </w:r>
      <w:r>
        <w:rPr>
          <w:noProof/>
        </w:rPr>
        <w:t xml:space="preserve"> подлежи на всички изисквания за мониторинг, одит и контрол, посочени по-горе. </w:t>
      </w:r>
    </w:p>
    <w:p w14:paraId="04AC33BC" w14:textId="77777777" w:rsidR="006054AA" w:rsidRDefault="001F7667">
      <w:pPr>
        <w:spacing w:before="120" w:after="120"/>
        <w:jc w:val="both"/>
        <w:rPr>
          <w:noProof/>
        </w:rPr>
      </w:pPr>
      <w:r>
        <w:rPr>
          <w:noProof/>
        </w:rPr>
        <w:t>Изпълнението на мярката трябва да приключи до 31 август 2026 г.</w:t>
      </w:r>
    </w:p>
    <w:p w14:paraId="5D497861" w14:textId="77777777" w:rsidR="006054AA" w:rsidRDefault="001F7667">
      <w:pPr>
        <w:pStyle w:val="Heading3"/>
        <w:numPr>
          <w:ilvl w:val="0"/>
          <w:numId w:val="0"/>
        </w:numPr>
        <w:ind w:left="850" w:hanging="850"/>
        <w:rPr>
          <w:b/>
          <w:i w:val="0"/>
          <w:noProof/>
          <w:u w:val="single"/>
        </w:rPr>
      </w:pPr>
      <w:r>
        <w:rPr>
          <w:b/>
          <w:i w:val="0"/>
          <w:noProof/>
          <w:u w:val="single"/>
        </w:rPr>
        <w:t xml:space="preserve">К.4. </w:t>
      </w:r>
      <w:r>
        <w:rPr>
          <w:noProof/>
        </w:rPr>
        <w:tab/>
      </w:r>
      <w:r>
        <w:rPr>
          <w:b/>
          <w:i w:val="0"/>
          <w:noProof/>
          <w:u w:val="single"/>
        </w:rPr>
        <w:t xml:space="preserve">Ключови етапи, цели, показатели и график за мониторинг и изпълнение на заема </w:t>
      </w:r>
    </w:p>
    <w:p w14:paraId="669C0D35" w14:textId="77777777" w:rsidR="006054AA" w:rsidRDefault="006054AA">
      <w:pPr>
        <w:spacing w:before="120" w:after="120"/>
        <w:ind w:left="709"/>
        <w:contextualSpacing/>
        <w:jc w:val="both"/>
        <w:rPr>
          <w:noProof/>
        </w:rPr>
        <w:sectPr w:rsidR="006054AA" w:rsidSect="000D3774">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275"/>
        <w:gridCol w:w="1134"/>
        <w:gridCol w:w="993"/>
        <w:gridCol w:w="1275"/>
        <w:gridCol w:w="993"/>
        <w:gridCol w:w="708"/>
        <w:gridCol w:w="3686"/>
      </w:tblGrid>
      <w:tr w:rsidR="006054AA" w14:paraId="57FF187D" w14:textId="77777777">
        <w:trPr>
          <w:trHeight w:val="939"/>
          <w:tblHeader/>
        </w:trPr>
        <w:tc>
          <w:tcPr>
            <w:tcW w:w="1135" w:type="dxa"/>
            <w:vMerge w:val="restart"/>
            <w:shd w:val="clear" w:color="auto" w:fill="BDD7EE"/>
            <w:vAlign w:val="center"/>
            <w:hideMark/>
          </w:tcPr>
          <w:p w14:paraId="0BB3A0A5" w14:textId="77777777" w:rsidR="006054AA" w:rsidRDefault="001F7667">
            <w:pPr>
              <w:pStyle w:val="P68B1DB1-Normal9"/>
              <w:jc w:val="center"/>
              <w:rPr>
                <w:noProof/>
              </w:rPr>
            </w:pPr>
            <w:r>
              <w:rPr>
                <w:noProof/>
              </w:rPr>
              <w:t>Пореден номер</w:t>
            </w:r>
          </w:p>
        </w:tc>
        <w:tc>
          <w:tcPr>
            <w:tcW w:w="1419" w:type="dxa"/>
            <w:vMerge w:val="restart"/>
            <w:shd w:val="clear" w:color="auto" w:fill="BDD7EE"/>
            <w:vAlign w:val="center"/>
            <w:hideMark/>
          </w:tcPr>
          <w:p w14:paraId="05268D1F" w14:textId="77777777" w:rsidR="006054AA" w:rsidRDefault="001F7667">
            <w:pPr>
              <w:pStyle w:val="P68B1DB1-Normal9"/>
              <w:jc w:val="center"/>
              <w:rPr>
                <w:noProof/>
              </w:rPr>
            </w:pPr>
            <w:r>
              <w:rPr>
                <w:noProof/>
              </w:rPr>
              <w:t>Свързана мярка (реформа или инвестиции)</w:t>
            </w:r>
          </w:p>
        </w:tc>
        <w:tc>
          <w:tcPr>
            <w:tcW w:w="1132" w:type="dxa"/>
            <w:vMerge w:val="restart"/>
            <w:shd w:val="clear" w:color="auto" w:fill="BDD7EE"/>
            <w:vAlign w:val="center"/>
            <w:hideMark/>
          </w:tcPr>
          <w:p w14:paraId="33009410" w14:textId="77777777" w:rsidR="006054AA" w:rsidRDefault="001F7667">
            <w:pPr>
              <w:pStyle w:val="P68B1DB1-Normal9"/>
              <w:jc w:val="center"/>
              <w:rPr>
                <w:noProof/>
              </w:rPr>
            </w:pPr>
            <w:r>
              <w:rPr>
                <w:noProof/>
              </w:rPr>
              <w:t>Ключов етап/Цел</w:t>
            </w:r>
          </w:p>
        </w:tc>
        <w:tc>
          <w:tcPr>
            <w:tcW w:w="1418" w:type="dxa"/>
            <w:vMerge w:val="restart"/>
            <w:shd w:val="clear" w:color="auto" w:fill="BDD7EE"/>
            <w:vAlign w:val="center"/>
            <w:hideMark/>
          </w:tcPr>
          <w:p w14:paraId="383CED53" w14:textId="77777777" w:rsidR="006054AA" w:rsidRDefault="001F7667">
            <w:pPr>
              <w:pStyle w:val="P68B1DB1-Normal9"/>
              <w:jc w:val="center"/>
              <w:rPr>
                <w:noProof/>
              </w:rPr>
            </w:pPr>
            <w:r>
              <w:rPr>
                <w:noProof/>
              </w:rPr>
              <w:t>Име</w:t>
            </w:r>
          </w:p>
        </w:tc>
        <w:tc>
          <w:tcPr>
            <w:tcW w:w="1275" w:type="dxa"/>
            <w:vMerge w:val="restart"/>
            <w:shd w:val="clear" w:color="auto" w:fill="BDD7EE"/>
            <w:vAlign w:val="center"/>
            <w:hideMark/>
          </w:tcPr>
          <w:p w14:paraId="146955E2"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402" w:type="dxa"/>
            <w:gridSpan w:val="3"/>
            <w:shd w:val="clear" w:color="auto" w:fill="BDD7EE"/>
            <w:vAlign w:val="center"/>
            <w:hideMark/>
          </w:tcPr>
          <w:p w14:paraId="28107294"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701" w:type="dxa"/>
            <w:gridSpan w:val="2"/>
            <w:shd w:val="clear" w:color="auto" w:fill="BDD7EE"/>
            <w:vAlign w:val="center"/>
            <w:hideMark/>
          </w:tcPr>
          <w:p w14:paraId="1A086971" w14:textId="77777777" w:rsidR="006054AA" w:rsidRDefault="001F7667">
            <w:pPr>
              <w:pStyle w:val="P68B1DB1-Normal9"/>
              <w:jc w:val="center"/>
              <w:rPr>
                <w:noProof/>
              </w:rPr>
            </w:pPr>
            <w:r>
              <w:rPr>
                <w:noProof/>
              </w:rPr>
              <w:t>Примерен график за приключване</w:t>
            </w:r>
          </w:p>
        </w:tc>
        <w:tc>
          <w:tcPr>
            <w:tcW w:w="3686" w:type="dxa"/>
            <w:vMerge w:val="restart"/>
            <w:shd w:val="clear" w:color="auto" w:fill="BDD7EE"/>
            <w:vAlign w:val="center"/>
            <w:hideMark/>
          </w:tcPr>
          <w:p w14:paraId="4FC1C714" w14:textId="77777777" w:rsidR="006054AA" w:rsidRDefault="001F7667">
            <w:pPr>
              <w:pStyle w:val="P68B1DB1-Normal9"/>
              <w:jc w:val="center"/>
              <w:rPr>
                <w:noProof/>
              </w:rPr>
            </w:pPr>
            <w:r>
              <w:rPr>
                <w:noProof/>
              </w:rPr>
              <w:t>Описание на всеки ключов етап и цел</w:t>
            </w:r>
          </w:p>
        </w:tc>
      </w:tr>
      <w:tr w:rsidR="006054AA" w14:paraId="6D952724" w14:textId="77777777">
        <w:trPr>
          <w:trHeight w:val="741"/>
        </w:trPr>
        <w:tc>
          <w:tcPr>
            <w:tcW w:w="1135" w:type="dxa"/>
            <w:vMerge/>
            <w:vAlign w:val="center"/>
            <w:hideMark/>
          </w:tcPr>
          <w:p w14:paraId="705B6586" w14:textId="77777777" w:rsidR="006054AA" w:rsidRDefault="006054AA">
            <w:pPr>
              <w:jc w:val="center"/>
              <w:rPr>
                <w:rFonts w:ascii="Arial Narrow" w:hAnsi="Arial Narrow"/>
                <w:b/>
                <w:noProof/>
                <w:sz w:val="20"/>
              </w:rPr>
            </w:pPr>
          </w:p>
        </w:tc>
        <w:tc>
          <w:tcPr>
            <w:tcW w:w="1419" w:type="dxa"/>
            <w:vMerge/>
            <w:vAlign w:val="center"/>
            <w:hideMark/>
          </w:tcPr>
          <w:p w14:paraId="7D52B804" w14:textId="77777777" w:rsidR="006054AA" w:rsidRDefault="006054AA">
            <w:pPr>
              <w:jc w:val="center"/>
              <w:rPr>
                <w:rFonts w:ascii="Arial Narrow" w:hAnsi="Arial Narrow"/>
                <w:b/>
                <w:noProof/>
                <w:sz w:val="20"/>
              </w:rPr>
            </w:pPr>
          </w:p>
        </w:tc>
        <w:tc>
          <w:tcPr>
            <w:tcW w:w="1132" w:type="dxa"/>
            <w:vMerge/>
            <w:vAlign w:val="center"/>
            <w:hideMark/>
          </w:tcPr>
          <w:p w14:paraId="696A78D9" w14:textId="77777777" w:rsidR="006054AA" w:rsidRDefault="006054AA">
            <w:pPr>
              <w:jc w:val="center"/>
              <w:rPr>
                <w:rFonts w:ascii="Arial Narrow" w:hAnsi="Arial Narrow"/>
                <w:b/>
                <w:noProof/>
                <w:sz w:val="20"/>
              </w:rPr>
            </w:pPr>
          </w:p>
        </w:tc>
        <w:tc>
          <w:tcPr>
            <w:tcW w:w="1418" w:type="dxa"/>
            <w:vMerge/>
            <w:vAlign w:val="center"/>
            <w:hideMark/>
          </w:tcPr>
          <w:p w14:paraId="34AAFF5D" w14:textId="77777777" w:rsidR="006054AA" w:rsidRDefault="006054AA">
            <w:pPr>
              <w:jc w:val="center"/>
              <w:rPr>
                <w:rFonts w:ascii="Arial Narrow" w:hAnsi="Arial Narrow"/>
                <w:b/>
                <w:noProof/>
                <w:sz w:val="20"/>
              </w:rPr>
            </w:pPr>
          </w:p>
        </w:tc>
        <w:tc>
          <w:tcPr>
            <w:tcW w:w="1275" w:type="dxa"/>
            <w:vMerge/>
            <w:vAlign w:val="center"/>
            <w:hideMark/>
          </w:tcPr>
          <w:p w14:paraId="1F136728" w14:textId="77777777" w:rsidR="006054AA" w:rsidRDefault="006054AA">
            <w:pPr>
              <w:jc w:val="center"/>
              <w:rPr>
                <w:rFonts w:ascii="Arial Narrow" w:hAnsi="Arial Narrow"/>
                <w:b/>
                <w:noProof/>
                <w:sz w:val="20"/>
              </w:rPr>
            </w:pPr>
          </w:p>
        </w:tc>
        <w:tc>
          <w:tcPr>
            <w:tcW w:w="1134" w:type="dxa"/>
            <w:shd w:val="clear" w:color="auto" w:fill="BDD7EE"/>
            <w:vAlign w:val="center"/>
            <w:hideMark/>
          </w:tcPr>
          <w:p w14:paraId="4669313D" w14:textId="77777777" w:rsidR="006054AA" w:rsidRDefault="001F7667">
            <w:pPr>
              <w:pStyle w:val="P68B1DB1-Normal9"/>
              <w:jc w:val="center"/>
              <w:rPr>
                <w:noProof/>
              </w:rPr>
            </w:pPr>
            <w:r>
              <w:rPr>
                <w:noProof/>
              </w:rPr>
              <w:t>Единица мярка</w:t>
            </w:r>
          </w:p>
        </w:tc>
        <w:tc>
          <w:tcPr>
            <w:tcW w:w="993" w:type="dxa"/>
            <w:shd w:val="clear" w:color="auto" w:fill="BDD7EE"/>
            <w:vAlign w:val="center"/>
            <w:hideMark/>
          </w:tcPr>
          <w:p w14:paraId="4C92C47B" w14:textId="77777777" w:rsidR="006054AA" w:rsidRDefault="001F7667">
            <w:pPr>
              <w:pStyle w:val="P68B1DB1-Normal9"/>
              <w:jc w:val="center"/>
              <w:rPr>
                <w:noProof/>
              </w:rPr>
            </w:pPr>
            <w:r>
              <w:rPr>
                <w:noProof/>
              </w:rPr>
              <w:t>Базова линия</w:t>
            </w:r>
          </w:p>
        </w:tc>
        <w:tc>
          <w:tcPr>
            <w:tcW w:w="1275" w:type="dxa"/>
            <w:shd w:val="clear" w:color="auto" w:fill="BDD7EE"/>
            <w:vAlign w:val="center"/>
            <w:hideMark/>
          </w:tcPr>
          <w:p w14:paraId="35887BED" w14:textId="77777777" w:rsidR="006054AA" w:rsidRDefault="001F7667">
            <w:pPr>
              <w:pStyle w:val="P68B1DB1-Normal9"/>
              <w:jc w:val="center"/>
              <w:rPr>
                <w:noProof/>
              </w:rPr>
            </w:pPr>
            <w:r>
              <w:rPr>
                <w:noProof/>
              </w:rPr>
              <w:t>Цел</w:t>
            </w:r>
          </w:p>
        </w:tc>
        <w:tc>
          <w:tcPr>
            <w:tcW w:w="993" w:type="dxa"/>
            <w:shd w:val="clear" w:color="auto" w:fill="BDD7EE"/>
            <w:vAlign w:val="center"/>
            <w:hideMark/>
          </w:tcPr>
          <w:p w14:paraId="5006F363" w14:textId="77777777" w:rsidR="006054AA" w:rsidRDefault="001F7667">
            <w:pPr>
              <w:pStyle w:val="P68B1DB1-Normal9"/>
              <w:jc w:val="center"/>
              <w:rPr>
                <w:noProof/>
              </w:rPr>
            </w:pPr>
            <w:r>
              <w:rPr>
                <w:noProof/>
              </w:rPr>
              <w:t>Тримесечие</w:t>
            </w:r>
          </w:p>
        </w:tc>
        <w:tc>
          <w:tcPr>
            <w:tcW w:w="708" w:type="dxa"/>
            <w:shd w:val="clear" w:color="auto" w:fill="BDD7EE"/>
            <w:vAlign w:val="center"/>
            <w:hideMark/>
          </w:tcPr>
          <w:p w14:paraId="35B3F0F6" w14:textId="77777777" w:rsidR="006054AA" w:rsidRDefault="001F7667">
            <w:pPr>
              <w:pStyle w:val="P68B1DB1-Normal9"/>
              <w:jc w:val="center"/>
              <w:rPr>
                <w:noProof/>
              </w:rPr>
            </w:pPr>
            <w:r>
              <w:rPr>
                <w:noProof/>
              </w:rPr>
              <w:t>Година</w:t>
            </w:r>
          </w:p>
        </w:tc>
        <w:tc>
          <w:tcPr>
            <w:tcW w:w="3686" w:type="dxa"/>
            <w:vMerge/>
            <w:vAlign w:val="center"/>
            <w:hideMark/>
          </w:tcPr>
          <w:p w14:paraId="532FD898" w14:textId="77777777" w:rsidR="006054AA" w:rsidRDefault="006054AA">
            <w:pPr>
              <w:rPr>
                <w:rFonts w:ascii="Arial Narrow" w:hAnsi="Arial Narrow"/>
                <w:b/>
                <w:noProof/>
                <w:sz w:val="20"/>
              </w:rPr>
            </w:pPr>
          </w:p>
        </w:tc>
      </w:tr>
      <w:tr w:rsidR="006054AA" w14:paraId="22E9B375" w14:textId="77777777">
        <w:trPr>
          <w:trHeight w:val="1740"/>
        </w:trPr>
        <w:tc>
          <w:tcPr>
            <w:tcW w:w="1135" w:type="dxa"/>
            <w:shd w:val="clear" w:color="auto" w:fill="C6EFCE"/>
            <w:noWrap/>
            <w:vAlign w:val="center"/>
            <w:hideMark/>
          </w:tcPr>
          <w:p w14:paraId="0E0B8DD0" w14:textId="77777777" w:rsidR="006054AA" w:rsidRDefault="001F7667">
            <w:pPr>
              <w:pStyle w:val="P68B1DB1-Normal11"/>
              <w:jc w:val="center"/>
              <w:rPr>
                <w:noProof/>
              </w:rPr>
            </w:pPr>
            <w:r>
              <w:rPr>
                <w:noProof/>
              </w:rPr>
              <w:t>M4C2—5</w:t>
            </w:r>
          </w:p>
          <w:p w14:paraId="6C4C103E" w14:textId="77777777" w:rsidR="006054AA" w:rsidRDefault="006054AA">
            <w:pPr>
              <w:jc w:val="center"/>
              <w:rPr>
                <w:rFonts w:ascii="Arial Narrow" w:hAnsi="Arial Narrow"/>
                <w:noProof/>
                <w:color w:val="006100"/>
                <w:sz w:val="20"/>
              </w:rPr>
            </w:pPr>
          </w:p>
        </w:tc>
        <w:tc>
          <w:tcPr>
            <w:tcW w:w="1419" w:type="dxa"/>
            <w:shd w:val="clear" w:color="auto" w:fill="C6EFCE"/>
            <w:noWrap/>
            <w:vAlign w:val="center"/>
          </w:tcPr>
          <w:p w14:paraId="602DCA3F" w14:textId="0FD59C16" w:rsidR="006054AA" w:rsidRDefault="001F7667">
            <w:pPr>
              <w:pStyle w:val="P68B1DB1-Normal11"/>
              <w:jc w:val="center"/>
              <w:rPr>
                <w:noProof/>
              </w:rPr>
            </w:pPr>
            <w:r>
              <w:rPr>
                <w:noProof/>
              </w:rPr>
              <w:t>Инвестиция 1.1: Научноизследователски проекти от значителен национален интерес (PRIN)</w:t>
            </w:r>
          </w:p>
        </w:tc>
        <w:tc>
          <w:tcPr>
            <w:tcW w:w="1132" w:type="dxa"/>
            <w:shd w:val="clear" w:color="auto" w:fill="C6EFCE"/>
            <w:noWrap/>
            <w:vAlign w:val="center"/>
            <w:hideMark/>
          </w:tcPr>
          <w:p w14:paraId="57B4AE73" w14:textId="77777777" w:rsidR="006054AA" w:rsidRDefault="001F7667">
            <w:pPr>
              <w:pStyle w:val="P68B1DB1-Normal11"/>
              <w:jc w:val="center"/>
              <w:rPr>
                <w:noProof/>
              </w:rPr>
            </w:pPr>
            <w:r>
              <w:rPr>
                <w:noProof/>
              </w:rPr>
              <w:t>Целеви</w:t>
            </w:r>
          </w:p>
        </w:tc>
        <w:tc>
          <w:tcPr>
            <w:tcW w:w="1418" w:type="dxa"/>
            <w:shd w:val="clear" w:color="auto" w:fill="C6EFCE"/>
            <w:noWrap/>
            <w:vAlign w:val="center"/>
          </w:tcPr>
          <w:p w14:paraId="7F4F0065" w14:textId="71CB529A" w:rsidR="006054AA" w:rsidRDefault="001F7667">
            <w:pPr>
              <w:pStyle w:val="P68B1DB1-Normal11"/>
              <w:jc w:val="center"/>
              <w:rPr>
                <w:noProof/>
              </w:rPr>
            </w:pPr>
            <w:r>
              <w:rPr>
                <w:noProof/>
              </w:rPr>
              <w:t>Брой на възложените научноизследователски проекти</w:t>
            </w:r>
          </w:p>
        </w:tc>
        <w:tc>
          <w:tcPr>
            <w:tcW w:w="1275" w:type="dxa"/>
            <w:shd w:val="clear" w:color="auto" w:fill="C6EFCE"/>
            <w:noWrap/>
            <w:vAlign w:val="center"/>
            <w:hideMark/>
          </w:tcPr>
          <w:p w14:paraId="14CF1FE6"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6907821C" w14:textId="77777777" w:rsidR="006054AA" w:rsidRDefault="001F7667">
            <w:pPr>
              <w:pStyle w:val="P68B1DB1-Normal11"/>
              <w:jc w:val="center"/>
              <w:rPr>
                <w:noProof/>
              </w:rPr>
            </w:pPr>
            <w:r>
              <w:rPr>
                <w:noProof/>
              </w:rPr>
              <w:t>Брой</w:t>
            </w:r>
          </w:p>
        </w:tc>
        <w:tc>
          <w:tcPr>
            <w:tcW w:w="993" w:type="dxa"/>
            <w:shd w:val="clear" w:color="auto" w:fill="C6EFCE"/>
            <w:noWrap/>
            <w:vAlign w:val="center"/>
          </w:tcPr>
          <w:p w14:paraId="601757EB" w14:textId="77777777" w:rsidR="006054AA" w:rsidRDefault="001F7667">
            <w:pPr>
              <w:pStyle w:val="P68B1DB1-Normal11"/>
              <w:jc w:val="center"/>
              <w:rPr>
                <w:noProof/>
              </w:rPr>
            </w:pPr>
            <w:r>
              <w:rPr>
                <w:noProof/>
              </w:rPr>
              <w:t>0</w:t>
            </w:r>
          </w:p>
        </w:tc>
        <w:tc>
          <w:tcPr>
            <w:tcW w:w="1275" w:type="dxa"/>
            <w:shd w:val="clear" w:color="auto" w:fill="C6EFCE"/>
            <w:noWrap/>
            <w:vAlign w:val="center"/>
          </w:tcPr>
          <w:p w14:paraId="7A94B3D9" w14:textId="1304993C" w:rsidR="006054AA" w:rsidRDefault="001F7667">
            <w:pPr>
              <w:pStyle w:val="P68B1DB1-Normal11"/>
              <w:jc w:val="center"/>
              <w:rPr>
                <w:noProof/>
              </w:rPr>
            </w:pPr>
            <w:r>
              <w:rPr>
                <w:noProof/>
              </w:rPr>
              <w:t>3 150</w:t>
            </w:r>
          </w:p>
        </w:tc>
        <w:tc>
          <w:tcPr>
            <w:tcW w:w="993" w:type="dxa"/>
            <w:shd w:val="clear" w:color="auto" w:fill="C6EFCE"/>
            <w:noWrap/>
            <w:vAlign w:val="center"/>
            <w:hideMark/>
          </w:tcPr>
          <w:p w14:paraId="35C49819" w14:textId="77777777" w:rsidR="006054AA" w:rsidRDefault="001F7667">
            <w:pPr>
              <w:pStyle w:val="P68B1DB1-Normal11"/>
              <w:jc w:val="center"/>
              <w:rPr>
                <w:noProof/>
              </w:rPr>
            </w:pPr>
            <w:r>
              <w:rPr>
                <w:noProof/>
              </w:rPr>
              <w:t>Т4 Г.</w:t>
            </w:r>
          </w:p>
        </w:tc>
        <w:tc>
          <w:tcPr>
            <w:tcW w:w="708" w:type="dxa"/>
            <w:shd w:val="clear" w:color="auto" w:fill="C6EFCE"/>
            <w:noWrap/>
            <w:vAlign w:val="center"/>
            <w:hideMark/>
          </w:tcPr>
          <w:p w14:paraId="520BD21E" w14:textId="77777777" w:rsidR="006054AA" w:rsidRDefault="001F7667">
            <w:pPr>
              <w:pStyle w:val="P68B1DB1-Normal11"/>
              <w:jc w:val="center"/>
              <w:rPr>
                <w:noProof/>
              </w:rPr>
            </w:pPr>
            <w:r>
              <w:rPr>
                <w:noProof/>
              </w:rPr>
              <w:t>2023</w:t>
            </w:r>
          </w:p>
        </w:tc>
        <w:tc>
          <w:tcPr>
            <w:tcW w:w="3686" w:type="dxa"/>
            <w:shd w:val="clear" w:color="auto" w:fill="C6EFCE"/>
            <w:noWrap/>
            <w:vAlign w:val="center"/>
            <w:hideMark/>
          </w:tcPr>
          <w:p w14:paraId="2A88BD57" w14:textId="45060542" w:rsidR="006054AA" w:rsidRDefault="001F7667">
            <w:pPr>
              <w:pStyle w:val="P68B1DB1-Normal11"/>
              <w:rPr>
                <w:noProof/>
              </w:rPr>
            </w:pPr>
            <w:r>
              <w:rPr>
                <w:noProof/>
              </w:rPr>
              <w:t xml:space="preserve">Присъждане на най-малко 3 150 изследователски проекта Progetti di Ricerca di Interesse Nazionale. </w:t>
            </w:r>
          </w:p>
          <w:p w14:paraId="5AD4706C" w14:textId="77777777" w:rsidR="006054AA" w:rsidRDefault="001F7667">
            <w:pPr>
              <w:pStyle w:val="P68B1DB1-Normal11"/>
              <w:rPr>
                <w:noProof/>
              </w:rPr>
            </w:pPr>
            <w:r>
              <w:rPr>
                <w:noProof/>
              </w:rPr>
              <w:t>Възлагането на поръчките на проектите, избрани в рамките на конкурсните покани за представяне на предложения, се извършва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152DDC7B" w14:textId="77777777">
        <w:trPr>
          <w:trHeight w:val="313"/>
        </w:trPr>
        <w:tc>
          <w:tcPr>
            <w:tcW w:w="1135" w:type="dxa"/>
            <w:shd w:val="clear" w:color="auto" w:fill="C6EFCE"/>
            <w:noWrap/>
            <w:vAlign w:val="center"/>
            <w:hideMark/>
          </w:tcPr>
          <w:p w14:paraId="7A964945" w14:textId="77777777" w:rsidR="006054AA" w:rsidRDefault="001F7667">
            <w:pPr>
              <w:pStyle w:val="P68B1DB1-Normal11"/>
              <w:jc w:val="center"/>
              <w:rPr>
                <w:noProof/>
              </w:rPr>
            </w:pPr>
            <w:r>
              <w:rPr>
                <w:noProof/>
              </w:rPr>
              <w:t>M4C2—6</w:t>
            </w:r>
          </w:p>
        </w:tc>
        <w:tc>
          <w:tcPr>
            <w:tcW w:w="1419" w:type="dxa"/>
            <w:shd w:val="clear" w:color="auto" w:fill="C6EFCE"/>
            <w:noWrap/>
            <w:vAlign w:val="center"/>
          </w:tcPr>
          <w:p w14:paraId="7285DDFD" w14:textId="77777777" w:rsidR="006054AA" w:rsidRDefault="001F7667">
            <w:pPr>
              <w:pStyle w:val="P68B1DB1-Normal11"/>
              <w:jc w:val="center"/>
              <w:rPr>
                <w:noProof/>
              </w:rPr>
            </w:pPr>
            <w:r>
              <w:rPr>
                <w:noProof/>
              </w:rPr>
              <w:t>Инвестиция 1.1: Научноизследователски проекти от значителен национален интерес (PRIN)</w:t>
            </w:r>
          </w:p>
        </w:tc>
        <w:tc>
          <w:tcPr>
            <w:tcW w:w="1132" w:type="dxa"/>
            <w:shd w:val="clear" w:color="auto" w:fill="C6EFCE"/>
            <w:noWrap/>
            <w:vAlign w:val="center"/>
            <w:hideMark/>
          </w:tcPr>
          <w:p w14:paraId="14A231EB" w14:textId="77777777" w:rsidR="006054AA" w:rsidRDefault="001F7667">
            <w:pPr>
              <w:pStyle w:val="P68B1DB1-Normal11"/>
              <w:jc w:val="center"/>
              <w:rPr>
                <w:noProof/>
              </w:rPr>
            </w:pPr>
            <w:r>
              <w:rPr>
                <w:noProof/>
              </w:rPr>
              <w:t>Целеви</w:t>
            </w:r>
          </w:p>
        </w:tc>
        <w:tc>
          <w:tcPr>
            <w:tcW w:w="1418" w:type="dxa"/>
            <w:shd w:val="clear" w:color="auto" w:fill="C6EFCE"/>
            <w:noWrap/>
            <w:vAlign w:val="center"/>
          </w:tcPr>
          <w:p w14:paraId="2D61B35A" w14:textId="77777777" w:rsidR="006054AA" w:rsidRDefault="001F7667">
            <w:pPr>
              <w:pStyle w:val="P68B1DB1-Normal11"/>
              <w:jc w:val="center"/>
              <w:rPr>
                <w:noProof/>
              </w:rPr>
            </w:pPr>
            <w:r>
              <w:rPr>
                <w:noProof/>
              </w:rPr>
              <w:t>Брой на възложените научноизследователски проекти</w:t>
            </w:r>
          </w:p>
        </w:tc>
        <w:tc>
          <w:tcPr>
            <w:tcW w:w="1275" w:type="dxa"/>
            <w:shd w:val="clear" w:color="auto" w:fill="C6EFCE"/>
            <w:noWrap/>
            <w:vAlign w:val="center"/>
            <w:hideMark/>
          </w:tcPr>
          <w:p w14:paraId="182A5944"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2BAF49D1" w14:textId="77777777" w:rsidR="006054AA" w:rsidRDefault="001F7667">
            <w:pPr>
              <w:pStyle w:val="P68B1DB1-Normal11"/>
              <w:jc w:val="center"/>
              <w:rPr>
                <w:noProof/>
              </w:rPr>
            </w:pPr>
            <w:r>
              <w:rPr>
                <w:noProof/>
              </w:rPr>
              <w:t>Брой</w:t>
            </w:r>
          </w:p>
        </w:tc>
        <w:tc>
          <w:tcPr>
            <w:tcW w:w="993" w:type="dxa"/>
            <w:shd w:val="clear" w:color="auto" w:fill="C6EFCE"/>
            <w:noWrap/>
            <w:vAlign w:val="center"/>
          </w:tcPr>
          <w:p w14:paraId="7EAF8EAB" w14:textId="0B1514AE" w:rsidR="006054AA" w:rsidRDefault="001F7667">
            <w:pPr>
              <w:pStyle w:val="P68B1DB1-Normal11"/>
              <w:jc w:val="center"/>
              <w:rPr>
                <w:noProof/>
              </w:rPr>
            </w:pPr>
            <w:r>
              <w:rPr>
                <w:noProof/>
              </w:rPr>
              <w:t>3 150</w:t>
            </w:r>
          </w:p>
        </w:tc>
        <w:tc>
          <w:tcPr>
            <w:tcW w:w="1275" w:type="dxa"/>
            <w:shd w:val="clear" w:color="auto" w:fill="C6EFCE"/>
            <w:noWrap/>
            <w:vAlign w:val="center"/>
          </w:tcPr>
          <w:p w14:paraId="30013BB8" w14:textId="42C70F42" w:rsidR="006054AA" w:rsidRDefault="001F7667">
            <w:pPr>
              <w:pStyle w:val="P68B1DB1-Normal11"/>
              <w:jc w:val="center"/>
              <w:rPr>
                <w:noProof/>
              </w:rPr>
            </w:pPr>
            <w:r>
              <w:rPr>
                <w:noProof/>
              </w:rPr>
              <w:t>5 350</w:t>
            </w:r>
          </w:p>
        </w:tc>
        <w:tc>
          <w:tcPr>
            <w:tcW w:w="993" w:type="dxa"/>
            <w:shd w:val="clear" w:color="auto" w:fill="C6EFCE"/>
            <w:noWrap/>
            <w:vAlign w:val="center"/>
            <w:hideMark/>
          </w:tcPr>
          <w:p w14:paraId="3A5CD697"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16A1230B" w14:textId="77777777" w:rsidR="006054AA" w:rsidRDefault="001F7667">
            <w:pPr>
              <w:pStyle w:val="P68B1DB1-Normal11"/>
              <w:jc w:val="center"/>
              <w:rPr>
                <w:noProof/>
              </w:rPr>
            </w:pPr>
            <w:r>
              <w:rPr>
                <w:noProof/>
              </w:rPr>
              <w:t>2025</w:t>
            </w:r>
          </w:p>
        </w:tc>
        <w:tc>
          <w:tcPr>
            <w:tcW w:w="3686" w:type="dxa"/>
            <w:shd w:val="clear" w:color="auto" w:fill="C6EFCE"/>
            <w:noWrap/>
            <w:vAlign w:val="center"/>
            <w:hideMark/>
          </w:tcPr>
          <w:p w14:paraId="3ECA1BB6" w14:textId="449B0B80" w:rsidR="006054AA" w:rsidRDefault="001F7667">
            <w:pPr>
              <w:pStyle w:val="P68B1DB1-Normal11"/>
              <w:rPr>
                <w:noProof/>
              </w:rPr>
            </w:pPr>
            <w:r>
              <w:rPr>
                <w:noProof/>
              </w:rPr>
              <w:t>Присъждане на най-малко 5 350 изследователски проекта Progetti di Ricerca di Interesse Nazionale.</w:t>
            </w:r>
          </w:p>
          <w:p w14:paraId="6A95F03A" w14:textId="622883A1" w:rsidR="006054AA" w:rsidRDefault="001F7667">
            <w:pPr>
              <w:pStyle w:val="P68B1DB1-Normal11"/>
              <w:rPr>
                <w:noProof/>
              </w:rPr>
            </w:pPr>
            <w:r>
              <w:rPr>
                <w:noProof/>
              </w:rPr>
              <w:t>Възлагането на поръчките на проектите, избрани в рамките на конкурсните покани за представяне на предложения, се извършва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3CAE0D1E" w14:textId="77777777">
        <w:trPr>
          <w:trHeight w:val="313"/>
        </w:trPr>
        <w:tc>
          <w:tcPr>
            <w:tcW w:w="1135" w:type="dxa"/>
            <w:shd w:val="clear" w:color="auto" w:fill="C6EFCE"/>
            <w:noWrap/>
            <w:vAlign w:val="center"/>
            <w:hideMark/>
          </w:tcPr>
          <w:p w14:paraId="1B701462" w14:textId="77777777" w:rsidR="006054AA" w:rsidRDefault="001F7667">
            <w:pPr>
              <w:pStyle w:val="P68B1DB1-Normal11"/>
              <w:jc w:val="center"/>
              <w:rPr>
                <w:noProof/>
              </w:rPr>
            </w:pPr>
            <w:r>
              <w:rPr>
                <w:noProof/>
              </w:rPr>
              <w:t>M4C2—7</w:t>
            </w:r>
          </w:p>
        </w:tc>
        <w:tc>
          <w:tcPr>
            <w:tcW w:w="1419" w:type="dxa"/>
            <w:shd w:val="clear" w:color="auto" w:fill="C6EFCE"/>
            <w:noWrap/>
            <w:vAlign w:val="center"/>
            <w:hideMark/>
          </w:tcPr>
          <w:p w14:paraId="35CAA1D5" w14:textId="77777777" w:rsidR="006054AA" w:rsidRDefault="001F7667">
            <w:pPr>
              <w:pStyle w:val="P68B1DB1-Normal11"/>
              <w:jc w:val="center"/>
              <w:rPr>
                <w:noProof/>
              </w:rPr>
            </w:pPr>
            <w:r>
              <w:rPr>
                <w:noProof/>
              </w:rPr>
              <w:t>Инвестиция 1.1: Научноизследователски проекти от значителен национален интерес (PRIN)</w:t>
            </w:r>
          </w:p>
        </w:tc>
        <w:tc>
          <w:tcPr>
            <w:tcW w:w="1132" w:type="dxa"/>
            <w:shd w:val="clear" w:color="auto" w:fill="C6EFCE"/>
            <w:noWrap/>
            <w:vAlign w:val="center"/>
            <w:hideMark/>
          </w:tcPr>
          <w:p w14:paraId="39AF44FE"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13F68B3C" w14:textId="77777777" w:rsidR="006054AA" w:rsidRDefault="001F7667">
            <w:pPr>
              <w:pStyle w:val="P68B1DB1-Normal11"/>
              <w:jc w:val="center"/>
              <w:rPr>
                <w:noProof/>
              </w:rPr>
            </w:pPr>
            <w:r>
              <w:rPr>
                <w:noProof/>
              </w:rPr>
              <w:t>Брой на наетите изследователи на срочен трудов договор</w:t>
            </w:r>
          </w:p>
        </w:tc>
        <w:tc>
          <w:tcPr>
            <w:tcW w:w="1275" w:type="dxa"/>
            <w:shd w:val="clear" w:color="auto" w:fill="C6EFCE"/>
            <w:noWrap/>
            <w:vAlign w:val="center"/>
            <w:hideMark/>
          </w:tcPr>
          <w:p w14:paraId="744830CB"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1084DE33" w14:textId="77777777" w:rsidR="006054AA" w:rsidRDefault="001F7667">
            <w:pPr>
              <w:pStyle w:val="P68B1DB1-Normal11"/>
              <w:jc w:val="center"/>
              <w:rPr>
                <w:noProof/>
              </w:rPr>
            </w:pPr>
            <w:r>
              <w:rPr>
                <w:noProof/>
              </w:rPr>
              <w:t>Брой</w:t>
            </w:r>
          </w:p>
        </w:tc>
        <w:tc>
          <w:tcPr>
            <w:tcW w:w="993" w:type="dxa"/>
            <w:shd w:val="clear" w:color="auto" w:fill="C6EFCE"/>
            <w:noWrap/>
            <w:vAlign w:val="center"/>
            <w:hideMark/>
          </w:tcPr>
          <w:p w14:paraId="544D0725" w14:textId="77777777" w:rsidR="006054AA" w:rsidRDefault="001F7667">
            <w:pPr>
              <w:pStyle w:val="P68B1DB1-Normal11"/>
              <w:jc w:val="center"/>
              <w:rPr>
                <w:noProof/>
              </w:rPr>
            </w:pPr>
            <w:r>
              <w:rPr>
                <w:noProof/>
              </w:rPr>
              <w:t>0</w:t>
            </w:r>
          </w:p>
        </w:tc>
        <w:tc>
          <w:tcPr>
            <w:tcW w:w="1275" w:type="dxa"/>
            <w:shd w:val="clear" w:color="auto" w:fill="C6EFCE"/>
            <w:noWrap/>
            <w:vAlign w:val="center"/>
            <w:hideMark/>
          </w:tcPr>
          <w:p w14:paraId="2A17EE42" w14:textId="77777777" w:rsidR="006054AA" w:rsidRDefault="001F7667">
            <w:pPr>
              <w:pStyle w:val="P68B1DB1-Normal11"/>
              <w:jc w:val="center"/>
              <w:rPr>
                <w:noProof/>
              </w:rPr>
            </w:pPr>
            <w:r>
              <w:rPr>
                <w:noProof/>
              </w:rPr>
              <w:t>900</w:t>
            </w:r>
          </w:p>
        </w:tc>
        <w:tc>
          <w:tcPr>
            <w:tcW w:w="993" w:type="dxa"/>
            <w:shd w:val="clear" w:color="auto" w:fill="C6EFCE"/>
            <w:noWrap/>
            <w:vAlign w:val="center"/>
            <w:hideMark/>
          </w:tcPr>
          <w:p w14:paraId="731C2F51"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1B50325C" w14:textId="77777777" w:rsidR="006054AA" w:rsidRDefault="001F7667">
            <w:pPr>
              <w:pStyle w:val="P68B1DB1-Normal11"/>
              <w:jc w:val="center"/>
              <w:rPr>
                <w:noProof/>
              </w:rPr>
            </w:pPr>
            <w:r>
              <w:rPr>
                <w:noProof/>
              </w:rPr>
              <w:t>2025</w:t>
            </w:r>
          </w:p>
        </w:tc>
        <w:tc>
          <w:tcPr>
            <w:tcW w:w="3686" w:type="dxa"/>
            <w:shd w:val="clear" w:color="auto" w:fill="C6EFCE"/>
            <w:noWrap/>
            <w:vAlign w:val="center"/>
            <w:hideMark/>
          </w:tcPr>
          <w:p w14:paraId="6EA8B7AE" w14:textId="42C41527" w:rsidR="006054AA" w:rsidRDefault="001F7667">
            <w:pPr>
              <w:pStyle w:val="P68B1DB1-Normal11"/>
              <w:spacing w:after="120"/>
              <w:rPr>
                <w:noProof/>
              </w:rPr>
            </w:pPr>
            <w:r>
              <w:rPr>
                <w:noProof/>
              </w:rPr>
              <w:t>Назначават се най-малко 900 нови изследователи на срочен трудов договор.</w:t>
            </w:r>
          </w:p>
          <w:p w14:paraId="599B7A42" w14:textId="69A12BB8" w:rsidR="006054AA" w:rsidRDefault="001F7667">
            <w:pPr>
              <w:pStyle w:val="P68B1DB1-Normal11"/>
              <w:spacing w:after="120"/>
              <w:rPr>
                <w:noProof/>
              </w:rPr>
            </w:pPr>
            <w:r>
              <w:rPr>
                <w:noProof/>
              </w:rPr>
              <w:t>Наетите изследователи се съсредоточават върху приоритетите, съгласувани с шестте клъстера на Европейската рамкова програма за научни изследвания и иновации (2021—2027 г.): и) здраве; II) хуманистична култура, творчество, социални трансформации, общество на приобщаване; III) сигурност на социалните системи; IV) цифрови технологии, промишленост, авиокосмическа промишленост; климат, енергетика, устойчива мобилност; VI) хранителни продукти, биоикономика, биологично разнообразие, селско стопанство, околна среда.</w:t>
            </w:r>
          </w:p>
        </w:tc>
      </w:tr>
      <w:tr w:rsidR="006054AA" w14:paraId="18DA81A2" w14:textId="77777777">
        <w:trPr>
          <w:trHeight w:val="1278"/>
        </w:trPr>
        <w:tc>
          <w:tcPr>
            <w:tcW w:w="1135" w:type="dxa"/>
            <w:shd w:val="clear" w:color="auto" w:fill="C6EFCE"/>
            <w:noWrap/>
            <w:vAlign w:val="center"/>
            <w:hideMark/>
          </w:tcPr>
          <w:p w14:paraId="7C3A1B40" w14:textId="77777777" w:rsidR="006054AA" w:rsidRDefault="001F7667">
            <w:pPr>
              <w:pStyle w:val="P68B1DB1-Normal11"/>
              <w:jc w:val="center"/>
              <w:rPr>
                <w:noProof/>
              </w:rPr>
            </w:pPr>
            <w:r>
              <w:rPr>
                <w:noProof/>
              </w:rPr>
              <w:t>M4C2—8</w:t>
            </w:r>
          </w:p>
        </w:tc>
        <w:tc>
          <w:tcPr>
            <w:tcW w:w="1419" w:type="dxa"/>
            <w:shd w:val="clear" w:color="auto" w:fill="C6EFCE"/>
            <w:noWrap/>
            <w:vAlign w:val="center"/>
            <w:hideMark/>
          </w:tcPr>
          <w:p w14:paraId="5C3460E8" w14:textId="77777777" w:rsidR="006054AA" w:rsidRDefault="001F7667">
            <w:pPr>
              <w:pStyle w:val="P68B1DB1-Normal11"/>
              <w:jc w:val="center"/>
              <w:rPr>
                <w:noProof/>
              </w:rPr>
            </w:pPr>
            <w:r>
              <w:rPr>
                <w:noProof/>
              </w:rPr>
              <w:t>Инвестиция 1.3: Партньорства, които обхващат университети, научноизследователски центрове, предприятия и финансиране на проекти за фундаментални научни изследвания</w:t>
            </w:r>
          </w:p>
        </w:tc>
        <w:tc>
          <w:tcPr>
            <w:tcW w:w="1132" w:type="dxa"/>
            <w:shd w:val="clear" w:color="auto" w:fill="C6EFCE"/>
            <w:noWrap/>
            <w:vAlign w:val="center"/>
            <w:hideMark/>
          </w:tcPr>
          <w:p w14:paraId="60768B75"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3ED0E5EA" w14:textId="77777777" w:rsidR="006054AA" w:rsidRDefault="001F7667">
            <w:pPr>
              <w:pStyle w:val="P68B1DB1-Normal11"/>
              <w:jc w:val="center"/>
              <w:rPr>
                <w:noProof/>
              </w:rPr>
            </w:pPr>
            <w:r>
              <w:rPr>
                <w:noProof/>
              </w:rPr>
              <w:t>Брой на назначените изследователи на срочен договор за всяко от предвидените партньорства за фундаментални изследвания, подписани между научноизследователски институти и частни фирми</w:t>
            </w:r>
          </w:p>
        </w:tc>
        <w:tc>
          <w:tcPr>
            <w:tcW w:w="1275" w:type="dxa"/>
            <w:shd w:val="clear" w:color="auto" w:fill="C6EFCE"/>
            <w:noWrap/>
            <w:vAlign w:val="center"/>
            <w:hideMark/>
          </w:tcPr>
          <w:p w14:paraId="6F1116C0"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7DA2AE4B" w14:textId="77777777" w:rsidR="006054AA" w:rsidRDefault="001F7667">
            <w:pPr>
              <w:pStyle w:val="P68B1DB1-Normal11"/>
              <w:jc w:val="center"/>
              <w:rPr>
                <w:noProof/>
              </w:rPr>
            </w:pPr>
            <w:r>
              <w:rPr>
                <w:noProof/>
              </w:rPr>
              <w:t>Брой</w:t>
            </w:r>
          </w:p>
        </w:tc>
        <w:tc>
          <w:tcPr>
            <w:tcW w:w="993" w:type="dxa"/>
            <w:shd w:val="clear" w:color="auto" w:fill="C6EFCE"/>
            <w:noWrap/>
            <w:vAlign w:val="center"/>
            <w:hideMark/>
          </w:tcPr>
          <w:p w14:paraId="65057ED6" w14:textId="77777777" w:rsidR="006054AA" w:rsidRDefault="001F7667">
            <w:pPr>
              <w:pStyle w:val="P68B1DB1-Normal11"/>
              <w:jc w:val="center"/>
              <w:rPr>
                <w:noProof/>
              </w:rPr>
            </w:pPr>
            <w:r>
              <w:rPr>
                <w:noProof/>
              </w:rPr>
              <w:t>0</w:t>
            </w:r>
          </w:p>
        </w:tc>
        <w:tc>
          <w:tcPr>
            <w:tcW w:w="1275" w:type="dxa"/>
            <w:shd w:val="clear" w:color="auto" w:fill="C6EFCE"/>
            <w:noWrap/>
            <w:vAlign w:val="center"/>
            <w:hideMark/>
          </w:tcPr>
          <w:p w14:paraId="1EDFC0DE" w14:textId="67171C64" w:rsidR="006054AA" w:rsidRDefault="001F7667">
            <w:pPr>
              <w:pStyle w:val="P68B1DB1-Normal11"/>
              <w:jc w:val="center"/>
              <w:rPr>
                <w:noProof/>
              </w:rPr>
            </w:pPr>
            <w:r>
              <w:rPr>
                <w:noProof/>
              </w:rPr>
              <w:t>1 400</w:t>
            </w:r>
          </w:p>
        </w:tc>
        <w:tc>
          <w:tcPr>
            <w:tcW w:w="993" w:type="dxa"/>
            <w:shd w:val="clear" w:color="auto" w:fill="C6EFCE"/>
            <w:noWrap/>
            <w:vAlign w:val="center"/>
            <w:hideMark/>
          </w:tcPr>
          <w:p w14:paraId="08F6D86C"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00D95D90" w14:textId="77777777" w:rsidR="006054AA" w:rsidRDefault="001F7667">
            <w:pPr>
              <w:pStyle w:val="P68B1DB1-Normal11"/>
              <w:jc w:val="center"/>
              <w:rPr>
                <w:noProof/>
              </w:rPr>
            </w:pPr>
            <w:r>
              <w:rPr>
                <w:noProof/>
              </w:rPr>
              <w:t>2025</w:t>
            </w:r>
          </w:p>
        </w:tc>
        <w:tc>
          <w:tcPr>
            <w:tcW w:w="3686" w:type="dxa"/>
            <w:shd w:val="clear" w:color="auto" w:fill="C6EFCE"/>
            <w:noWrap/>
            <w:vAlign w:val="center"/>
            <w:hideMark/>
          </w:tcPr>
          <w:p w14:paraId="2DE704E0" w14:textId="0BCC6F19" w:rsidR="006054AA" w:rsidRDefault="001F7667">
            <w:pPr>
              <w:pStyle w:val="P68B1DB1-Normal11"/>
              <w:spacing w:after="120"/>
              <w:rPr>
                <w:noProof/>
              </w:rPr>
            </w:pPr>
            <w:r>
              <w:rPr>
                <w:noProof/>
              </w:rPr>
              <w:t xml:space="preserve">За всяко едно от предвидените фундаментални изследователски партньорства, подписани между научноизследователски институти и частни фирми, се назначават най-малко 100 нови изследователи на срочен трудов договор [1.3]. </w:t>
            </w:r>
          </w:p>
          <w:p w14:paraId="12B2DB9F" w14:textId="734CA379" w:rsidR="006054AA" w:rsidRDefault="001F7667">
            <w:pPr>
              <w:pStyle w:val="P68B1DB1-Normal11"/>
              <w:spacing w:after="120"/>
              <w:rPr>
                <w:noProof/>
              </w:rPr>
            </w:pPr>
            <w:r>
              <w:rPr>
                <w:noProof/>
              </w:rPr>
              <w:t xml:space="preserve">Трябва да бъдат подписани най-малко 14 партньорства за фундаментални изследвания между научноизследователски институти и частни фирми. </w:t>
            </w:r>
          </w:p>
          <w:p w14:paraId="72A0245C" w14:textId="77777777" w:rsidR="006054AA" w:rsidRDefault="001F7667">
            <w:pPr>
              <w:pStyle w:val="P68B1DB1-Normal11"/>
              <w:spacing w:after="120"/>
              <w:rPr>
                <w:noProof/>
              </w:rPr>
            </w:pPr>
            <w:r>
              <w:rPr>
                <w:noProof/>
              </w:rPr>
              <w:t>Задоволителното изпълнение на целта зависи от дела на срочните договори, възложени на жени изследователи: най-малко 40 %.</w:t>
            </w:r>
          </w:p>
          <w:p w14:paraId="049FCB75" w14:textId="77777777" w:rsidR="006054AA" w:rsidRDefault="001F7667">
            <w:pPr>
              <w:pStyle w:val="P68B1DB1-Normal11"/>
              <w:spacing w:after="120"/>
              <w:rPr>
                <w:noProof/>
              </w:rPr>
            </w:pPr>
            <w:r>
              <w:rPr>
                <w:noProof/>
              </w:rPr>
              <w:t>Проектите се подбират въз основа на конкурентни критерии, включително i) придържане към целите и приоритетите, свързани с резервационните данни на пътниците (Piano Nazionale di Ricerca); II) участие на заинтересованите страни за съчетаване на равнището на технологична готовност -TRL с равнището на обществена готовност — SRL;</w:t>
            </w:r>
          </w:p>
          <w:p w14:paraId="014D0446" w14:textId="77777777" w:rsidR="006054AA" w:rsidRDefault="001F7667">
            <w:pPr>
              <w:pStyle w:val="P68B1DB1-Normal11"/>
              <w:spacing w:after="120"/>
              <w:rPr>
                <w:noProof/>
              </w:rPr>
            </w:pPr>
            <w:r>
              <w:rPr>
                <w:noProof/>
              </w:rPr>
              <w:t>Освен това се определят специфични критерии за подбор, за да се гарантира i) баланс между участващите територии (чрез насърчаване на участието на участници от различни региони и различни зони на страната, включително Юга и островите), ii) участието както на големи, така и на малки и средни предприятия (МСП), като се обръща специално внимание на по-младите (по-малко от пет години от тяхното установяване) и иновативните такива.</w:t>
            </w:r>
          </w:p>
          <w:p w14:paraId="02A9B0D3" w14:textId="77777777" w:rsidR="006054AA" w:rsidRDefault="001F7667">
            <w:pPr>
              <w:pStyle w:val="P68B1DB1-paragraph25"/>
              <w:spacing w:before="0" w:beforeAutospacing="0" w:after="120" w:afterAutospacing="0"/>
              <w:textAlignment w:val="baseline"/>
              <w:rPr>
                <w:noProof/>
              </w:rPr>
            </w:pPr>
            <w:r>
              <w:rPr>
                <w:noProof/>
              </w:rPr>
              <w:t>Поканата за представяне на предложения за програми, както и процедурата за подбор, включват следното:</w:t>
            </w:r>
          </w:p>
          <w:p w14:paraId="42F13564" w14:textId="77777777" w:rsidR="006054AA" w:rsidRDefault="001F7667">
            <w:pPr>
              <w:pStyle w:val="P68B1DB1-paragraph25"/>
              <w:spacing w:before="0" w:beforeAutospacing="0" w:after="120" w:afterAutospacing="0"/>
              <w:textAlignment w:val="baseline"/>
              <w:rPr>
                <w:noProof/>
              </w:rPr>
            </w:pPr>
            <w:r>
              <w:rPr>
                <w:noProof/>
              </w:rPr>
              <w:t>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съответствие със съответното законодателство на ЕС и национално законодателство в областта на околната среда.</w:t>
            </w:r>
          </w:p>
          <w:p w14:paraId="3A9A1F25" w14:textId="77777777" w:rsidR="006054AA" w:rsidRDefault="001F7667">
            <w:pPr>
              <w:pStyle w:val="P68B1DB1-paragraph25"/>
              <w:spacing w:before="0" w:beforeAutospacing="0" w:after="120" w:afterAutospacing="0"/>
              <w:textAlignment w:val="baseline"/>
              <w:rPr>
                <w:noProof/>
              </w:rPr>
            </w:pPr>
            <w:r>
              <w:rPr>
                <w:noProof/>
              </w:rPr>
              <w:t>ангажимент, че приносът на инвестицията в областта на климата съгласно методиката в приложение VI към Регламент (ЕС) 2021/241 трябва да представлява най-малко 42 % от общите разходи за инвестицията, подкрепена от МВУ.</w:t>
            </w:r>
          </w:p>
          <w:p w14:paraId="45A9A98E" w14:textId="77777777" w:rsidR="006054AA" w:rsidRDefault="001F7667">
            <w:pPr>
              <w:pStyle w:val="P68B1DB1-paragraph25"/>
              <w:spacing w:before="0" w:beforeAutospacing="0" w:after="120" w:afterAutospacing="0"/>
              <w:textAlignment w:val="baseline"/>
              <w:rPr>
                <w:noProof/>
              </w:rPr>
            </w:pPr>
            <w:r>
              <w:rPr>
                <w:noProof/>
              </w:rPr>
              <w:t>ангажимент за докладване относно изпълнението на мярката в средата на жизнения цикъл на схемата и края на схемата.</w:t>
            </w:r>
          </w:p>
        </w:tc>
      </w:tr>
      <w:tr w:rsidR="006054AA" w14:paraId="6B8F5891" w14:textId="77777777">
        <w:trPr>
          <w:trHeight w:val="313"/>
        </w:trPr>
        <w:tc>
          <w:tcPr>
            <w:tcW w:w="1135" w:type="dxa"/>
            <w:shd w:val="clear" w:color="auto" w:fill="C6EFCE"/>
            <w:noWrap/>
            <w:vAlign w:val="center"/>
            <w:hideMark/>
          </w:tcPr>
          <w:p w14:paraId="11ABDD8D" w14:textId="77777777" w:rsidR="006054AA" w:rsidRDefault="001F7667">
            <w:pPr>
              <w:pStyle w:val="P68B1DB1-Normal11"/>
              <w:jc w:val="center"/>
              <w:rPr>
                <w:noProof/>
              </w:rPr>
            </w:pPr>
            <w:r>
              <w:rPr>
                <w:noProof/>
              </w:rPr>
              <w:t>M4C2—9</w:t>
            </w:r>
          </w:p>
        </w:tc>
        <w:tc>
          <w:tcPr>
            <w:tcW w:w="1419" w:type="dxa"/>
            <w:shd w:val="clear" w:color="auto" w:fill="C6EFCE"/>
            <w:noWrap/>
            <w:vAlign w:val="center"/>
            <w:hideMark/>
          </w:tcPr>
          <w:p w14:paraId="095F1875" w14:textId="77777777" w:rsidR="006054AA" w:rsidRDefault="001F7667">
            <w:pPr>
              <w:pStyle w:val="P68B1DB1-Normal11"/>
              <w:jc w:val="center"/>
              <w:rPr>
                <w:noProof/>
              </w:rPr>
            </w:pPr>
            <w:r>
              <w:rPr>
                <w:noProof/>
              </w:rPr>
              <w:t>Инвестиция 1.4: Укрепване на научноизследователските структури и подкрепа за създаването на „национални лидери в областта на НИРД“ по отношение на някои главни базови технологии</w:t>
            </w:r>
          </w:p>
        </w:tc>
        <w:tc>
          <w:tcPr>
            <w:tcW w:w="1132" w:type="dxa"/>
            <w:shd w:val="clear" w:color="auto" w:fill="C6EFCE"/>
            <w:noWrap/>
            <w:vAlign w:val="center"/>
            <w:hideMark/>
          </w:tcPr>
          <w:p w14:paraId="2039F6C1"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6ABC1111" w14:textId="77777777" w:rsidR="006054AA" w:rsidRDefault="006054AA">
            <w:pPr>
              <w:jc w:val="center"/>
              <w:rPr>
                <w:rFonts w:ascii="Arial Narrow" w:hAnsi="Arial Narrow"/>
                <w:noProof/>
                <w:color w:val="006100"/>
                <w:sz w:val="20"/>
              </w:rPr>
            </w:pPr>
          </w:p>
          <w:p w14:paraId="13D3AF02" w14:textId="4764485A" w:rsidR="006054AA" w:rsidRDefault="001F7667">
            <w:pPr>
              <w:pStyle w:val="P68B1DB1-Normal11"/>
              <w:jc w:val="center"/>
              <w:rPr>
                <w:noProof/>
              </w:rPr>
            </w:pPr>
            <w:r>
              <w:rPr>
                <w:noProof/>
              </w:rPr>
              <w:t>Националните центрове функционират и дейностите се изпълняват от националните центрове в областта на главните базови технологии</w:t>
            </w:r>
          </w:p>
        </w:tc>
        <w:tc>
          <w:tcPr>
            <w:tcW w:w="1275" w:type="dxa"/>
            <w:shd w:val="clear" w:color="auto" w:fill="C6EFCE"/>
            <w:noWrap/>
            <w:vAlign w:val="center"/>
            <w:hideMark/>
          </w:tcPr>
          <w:p w14:paraId="3AED9C45"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4890D3EA" w14:textId="77777777" w:rsidR="006054AA" w:rsidRDefault="001F7667">
            <w:pPr>
              <w:pStyle w:val="P68B1DB1-Normal11"/>
              <w:jc w:val="center"/>
              <w:rPr>
                <w:noProof/>
              </w:rPr>
            </w:pPr>
            <w:r>
              <w:rPr>
                <w:noProof/>
              </w:rPr>
              <w:t>Брой</w:t>
            </w:r>
          </w:p>
        </w:tc>
        <w:tc>
          <w:tcPr>
            <w:tcW w:w="993" w:type="dxa"/>
            <w:shd w:val="clear" w:color="auto" w:fill="C6EFCE"/>
            <w:noWrap/>
            <w:vAlign w:val="center"/>
            <w:hideMark/>
          </w:tcPr>
          <w:p w14:paraId="771E9178" w14:textId="77777777" w:rsidR="006054AA" w:rsidRDefault="001F7667">
            <w:pPr>
              <w:pStyle w:val="P68B1DB1-Normal11"/>
              <w:jc w:val="center"/>
              <w:rPr>
                <w:noProof/>
              </w:rPr>
            </w:pPr>
            <w:r>
              <w:rPr>
                <w:noProof/>
              </w:rPr>
              <w:t>0</w:t>
            </w:r>
          </w:p>
        </w:tc>
        <w:tc>
          <w:tcPr>
            <w:tcW w:w="1275" w:type="dxa"/>
            <w:shd w:val="clear" w:color="auto" w:fill="C6EFCE"/>
            <w:noWrap/>
            <w:vAlign w:val="center"/>
            <w:hideMark/>
          </w:tcPr>
          <w:p w14:paraId="6ABFA426" w14:textId="77777777" w:rsidR="006054AA" w:rsidRDefault="001F7667">
            <w:pPr>
              <w:pStyle w:val="P68B1DB1-Normal11"/>
              <w:jc w:val="center"/>
              <w:rPr>
                <w:noProof/>
              </w:rPr>
            </w:pPr>
            <w:r>
              <w:rPr>
                <w:noProof/>
              </w:rPr>
              <w:t>5</w:t>
            </w:r>
          </w:p>
        </w:tc>
        <w:tc>
          <w:tcPr>
            <w:tcW w:w="993" w:type="dxa"/>
            <w:shd w:val="clear" w:color="auto" w:fill="C6EFCE"/>
            <w:noWrap/>
            <w:vAlign w:val="center"/>
            <w:hideMark/>
          </w:tcPr>
          <w:p w14:paraId="550933E0"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5D17EBB2" w14:textId="77777777" w:rsidR="006054AA" w:rsidRDefault="001F7667">
            <w:pPr>
              <w:pStyle w:val="P68B1DB1-Normal11"/>
              <w:jc w:val="center"/>
              <w:rPr>
                <w:noProof/>
              </w:rPr>
            </w:pPr>
            <w:r>
              <w:rPr>
                <w:noProof/>
              </w:rPr>
              <w:t>2026</w:t>
            </w:r>
          </w:p>
        </w:tc>
        <w:tc>
          <w:tcPr>
            <w:tcW w:w="3686" w:type="dxa"/>
            <w:shd w:val="clear" w:color="auto" w:fill="C6EFCE"/>
            <w:noWrap/>
            <w:vAlign w:val="center"/>
            <w:hideMark/>
          </w:tcPr>
          <w:p w14:paraId="79B9E4E7" w14:textId="1F281DBC" w:rsidR="006054AA" w:rsidRDefault="001F7667">
            <w:pPr>
              <w:pStyle w:val="P68B1DB1-Normal11"/>
              <w:ind w:left="30" w:hanging="30"/>
              <w:jc w:val="both"/>
              <w:rPr>
                <w:noProof/>
              </w:rPr>
            </w:pPr>
            <w:r>
              <w:rPr>
                <w:noProof/>
              </w:rPr>
              <w:t xml:space="preserve">Националните центрове, на които са възложени договори и които са били оценени с ключов етап M4C2—19, са оперативни и са приключили дейностите си, определени в съответната покана за представяне на проекти. </w:t>
            </w:r>
          </w:p>
        </w:tc>
      </w:tr>
      <w:tr w:rsidR="006054AA" w14:paraId="68A387A9" w14:textId="77777777">
        <w:trPr>
          <w:trHeight w:val="313"/>
        </w:trPr>
        <w:tc>
          <w:tcPr>
            <w:tcW w:w="1135" w:type="dxa"/>
            <w:shd w:val="clear" w:color="auto" w:fill="C6EFCE"/>
            <w:noWrap/>
            <w:vAlign w:val="center"/>
            <w:hideMark/>
          </w:tcPr>
          <w:p w14:paraId="7545AD2E" w14:textId="77777777" w:rsidR="006054AA" w:rsidRDefault="001F7667">
            <w:pPr>
              <w:pStyle w:val="P68B1DB1-Normal11"/>
              <w:jc w:val="center"/>
              <w:rPr>
                <w:noProof/>
              </w:rPr>
            </w:pPr>
            <w:r>
              <w:rPr>
                <w:noProof/>
              </w:rPr>
              <w:t>M4C2—10</w:t>
            </w:r>
          </w:p>
        </w:tc>
        <w:tc>
          <w:tcPr>
            <w:tcW w:w="1419" w:type="dxa"/>
            <w:shd w:val="clear" w:color="auto" w:fill="C6EFCE"/>
            <w:noWrap/>
            <w:vAlign w:val="center"/>
            <w:hideMark/>
          </w:tcPr>
          <w:p w14:paraId="0D11BD51" w14:textId="77777777" w:rsidR="006054AA" w:rsidRDefault="001F7667">
            <w:pPr>
              <w:pStyle w:val="P68B1DB1-Normal11"/>
              <w:jc w:val="center"/>
              <w:rPr>
                <w:noProof/>
              </w:rPr>
            </w:pPr>
            <w:r>
              <w:rPr>
                <w:noProof/>
              </w:rPr>
              <w:t>Инвестиция 2.1: ВПОИ</w:t>
            </w:r>
          </w:p>
        </w:tc>
        <w:tc>
          <w:tcPr>
            <w:tcW w:w="1132" w:type="dxa"/>
            <w:shd w:val="clear" w:color="auto" w:fill="C6EFCE"/>
            <w:noWrap/>
            <w:vAlign w:val="center"/>
            <w:hideMark/>
          </w:tcPr>
          <w:p w14:paraId="7C988CC9" w14:textId="77777777" w:rsidR="006054AA" w:rsidRDefault="001F7667">
            <w:pPr>
              <w:pStyle w:val="P68B1DB1-Normal11"/>
              <w:jc w:val="center"/>
              <w:rPr>
                <w:noProof/>
              </w:rPr>
            </w:pPr>
            <w:r>
              <w:rPr>
                <w:noProof/>
              </w:rPr>
              <w:t>Ключов етап</w:t>
            </w:r>
          </w:p>
        </w:tc>
        <w:tc>
          <w:tcPr>
            <w:tcW w:w="1418" w:type="dxa"/>
            <w:shd w:val="clear" w:color="auto" w:fill="C6EFCE"/>
            <w:noWrap/>
            <w:vAlign w:val="center"/>
            <w:hideMark/>
          </w:tcPr>
          <w:p w14:paraId="035DFC5A" w14:textId="77777777" w:rsidR="006054AA" w:rsidRDefault="001F7667">
            <w:pPr>
              <w:pStyle w:val="P68B1DB1-Normal11"/>
              <w:jc w:val="center"/>
              <w:rPr>
                <w:noProof/>
              </w:rPr>
            </w:pPr>
            <w:r>
              <w:rPr>
                <w:noProof/>
              </w:rPr>
              <w:t>Отправяне на покана за изразяване на интерес за идентифициране на националните проекти, включително проекти за микроелектронни ВПОИ</w:t>
            </w:r>
          </w:p>
        </w:tc>
        <w:tc>
          <w:tcPr>
            <w:tcW w:w="1275" w:type="dxa"/>
            <w:shd w:val="clear" w:color="auto" w:fill="C6EFCE"/>
            <w:noWrap/>
            <w:vAlign w:val="center"/>
            <w:hideMark/>
          </w:tcPr>
          <w:p w14:paraId="47A6A997" w14:textId="77777777" w:rsidR="006054AA" w:rsidRDefault="001F7667">
            <w:pPr>
              <w:pStyle w:val="P68B1DB1-Normal11"/>
              <w:jc w:val="center"/>
              <w:rPr>
                <w:noProof/>
              </w:rPr>
            </w:pPr>
            <w:r>
              <w:rPr>
                <w:noProof/>
              </w:rPr>
              <w:t>Поканата за изразяване на интерес се публикува.</w:t>
            </w:r>
          </w:p>
        </w:tc>
        <w:tc>
          <w:tcPr>
            <w:tcW w:w="1134" w:type="dxa"/>
            <w:shd w:val="clear" w:color="auto" w:fill="C6EFCE"/>
            <w:noWrap/>
            <w:vAlign w:val="center"/>
            <w:hideMark/>
          </w:tcPr>
          <w:p w14:paraId="5FC4D5BA"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1D48328A"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75C7962C"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04D8FF1D"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13BFA905" w14:textId="77777777" w:rsidR="006054AA" w:rsidRDefault="001F7667">
            <w:pPr>
              <w:pStyle w:val="P68B1DB1-Normal11"/>
              <w:jc w:val="center"/>
              <w:rPr>
                <w:noProof/>
              </w:rPr>
            </w:pPr>
            <w:r>
              <w:rPr>
                <w:noProof/>
              </w:rPr>
              <w:t>2021</w:t>
            </w:r>
          </w:p>
        </w:tc>
        <w:tc>
          <w:tcPr>
            <w:tcW w:w="3686" w:type="dxa"/>
            <w:shd w:val="clear" w:color="auto" w:fill="C6EFCE"/>
            <w:noWrap/>
            <w:vAlign w:val="center"/>
            <w:hideMark/>
          </w:tcPr>
          <w:p w14:paraId="3AC3E21C" w14:textId="77777777" w:rsidR="006054AA" w:rsidRDefault="001F7667">
            <w:pPr>
              <w:pStyle w:val="P68B1DB1-Normal11"/>
              <w:rPr>
                <w:noProof/>
              </w:rPr>
            </w:pPr>
            <w:r>
              <w:rPr>
                <w:noProof/>
              </w:rPr>
              <w:t>Очаква се проектите по ВПОИ, които ще бъдат подкрепени, да бъдат актуализирани в зависимост от действителния етап на напредък на действащите национални процедури за ВПОИ и етапа на напредък на процедурата за уведомяване за държавна помощ.</w:t>
            </w:r>
          </w:p>
          <w:p w14:paraId="07C615FB" w14:textId="77777777" w:rsidR="006054AA" w:rsidRDefault="001F7667">
            <w:pPr>
              <w:pStyle w:val="P68B1DB1-Normal11"/>
              <w:rPr>
                <w:noProof/>
              </w:rPr>
            </w:pPr>
            <w:r>
              <w:rPr>
                <w:noProof/>
              </w:rPr>
              <w:t>Избраният ВПОИ отчита конкретни промишлени иновативни сектори в съответствие с вече установените европейски вериги за създаване на стойност.</w:t>
            </w:r>
          </w:p>
          <w:p w14:paraId="5545EE70" w14:textId="2F071436" w:rsidR="006054AA" w:rsidRDefault="001F7667">
            <w:pPr>
              <w:pStyle w:val="P68B1DB1-Normal11"/>
              <w:rPr>
                <w:noProof/>
              </w:rPr>
            </w:pPr>
            <w:r>
              <w:rPr>
                <w:noProof/>
              </w:rPr>
              <w:t>Тази намеса включва както вече одобрени ВПОИ, така и бъдещи такива, като например компютърни услуги в облак, здравеопазване, редови материали и киберсигурност.</w:t>
            </w:r>
          </w:p>
          <w:p w14:paraId="76D917A0" w14:textId="77777777" w:rsidR="006054AA" w:rsidRDefault="001F7667">
            <w:pPr>
              <w:pStyle w:val="P68B1DB1-Normal11"/>
              <w:spacing w:before="120" w:after="120"/>
              <w:rPr>
                <w:noProof/>
              </w:rPr>
            </w:pPr>
            <w:r>
              <w:rPr>
                <w:noProof/>
              </w:rPr>
              <w:t>Условията на поканата включват следното:</w:t>
            </w:r>
          </w:p>
          <w:p w14:paraId="016C4645" w14:textId="34B1D365" w:rsidR="006054AA" w:rsidRDefault="001F7667">
            <w:pPr>
              <w:pStyle w:val="P68B1DB1-Normal11"/>
              <w:spacing w:before="120" w:after="120"/>
              <w:rPr>
                <w:noProof/>
              </w:rPr>
            </w:pPr>
            <w:r>
              <w:rPr>
                <w:noProof/>
              </w:rPr>
              <w:t>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съответствие със съответното законодателство на ЕС и национално законодателство в областта на околната среда.</w:t>
            </w:r>
          </w:p>
          <w:p w14:paraId="31D08355" w14:textId="77777777" w:rsidR="006054AA" w:rsidRDefault="001F7667">
            <w:pPr>
              <w:pStyle w:val="P68B1DB1-paragraph25"/>
              <w:spacing w:before="0" w:beforeAutospacing="0" w:after="0" w:afterAutospacing="0"/>
              <w:textAlignment w:val="baseline"/>
              <w:rPr>
                <w:noProof/>
              </w:rPr>
            </w:pPr>
            <w:r>
              <w:rPr>
                <w:noProof/>
              </w:rPr>
              <w:t>ангажимент, че приносът на инвестицията в областта на климата съгласно методиката в приложение VI към Регламент (ЕС) 2021/241 трябва да представлява най-малко 40 % от общите разходи за инвестицията, подкрепена от МВУ.</w:t>
            </w:r>
          </w:p>
          <w:p w14:paraId="274B2B8C" w14:textId="77777777" w:rsidR="006054AA" w:rsidRDefault="001F7667">
            <w:pPr>
              <w:pStyle w:val="P68B1DB1-Normal11"/>
              <w:rPr>
                <w:noProof/>
              </w:rPr>
            </w:pPr>
            <w:r>
              <w:rPr>
                <w:noProof/>
              </w:rPr>
              <w:t>ангажимент, че цифровият принос на инвестицията съгласно методиката в приложение VII към Регламент (ЕС) 2021/241 трябва да представлява най-малко 60 % от общите разходи за инвестицията, подкрепена от МВУ.</w:t>
            </w:r>
          </w:p>
          <w:p w14:paraId="09D26CC5" w14:textId="77777777" w:rsidR="006054AA" w:rsidRDefault="001F7667">
            <w:pPr>
              <w:pStyle w:val="P68B1DB1-Normal11"/>
              <w:spacing w:before="120" w:after="120"/>
              <w:rPr>
                <w:noProof/>
              </w:rPr>
            </w:pPr>
            <w:r>
              <w:rPr>
                <w:noProof/>
              </w:rPr>
              <w:t>ангажимент за докладване относно изпълнението на мярката в средата на жизнения цикъл на схемата и в края на схемата.</w:t>
            </w:r>
          </w:p>
        </w:tc>
      </w:tr>
      <w:tr w:rsidR="006054AA" w14:paraId="5855ABEB" w14:textId="77777777">
        <w:trPr>
          <w:trHeight w:val="313"/>
        </w:trPr>
        <w:tc>
          <w:tcPr>
            <w:tcW w:w="1135" w:type="dxa"/>
            <w:shd w:val="clear" w:color="auto" w:fill="C6EFCE"/>
            <w:noWrap/>
            <w:vAlign w:val="center"/>
            <w:hideMark/>
          </w:tcPr>
          <w:p w14:paraId="64984887" w14:textId="77777777" w:rsidR="006054AA" w:rsidRDefault="001F7667">
            <w:pPr>
              <w:pStyle w:val="P68B1DB1-Normal11"/>
              <w:jc w:val="center"/>
              <w:rPr>
                <w:noProof/>
              </w:rPr>
            </w:pPr>
            <w:r>
              <w:rPr>
                <w:noProof/>
              </w:rPr>
              <w:t>M4C2—11</w:t>
            </w:r>
          </w:p>
        </w:tc>
        <w:tc>
          <w:tcPr>
            <w:tcW w:w="1419" w:type="dxa"/>
            <w:shd w:val="clear" w:color="auto" w:fill="C6EFCE"/>
            <w:noWrap/>
            <w:vAlign w:val="center"/>
            <w:hideMark/>
          </w:tcPr>
          <w:p w14:paraId="04756724" w14:textId="754D541A" w:rsidR="006054AA" w:rsidRDefault="001F7667">
            <w:pPr>
              <w:pStyle w:val="P68B1DB1-Normal11"/>
              <w:jc w:val="center"/>
              <w:rPr>
                <w:noProof/>
              </w:rPr>
            </w:pPr>
            <w:r>
              <w:rPr>
                <w:noProof/>
              </w:rPr>
              <w:t>Инвестиция 2.1: ВПОИ</w:t>
            </w:r>
          </w:p>
        </w:tc>
        <w:tc>
          <w:tcPr>
            <w:tcW w:w="1132" w:type="dxa"/>
            <w:shd w:val="clear" w:color="auto" w:fill="C6EFCE"/>
            <w:noWrap/>
            <w:vAlign w:val="center"/>
            <w:hideMark/>
          </w:tcPr>
          <w:p w14:paraId="28077E8B" w14:textId="599AE9B9" w:rsidR="006054AA" w:rsidRDefault="001F7667">
            <w:pPr>
              <w:pStyle w:val="P68B1DB1-Normal11"/>
              <w:jc w:val="center"/>
              <w:rPr>
                <w:noProof/>
              </w:rPr>
            </w:pPr>
            <w:r>
              <w:rPr>
                <w:noProof/>
              </w:rPr>
              <w:t>Ключов етап</w:t>
            </w:r>
          </w:p>
        </w:tc>
        <w:tc>
          <w:tcPr>
            <w:tcW w:w="1418" w:type="dxa"/>
            <w:shd w:val="clear" w:color="auto" w:fill="C6EFCE"/>
            <w:noWrap/>
            <w:vAlign w:val="center"/>
            <w:hideMark/>
          </w:tcPr>
          <w:p w14:paraId="428E5863" w14:textId="77777777" w:rsidR="006054AA" w:rsidRDefault="001F7667">
            <w:pPr>
              <w:pStyle w:val="P68B1DB1-Normal11"/>
              <w:jc w:val="center"/>
              <w:rPr>
                <w:noProof/>
              </w:rPr>
            </w:pPr>
            <w:r>
              <w:rPr>
                <w:noProof/>
              </w:rPr>
              <w:t>Влизане в сила на национален правен акт за разпределяне на необходимото финансиране за предоставяне на подкрепа на участниците в проектите.</w:t>
            </w:r>
          </w:p>
        </w:tc>
        <w:tc>
          <w:tcPr>
            <w:tcW w:w="1275" w:type="dxa"/>
            <w:shd w:val="clear" w:color="auto" w:fill="C6EFCE"/>
            <w:noWrap/>
            <w:vAlign w:val="center"/>
            <w:hideMark/>
          </w:tcPr>
          <w:p w14:paraId="69E1A926" w14:textId="77777777" w:rsidR="006054AA" w:rsidRDefault="001F7667">
            <w:pPr>
              <w:pStyle w:val="P68B1DB1-Normal11"/>
              <w:jc w:val="center"/>
              <w:rPr>
                <w:noProof/>
              </w:rPr>
            </w:pPr>
            <w:r>
              <w:rPr>
                <w:noProof/>
              </w:rPr>
              <w:t>Разпоредба в националния закон, указваща влизането в сила на акта</w:t>
            </w:r>
          </w:p>
        </w:tc>
        <w:tc>
          <w:tcPr>
            <w:tcW w:w="1134" w:type="dxa"/>
            <w:shd w:val="clear" w:color="auto" w:fill="C6EFCE"/>
            <w:noWrap/>
            <w:vAlign w:val="center"/>
            <w:hideMark/>
          </w:tcPr>
          <w:p w14:paraId="1123192F"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0A89D5A7"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64D61645"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04215486"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0DB44B09" w14:textId="77777777" w:rsidR="006054AA" w:rsidRDefault="001F7667">
            <w:pPr>
              <w:pStyle w:val="P68B1DB1-Normal11"/>
              <w:jc w:val="center"/>
              <w:rPr>
                <w:noProof/>
              </w:rPr>
            </w:pPr>
            <w:r>
              <w:rPr>
                <w:noProof/>
              </w:rPr>
              <w:t>2022</w:t>
            </w:r>
          </w:p>
        </w:tc>
        <w:tc>
          <w:tcPr>
            <w:tcW w:w="3686" w:type="dxa"/>
            <w:shd w:val="clear" w:color="auto" w:fill="C6EFCE"/>
            <w:noWrap/>
            <w:vAlign w:val="center"/>
            <w:hideMark/>
          </w:tcPr>
          <w:p w14:paraId="58AF4E24" w14:textId="77777777" w:rsidR="006054AA" w:rsidRDefault="001F7667">
            <w:pPr>
              <w:pStyle w:val="P68B1DB1-Normal11"/>
              <w:rPr>
                <w:noProof/>
              </w:rPr>
            </w:pPr>
            <w:r>
              <w:rPr>
                <w:noProof/>
              </w:rPr>
              <w:t>В националния правен акт се посочват процедурите и сроковете за представяне на проектите, както и изискванията за достъп на потенциалните бенефициери.</w:t>
            </w:r>
          </w:p>
        </w:tc>
      </w:tr>
      <w:tr w:rsidR="006054AA" w14:paraId="2F4580A0" w14:textId="77777777">
        <w:trPr>
          <w:trHeight w:val="313"/>
        </w:trPr>
        <w:tc>
          <w:tcPr>
            <w:tcW w:w="1135" w:type="dxa"/>
            <w:shd w:val="clear" w:color="auto" w:fill="C6EFCE"/>
            <w:noWrap/>
            <w:vAlign w:val="center"/>
            <w:hideMark/>
          </w:tcPr>
          <w:p w14:paraId="69B14556" w14:textId="77777777" w:rsidR="006054AA" w:rsidRDefault="001F7667">
            <w:pPr>
              <w:pStyle w:val="P68B1DB1-Normal11"/>
              <w:jc w:val="center"/>
              <w:rPr>
                <w:noProof/>
              </w:rPr>
            </w:pPr>
            <w:r>
              <w:rPr>
                <w:noProof/>
              </w:rPr>
              <w:t>M4C2—12</w:t>
            </w:r>
          </w:p>
        </w:tc>
        <w:tc>
          <w:tcPr>
            <w:tcW w:w="1419" w:type="dxa"/>
            <w:shd w:val="clear" w:color="auto" w:fill="C6EFCE"/>
            <w:noWrap/>
            <w:vAlign w:val="center"/>
            <w:hideMark/>
          </w:tcPr>
          <w:p w14:paraId="50BDF4D2" w14:textId="77777777" w:rsidR="006054AA" w:rsidRDefault="001F7667">
            <w:pPr>
              <w:pStyle w:val="P68B1DB1-Normal11"/>
              <w:jc w:val="center"/>
              <w:rPr>
                <w:noProof/>
              </w:rPr>
            </w:pPr>
            <w:r>
              <w:rPr>
                <w:noProof/>
              </w:rPr>
              <w:t>Инвестиция 2.1: ВПОИ</w:t>
            </w:r>
          </w:p>
        </w:tc>
        <w:tc>
          <w:tcPr>
            <w:tcW w:w="1132" w:type="dxa"/>
            <w:shd w:val="clear" w:color="auto" w:fill="C6EFCE"/>
            <w:noWrap/>
            <w:vAlign w:val="center"/>
            <w:hideMark/>
          </w:tcPr>
          <w:p w14:paraId="2265EA71" w14:textId="77777777" w:rsidR="006054AA" w:rsidRDefault="001F7667">
            <w:pPr>
              <w:pStyle w:val="P68B1DB1-Normal11"/>
              <w:jc w:val="center"/>
              <w:rPr>
                <w:noProof/>
              </w:rPr>
            </w:pPr>
            <w:r>
              <w:rPr>
                <w:noProof/>
              </w:rPr>
              <w:t>Ключов етап</w:t>
            </w:r>
          </w:p>
        </w:tc>
        <w:tc>
          <w:tcPr>
            <w:tcW w:w="1418" w:type="dxa"/>
            <w:shd w:val="clear" w:color="auto" w:fill="C6EFCE"/>
            <w:noWrap/>
            <w:vAlign w:val="center"/>
            <w:hideMark/>
          </w:tcPr>
          <w:p w14:paraId="3ADFB5D6" w14:textId="77777777" w:rsidR="006054AA" w:rsidRDefault="001F7667">
            <w:pPr>
              <w:pStyle w:val="P68B1DB1-Normal11"/>
              <w:jc w:val="center"/>
              <w:rPr>
                <w:noProof/>
              </w:rPr>
            </w:pPr>
            <w:r>
              <w:rPr>
                <w:noProof/>
              </w:rPr>
              <w:t>Списъкът на участниците в проекти по ВПОИ е финализиран до 30/06/2023 г.</w:t>
            </w:r>
          </w:p>
        </w:tc>
        <w:tc>
          <w:tcPr>
            <w:tcW w:w="1275" w:type="dxa"/>
            <w:shd w:val="clear" w:color="auto" w:fill="C6EFCE"/>
            <w:noWrap/>
            <w:vAlign w:val="center"/>
            <w:hideMark/>
          </w:tcPr>
          <w:p w14:paraId="334FA2D7" w14:textId="77777777" w:rsidR="006054AA" w:rsidRDefault="001F7667">
            <w:pPr>
              <w:pStyle w:val="P68B1DB1-Normal11"/>
              <w:jc w:val="center"/>
              <w:rPr>
                <w:noProof/>
              </w:rPr>
            </w:pPr>
            <w:r>
              <w:rPr>
                <w:noProof/>
              </w:rPr>
              <w:t>Публикуване на списъка на участниците</w:t>
            </w:r>
          </w:p>
        </w:tc>
        <w:tc>
          <w:tcPr>
            <w:tcW w:w="1134" w:type="dxa"/>
            <w:shd w:val="clear" w:color="auto" w:fill="C6EFCE"/>
            <w:noWrap/>
            <w:vAlign w:val="center"/>
            <w:hideMark/>
          </w:tcPr>
          <w:p w14:paraId="1126F29E"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1E364914"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239E4827"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0A42C960"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3F342D1C" w14:textId="77777777" w:rsidR="006054AA" w:rsidRDefault="001F7667">
            <w:pPr>
              <w:pStyle w:val="P68B1DB1-Normal11"/>
              <w:jc w:val="center"/>
              <w:rPr>
                <w:noProof/>
              </w:rPr>
            </w:pPr>
            <w:r>
              <w:rPr>
                <w:noProof/>
              </w:rPr>
              <w:t>2023</w:t>
            </w:r>
          </w:p>
        </w:tc>
        <w:tc>
          <w:tcPr>
            <w:tcW w:w="3686" w:type="dxa"/>
            <w:shd w:val="clear" w:color="auto" w:fill="C6EFCE"/>
            <w:noWrap/>
            <w:vAlign w:val="center"/>
            <w:hideMark/>
          </w:tcPr>
          <w:p w14:paraId="4FB35EB7" w14:textId="7DF160A4" w:rsidR="006054AA" w:rsidRDefault="001F7667">
            <w:pPr>
              <w:pStyle w:val="P68B1DB1-Normal11"/>
              <w:rPr>
                <w:noProof/>
              </w:rPr>
            </w:pPr>
            <w:r>
              <w:rPr>
                <w:noProof/>
              </w:rPr>
              <w:t>Списъкът включва допуснатите субекти, участващи в проектите по ВПОИ, след проверките и оценките на представените проекти, които се извършват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съответните европейски и национални екологични изисквания.</w:t>
            </w:r>
          </w:p>
        </w:tc>
      </w:tr>
      <w:tr w:rsidR="006054AA" w14:paraId="3BB2934E" w14:textId="77777777">
        <w:trPr>
          <w:trHeight w:val="313"/>
        </w:trPr>
        <w:tc>
          <w:tcPr>
            <w:tcW w:w="1135" w:type="dxa"/>
            <w:shd w:val="clear" w:color="auto" w:fill="C6EFCE"/>
            <w:noWrap/>
            <w:vAlign w:val="center"/>
            <w:hideMark/>
          </w:tcPr>
          <w:p w14:paraId="1864546B" w14:textId="77777777" w:rsidR="006054AA" w:rsidRDefault="001F7667">
            <w:pPr>
              <w:pStyle w:val="P68B1DB1-Normal11"/>
              <w:jc w:val="center"/>
              <w:rPr>
                <w:noProof/>
              </w:rPr>
            </w:pPr>
            <w:r>
              <w:rPr>
                <w:noProof/>
              </w:rPr>
              <w:t>M4C2—13</w:t>
            </w:r>
          </w:p>
        </w:tc>
        <w:tc>
          <w:tcPr>
            <w:tcW w:w="1419" w:type="dxa"/>
            <w:shd w:val="clear" w:color="auto" w:fill="C6EFCE"/>
            <w:noWrap/>
            <w:vAlign w:val="center"/>
            <w:hideMark/>
          </w:tcPr>
          <w:p w14:paraId="5C073BA0" w14:textId="77777777" w:rsidR="006054AA" w:rsidRDefault="001F7667">
            <w:pPr>
              <w:pStyle w:val="P68B1DB1-Normal11"/>
              <w:jc w:val="center"/>
              <w:rPr>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tc>
        <w:tc>
          <w:tcPr>
            <w:tcW w:w="1132" w:type="dxa"/>
            <w:shd w:val="clear" w:color="auto" w:fill="C6EFCE"/>
            <w:noWrap/>
            <w:vAlign w:val="center"/>
            <w:hideMark/>
          </w:tcPr>
          <w:p w14:paraId="1C875027"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0E1AB8A5" w14:textId="77777777" w:rsidR="006054AA" w:rsidRDefault="001F7667">
            <w:pPr>
              <w:pStyle w:val="P68B1DB1-Normal11"/>
              <w:jc w:val="center"/>
              <w:rPr>
                <w:noProof/>
              </w:rPr>
            </w:pPr>
            <w:r>
              <w:rPr>
                <w:noProof/>
              </w:rPr>
              <w:t>Брой на новите центрове, които ще бъдат създадени</w:t>
            </w:r>
          </w:p>
        </w:tc>
        <w:tc>
          <w:tcPr>
            <w:tcW w:w="1275" w:type="dxa"/>
            <w:shd w:val="clear" w:color="auto" w:fill="C6EFCE"/>
            <w:noWrap/>
            <w:vAlign w:val="center"/>
            <w:hideMark/>
          </w:tcPr>
          <w:p w14:paraId="322A4891"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1B2EA61D" w14:textId="77777777" w:rsidR="006054AA" w:rsidRDefault="001F7667">
            <w:pPr>
              <w:pStyle w:val="P68B1DB1-Normal11"/>
              <w:jc w:val="center"/>
              <w:rPr>
                <w:noProof/>
              </w:rPr>
            </w:pPr>
            <w:r>
              <w:rPr>
                <w:noProof/>
              </w:rPr>
              <w:t>Брой</w:t>
            </w:r>
          </w:p>
        </w:tc>
        <w:tc>
          <w:tcPr>
            <w:tcW w:w="993" w:type="dxa"/>
            <w:shd w:val="clear" w:color="auto" w:fill="C6EFCE"/>
            <w:noWrap/>
            <w:vAlign w:val="center"/>
            <w:hideMark/>
          </w:tcPr>
          <w:p w14:paraId="67A76C4B" w14:textId="77777777" w:rsidR="006054AA" w:rsidRDefault="001F7667">
            <w:pPr>
              <w:pStyle w:val="P68B1DB1-Normal11"/>
              <w:jc w:val="center"/>
              <w:rPr>
                <w:noProof/>
              </w:rPr>
            </w:pPr>
            <w:r>
              <w:rPr>
                <w:noProof/>
              </w:rPr>
              <w:t>8</w:t>
            </w:r>
          </w:p>
        </w:tc>
        <w:tc>
          <w:tcPr>
            <w:tcW w:w="1275" w:type="dxa"/>
            <w:shd w:val="clear" w:color="auto" w:fill="C6EFCE"/>
            <w:noWrap/>
            <w:vAlign w:val="center"/>
            <w:hideMark/>
          </w:tcPr>
          <w:p w14:paraId="1CF25735" w14:textId="77777777" w:rsidR="006054AA" w:rsidRDefault="001F7667">
            <w:pPr>
              <w:pStyle w:val="P68B1DB1-Normal11"/>
              <w:jc w:val="center"/>
              <w:rPr>
                <w:noProof/>
              </w:rPr>
            </w:pPr>
            <w:r>
              <w:rPr>
                <w:noProof/>
              </w:rPr>
              <w:t>35</w:t>
            </w:r>
          </w:p>
        </w:tc>
        <w:tc>
          <w:tcPr>
            <w:tcW w:w="993" w:type="dxa"/>
            <w:shd w:val="clear" w:color="auto" w:fill="C6EFCE"/>
            <w:noWrap/>
            <w:vAlign w:val="center"/>
            <w:hideMark/>
          </w:tcPr>
          <w:p w14:paraId="18085D8E" w14:textId="77777777" w:rsidR="006054AA" w:rsidRDefault="001F7667">
            <w:pPr>
              <w:pStyle w:val="P68B1DB1-Normal11"/>
              <w:jc w:val="center"/>
              <w:rPr>
                <w:noProof/>
              </w:rPr>
            </w:pPr>
            <w:r>
              <w:rPr>
                <w:noProof/>
              </w:rPr>
              <w:t>Т4 Г.</w:t>
            </w:r>
          </w:p>
        </w:tc>
        <w:tc>
          <w:tcPr>
            <w:tcW w:w="708" w:type="dxa"/>
            <w:shd w:val="clear" w:color="auto" w:fill="C6EFCE"/>
            <w:noWrap/>
            <w:vAlign w:val="center"/>
            <w:hideMark/>
          </w:tcPr>
          <w:p w14:paraId="13F9C723" w14:textId="77777777" w:rsidR="006054AA" w:rsidRDefault="001F7667">
            <w:pPr>
              <w:pStyle w:val="P68B1DB1-Normal11"/>
              <w:jc w:val="center"/>
              <w:rPr>
                <w:noProof/>
              </w:rPr>
            </w:pPr>
            <w:r>
              <w:rPr>
                <w:noProof/>
              </w:rPr>
              <w:t>2025</w:t>
            </w:r>
          </w:p>
        </w:tc>
        <w:tc>
          <w:tcPr>
            <w:tcW w:w="3686" w:type="dxa"/>
            <w:shd w:val="clear" w:color="auto" w:fill="C6EFCE"/>
            <w:noWrap/>
            <w:vAlign w:val="center"/>
            <w:hideMark/>
          </w:tcPr>
          <w:p w14:paraId="7059462E" w14:textId="25078FD4" w:rsidR="006054AA" w:rsidRDefault="001F7667">
            <w:pPr>
              <w:pStyle w:val="P68B1DB1-Normal11"/>
              <w:rPr>
                <w:noProof/>
              </w:rPr>
            </w:pPr>
            <w:r>
              <w:rPr>
                <w:noProof/>
              </w:rPr>
              <w:t xml:space="preserve">Въвеждане в експлоатация на 27 нови центъра в рамките на първата линия на намеса по мярката.  </w:t>
            </w:r>
          </w:p>
          <w:p w14:paraId="2BE642F5" w14:textId="5E6991BD" w:rsidR="006054AA" w:rsidRDefault="001F7667">
            <w:pPr>
              <w:pStyle w:val="P68B1DB1-Normal11"/>
              <w:rPr>
                <w:noProof/>
              </w:rPr>
            </w:pPr>
            <w:r>
              <w:rPr>
                <w:noProof/>
              </w:rPr>
              <w:t>Целта е съсредоточена върху три вида центрове:</w:t>
            </w:r>
          </w:p>
          <w:p w14:paraId="3BA36860" w14:textId="77777777" w:rsidR="006054AA" w:rsidRDefault="001F7667">
            <w:pPr>
              <w:pStyle w:val="P68B1DB1-ListParagraph13"/>
              <w:numPr>
                <w:ilvl w:val="0"/>
                <w:numId w:val="50"/>
              </w:numPr>
              <w:jc w:val="left"/>
              <w:rPr>
                <w:noProof/>
              </w:rPr>
            </w:pPr>
            <w:r>
              <w:rPr>
                <w:noProof/>
              </w:rPr>
              <w:t>Специализирани експертни центрове</w:t>
            </w:r>
          </w:p>
          <w:p w14:paraId="06E80DA2" w14:textId="77777777" w:rsidR="006054AA" w:rsidRDefault="001F7667">
            <w:pPr>
              <w:pStyle w:val="P68B1DB1-ListParagraph13"/>
              <w:numPr>
                <w:ilvl w:val="0"/>
                <w:numId w:val="50"/>
              </w:numPr>
              <w:jc w:val="left"/>
              <w:rPr>
                <w:noProof/>
              </w:rPr>
            </w:pPr>
            <w:r>
              <w:rPr>
                <w:noProof/>
              </w:rPr>
              <w:t>Печат за високи постижения</w:t>
            </w:r>
          </w:p>
          <w:p w14:paraId="0F5FC2C4" w14:textId="77777777" w:rsidR="006054AA" w:rsidRDefault="001F7667">
            <w:pPr>
              <w:pStyle w:val="P68B1DB1-ListParagraph13"/>
              <w:numPr>
                <w:ilvl w:val="0"/>
                <w:numId w:val="50"/>
              </w:numPr>
              <w:jc w:val="left"/>
              <w:rPr>
                <w:noProof/>
              </w:rPr>
            </w:pPr>
            <w:r>
              <w:rPr>
                <w:noProof/>
              </w:rPr>
              <w:t>Мрежа от центрове за иновации на място.</w:t>
            </w:r>
          </w:p>
          <w:p w14:paraId="67BF948B" w14:textId="77777777" w:rsidR="006054AA" w:rsidRDefault="006054AA">
            <w:pPr>
              <w:jc w:val="both"/>
              <w:rPr>
                <w:rFonts w:ascii="Arial Narrow" w:hAnsi="Arial Narrow"/>
                <w:noProof/>
                <w:color w:val="006100"/>
                <w:sz w:val="20"/>
              </w:rPr>
            </w:pPr>
          </w:p>
        </w:tc>
      </w:tr>
      <w:tr w:rsidR="006054AA" w14:paraId="3ACB71A9" w14:textId="77777777">
        <w:trPr>
          <w:trHeight w:val="313"/>
        </w:trPr>
        <w:tc>
          <w:tcPr>
            <w:tcW w:w="1135" w:type="dxa"/>
            <w:shd w:val="clear" w:color="auto" w:fill="C6EFCE"/>
            <w:noWrap/>
            <w:vAlign w:val="center"/>
            <w:hideMark/>
          </w:tcPr>
          <w:p w14:paraId="4CC9E603" w14:textId="77777777" w:rsidR="006054AA" w:rsidRDefault="001F7667">
            <w:pPr>
              <w:pStyle w:val="P68B1DB1-Normal11"/>
              <w:jc w:val="center"/>
              <w:rPr>
                <w:noProof/>
              </w:rPr>
            </w:pPr>
            <w:r>
              <w:rPr>
                <w:noProof/>
              </w:rPr>
              <w:t>M4C2—14</w:t>
            </w:r>
          </w:p>
        </w:tc>
        <w:tc>
          <w:tcPr>
            <w:tcW w:w="1419" w:type="dxa"/>
            <w:shd w:val="clear" w:color="auto" w:fill="C6EFCE"/>
            <w:noWrap/>
            <w:vAlign w:val="center"/>
            <w:hideMark/>
          </w:tcPr>
          <w:p w14:paraId="7889D049" w14:textId="77777777" w:rsidR="006054AA" w:rsidRDefault="001F7667">
            <w:pPr>
              <w:pStyle w:val="P68B1DB1-Normal11"/>
              <w:jc w:val="center"/>
              <w:rPr>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tc>
        <w:tc>
          <w:tcPr>
            <w:tcW w:w="1132" w:type="dxa"/>
            <w:shd w:val="clear" w:color="auto" w:fill="C6EFCE"/>
            <w:noWrap/>
            <w:vAlign w:val="center"/>
            <w:hideMark/>
          </w:tcPr>
          <w:p w14:paraId="5A08807F"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29BDF575" w14:textId="5BE0A382" w:rsidR="006054AA" w:rsidRDefault="001F7667">
            <w:pPr>
              <w:pStyle w:val="P68B1DB1-Normal11"/>
              <w:jc w:val="center"/>
              <w:rPr>
                <w:noProof/>
              </w:rPr>
            </w:pPr>
            <w:r>
              <w:rPr>
                <w:noProof/>
              </w:rPr>
              <w:t>Изплащане на финансова стойност от 307 000 000 EUR</w:t>
            </w:r>
          </w:p>
        </w:tc>
        <w:tc>
          <w:tcPr>
            <w:tcW w:w="1275" w:type="dxa"/>
            <w:shd w:val="clear" w:color="auto" w:fill="C6EFCE"/>
            <w:noWrap/>
            <w:vAlign w:val="center"/>
            <w:hideMark/>
          </w:tcPr>
          <w:p w14:paraId="777E569A"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44CD4EA0" w14:textId="77777777" w:rsidR="006054AA" w:rsidRDefault="001F7667">
            <w:pPr>
              <w:pStyle w:val="P68B1DB1-Normal11"/>
              <w:jc w:val="center"/>
              <w:rPr>
                <w:noProof/>
              </w:rPr>
            </w:pPr>
            <w:r>
              <w:rPr>
                <w:noProof/>
              </w:rPr>
              <w:t>ЕВРО</w:t>
            </w:r>
          </w:p>
        </w:tc>
        <w:tc>
          <w:tcPr>
            <w:tcW w:w="993" w:type="dxa"/>
            <w:shd w:val="clear" w:color="auto" w:fill="C6EFCE"/>
            <w:noWrap/>
            <w:vAlign w:val="center"/>
            <w:hideMark/>
          </w:tcPr>
          <w:p w14:paraId="134E338F" w14:textId="77777777" w:rsidR="006054AA" w:rsidRDefault="001F7667">
            <w:pPr>
              <w:pStyle w:val="P68B1DB1-Normal11"/>
              <w:jc w:val="center"/>
              <w:rPr>
                <w:noProof/>
              </w:rPr>
            </w:pPr>
            <w:r>
              <w:rPr>
                <w:noProof/>
              </w:rPr>
              <w:t>0</w:t>
            </w:r>
          </w:p>
        </w:tc>
        <w:tc>
          <w:tcPr>
            <w:tcW w:w="1275" w:type="dxa"/>
            <w:shd w:val="clear" w:color="auto" w:fill="C6EFCE"/>
            <w:noWrap/>
            <w:vAlign w:val="center"/>
            <w:hideMark/>
          </w:tcPr>
          <w:p w14:paraId="3A1CA9D9" w14:textId="7E8E47AF" w:rsidR="006054AA" w:rsidRDefault="001F7667">
            <w:pPr>
              <w:pStyle w:val="P68B1DB1-Normal11"/>
              <w:jc w:val="center"/>
              <w:rPr>
                <w:noProof/>
              </w:rPr>
            </w:pPr>
            <w:r>
              <w:rPr>
                <w:noProof/>
              </w:rPr>
              <w:t>307 000 000</w:t>
            </w:r>
          </w:p>
        </w:tc>
        <w:tc>
          <w:tcPr>
            <w:tcW w:w="993" w:type="dxa"/>
            <w:shd w:val="clear" w:color="auto" w:fill="C6EFCE"/>
            <w:noWrap/>
            <w:vAlign w:val="center"/>
            <w:hideMark/>
          </w:tcPr>
          <w:p w14:paraId="78ACCCCF"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183A1F62" w14:textId="77777777" w:rsidR="006054AA" w:rsidRDefault="001F7667">
            <w:pPr>
              <w:pStyle w:val="P68B1DB1-Normal11"/>
              <w:jc w:val="center"/>
              <w:rPr>
                <w:noProof/>
              </w:rPr>
            </w:pPr>
            <w:r>
              <w:rPr>
                <w:noProof/>
              </w:rPr>
              <w:t>2026</w:t>
            </w:r>
          </w:p>
        </w:tc>
        <w:tc>
          <w:tcPr>
            <w:tcW w:w="3686" w:type="dxa"/>
            <w:shd w:val="clear" w:color="auto" w:fill="C6EFCE"/>
            <w:noWrap/>
            <w:vAlign w:val="center"/>
            <w:hideMark/>
          </w:tcPr>
          <w:p w14:paraId="08D2A196" w14:textId="040DAA9E" w:rsidR="006054AA" w:rsidRDefault="001F7667">
            <w:pPr>
              <w:pStyle w:val="P68B1DB1-Normal19"/>
              <w:jc w:val="both"/>
              <w:rPr>
                <w:rFonts w:eastAsia="Calibri"/>
                <w:noProof/>
              </w:rPr>
            </w:pPr>
            <w:r>
              <w:rPr>
                <w:noProof/>
              </w:rPr>
              <w:t xml:space="preserve">307 000 000 EUR се отпускат по първия ред на интервенция по мярката за центрове за трансфер на технологии с цел укрепване на националната мрежа и предоставяне на услуги на предприятията.  </w:t>
            </w:r>
          </w:p>
          <w:p w14:paraId="138DA6B3" w14:textId="77777777" w:rsidR="006054AA" w:rsidRDefault="001F7667">
            <w:pPr>
              <w:pStyle w:val="P68B1DB1-Normal11"/>
              <w:spacing w:before="120" w:after="120"/>
              <w:rPr>
                <w:noProof/>
              </w:rPr>
            </w:pPr>
            <w:r>
              <w:rPr>
                <w:noProof/>
              </w:rPr>
              <w:t>Услугите, които трябва да се предоставят, включват:</w:t>
            </w:r>
          </w:p>
          <w:p w14:paraId="3C40E523" w14:textId="77777777" w:rsidR="006054AA" w:rsidRDefault="001F7667">
            <w:pPr>
              <w:pStyle w:val="P68B1DB1-ListParagraph13"/>
              <w:numPr>
                <w:ilvl w:val="0"/>
                <w:numId w:val="49"/>
              </w:numPr>
              <w:jc w:val="left"/>
              <w:rPr>
                <w:noProof/>
              </w:rPr>
            </w:pPr>
            <w:r>
              <w:rPr>
                <w:noProof/>
              </w:rPr>
              <w:t xml:space="preserve">I) Цифрова оценка, ii) преди инвестиране, iii) обучение; </w:t>
            </w:r>
          </w:p>
          <w:p w14:paraId="20A34DD4" w14:textId="77777777" w:rsidR="006054AA" w:rsidRDefault="001F7667">
            <w:pPr>
              <w:pStyle w:val="P68B1DB1-ListParagraph13"/>
              <w:numPr>
                <w:ilvl w:val="0"/>
                <w:numId w:val="49"/>
              </w:numPr>
              <w:jc w:val="left"/>
              <w:rPr>
                <w:noProof/>
              </w:rPr>
            </w:pPr>
            <w:r>
              <w:rPr>
                <w:noProof/>
              </w:rPr>
              <w:t>IV) достъп до финансиране;</w:t>
            </w:r>
          </w:p>
          <w:p w14:paraId="33ED76E3" w14:textId="77777777" w:rsidR="006054AA" w:rsidRDefault="001F7667">
            <w:pPr>
              <w:pStyle w:val="P68B1DB1-ListParagraph13"/>
              <w:numPr>
                <w:ilvl w:val="0"/>
                <w:numId w:val="49"/>
              </w:numPr>
              <w:jc w:val="left"/>
              <w:rPr>
                <w:noProof/>
              </w:rPr>
            </w:pPr>
            <w:r>
              <w:rPr>
                <w:noProof/>
              </w:rPr>
              <w:t xml:space="preserve">финансова и оперативна подкрепа за разработването на иновационни проекти (РТГ над 5); </w:t>
            </w:r>
          </w:p>
          <w:p w14:paraId="37F6B722" w14:textId="77777777" w:rsidR="006054AA" w:rsidRDefault="001F7667">
            <w:pPr>
              <w:pStyle w:val="P68B1DB1-ListParagraph13"/>
              <w:numPr>
                <w:ilvl w:val="0"/>
                <w:numId w:val="49"/>
              </w:numPr>
              <w:jc w:val="left"/>
              <w:rPr>
                <w:noProof/>
              </w:rPr>
            </w:pPr>
            <w:r>
              <w:rPr>
                <w:noProof/>
              </w:rPr>
              <w:t xml:space="preserve">VI) технологично посредничество </w:t>
            </w:r>
          </w:p>
          <w:p w14:paraId="0EDC76EF" w14:textId="77777777" w:rsidR="006054AA" w:rsidRDefault="001F7667">
            <w:pPr>
              <w:pStyle w:val="P68B1DB1-ListParagraph13"/>
              <w:numPr>
                <w:ilvl w:val="0"/>
                <w:numId w:val="49"/>
              </w:numPr>
              <w:jc w:val="left"/>
              <w:rPr>
                <w:noProof/>
              </w:rPr>
            </w:pPr>
            <w:r>
              <w:rPr>
                <w:noProof/>
              </w:rPr>
              <w:t>VII) повишаване на осведомеността на местно равнище.</w:t>
            </w:r>
          </w:p>
        </w:tc>
      </w:tr>
      <w:tr w:rsidR="006054AA" w14:paraId="0B13C822" w14:textId="77777777">
        <w:trPr>
          <w:trHeight w:val="313"/>
        </w:trPr>
        <w:tc>
          <w:tcPr>
            <w:tcW w:w="1135" w:type="dxa"/>
            <w:shd w:val="clear" w:color="auto" w:fill="C6EFCE"/>
            <w:noWrap/>
            <w:vAlign w:val="center"/>
            <w:hideMark/>
          </w:tcPr>
          <w:p w14:paraId="29D43B22" w14:textId="77777777" w:rsidR="006054AA" w:rsidRDefault="001F7667">
            <w:pPr>
              <w:pStyle w:val="P68B1DB1-Normal11"/>
              <w:jc w:val="center"/>
              <w:rPr>
                <w:noProof/>
              </w:rPr>
            </w:pPr>
            <w:r>
              <w:rPr>
                <w:noProof/>
              </w:rPr>
              <w:t>M4C2—15</w:t>
            </w:r>
          </w:p>
        </w:tc>
        <w:tc>
          <w:tcPr>
            <w:tcW w:w="1419" w:type="dxa"/>
            <w:shd w:val="clear" w:color="auto" w:fill="C6EFCE"/>
            <w:noWrap/>
            <w:vAlign w:val="center"/>
            <w:hideMark/>
          </w:tcPr>
          <w:p w14:paraId="4DED5FEB" w14:textId="77777777" w:rsidR="006054AA" w:rsidRDefault="001F7667">
            <w:pPr>
              <w:pStyle w:val="P68B1DB1-Normal11"/>
              <w:jc w:val="center"/>
              <w:rPr>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tc>
        <w:tc>
          <w:tcPr>
            <w:tcW w:w="1132" w:type="dxa"/>
            <w:shd w:val="clear" w:color="auto" w:fill="C6EFCE"/>
            <w:noWrap/>
            <w:vAlign w:val="center"/>
            <w:hideMark/>
          </w:tcPr>
          <w:p w14:paraId="268588AC"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6BD90134" w14:textId="77777777" w:rsidR="006054AA" w:rsidRDefault="001F7667">
            <w:pPr>
              <w:pStyle w:val="P68B1DB1-Normal11"/>
              <w:rPr>
                <w:noProof/>
              </w:rPr>
            </w:pPr>
            <w:r>
              <w:rPr>
                <w:noProof/>
              </w:rPr>
              <w:t>Брой на подпомогнатите МСП</w:t>
            </w:r>
          </w:p>
        </w:tc>
        <w:tc>
          <w:tcPr>
            <w:tcW w:w="1275" w:type="dxa"/>
            <w:shd w:val="clear" w:color="auto" w:fill="C6EFCE"/>
            <w:noWrap/>
            <w:vAlign w:val="center"/>
            <w:hideMark/>
          </w:tcPr>
          <w:p w14:paraId="7F10161B"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272D1181" w14:textId="77777777" w:rsidR="006054AA" w:rsidRDefault="001F7667">
            <w:pPr>
              <w:pStyle w:val="P68B1DB1-Normal11"/>
              <w:jc w:val="center"/>
              <w:rPr>
                <w:noProof/>
              </w:rPr>
            </w:pPr>
            <w:r>
              <w:rPr>
                <w:noProof/>
              </w:rPr>
              <w:t>Брой</w:t>
            </w:r>
          </w:p>
        </w:tc>
        <w:tc>
          <w:tcPr>
            <w:tcW w:w="993" w:type="dxa"/>
            <w:shd w:val="clear" w:color="auto" w:fill="C6EFCE"/>
            <w:noWrap/>
            <w:vAlign w:val="center"/>
            <w:hideMark/>
          </w:tcPr>
          <w:p w14:paraId="7356DD2A" w14:textId="77777777" w:rsidR="006054AA" w:rsidRDefault="001F7667">
            <w:pPr>
              <w:pStyle w:val="P68B1DB1-Normal11"/>
              <w:jc w:val="center"/>
              <w:rPr>
                <w:noProof/>
              </w:rPr>
            </w:pPr>
            <w:r>
              <w:rPr>
                <w:noProof/>
              </w:rPr>
              <w:t>0</w:t>
            </w:r>
          </w:p>
        </w:tc>
        <w:tc>
          <w:tcPr>
            <w:tcW w:w="1275" w:type="dxa"/>
            <w:shd w:val="clear" w:color="auto" w:fill="C6EFCE"/>
            <w:noWrap/>
            <w:vAlign w:val="center"/>
            <w:hideMark/>
          </w:tcPr>
          <w:p w14:paraId="666F83D3" w14:textId="2E256C18" w:rsidR="006054AA" w:rsidRDefault="001F7667">
            <w:pPr>
              <w:pStyle w:val="P68B1DB1-Normal11"/>
              <w:jc w:val="center"/>
              <w:rPr>
                <w:noProof/>
              </w:rPr>
            </w:pPr>
            <w:r>
              <w:rPr>
                <w:noProof/>
              </w:rPr>
              <w:t>5 000</w:t>
            </w:r>
          </w:p>
        </w:tc>
        <w:tc>
          <w:tcPr>
            <w:tcW w:w="993" w:type="dxa"/>
            <w:shd w:val="clear" w:color="auto" w:fill="C6EFCE"/>
            <w:noWrap/>
            <w:vAlign w:val="center"/>
            <w:hideMark/>
          </w:tcPr>
          <w:p w14:paraId="5F212153"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150847AB" w14:textId="77777777" w:rsidR="006054AA" w:rsidRDefault="001F7667">
            <w:pPr>
              <w:pStyle w:val="P68B1DB1-Normal11"/>
              <w:jc w:val="center"/>
              <w:rPr>
                <w:noProof/>
              </w:rPr>
            </w:pPr>
            <w:r>
              <w:rPr>
                <w:noProof/>
              </w:rPr>
              <w:t>2026</w:t>
            </w:r>
          </w:p>
        </w:tc>
        <w:tc>
          <w:tcPr>
            <w:tcW w:w="3686" w:type="dxa"/>
            <w:shd w:val="clear" w:color="auto" w:fill="C6EFCE"/>
            <w:noWrap/>
            <w:vAlign w:val="center"/>
            <w:hideMark/>
          </w:tcPr>
          <w:p w14:paraId="79B22EC7" w14:textId="6CB09169" w:rsidR="006054AA" w:rsidRDefault="001F7667">
            <w:pPr>
              <w:pStyle w:val="P68B1DB1-Normal11"/>
              <w:rPr>
                <w:noProof/>
              </w:rPr>
            </w:pPr>
            <w:r>
              <w:rPr>
                <w:noProof/>
              </w:rPr>
              <w:t>Най-малко 5 000 МСП, подпомагани от национални финансирани центрове (експертни центрове; Печат за високи постижения; Национални цифрови иновационни центрове) в рамките на първата линия на намеса на мярката чрез предоставяне на услуги, които включват:</w:t>
            </w:r>
          </w:p>
          <w:p w14:paraId="141F46C3" w14:textId="77777777" w:rsidR="006054AA" w:rsidRDefault="001F7667">
            <w:pPr>
              <w:pStyle w:val="P68B1DB1-ListParagraph13"/>
              <w:numPr>
                <w:ilvl w:val="0"/>
                <w:numId w:val="55"/>
              </w:numPr>
              <w:spacing w:before="0" w:after="200" w:line="276" w:lineRule="auto"/>
              <w:jc w:val="left"/>
              <w:rPr>
                <w:noProof/>
              </w:rPr>
            </w:pPr>
            <w:r>
              <w:rPr>
                <w:noProof/>
              </w:rPr>
              <w:t xml:space="preserve">Оценяване с помощта на цифровите технологии </w:t>
            </w:r>
          </w:p>
          <w:p w14:paraId="27ABB714" w14:textId="77777777" w:rsidR="006054AA" w:rsidRDefault="001F7667">
            <w:pPr>
              <w:pStyle w:val="P68B1DB1-ListParagraph13"/>
              <w:numPr>
                <w:ilvl w:val="0"/>
                <w:numId w:val="55"/>
              </w:numPr>
              <w:spacing w:before="0" w:after="200" w:line="276" w:lineRule="auto"/>
              <w:jc w:val="left"/>
              <w:rPr>
                <w:noProof/>
              </w:rPr>
            </w:pPr>
            <w:r>
              <w:rPr>
                <w:noProof/>
              </w:rPr>
              <w:t xml:space="preserve">Преди да инвестираме, </w:t>
            </w:r>
          </w:p>
          <w:p w14:paraId="6767003F" w14:textId="77777777" w:rsidR="006054AA" w:rsidRDefault="001F7667">
            <w:pPr>
              <w:pStyle w:val="P68B1DB1-ListParagraph13"/>
              <w:numPr>
                <w:ilvl w:val="0"/>
                <w:numId w:val="55"/>
              </w:numPr>
              <w:spacing w:before="0" w:after="200" w:line="276" w:lineRule="auto"/>
              <w:jc w:val="left"/>
              <w:rPr>
                <w:noProof/>
              </w:rPr>
            </w:pPr>
            <w:r>
              <w:rPr>
                <w:noProof/>
              </w:rPr>
              <w:t xml:space="preserve">обучението; </w:t>
            </w:r>
          </w:p>
          <w:p w14:paraId="6F9DF040" w14:textId="77777777" w:rsidR="006054AA" w:rsidRDefault="001F7667">
            <w:pPr>
              <w:pStyle w:val="P68B1DB1-ListParagraph13"/>
              <w:numPr>
                <w:ilvl w:val="0"/>
                <w:numId w:val="55"/>
              </w:numPr>
              <w:spacing w:before="0" w:after="200" w:line="276" w:lineRule="auto"/>
              <w:jc w:val="left"/>
              <w:rPr>
                <w:noProof/>
              </w:rPr>
            </w:pPr>
            <w:r>
              <w:rPr>
                <w:noProof/>
              </w:rPr>
              <w:t xml:space="preserve">достъп до финансиране; </w:t>
            </w:r>
          </w:p>
          <w:p w14:paraId="7D9AC419" w14:textId="77777777" w:rsidR="006054AA" w:rsidRDefault="001F7667">
            <w:pPr>
              <w:pStyle w:val="P68B1DB1-ListParagraph13"/>
              <w:numPr>
                <w:ilvl w:val="0"/>
                <w:numId w:val="55"/>
              </w:numPr>
              <w:spacing w:before="0" w:after="200" w:line="276" w:lineRule="auto"/>
              <w:jc w:val="left"/>
              <w:rPr>
                <w:noProof/>
              </w:rPr>
            </w:pPr>
            <w:r>
              <w:rPr>
                <w:noProof/>
              </w:rPr>
              <w:t xml:space="preserve">финансова и оперативна подкрепа за разработването на иновационни проекти (РТГ над 5); </w:t>
            </w:r>
          </w:p>
          <w:p w14:paraId="66511825" w14:textId="77777777" w:rsidR="006054AA" w:rsidRDefault="001F7667">
            <w:pPr>
              <w:pStyle w:val="P68B1DB1-ListParagraph13"/>
              <w:numPr>
                <w:ilvl w:val="0"/>
                <w:numId w:val="55"/>
              </w:numPr>
              <w:spacing w:before="0" w:after="200" w:line="276" w:lineRule="auto"/>
              <w:jc w:val="left"/>
              <w:rPr>
                <w:noProof/>
              </w:rPr>
            </w:pPr>
            <w:r>
              <w:rPr>
                <w:noProof/>
              </w:rPr>
              <w:t xml:space="preserve">технологично посредничество </w:t>
            </w:r>
          </w:p>
          <w:p w14:paraId="3FD5E089" w14:textId="5CCF58E6" w:rsidR="006054AA" w:rsidRDefault="001F7667">
            <w:pPr>
              <w:pStyle w:val="P68B1DB1-ListParagraph13"/>
              <w:numPr>
                <w:ilvl w:val="0"/>
                <w:numId w:val="55"/>
              </w:numPr>
              <w:spacing w:before="0" w:after="200" w:line="276" w:lineRule="auto"/>
              <w:jc w:val="left"/>
              <w:rPr>
                <w:noProof/>
              </w:rPr>
            </w:pPr>
            <w:r>
              <w:rPr>
                <w:noProof/>
              </w:rPr>
              <w:t>повишаване на осведомеността на местно равнище.</w:t>
            </w:r>
          </w:p>
        </w:tc>
      </w:tr>
      <w:tr w:rsidR="006054AA" w14:paraId="3E0671CE" w14:textId="77777777">
        <w:trPr>
          <w:trHeight w:val="313"/>
        </w:trPr>
        <w:tc>
          <w:tcPr>
            <w:tcW w:w="1135" w:type="dxa"/>
            <w:shd w:val="clear" w:color="auto" w:fill="C6EFCE"/>
            <w:noWrap/>
            <w:vAlign w:val="center"/>
          </w:tcPr>
          <w:p w14:paraId="10F16418" w14:textId="77777777" w:rsidR="006054AA" w:rsidRDefault="001F7667">
            <w:pPr>
              <w:pStyle w:val="P68B1DB1-Normal11"/>
              <w:jc w:val="center"/>
              <w:rPr>
                <w:noProof/>
              </w:rPr>
            </w:pPr>
            <w:r>
              <w:rPr>
                <w:noProof/>
              </w:rPr>
              <w:t>M4C2—15 bis</w:t>
            </w:r>
          </w:p>
        </w:tc>
        <w:tc>
          <w:tcPr>
            <w:tcW w:w="1419" w:type="dxa"/>
            <w:shd w:val="clear" w:color="auto" w:fill="C6EFCE"/>
            <w:noWrap/>
            <w:vAlign w:val="center"/>
          </w:tcPr>
          <w:p w14:paraId="1799B8D9" w14:textId="77777777" w:rsidR="006054AA" w:rsidRDefault="001F7667">
            <w:pPr>
              <w:pStyle w:val="P68B1DB1-Normal11"/>
              <w:jc w:val="center"/>
              <w:rPr>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tc>
        <w:tc>
          <w:tcPr>
            <w:tcW w:w="1132" w:type="dxa"/>
            <w:shd w:val="clear" w:color="auto" w:fill="C6EFCE"/>
            <w:noWrap/>
            <w:vAlign w:val="center"/>
          </w:tcPr>
          <w:p w14:paraId="7F552549" w14:textId="77777777" w:rsidR="006054AA" w:rsidRDefault="001F7667">
            <w:pPr>
              <w:pStyle w:val="P68B1DB1-Normal11"/>
              <w:jc w:val="center"/>
              <w:rPr>
                <w:noProof/>
              </w:rPr>
            </w:pPr>
            <w:r>
              <w:rPr>
                <w:noProof/>
              </w:rPr>
              <w:t>Ключов етап</w:t>
            </w:r>
          </w:p>
        </w:tc>
        <w:tc>
          <w:tcPr>
            <w:tcW w:w="1418" w:type="dxa"/>
            <w:shd w:val="clear" w:color="auto" w:fill="C6EFCE"/>
            <w:noWrap/>
            <w:vAlign w:val="center"/>
          </w:tcPr>
          <w:p w14:paraId="0084542A" w14:textId="77777777" w:rsidR="006054AA" w:rsidRDefault="001F7667">
            <w:pPr>
              <w:pStyle w:val="P68B1DB1-Normal11"/>
              <w:jc w:val="center"/>
              <w:rPr>
                <w:noProof/>
              </w:rPr>
            </w:pPr>
            <w:r>
              <w:rPr>
                <w:noProof/>
              </w:rPr>
              <w:t>Приключване на работните пакети на EDIH и TEF</w:t>
            </w:r>
          </w:p>
        </w:tc>
        <w:tc>
          <w:tcPr>
            <w:tcW w:w="1275" w:type="dxa"/>
            <w:shd w:val="clear" w:color="auto" w:fill="C6EFCE"/>
            <w:noWrap/>
            <w:vAlign w:val="center"/>
          </w:tcPr>
          <w:p w14:paraId="6F9D7F6F" w14:textId="77777777" w:rsidR="006054AA" w:rsidRDefault="001F7667">
            <w:pPr>
              <w:pStyle w:val="P68B1DB1-Normal11"/>
              <w:jc w:val="center"/>
              <w:rPr>
                <w:noProof/>
              </w:rPr>
            </w:pPr>
            <w:r>
              <w:rPr>
                <w:noProof/>
              </w:rPr>
              <w:t>Завършени работни пакети на Европейския център за цифрови иновации (EDIH) и съоръженията за изпитване и експериментиране (TEF)</w:t>
            </w:r>
          </w:p>
        </w:tc>
        <w:tc>
          <w:tcPr>
            <w:tcW w:w="1134" w:type="dxa"/>
            <w:shd w:val="clear" w:color="auto" w:fill="C6EFCE"/>
            <w:noWrap/>
            <w:vAlign w:val="center"/>
          </w:tcPr>
          <w:p w14:paraId="082EBDAA" w14:textId="77777777" w:rsidR="006054AA" w:rsidRDefault="001F7667">
            <w:pPr>
              <w:pStyle w:val="P68B1DB1-Normal11"/>
              <w:jc w:val="center"/>
              <w:rPr>
                <w:noProof/>
              </w:rPr>
            </w:pPr>
            <w:r>
              <w:rPr>
                <w:noProof/>
              </w:rPr>
              <w:t>НЯМА</w:t>
            </w:r>
          </w:p>
        </w:tc>
        <w:tc>
          <w:tcPr>
            <w:tcW w:w="993" w:type="dxa"/>
            <w:shd w:val="clear" w:color="auto" w:fill="C6EFCE"/>
            <w:noWrap/>
            <w:vAlign w:val="center"/>
          </w:tcPr>
          <w:p w14:paraId="042ED6D6" w14:textId="77777777" w:rsidR="006054AA" w:rsidRDefault="001F7667">
            <w:pPr>
              <w:pStyle w:val="P68B1DB1-Normal11"/>
              <w:jc w:val="center"/>
              <w:rPr>
                <w:noProof/>
              </w:rPr>
            </w:pPr>
            <w:r>
              <w:rPr>
                <w:noProof/>
              </w:rPr>
              <w:t>НЯМА</w:t>
            </w:r>
          </w:p>
        </w:tc>
        <w:tc>
          <w:tcPr>
            <w:tcW w:w="1275" w:type="dxa"/>
            <w:shd w:val="clear" w:color="auto" w:fill="C6EFCE"/>
            <w:noWrap/>
            <w:vAlign w:val="center"/>
          </w:tcPr>
          <w:p w14:paraId="13F48C70" w14:textId="77777777" w:rsidR="006054AA" w:rsidRDefault="001F7667">
            <w:pPr>
              <w:pStyle w:val="P68B1DB1-Normal11"/>
              <w:jc w:val="center"/>
              <w:rPr>
                <w:noProof/>
              </w:rPr>
            </w:pPr>
            <w:r>
              <w:rPr>
                <w:noProof/>
              </w:rPr>
              <w:t>НЯМА</w:t>
            </w:r>
          </w:p>
        </w:tc>
        <w:tc>
          <w:tcPr>
            <w:tcW w:w="993" w:type="dxa"/>
            <w:shd w:val="clear" w:color="auto" w:fill="C6EFCE"/>
            <w:noWrap/>
            <w:vAlign w:val="center"/>
          </w:tcPr>
          <w:p w14:paraId="27BC5D1C" w14:textId="77777777" w:rsidR="006054AA" w:rsidRDefault="001F7667">
            <w:pPr>
              <w:pStyle w:val="P68B1DB1-Normal11"/>
              <w:jc w:val="center"/>
              <w:rPr>
                <w:noProof/>
              </w:rPr>
            </w:pPr>
            <w:r>
              <w:rPr>
                <w:noProof/>
              </w:rPr>
              <w:t>Т2 Г.</w:t>
            </w:r>
          </w:p>
        </w:tc>
        <w:tc>
          <w:tcPr>
            <w:tcW w:w="708" w:type="dxa"/>
            <w:shd w:val="clear" w:color="auto" w:fill="C6EFCE"/>
            <w:noWrap/>
            <w:vAlign w:val="center"/>
          </w:tcPr>
          <w:p w14:paraId="004CCC66" w14:textId="77777777" w:rsidR="006054AA" w:rsidRDefault="001F7667">
            <w:pPr>
              <w:pStyle w:val="P68B1DB1-Normal11"/>
              <w:jc w:val="center"/>
              <w:rPr>
                <w:noProof/>
              </w:rPr>
            </w:pPr>
            <w:r>
              <w:rPr>
                <w:noProof/>
              </w:rPr>
              <w:t>2026</w:t>
            </w:r>
          </w:p>
        </w:tc>
        <w:tc>
          <w:tcPr>
            <w:tcW w:w="3686" w:type="dxa"/>
            <w:shd w:val="clear" w:color="auto" w:fill="C6EFCE"/>
            <w:noWrap/>
            <w:vAlign w:val="center"/>
          </w:tcPr>
          <w:p w14:paraId="1D4A14A3" w14:textId="77777777" w:rsidR="006054AA" w:rsidRDefault="001F7667">
            <w:pPr>
              <w:pStyle w:val="P68B1DB1-Normal11"/>
              <w:spacing w:after="120"/>
              <w:jc w:val="both"/>
              <w:rPr>
                <w:noProof/>
              </w:rPr>
            </w:pPr>
            <w:r>
              <w:rPr>
                <w:noProof/>
              </w:rPr>
              <w:t>Завършването на всички работни пакети на 13-те европейски цифрови иновационни центъра и две съоръжения за изпитване и експериментиране в рамките на втората линия на намеса по мярката, с изключение на работните пакети, финансирани по програмата „Цифрова Европа“.</w:t>
            </w:r>
          </w:p>
        </w:tc>
      </w:tr>
      <w:tr w:rsidR="006054AA" w14:paraId="499FA925" w14:textId="77777777">
        <w:trPr>
          <w:trHeight w:val="313"/>
        </w:trPr>
        <w:tc>
          <w:tcPr>
            <w:tcW w:w="1135" w:type="dxa"/>
            <w:shd w:val="clear" w:color="auto" w:fill="C6EFCE"/>
            <w:noWrap/>
            <w:vAlign w:val="center"/>
            <w:hideMark/>
          </w:tcPr>
          <w:p w14:paraId="1848C3BB" w14:textId="77777777" w:rsidR="006054AA" w:rsidRDefault="001F7667">
            <w:pPr>
              <w:pStyle w:val="P68B1DB1-Normal11"/>
              <w:jc w:val="center"/>
              <w:rPr>
                <w:noProof/>
              </w:rPr>
            </w:pPr>
            <w:r>
              <w:rPr>
                <w:noProof/>
              </w:rPr>
              <w:t>M4C2—16</w:t>
            </w:r>
          </w:p>
        </w:tc>
        <w:tc>
          <w:tcPr>
            <w:tcW w:w="1419" w:type="dxa"/>
            <w:shd w:val="clear" w:color="auto" w:fill="C6EFCE"/>
            <w:noWrap/>
            <w:vAlign w:val="center"/>
            <w:hideMark/>
          </w:tcPr>
          <w:p w14:paraId="3A8992E2" w14:textId="77777777" w:rsidR="006054AA" w:rsidRDefault="001F7667">
            <w:pPr>
              <w:pStyle w:val="P68B1DB1-Normal11"/>
              <w:jc w:val="center"/>
              <w:rPr>
                <w:noProof/>
              </w:rPr>
            </w:pPr>
            <w:r>
              <w:rPr>
                <w:noProof/>
              </w:rPr>
              <w:t>Инвестиция 3.1: Фонд за изграждане на интегрирана система от инфраструктури за научни изследвания и иновации</w:t>
            </w:r>
          </w:p>
        </w:tc>
        <w:tc>
          <w:tcPr>
            <w:tcW w:w="1132" w:type="dxa"/>
            <w:shd w:val="clear" w:color="auto" w:fill="C6EFCE"/>
            <w:noWrap/>
            <w:vAlign w:val="center"/>
            <w:hideMark/>
          </w:tcPr>
          <w:p w14:paraId="4AD4B98C"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5DDF1AB5" w14:textId="77777777" w:rsidR="006054AA" w:rsidRDefault="001F7667">
            <w:pPr>
              <w:pStyle w:val="P68B1DB1-Normal11"/>
              <w:jc w:val="center"/>
              <w:rPr>
                <w:noProof/>
              </w:rPr>
            </w:pPr>
            <w:r>
              <w:rPr>
                <w:noProof/>
              </w:rPr>
              <w:t>Брой финансирани инфраструктури</w:t>
            </w:r>
          </w:p>
        </w:tc>
        <w:tc>
          <w:tcPr>
            <w:tcW w:w="1275" w:type="dxa"/>
            <w:shd w:val="clear" w:color="auto" w:fill="C6EFCE"/>
            <w:noWrap/>
            <w:vAlign w:val="center"/>
            <w:hideMark/>
          </w:tcPr>
          <w:p w14:paraId="53106C57"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38193699" w14:textId="77777777" w:rsidR="006054AA" w:rsidRDefault="001F7667">
            <w:pPr>
              <w:pStyle w:val="P68B1DB1-Normal11"/>
              <w:jc w:val="center"/>
              <w:rPr>
                <w:noProof/>
              </w:rPr>
            </w:pPr>
            <w:r>
              <w:rPr>
                <w:noProof/>
              </w:rPr>
              <w:t>Брой</w:t>
            </w:r>
          </w:p>
        </w:tc>
        <w:tc>
          <w:tcPr>
            <w:tcW w:w="993" w:type="dxa"/>
            <w:shd w:val="clear" w:color="auto" w:fill="C6EFCE"/>
            <w:noWrap/>
            <w:vAlign w:val="center"/>
            <w:hideMark/>
          </w:tcPr>
          <w:p w14:paraId="3A506220" w14:textId="77777777" w:rsidR="006054AA" w:rsidRDefault="001F7667">
            <w:pPr>
              <w:pStyle w:val="P68B1DB1-Normal11"/>
              <w:jc w:val="center"/>
              <w:rPr>
                <w:noProof/>
              </w:rPr>
            </w:pPr>
            <w:r>
              <w:rPr>
                <w:noProof/>
              </w:rPr>
              <w:t>0</w:t>
            </w:r>
          </w:p>
        </w:tc>
        <w:tc>
          <w:tcPr>
            <w:tcW w:w="1275" w:type="dxa"/>
            <w:shd w:val="clear" w:color="auto" w:fill="C6EFCE"/>
            <w:noWrap/>
            <w:vAlign w:val="center"/>
            <w:hideMark/>
          </w:tcPr>
          <w:p w14:paraId="38D13799" w14:textId="77777777" w:rsidR="006054AA" w:rsidRDefault="001F7667">
            <w:pPr>
              <w:pStyle w:val="P68B1DB1-Normal11"/>
              <w:jc w:val="center"/>
              <w:rPr>
                <w:noProof/>
              </w:rPr>
            </w:pPr>
            <w:r>
              <w:rPr>
                <w:noProof/>
              </w:rPr>
              <w:t>30</w:t>
            </w:r>
          </w:p>
        </w:tc>
        <w:tc>
          <w:tcPr>
            <w:tcW w:w="993" w:type="dxa"/>
            <w:shd w:val="clear" w:color="auto" w:fill="C6EFCE"/>
            <w:noWrap/>
            <w:vAlign w:val="center"/>
            <w:hideMark/>
          </w:tcPr>
          <w:p w14:paraId="4D4EB77B"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5FE1CDC9" w14:textId="77777777" w:rsidR="006054AA" w:rsidRDefault="001F7667">
            <w:pPr>
              <w:pStyle w:val="P68B1DB1-Normal11"/>
              <w:jc w:val="center"/>
              <w:rPr>
                <w:noProof/>
              </w:rPr>
            </w:pPr>
            <w:r>
              <w:rPr>
                <w:noProof/>
              </w:rPr>
              <w:t>2023</w:t>
            </w:r>
          </w:p>
        </w:tc>
        <w:tc>
          <w:tcPr>
            <w:tcW w:w="3686" w:type="dxa"/>
            <w:shd w:val="clear" w:color="auto" w:fill="C6EFCE"/>
            <w:noWrap/>
            <w:vAlign w:val="center"/>
            <w:hideMark/>
          </w:tcPr>
          <w:p w14:paraId="74A08BA2" w14:textId="77777777" w:rsidR="006054AA" w:rsidRDefault="001F7667">
            <w:pPr>
              <w:pStyle w:val="P68B1DB1-Normal10"/>
              <w:spacing w:after="120"/>
              <w:jc w:val="both"/>
              <w:rPr>
                <w:noProof/>
                <w:color w:val="006100"/>
                <w:sz w:val="20"/>
              </w:rPr>
            </w:pPr>
            <w:r>
              <w:rPr>
                <w:noProof/>
                <w:color w:val="006100"/>
                <w:sz w:val="20"/>
              </w:rPr>
              <w:t>Най-малко 30 инфраструктури, финансирани за интегрираната система за инфраструктура за научни изследвания и иновации.</w:t>
            </w:r>
            <w:r>
              <w:rPr>
                <w:noProof/>
              </w:rPr>
              <w:t xml:space="preserve"> </w:t>
            </w:r>
            <w:r>
              <w:rPr>
                <w:noProof/>
              </w:rPr>
              <w:br/>
            </w:r>
            <w:r>
              <w:rPr>
                <w:noProof/>
                <w:color w:val="006100"/>
                <w:sz w:val="20"/>
              </w:rPr>
              <w:t>Иновационната инфраструктура включва многофункционални инфраструктури, които могат да обхващат най-малко три тематични области, като: I) квантови, ii) авангардни материали, iii) фотоника, iv) науки за живота, v) изкуствен интелект, vi) енергиен преход.</w:t>
            </w:r>
          </w:p>
          <w:p w14:paraId="4E19AA1B" w14:textId="782F6F10" w:rsidR="006054AA" w:rsidRDefault="001F7667">
            <w:pPr>
              <w:pStyle w:val="P68B1DB1-Normal11"/>
              <w:spacing w:after="120"/>
              <w:jc w:val="both"/>
              <w:rPr>
                <w:noProof/>
              </w:rPr>
            </w:pPr>
            <w:r>
              <w:rPr>
                <w:noProof/>
              </w:rPr>
              <w:t>Задоволителното изпълнение на целта зависи и от наемането на най-малко 30 ръководители на научни изследвания за интегрираната система от инфраструктура за научни изследвания и иновации.</w:t>
            </w:r>
          </w:p>
        </w:tc>
      </w:tr>
      <w:tr w:rsidR="006054AA" w14:paraId="3830432C" w14:textId="77777777">
        <w:trPr>
          <w:trHeight w:val="313"/>
        </w:trPr>
        <w:tc>
          <w:tcPr>
            <w:tcW w:w="1135" w:type="dxa"/>
            <w:shd w:val="clear" w:color="auto" w:fill="C6EFCE"/>
            <w:noWrap/>
            <w:vAlign w:val="center"/>
            <w:hideMark/>
          </w:tcPr>
          <w:p w14:paraId="0D28DA65" w14:textId="77777777" w:rsidR="006054AA" w:rsidRDefault="001F7667">
            <w:pPr>
              <w:pStyle w:val="P68B1DB1-Normal11"/>
              <w:jc w:val="center"/>
              <w:rPr>
                <w:noProof/>
              </w:rPr>
            </w:pPr>
            <w:r>
              <w:rPr>
                <w:noProof/>
              </w:rPr>
              <w:t xml:space="preserve">M4C2—16 bis </w:t>
            </w:r>
          </w:p>
        </w:tc>
        <w:tc>
          <w:tcPr>
            <w:tcW w:w="1419" w:type="dxa"/>
            <w:shd w:val="clear" w:color="auto" w:fill="C6EFCE"/>
            <w:noWrap/>
            <w:vAlign w:val="center"/>
            <w:hideMark/>
          </w:tcPr>
          <w:p w14:paraId="734F0205" w14:textId="77777777" w:rsidR="006054AA" w:rsidRDefault="001F7667">
            <w:pPr>
              <w:pStyle w:val="P68B1DB1-Normal11"/>
              <w:jc w:val="center"/>
              <w:rPr>
                <w:noProof/>
              </w:rPr>
            </w:pPr>
            <w:r>
              <w:rPr>
                <w:noProof/>
              </w:rPr>
              <w:t>Инвестиция 3.1: Фонд за изграждане на интегрирана система от инфраструктури за научни изследвания и иновации</w:t>
            </w:r>
          </w:p>
        </w:tc>
        <w:tc>
          <w:tcPr>
            <w:tcW w:w="1132" w:type="dxa"/>
            <w:shd w:val="clear" w:color="auto" w:fill="C6EFCE"/>
            <w:noWrap/>
            <w:vAlign w:val="center"/>
            <w:hideMark/>
          </w:tcPr>
          <w:p w14:paraId="390D75E6"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5470CA9A" w14:textId="77777777" w:rsidR="006054AA" w:rsidRDefault="001F7667">
            <w:pPr>
              <w:pStyle w:val="P68B1DB1-Normal11"/>
              <w:jc w:val="center"/>
              <w:rPr>
                <w:noProof/>
              </w:rPr>
            </w:pPr>
            <w:r>
              <w:rPr>
                <w:noProof/>
              </w:rPr>
              <w:t xml:space="preserve">Брой на научноизследователските и иновационните инфраструктури, които са създадени или които са приключили своите дейности </w:t>
            </w:r>
          </w:p>
        </w:tc>
        <w:tc>
          <w:tcPr>
            <w:tcW w:w="1275" w:type="dxa"/>
            <w:shd w:val="clear" w:color="auto" w:fill="C6EFCE"/>
            <w:noWrap/>
            <w:vAlign w:val="center"/>
            <w:hideMark/>
          </w:tcPr>
          <w:p w14:paraId="06194BD1"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137E4A8C" w14:textId="77777777" w:rsidR="006054AA" w:rsidRDefault="001F7667">
            <w:pPr>
              <w:pStyle w:val="P68B1DB1-Normal11"/>
              <w:jc w:val="center"/>
              <w:rPr>
                <w:noProof/>
              </w:rPr>
            </w:pPr>
            <w:r>
              <w:rPr>
                <w:noProof/>
              </w:rPr>
              <w:t>Брой</w:t>
            </w:r>
          </w:p>
        </w:tc>
        <w:tc>
          <w:tcPr>
            <w:tcW w:w="993" w:type="dxa"/>
            <w:shd w:val="clear" w:color="auto" w:fill="C6EFCE"/>
            <w:noWrap/>
            <w:vAlign w:val="center"/>
            <w:hideMark/>
          </w:tcPr>
          <w:p w14:paraId="6EFEAA7C" w14:textId="77777777" w:rsidR="006054AA" w:rsidRDefault="001F7667">
            <w:pPr>
              <w:pStyle w:val="P68B1DB1-Normal11"/>
              <w:jc w:val="center"/>
              <w:rPr>
                <w:noProof/>
              </w:rPr>
            </w:pPr>
            <w:r>
              <w:rPr>
                <w:noProof/>
              </w:rPr>
              <w:t>0</w:t>
            </w:r>
          </w:p>
        </w:tc>
        <w:tc>
          <w:tcPr>
            <w:tcW w:w="1275" w:type="dxa"/>
            <w:shd w:val="clear" w:color="auto" w:fill="C6EFCE"/>
            <w:noWrap/>
            <w:vAlign w:val="center"/>
            <w:hideMark/>
          </w:tcPr>
          <w:p w14:paraId="3ADF37C8" w14:textId="77777777" w:rsidR="006054AA" w:rsidRDefault="001F7667">
            <w:pPr>
              <w:pStyle w:val="P68B1DB1-Normal11"/>
              <w:jc w:val="center"/>
              <w:rPr>
                <w:noProof/>
              </w:rPr>
            </w:pPr>
            <w:r>
              <w:rPr>
                <w:noProof/>
              </w:rPr>
              <w:t>30</w:t>
            </w:r>
          </w:p>
        </w:tc>
        <w:tc>
          <w:tcPr>
            <w:tcW w:w="993" w:type="dxa"/>
            <w:shd w:val="clear" w:color="auto" w:fill="C6EFCE"/>
            <w:noWrap/>
            <w:vAlign w:val="center"/>
            <w:hideMark/>
          </w:tcPr>
          <w:p w14:paraId="206BBA51"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5FD773EA" w14:textId="77777777" w:rsidR="006054AA" w:rsidRDefault="001F7667">
            <w:pPr>
              <w:pStyle w:val="P68B1DB1-Normal11"/>
              <w:jc w:val="center"/>
              <w:rPr>
                <w:noProof/>
              </w:rPr>
            </w:pPr>
            <w:r>
              <w:rPr>
                <w:noProof/>
              </w:rPr>
              <w:t>2026</w:t>
            </w:r>
          </w:p>
        </w:tc>
        <w:tc>
          <w:tcPr>
            <w:tcW w:w="3686" w:type="dxa"/>
            <w:shd w:val="clear" w:color="auto" w:fill="C6EFCE"/>
            <w:noWrap/>
            <w:vAlign w:val="center"/>
            <w:hideMark/>
          </w:tcPr>
          <w:p w14:paraId="6786C494" w14:textId="77777777" w:rsidR="006054AA" w:rsidRDefault="001F7667">
            <w:pPr>
              <w:pStyle w:val="P68B1DB1-Normal11"/>
              <w:jc w:val="both"/>
              <w:rPr>
                <w:noProof/>
              </w:rPr>
            </w:pPr>
            <w:r>
              <w:rPr>
                <w:noProof/>
              </w:rPr>
              <w:t xml:space="preserve">Най-малко 30 научноизследователски и иновационни инфраструктури са създадени или които са приключили своите дейности съгласно съответната покана за представяне на проекти. </w:t>
            </w:r>
          </w:p>
        </w:tc>
      </w:tr>
      <w:tr w:rsidR="006054AA" w14:paraId="20E04A10" w14:textId="77777777">
        <w:trPr>
          <w:trHeight w:val="313"/>
        </w:trPr>
        <w:tc>
          <w:tcPr>
            <w:tcW w:w="1135" w:type="dxa"/>
            <w:shd w:val="clear" w:color="auto" w:fill="C6EFCE"/>
            <w:noWrap/>
            <w:vAlign w:val="center"/>
            <w:hideMark/>
          </w:tcPr>
          <w:p w14:paraId="2E8DCDEB" w14:textId="77777777" w:rsidR="006054AA" w:rsidRDefault="001F7667">
            <w:pPr>
              <w:pStyle w:val="P68B1DB1-Normal11"/>
              <w:jc w:val="center"/>
              <w:rPr>
                <w:noProof/>
              </w:rPr>
            </w:pPr>
            <w:r>
              <w:rPr>
                <w:noProof/>
              </w:rPr>
              <w:t>M4C2—17</w:t>
            </w:r>
          </w:p>
        </w:tc>
        <w:tc>
          <w:tcPr>
            <w:tcW w:w="1419" w:type="dxa"/>
            <w:shd w:val="clear" w:color="auto" w:fill="C6EFCE"/>
            <w:noWrap/>
            <w:vAlign w:val="center"/>
            <w:hideMark/>
          </w:tcPr>
          <w:p w14:paraId="11218F89" w14:textId="77777777" w:rsidR="006054AA" w:rsidRDefault="001F7667">
            <w:pPr>
              <w:pStyle w:val="P68B1DB1-Normal11"/>
              <w:jc w:val="center"/>
              <w:rPr>
                <w:noProof/>
              </w:rPr>
            </w:pPr>
            <w:r>
              <w:rPr>
                <w:noProof/>
              </w:rPr>
              <w:t>Инвестиция 3.1: Фонд за изграждане на интегрирана система от инфраструктури за научни изследвания и иновации; Инвестиция</w:t>
            </w:r>
          </w:p>
        </w:tc>
        <w:tc>
          <w:tcPr>
            <w:tcW w:w="1132" w:type="dxa"/>
            <w:shd w:val="clear" w:color="auto" w:fill="C6EFCE"/>
            <w:noWrap/>
            <w:vAlign w:val="center"/>
            <w:hideMark/>
          </w:tcPr>
          <w:p w14:paraId="4F8C221B" w14:textId="77777777" w:rsidR="006054AA" w:rsidRDefault="001F7667">
            <w:pPr>
              <w:pStyle w:val="P68B1DB1-Normal11"/>
              <w:jc w:val="center"/>
              <w:rPr>
                <w:noProof/>
              </w:rPr>
            </w:pPr>
            <w:r>
              <w:rPr>
                <w:noProof/>
              </w:rPr>
              <w:t>Ключов етап</w:t>
            </w:r>
          </w:p>
        </w:tc>
        <w:tc>
          <w:tcPr>
            <w:tcW w:w="1418" w:type="dxa"/>
            <w:shd w:val="clear" w:color="auto" w:fill="C6EFCE"/>
            <w:noWrap/>
            <w:vAlign w:val="center"/>
            <w:hideMark/>
          </w:tcPr>
          <w:p w14:paraId="4E054D82" w14:textId="77777777" w:rsidR="006054AA" w:rsidRDefault="001F7667">
            <w:pPr>
              <w:pStyle w:val="P68B1DB1-Normal11"/>
              <w:jc w:val="center"/>
              <w:rPr>
                <w:noProof/>
              </w:rPr>
            </w:pPr>
            <w:r>
              <w:rPr>
                <w:noProof/>
              </w:rPr>
              <w:t>Възлагане на договори за проекти, отнасящи се до: интегрирана система от инфраструктури за научни изследвания и иновации</w:t>
            </w:r>
          </w:p>
        </w:tc>
        <w:tc>
          <w:tcPr>
            <w:tcW w:w="1275" w:type="dxa"/>
            <w:shd w:val="clear" w:color="auto" w:fill="C6EFCE"/>
            <w:noWrap/>
            <w:vAlign w:val="center"/>
            <w:hideMark/>
          </w:tcPr>
          <w:p w14:paraId="3C7B5D0D" w14:textId="77777777" w:rsidR="006054AA" w:rsidRDefault="001F7667">
            <w:pPr>
              <w:pStyle w:val="P68B1DB1-Normal11"/>
              <w:jc w:val="center"/>
              <w:rPr>
                <w:noProof/>
              </w:rPr>
            </w:pPr>
            <w:r>
              <w:rPr>
                <w:noProof/>
              </w:rPr>
              <w:t>Уведомяване за възлагането на поръчки</w:t>
            </w:r>
          </w:p>
        </w:tc>
        <w:tc>
          <w:tcPr>
            <w:tcW w:w="1134" w:type="dxa"/>
            <w:shd w:val="clear" w:color="auto" w:fill="C6EFCE"/>
            <w:noWrap/>
            <w:vAlign w:val="center"/>
            <w:hideMark/>
          </w:tcPr>
          <w:p w14:paraId="63AD99FB"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15F91F5B"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1134B27D"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2DB02361"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5949FC08" w14:textId="77777777" w:rsidR="006054AA" w:rsidRDefault="001F7667">
            <w:pPr>
              <w:pStyle w:val="P68B1DB1-Normal11"/>
              <w:jc w:val="center"/>
              <w:rPr>
                <w:noProof/>
              </w:rPr>
            </w:pPr>
            <w:r>
              <w:rPr>
                <w:noProof/>
              </w:rPr>
              <w:t>2022</w:t>
            </w:r>
          </w:p>
        </w:tc>
        <w:tc>
          <w:tcPr>
            <w:tcW w:w="3686" w:type="dxa"/>
            <w:shd w:val="clear" w:color="auto" w:fill="C6EFCE"/>
            <w:noWrap/>
            <w:vAlign w:val="center"/>
            <w:hideMark/>
          </w:tcPr>
          <w:p w14:paraId="065696CD" w14:textId="77777777" w:rsidR="006054AA" w:rsidRDefault="001F7667">
            <w:pPr>
              <w:pStyle w:val="P68B1DB1-Normal11"/>
              <w:spacing w:after="120"/>
              <w:jc w:val="both"/>
              <w:rPr>
                <w:noProof/>
              </w:rPr>
            </w:pPr>
            <w:r>
              <w:rPr>
                <w:noProof/>
              </w:rPr>
              <w:t>Уведомяване за възлагането на договорите на проектите, избрани в рамките на конкурсните покани за представяне на предложения,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203569E7" w14:textId="77777777" w:rsidR="006054AA" w:rsidRDefault="001F7667">
            <w:pPr>
              <w:pStyle w:val="P68B1DB1-Normal11"/>
              <w:spacing w:after="120"/>
              <w:jc w:val="both"/>
              <w:rPr>
                <w:noProof/>
              </w:rPr>
            </w:pPr>
            <w:r>
              <w:rPr>
                <w:noProof/>
              </w:rPr>
              <w:t xml:space="preserve">Предложенията се подбират въз основа на следните критерии: </w:t>
            </w:r>
          </w:p>
          <w:p w14:paraId="42E3EC6C" w14:textId="199264E5" w:rsidR="006054AA" w:rsidRDefault="001F7667">
            <w:pPr>
              <w:pStyle w:val="P68B1DB1-Normal11"/>
              <w:spacing w:after="120"/>
              <w:jc w:val="both"/>
              <w:rPr>
                <w:noProof/>
              </w:rPr>
            </w:pPr>
            <w:r>
              <w:rPr>
                <w:noProof/>
              </w:rPr>
              <w:t>лидерство в областта на науката/технологиите/иновациите, потенциал за иновации (както по отношение на отворените иновации/свободно достъпните данни, така и по отношение на частните разработки), съответствието им с тематичните области или новите революционни разработки, техните транслационни и иновационни планове, подкрепата от промишлеността като партньор за отворени иновации и/или като потребители, силата на дейностите за развитие на бизнеса, създаването на интелектуална собственост, ясни правила за разграничаване на отворени и защитени планове за производство и лицензиране, способността им да разработват и приемат промишлени докторантури, връзки с предприятията или други видове фондове за улесняване на развитието на нови стартиращи предприятия.</w:t>
            </w:r>
          </w:p>
          <w:p w14:paraId="3CF1BCAF" w14:textId="77777777" w:rsidR="006054AA" w:rsidRDefault="001F7667">
            <w:pPr>
              <w:pStyle w:val="P68B1DB1-Normal11"/>
              <w:spacing w:after="120"/>
              <w:jc w:val="both"/>
              <w:rPr>
                <w:noProof/>
              </w:rPr>
            </w:pPr>
            <w:r>
              <w:rPr>
                <w:noProof/>
              </w:rPr>
              <w:t>Процедурата за подбор изисква оценка съгласно принципа за ненанасяне на значителни вреди и, когато е приложимо, стратегическа екологична оценка (СЕО), в случай че се очаква проектът да окаже последователно въздействие върху територията.</w:t>
            </w:r>
          </w:p>
        </w:tc>
      </w:tr>
      <w:tr w:rsidR="006054AA" w14:paraId="7D86B9D5" w14:textId="77777777">
        <w:trPr>
          <w:trHeight w:val="313"/>
        </w:trPr>
        <w:tc>
          <w:tcPr>
            <w:tcW w:w="1135" w:type="dxa"/>
            <w:shd w:val="clear" w:color="auto" w:fill="C6EFCE"/>
            <w:noWrap/>
            <w:vAlign w:val="center"/>
          </w:tcPr>
          <w:p w14:paraId="5785FC09" w14:textId="77777777" w:rsidR="006054AA" w:rsidRDefault="001F7667">
            <w:pPr>
              <w:pStyle w:val="P68B1DB1-Normal11"/>
              <w:spacing w:after="120"/>
              <w:jc w:val="center"/>
              <w:rPr>
                <w:noProof/>
              </w:rPr>
            </w:pPr>
            <w:r>
              <w:rPr>
                <w:noProof/>
              </w:rPr>
              <w:t>M4C2—18</w:t>
            </w:r>
          </w:p>
        </w:tc>
        <w:tc>
          <w:tcPr>
            <w:tcW w:w="1419" w:type="dxa"/>
            <w:shd w:val="clear" w:color="auto" w:fill="C6EFCE"/>
            <w:noWrap/>
            <w:vAlign w:val="center"/>
          </w:tcPr>
          <w:p w14:paraId="4A22D643" w14:textId="77777777" w:rsidR="006054AA" w:rsidRDefault="001F7667">
            <w:pPr>
              <w:pStyle w:val="P68B1DB1-Normal11"/>
              <w:spacing w:after="120"/>
              <w:jc w:val="center"/>
              <w:rPr>
                <w:noProof/>
              </w:rPr>
            </w:pPr>
            <w:r>
              <w:rPr>
                <w:noProof/>
              </w:rPr>
              <w:t>Invesment1.5: Създаване и укрепване на „екосистеми за иновации за устойчивост „, изграждане на „териториални лидери на научноизследователската и развойната дейност“</w:t>
            </w:r>
          </w:p>
        </w:tc>
        <w:tc>
          <w:tcPr>
            <w:tcW w:w="1132" w:type="dxa"/>
            <w:shd w:val="clear" w:color="auto" w:fill="C6EFCE"/>
            <w:noWrap/>
            <w:vAlign w:val="center"/>
          </w:tcPr>
          <w:p w14:paraId="35829EE2" w14:textId="77777777"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6F161612" w14:textId="77777777" w:rsidR="006054AA" w:rsidRDefault="001F7667">
            <w:pPr>
              <w:pStyle w:val="P68B1DB1-Normal11"/>
              <w:spacing w:after="120"/>
              <w:jc w:val="center"/>
              <w:rPr>
                <w:noProof/>
              </w:rPr>
            </w:pPr>
            <w:r>
              <w:rPr>
                <w:noProof/>
              </w:rPr>
              <w:t>Възлагане на договори за проекти, свързани с иновационни екосистеми;</w:t>
            </w:r>
          </w:p>
        </w:tc>
        <w:tc>
          <w:tcPr>
            <w:tcW w:w="1275" w:type="dxa"/>
            <w:shd w:val="clear" w:color="auto" w:fill="C6EFCE"/>
            <w:noWrap/>
            <w:vAlign w:val="center"/>
          </w:tcPr>
          <w:p w14:paraId="3D59A5CD" w14:textId="77777777" w:rsidR="006054AA" w:rsidRDefault="001F7667">
            <w:pPr>
              <w:pStyle w:val="P68B1DB1-Normal11"/>
              <w:spacing w:after="120"/>
              <w:jc w:val="center"/>
              <w:rPr>
                <w:noProof/>
              </w:rPr>
            </w:pPr>
            <w:r>
              <w:rPr>
                <w:noProof/>
              </w:rPr>
              <w:t>Уведомяване за възлагането на поръчки</w:t>
            </w:r>
          </w:p>
        </w:tc>
        <w:tc>
          <w:tcPr>
            <w:tcW w:w="1134" w:type="dxa"/>
            <w:shd w:val="clear" w:color="auto" w:fill="C6EFCE"/>
            <w:noWrap/>
            <w:vAlign w:val="center"/>
          </w:tcPr>
          <w:p w14:paraId="333A8DA7" w14:textId="77777777" w:rsidR="006054AA" w:rsidRDefault="001F7667">
            <w:pPr>
              <w:pStyle w:val="P68B1DB1-Normal11"/>
              <w:spacing w:after="120"/>
              <w:jc w:val="center"/>
              <w:rPr>
                <w:noProof/>
              </w:rPr>
            </w:pPr>
            <w:r>
              <w:rPr>
                <w:noProof/>
              </w:rPr>
              <w:t>НЯМА</w:t>
            </w:r>
          </w:p>
        </w:tc>
        <w:tc>
          <w:tcPr>
            <w:tcW w:w="993" w:type="dxa"/>
            <w:shd w:val="clear" w:color="auto" w:fill="C6EFCE"/>
            <w:noWrap/>
            <w:vAlign w:val="center"/>
          </w:tcPr>
          <w:p w14:paraId="685913E3" w14:textId="77777777" w:rsidR="006054AA" w:rsidRDefault="001F7667">
            <w:pPr>
              <w:pStyle w:val="P68B1DB1-Normal11"/>
              <w:spacing w:after="120"/>
              <w:jc w:val="center"/>
              <w:rPr>
                <w:noProof/>
              </w:rPr>
            </w:pPr>
            <w:r>
              <w:rPr>
                <w:noProof/>
              </w:rPr>
              <w:t>НЯМА</w:t>
            </w:r>
          </w:p>
        </w:tc>
        <w:tc>
          <w:tcPr>
            <w:tcW w:w="1275" w:type="dxa"/>
            <w:shd w:val="clear" w:color="auto" w:fill="C6EFCE"/>
            <w:noWrap/>
            <w:vAlign w:val="center"/>
          </w:tcPr>
          <w:p w14:paraId="3C5CCB99" w14:textId="77777777" w:rsidR="006054AA" w:rsidRDefault="001F7667">
            <w:pPr>
              <w:pStyle w:val="P68B1DB1-Normal11"/>
              <w:spacing w:after="120"/>
              <w:jc w:val="center"/>
              <w:rPr>
                <w:noProof/>
              </w:rPr>
            </w:pPr>
            <w:r>
              <w:rPr>
                <w:noProof/>
              </w:rPr>
              <w:t>НЯМА</w:t>
            </w:r>
          </w:p>
        </w:tc>
        <w:tc>
          <w:tcPr>
            <w:tcW w:w="993" w:type="dxa"/>
            <w:shd w:val="clear" w:color="auto" w:fill="C6EFCE"/>
            <w:noWrap/>
            <w:vAlign w:val="center"/>
          </w:tcPr>
          <w:p w14:paraId="4EFB8825" w14:textId="77777777" w:rsidR="006054AA" w:rsidRDefault="001F7667">
            <w:pPr>
              <w:pStyle w:val="P68B1DB1-Normal11"/>
              <w:spacing w:after="120"/>
              <w:jc w:val="center"/>
              <w:rPr>
                <w:noProof/>
              </w:rPr>
            </w:pPr>
            <w:r>
              <w:rPr>
                <w:noProof/>
              </w:rPr>
              <w:t>Т2 Г.</w:t>
            </w:r>
          </w:p>
        </w:tc>
        <w:tc>
          <w:tcPr>
            <w:tcW w:w="708" w:type="dxa"/>
            <w:shd w:val="clear" w:color="auto" w:fill="C6EFCE"/>
            <w:noWrap/>
            <w:vAlign w:val="center"/>
          </w:tcPr>
          <w:p w14:paraId="22A2CBEF" w14:textId="77777777" w:rsidR="006054AA" w:rsidRDefault="001F7667">
            <w:pPr>
              <w:pStyle w:val="P68B1DB1-Normal11"/>
              <w:spacing w:after="120"/>
              <w:jc w:val="center"/>
              <w:rPr>
                <w:noProof/>
              </w:rPr>
            </w:pPr>
            <w:r>
              <w:rPr>
                <w:noProof/>
              </w:rPr>
              <w:t>2022</w:t>
            </w:r>
          </w:p>
        </w:tc>
        <w:tc>
          <w:tcPr>
            <w:tcW w:w="3686" w:type="dxa"/>
            <w:shd w:val="clear" w:color="auto" w:fill="C6EFCE"/>
            <w:noWrap/>
            <w:vAlign w:val="center"/>
          </w:tcPr>
          <w:p w14:paraId="5A765728" w14:textId="3C2C8C0C" w:rsidR="006054AA" w:rsidRDefault="001F7667">
            <w:pPr>
              <w:pStyle w:val="P68B1DB1-Normal11"/>
              <w:spacing w:after="120"/>
              <w:jc w:val="both"/>
              <w:rPr>
                <w:noProof/>
              </w:rPr>
            </w:pPr>
            <w:r>
              <w:rPr>
                <w:noProof/>
              </w:rPr>
              <w:t>Уведомяване за възлагането на договорите на проектите, избрани в рамките на конкурсните покани за представяне на предложения,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08FA7060" w14:textId="77777777" w:rsidR="006054AA" w:rsidRDefault="001F7667">
            <w:pPr>
              <w:pStyle w:val="P68B1DB1-Normal11"/>
              <w:spacing w:after="120"/>
              <w:jc w:val="both"/>
              <w:rPr>
                <w:noProof/>
              </w:rPr>
            </w:pPr>
            <w:r>
              <w:rPr>
                <w:noProof/>
              </w:rPr>
              <w:t>Процедурата за подбор изисква оценка съгласно принципа за ненанасяне на значителни вреди и, когато е приложимо, стратегическа екологична оценка (СЕО), в случай че се очаква проектът да окаже последователно въздействие върху територията.</w:t>
            </w:r>
          </w:p>
          <w:p w14:paraId="0AB5DA5C" w14:textId="77777777" w:rsidR="006054AA" w:rsidRDefault="001F7667">
            <w:pPr>
              <w:pStyle w:val="P68B1DB1-Normal11"/>
              <w:spacing w:after="120"/>
              <w:jc w:val="both"/>
              <w:rPr>
                <w:noProof/>
              </w:rPr>
            </w:pPr>
            <w:r>
              <w:rPr>
                <w:noProof/>
              </w:rPr>
              <w:t>Националните центрове (НК) се създават след конкурентна покана за представяне на предложения чрез сливане на съществуващи водещи в световен мащаб лаборатории, които вече се намират в университетите, и публични и частни научноизследователски центрове, както и чрез създаване на нова специална инфраструктура.</w:t>
            </w:r>
          </w:p>
        </w:tc>
      </w:tr>
      <w:tr w:rsidR="006054AA" w14:paraId="4EC166B2" w14:textId="77777777">
        <w:trPr>
          <w:trHeight w:val="313"/>
        </w:trPr>
        <w:tc>
          <w:tcPr>
            <w:tcW w:w="1135" w:type="dxa"/>
            <w:shd w:val="clear" w:color="auto" w:fill="C6EFCE"/>
            <w:noWrap/>
            <w:vAlign w:val="center"/>
          </w:tcPr>
          <w:p w14:paraId="34942C59" w14:textId="77777777" w:rsidR="006054AA" w:rsidRDefault="001F7667">
            <w:pPr>
              <w:pStyle w:val="P68B1DB1-Normal11"/>
              <w:jc w:val="center"/>
              <w:rPr>
                <w:noProof/>
              </w:rPr>
            </w:pPr>
            <w:r>
              <w:rPr>
                <w:noProof/>
              </w:rPr>
              <w:t>M4C2—18 Bis</w:t>
            </w:r>
          </w:p>
        </w:tc>
        <w:tc>
          <w:tcPr>
            <w:tcW w:w="1419" w:type="dxa"/>
            <w:shd w:val="clear" w:color="auto" w:fill="C6EFCE"/>
            <w:noWrap/>
            <w:vAlign w:val="center"/>
          </w:tcPr>
          <w:p w14:paraId="3376117F" w14:textId="77777777" w:rsidR="006054AA" w:rsidRDefault="001F7667">
            <w:pPr>
              <w:pStyle w:val="P68B1DB1-Normal11"/>
              <w:jc w:val="center"/>
              <w:rPr>
                <w:noProof/>
              </w:rPr>
            </w:pPr>
            <w:r>
              <w:rPr>
                <w:noProof/>
              </w:rPr>
              <w:t>Invesment1.5: Създаване и укрепване на „екосистеми за иновации за устойчивост „, изграждане на „териториални лидери на научноизследователската и развойната дейност“</w:t>
            </w:r>
          </w:p>
        </w:tc>
        <w:tc>
          <w:tcPr>
            <w:tcW w:w="1132" w:type="dxa"/>
            <w:shd w:val="clear" w:color="auto" w:fill="C6EFCE"/>
            <w:noWrap/>
            <w:vAlign w:val="center"/>
          </w:tcPr>
          <w:p w14:paraId="538A13B2" w14:textId="77777777" w:rsidR="006054AA" w:rsidRDefault="001F7667">
            <w:pPr>
              <w:pStyle w:val="P68B1DB1-Normal11"/>
              <w:jc w:val="center"/>
              <w:rPr>
                <w:noProof/>
              </w:rPr>
            </w:pPr>
            <w:r>
              <w:rPr>
                <w:noProof/>
              </w:rPr>
              <w:t>Целеви</w:t>
            </w:r>
          </w:p>
        </w:tc>
        <w:tc>
          <w:tcPr>
            <w:tcW w:w="1418" w:type="dxa"/>
            <w:shd w:val="clear" w:color="auto" w:fill="C6EFCE"/>
            <w:noWrap/>
            <w:vAlign w:val="center"/>
          </w:tcPr>
          <w:p w14:paraId="73227658" w14:textId="77777777" w:rsidR="006054AA" w:rsidRDefault="001F7667">
            <w:pPr>
              <w:pStyle w:val="P68B1DB1-Normal11"/>
              <w:jc w:val="center"/>
              <w:rPr>
                <w:noProof/>
              </w:rPr>
            </w:pPr>
            <w:r>
              <w:rPr>
                <w:noProof/>
              </w:rPr>
              <w:t>Дейности, изпълнявани от иновационните екосистеми</w:t>
            </w:r>
          </w:p>
        </w:tc>
        <w:tc>
          <w:tcPr>
            <w:tcW w:w="1275" w:type="dxa"/>
            <w:shd w:val="clear" w:color="auto" w:fill="C6EFCE"/>
            <w:noWrap/>
            <w:vAlign w:val="center"/>
          </w:tcPr>
          <w:p w14:paraId="0C22F047"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33689342" w14:textId="77777777" w:rsidR="006054AA" w:rsidRDefault="001F7667">
            <w:pPr>
              <w:pStyle w:val="P68B1DB1-Normal11"/>
              <w:jc w:val="center"/>
              <w:rPr>
                <w:noProof/>
              </w:rPr>
            </w:pPr>
            <w:r>
              <w:rPr>
                <w:noProof/>
              </w:rPr>
              <w:t>Брой</w:t>
            </w:r>
          </w:p>
        </w:tc>
        <w:tc>
          <w:tcPr>
            <w:tcW w:w="993" w:type="dxa"/>
            <w:shd w:val="clear" w:color="auto" w:fill="C6EFCE"/>
            <w:noWrap/>
            <w:vAlign w:val="center"/>
          </w:tcPr>
          <w:p w14:paraId="4DE61F0C" w14:textId="77777777" w:rsidR="006054AA" w:rsidRDefault="001F7667">
            <w:pPr>
              <w:pStyle w:val="P68B1DB1-Normal11"/>
              <w:jc w:val="center"/>
              <w:rPr>
                <w:noProof/>
              </w:rPr>
            </w:pPr>
            <w:r>
              <w:rPr>
                <w:noProof/>
              </w:rPr>
              <w:t>0</w:t>
            </w:r>
          </w:p>
        </w:tc>
        <w:tc>
          <w:tcPr>
            <w:tcW w:w="1275" w:type="dxa"/>
            <w:shd w:val="clear" w:color="auto" w:fill="C6EFCE"/>
            <w:noWrap/>
            <w:vAlign w:val="center"/>
          </w:tcPr>
          <w:p w14:paraId="1041E18F" w14:textId="77777777" w:rsidR="006054AA" w:rsidRDefault="001F7667">
            <w:pPr>
              <w:pStyle w:val="P68B1DB1-Normal11"/>
              <w:jc w:val="center"/>
              <w:rPr>
                <w:noProof/>
              </w:rPr>
            </w:pPr>
            <w:r>
              <w:rPr>
                <w:noProof/>
              </w:rPr>
              <w:t>10</w:t>
            </w:r>
          </w:p>
        </w:tc>
        <w:tc>
          <w:tcPr>
            <w:tcW w:w="993" w:type="dxa"/>
            <w:shd w:val="clear" w:color="auto" w:fill="C6EFCE"/>
            <w:noWrap/>
            <w:vAlign w:val="center"/>
          </w:tcPr>
          <w:p w14:paraId="4A76E864" w14:textId="77777777" w:rsidR="006054AA" w:rsidRDefault="001F7667">
            <w:pPr>
              <w:pStyle w:val="P68B1DB1-Normal11"/>
              <w:jc w:val="center"/>
              <w:rPr>
                <w:noProof/>
              </w:rPr>
            </w:pPr>
            <w:r>
              <w:rPr>
                <w:noProof/>
              </w:rPr>
              <w:t>Т2 Г.</w:t>
            </w:r>
          </w:p>
        </w:tc>
        <w:tc>
          <w:tcPr>
            <w:tcW w:w="708" w:type="dxa"/>
            <w:shd w:val="clear" w:color="auto" w:fill="C6EFCE"/>
            <w:noWrap/>
            <w:vAlign w:val="center"/>
          </w:tcPr>
          <w:p w14:paraId="4EBE1C12" w14:textId="77777777" w:rsidR="006054AA" w:rsidRDefault="001F7667">
            <w:pPr>
              <w:pStyle w:val="P68B1DB1-Normal11"/>
              <w:jc w:val="center"/>
              <w:rPr>
                <w:noProof/>
              </w:rPr>
            </w:pPr>
            <w:r>
              <w:rPr>
                <w:noProof/>
              </w:rPr>
              <w:t>2026</w:t>
            </w:r>
          </w:p>
        </w:tc>
        <w:tc>
          <w:tcPr>
            <w:tcW w:w="3686" w:type="dxa"/>
            <w:shd w:val="clear" w:color="auto" w:fill="C6EFCE"/>
            <w:noWrap/>
            <w:vAlign w:val="center"/>
          </w:tcPr>
          <w:p w14:paraId="6E47ACE9" w14:textId="2165485E" w:rsidR="006054AA" w:rsidRDefault="001F7667">
            <w:pPr>
              <w:pStyle w:val="P68B1DB1-Normal11"/>
              <w:jc w:val="both"/>
              <w:rPr>
                <w:noProof/>
              </w:rPr>
            </w:pPr>
            <w:r>
              <w:rPr>
                <w:noProof/>
              </w:rPr>
              <w:t>Най-малко 10 иновационни екосистеми са завършили своите дейности, както са определени в съответната покана за представяне на проекти.</w:t>
            </w:r>
          </w:p>
        </w:tc>
      </w:tr>
      <w:tr w:rsidR="006054AA" w14:paraId="7BE47777" w14:textId="77777777">
        <w:trPr>
          <w:trHeight w:val="313"/>
        </w:trPr>
        <w:tc>
          <w:tcPr>
            <w:tcW w:w="1135" w:type="dxa"/>
            <w:shd w:val="clear" w:color="auto" w:fill="C6EFCE"/>
            <w:noWrap/>
            <w:vAlign w:val="center"/>
          </w:tcPr>
          <w:p w14:paraId="6C8DA4D6" w14:textId="77777777" w:rsidR="006054AA" w:rsidRDefault="001F7667">
            <w:pPr>
              <w:pStyle w:val="P68B1DB1-Normal11"/>
              <w:jc w:val="center"/>
              <w:rPr>
                <w:noProof/>
              </w:rPr>
            </w:pPr>
            <w:r>
              <w:rPr>
                <w:noProof/>
              </w:rPr>
              <w:t>M4C2—19</w:t>
            </w:r>
          </w:p>
        </w:tc>
        <w:tc>
          <w:tcPr>
            <w:tcW w:w="1419" w:type="dxa"/>
            <w:shd w:val="clear" w:color="auto" w:fill="C6EFCE"/>
            <w:noWrap/>
            <w:vAlign w:val="center"/>
          </w:tcPr>
          <w:p w14:paraId="10F98E58" w14:textId="77777777" w:rsidR="006054AA" w:rsidRDefault="001F7667">
            <w:pPr>
              <w:pStyle w:val="P68B1DB1-Normal11"/>
              <w:jc w:val="center"/>
              <w:rPr>
                <w:noProof/>
              </w:rPr>
            </w:pPr>
            <w:r>
              <w:rPr>
                <w:noProof/>
              </w:rPr>
              <w:t>Инвестиция 1.4: Укрепване на научноизследователските структури и подкрепа за създаването на „национални лидери в областта на НИРД“ по отношение на някои главни базови технологии</w:t>
            </w:r>
          </w:p>
        </w:tc>
        <w:tc>
          <w:tcPr>
            <w:tcW w:w="1132" w:type="dxa"/>
            <w:shd w:val="clear" w:color="auto" w:fill="C6EFCE"/>
            <w:noWrap/>
            <w:vAlign w:val="center"/>
          </w:tcPr>
          <w:p w14:paraId="50D68F53" w14:textId="77777777" w:rsidR="006054AA" w:rsidRDefault="001F7667">
            <w:pPr>
              <w:pStyle w:val="P68B1DB1-Normal11"/>
              <w:jc w:val="center"/>
              <w:rPr>
                <w:noProof/>
              </w:rPr>
            </w:pPr>
            <w:r>
              <w:rPr>
                <w:noProof/>
              </w:rPr>
              <w:t>Ключов етап</w:t>
            </w:r>
          </w:p>
        </w:tc>
        <w:tc>
          <w:tcPr>
            <w:tcW w:w="1418" w:type="dxa"/>
            <w:shd w:val="clear" w:color="auto" w:fill="C6EFCE"/>
            <w:noWrap/>
            <w:vAlign w:val="center"/>
          </w:tcPr>
          <w:p w14:paraId="52453652" w14:textId="77777777" w:rsidR="006054AA" w:rsidRDefault="001F7667">
            <w:pPr>
              <w:pStyle w:val="P68B1DB1-Normal11"/>
              <w:jc w:val="center"/>
              <w:rPr>
                <w:noProof/>
              </w:rPr>
            </w:pPr>
            <w:r>
              <w:rPr>
                <w:noProof/>
              </w:rPr>
              <w:t>Възлагане на договори за проекти, свързани с национални ръководители на НИРД в областта на главните базови технологии</w:t>
            </w:r>
          </w:p>
        </w:tc>
        <w:tc>
          <w:tcPr>
            <w:tcW w:w="1275" w:type="dxa"/>
            <w:shd w:val="clear" w:color="auto" w:fill="C6EFCE"/>
            <w:noWrap/>
            <w:vAlign w:val="center"/>
          </w:tcPr>
          <w:p w14:paraId="4441D975" w14:textId="77777777" w:rsidR="006054AA" w:rsidRDefault="001F7667">
            <w:pPr>
              <w:pStyle w:val="P68B1DB1-Normal11"/>
              <w:jc w:val="center"/>
              <w:rPr>
                <w:noProof/>
              </w:rPr>
            </w:pPr>
            <w:r>
              <w:rPr>
                <w:noProof/>
              </w:rPr>
              <w:t>Уведомяване за възлагането на поръчки</w:t>
            </w:r>
          </w:p>
        </w:tc>
        <w:tc>
          <w:tcPr>
            <w:tcW w:w="1134" w:type="dxa"/>
            <w:shd w:val="clear" w:color="auto" w:fill="C6EFCE"/>
            <w:noWrap/>
            <w:vAlign w:val="center"/>
          </w:tcPr>
          <w:p w14:paraId="2D402609" w14:textId="77777777" w:rsidR="006054AA" w:rsidRDefault="001F7667">
            <w:pPr>
              <w:pStyle w:val="P68B1DB1-Normal11"/>
              <w:jc w:val="center"/>
              <w:rPr>
                <w:noProof/>
              </w:rPr>
            </w:pPr>
            <w:r>
              <w:rPr>
                <w:noProof/>
              </w:rPr>
              <w:t>НЯМА</w:t>
            </w:r>
          </w:p>
        </w:tc>
        <w:tc>
          <w:tcPr>
            <w:tcW w:w="993" w:type="dxa"/>
            <w:shd w:val="clear" w:color="auto" w:fill="C6EFCE"/>
            <w:noWrap/>
            <w:vAlign w:val="center"/>
          </w:tcPr>
          <w:p w14:paraId="10FFFA85" w14:textId="77777777" w:rsidR="006054AA" w:rsidRDefault="001F7667">
            <w:pPr>
              <w:pStyle w:val="P68B1DB1-Normal11"/>
              <w:jc w:val="center"/>
              <w:rPr>
                <w:noProof/>
              </w:rPr>
            </w:pPr>
            <w:r>
              <w:rPr>
                <w:noProof/>
              </w:rPr>
              <w:t>НЯМА</w:t>
            </w:r>
          </w:p>
        </w:tc>
        <w:tc>
          <w:tcPr>
            <w:tcW w:w="1275" w:type="dxa"/>
            <w:shd w:val="clear" w:color="auto" w:fill="C6EFCE"/>
            <w:noWrap/>
            <w:vAlign w:val="center"/>
          </w:tcPr>
          <w:p w14:paraId="473A6C39" w14:textId="77777777" w:rsidR="006054AA" w:rsidRDefault="001F7667">
            <w:pPr>
              <w:pStyle w:val="P68B1DB1-Normal11"/>
              <w:jc w:val="center"/>
              <w:rPr>
                <w:noProof/>
              </w:rPr>
            </w:pPr>
            <w:r>
              <w:rPr>
                <w:noProof/>
              </w:rPr>
              <w:t>N</w:t>
            </w:r>
          </w:p>
        </w:tc>
        <w:tc>
          <w:tcPr>
            <w:tcW w:w="993" w:type="dxa"/>
            <w:shd w:val="clear" w:color="auto" w:fill="C6EFCE"/>
            <w:noWrap/>
            <w:vAlign w:val="center"/>
          </w:tcPr>
          <w:p w14:paraId="2756B17B" w14:textId="77777777" w:rsidR="006054AA" w:rsidRDefault="001F7667">
            <w:pPr>
              <w:pStyle w:val="P68B1DB1-Normal11"/>
              <w:jc w:val="center"/>
              <w:rPr>
                <w:noProof/>
              </w:rPr>
            </w:pPr>
            <w:r>
              <w:rPr>
                <w:noProof/>
              </w:rPr>
              <w:t>Т2 Г.</w:t>
            </w:r>
          </w:p>
        </w:tc>
        <w:tc>
          <w:tcPr>
            <w:tcW w:w="708" w:type="dxa"/>
            <w:shd w:val="clear" w:color="auto" w:fill="C6EFCE"/>
            <w:noWrap/>
            <w:vAlign w:val="center"/>
          </w:tcPr>
          <w:p w14:paraId="43E38F4E" w14:textId="77777777" w:rsidR="006054AA" w:rsidRDefault="001F7667">
            <w:pPr>
              <w:pStyle w:val="P68B1DB1-Normal11"/>
              <w:jc w:val="center"/>
              <w:rPr>
                <w:noProof/>
              </w:rPr>
            </w:pPr>
            <w:r>
              <w:rPr>
                <w:noProof/>
              </w:rPr>
              <w:t>2022</w:t>
            </w:r>
          </w:p>
        </w:tc>
        <w:tc>
          <w:tcPr>
            <w:tcW w:w="3686" w:type="dxa"/>
            <w:shd w:val="clear" w:color="auto" w:fill="C6EFCE"/>
            <w:noWrap/>
            <w:vAlign w:val="center"/>
          </w:tcPr>
          <w:p w14:paraId="0BFD7217" w14:textId="77777777" w:rsidR="006054AA" w:rsidRDefault="001F7667">
            <w:pPr>
              <w:pStyle w:val="P68B1DB1-Normal11"/>
              <w:spacing w:after="120"/>
              <w:jc w:val="both"/>
              <w:rPr>
                <w:noProof/>
              </w:rPr>
            </w:pPr>
            <w:r>
              <w:rPr>
                <w:noProof/>
              </w:rPr>
              <w:t>Уведомяване за възлагането на договорите на проектите, избрани в рамките на конкурсните покани за представяне на предложения, в съответствие с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150E8C2A" w14:textId="77777777" w:rsidR="006054AA" w:rsidRDefault="001F7667">
            <w:pPr>
              <w:pStyle w:val="P68B1DB1-Normal11"/>
              <w:spacing w:after="120"/>
              <w:jc w:val="both"/>
              <w:rPr>
                <w:noProof/>
              </w:rPr>
            </w:pPr>
            <w:r>
              <w:rPr>
                <w:noProof/>
              </w:rPr>
              <w:t>Проектите се избират за 30 % от средствата за интервенции „Научноизследователски и иновационни процеси, трансфер на технологии и сътрудничество между предприятия, насочени към нисковъглеродна икономика, устойчивост и адаптиране към изменението на климата „(IF022), а за 15 % от ресурсите — като интервенции „Научноизследователски и иновационни процеси, трансфер на технологии и сътрудничество между предприятията, насочени към кръговата икономика“ (IF023).</w:t>
            </w:r>
          </w:p>
          <w:p w14:paraId="6A23D663" w14:textId="77777777" w:rsidR="006054AA" w:rsidRDefault="001F7667">
            <w:pPr>
              <w:pStyle w:val="P68B1DB1-Normal11"/>
              <w:spacing w:after="120"/>
              <w:jc w:val="both"/>
              <w:rPr>
                <w:noProof/>
              </w:rPr>
            </w:pPr>
            <w:r>
              <w:rPr>
                <w:noProof/>
              </w:rPr>
              <w:t>Проектите се оценяват, като се вземат предвид тяхната осъществимост, устойчивост, съвместно основаване от други източници (например регионални фондове), участие на производствения сектор, качество на партньорите и въздействие върху социалната и екологичната устойчивост. Поканата за финансиране на проекти като иновационни екосистеми. Процедурата за подбор изисква оценка съгласно принципа за ненанасяне на значителни вреди и, когато е приложимо, стратегическа екологична оценка (СЕО), в случай че се очаква проектът да окаже последователно въздействие върху територията.</w:t>
            </w:r>
          </w:p>
        </w:tc>
      </w:tr>
      <w:tr w:rsidR="006054AA" w14:paraId="222EE43A" w14:textId="77777777">
        <w:trPr>
          <w:trHeight w:val="313"/>
        </w:trPr>
        <w:tc>
          <w:tcPr>
            <w:tcW w:w="1135" w:type="dxa"/>
            <w:shd w:val="clear" w:color="auto" w:fill="C6EFCE"/>
            <w:noWrap/>
            <w:vAlign w:val="center"/>
            <w:hideMark/>
          </w:tcPr>
          <w:p w14:paraId="06C818D4" w14:textId="77777777" w:rsidR="006054AA" w:rsidRDefault="001F7667">
            <w:pPr>
              <w:pStyle w:val="P68B1DB1-Normal11"/>
              <w:jc w:val="center"/>
              <w:rPr>
                <w:noProof/>
              </w:rPr>
            </w:pPr>
            <w:r>
              <w:rPr>
                <w:noProof/>
              </w:rPr>
              <w:t>M4C2—20</w:t>
            </w:r>
          </w:p>
        </w:tc>
        <w:tc>
          <w:tcPr>
            <w:tcW w:w="1419" w:type="dxa"/>
            <w:shd w:val="clear" w:color="auto" w:fill="C6EFCE"/>
            <w:noWrap/>
            <w:vAlign w:val="center"/>
            <w:hideMark/>
          </w:tcPr>
          <w:p w14:paraId="456D3596" w14:textId="77777777" w:rsidR="006054AA" w:rsidRDefault="001F7667">
            <w:pPr>
              <w:pStyle w:val="P68B1DB1-Normal11"/>
              <w:jc w:val="center"/>
              <w:rPr>
                <w:noProof/>
              </w:rPr>
            </w:pPr>
            <w:r>
              <w:rPr>
                <w:noProof/>
              </w:rPr>
              <w:t>Инвестиция 3.2: Финансиране на стартиращи предприятия</w:t>
            </w:r>
          </w:p>
        </w:tc>
        <w:tc>
          <w:tcPr>
            <w:tcW w:w="1132" w:type="dxa"/>
            <w:shd w:val="clear" w:color="auto" w:fill="C6EFCE"/>
            <w:noWrap/>
            <w:vAlign w:val="center"/>
            <w:hideMark/>
          </w:tcPr>
          <w:p w14:paraId="09AD9AA8" w14:textId="77777777" w:rsidR="006054AA" w:rsidRDefault="001F7667">
            <w:pPr>
              <w:pStyle w:val="P68B1DB1-Normal11"/>
              <w:jc w:val="center"/>
              <w:rPr>
                <w:noProof/>
              </w:rPr>
            </w:pPr>
            <w:r>
              <w:rPr>
                <w:noProof/>
              </w:rPr>
              <w:t>Ключов етап</w:t>
            </w:r>
          </w:p>
        </w:tc>
        <w:tc>
          <w:tcPr>
            <w:tcW w:w="1418" w:type="dxa"/>
            <w:shd w:val="clear" w:color="auto" w:fill="C6EFCE"/>
            <w:noWrap/>
            <w:vAlign w:val="center"/>
            <w:hideMark/>
          </w:tcPr>
          <w:p w14:paraId="6412C65E" w14:textId="77777777" w:rsidR="006054AA" w:rsidRDefault="001F7667">
            <w:pPr>
              <w:pStyle w:val="P68B1DB1-Normal11"/>
              <w:jc w:val="center"/>
              <w:rPr>
                <w:noProof/>
              </w:rPr>
            </w:pPr>
            <w:r>
              <w:rPr>
                <w:noProof/>
              </w:rPr>
              <w:t>Споразумението между правителството на информационните технологии и партньора по изпълнението Cassa Depositi e Prestiti (CDP) за създаване на подписания финансов инструмент</w:t>
            </w:r>
          </w:p>
        </w:tc>
        <w:tc>
          <w:tcPr>
            <w:tcW w:w="1275" w:type="dxa"/>
            <w:shd w:val="clear" w:color="auto" w:fill="C6EFCE"/>
            <w:noWrap/>
            <w:vAlign w:val="center"/>
            <w:hideMark/>
          </w:tcPr>
          <w:p w14:paraId="3F50EBD9" w14:textId="77777777" w:rsidR="006054AA" w:rsidRDefault="001F7667">
            <w:pPr>
              <w:pStyle w:val="P68B1DB1-Normal11"/>
              <w:jc w:val="center"/>
              <w:rPr>
                <w:noProof/>
              </w:rPr>
            </w:pPr>
            <w:r>
              <w:rPr>
                <w:noProof/>
              </w:rPr>
              <w:t>Споразумението е подписано от италианското правителство и Cassa Depositi e Prestiti</w:t>
            </w:r>
          </w:p>
        </w:tc>
        <w:tc>
          <w:tcPr>
            <w:tcW w:w="1134" w:type="dxa"/>
            <w:shd w:val="clear" w:color="auto" w:fill="C6EFCE"/>
            <w:noWrap/>
            <w:vAlign w:val="center"/>
            <w:hideMark/>
          </w:tcPr>
          <w:p w14:paraId="1E74CCA9"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01DC274C"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75DC2F0D" w14:textId="77777777" w:rsidR="006054AA" w:rsidRDefault="001F7667">
            <w:pPr>
              <w:pStyle w:val="P68B1DB1-Normal11"/>
              <w:jc w:val="center"/>
              <w:rPr>
                <w:noProof/>
              </w:rPr>
            </w:pPr>
            <w:r>
              <w:rPr>
                <w:noProof/>
              </w:rPr>
              <w:t>НЯМА</w:t>
            </w:r>
          </w:p>
        </w:tc>
        <w:tc>
          <w:tcPr>
            <w:tcW w:w="993" w:type="dxa"/>
            <w:shd w:val="clear" w:color="auto" w:fill="C6EFCE"/>
            <w:noWrap/>
            <w:vAlign w:val="center"/>
            <w:hideMark/>
          </w:tcPr>
          <w:p w14:paraId="1B05F885"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4F1BB4FF" w14:textId="77777777" w:rsidR="006054AA" w:rsidRDefault="001F7667">
            <w:pPr>
              <w:pStyle w:val="P68B1DB1-Normal11"/>
              <w:jc w:val="center"/>
              <w:rPr>
                <w:noProof/>
              </w:rPr>
            </w:pPr>
            <w:r>
              <w:rPr>
                <w:noProof/>
              </w:rPr>
              <w:t>2022</w:t>
            </w:r>
          </w:p>
        </w:tc>
        <w:tc>
          <w:tcPr>
            <w:tcW w:w="3686" w:type="dxa"/>
            <w:shd w:val="clear" w:color="auto" w:fill="C6EFCE"/>
            <w:noWrap/>
            <w:vAlign w:val="center"/>
            <w:hideMark/>
          </w:tcPr>
          <w:p w14:paraId="74FB7AB1" w14:textId="77777777" w:rsidR="006054AA" w:rsidRDefault="001F7667">
            <w:pPr>
              <w:pStyle w:val="P68B1DB1-Normal11"/>
              <w:jc w:val="both"/>
              <w:rPr>
                <w:noProof/>
              </w:rPr>
            </w:pPr>
            <w:r>
              <w:rPr>
                <w:noProof/>
              </w:rPr>
              <w:t>Елементите, които се включват в инвестиционната политика/стратегия на финансовия инструмент, са:</w:t>
            </w:r>
          </w:p>
          <w:p w14:paraId="6E9ED341"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Инвестиционни цели (размер на фонда, брой на операциите, суми, които трябва да бъдат подкрепени с течение на времето, диференцирани по бенефициери, като например МСП и дружества със средна пазарна капитализация/големи дружества)</w:t>
            </w:r>
          </w:p>
          <w:p w14:paraId="5E1B67A9"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Обхват и допустими бенефициери</w:t>
            </w:r>
          </w:p>
          <w:p w14:paraId="5C64B2C2"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Допустими финансови посредници и процес на подбор</w:t>
            </w:r>
          </w:p>
          <w:p w14:paraId="1E2A99B1"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Вид на предоставената подкрепа (например гаранции, заеми, собствен капитал и квазикапитал)</w:t>
            </w:r>
          </w:p>
          <w:p w14:paraId="6356CD47"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Целеви риск/възвръщаемост за всеки вид инвеститор</w:t>
            </w:r>
          </w:p>
          <w:p w14:paraId="140DFC8E"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Политика по отношение на риска и политика за борба с изпирането на пари</w:t>
            </w:r>
          </w:p>
          <w:p w14:paraId="779E8C4E"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Управление (партньори, управители на фондове, съвет, инвестиционен комитет, роля и отговорности)</w:t>
            </w:r>
          </w:p>
          <w:p w14:paraId="1879796F"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Диверсификация и пределни концентрации</w:t>
            </w:r>
          </w:p>
          <w:p w14:paraId="07345CC9" w14:textId="77777777" w:rsidR="006054AA" w:rsidRDefault="001F7667">
            <w:pPr>
              <w:pStyle w:val="P68B1DB1-Normal10"/>
              <w:ind w:left="176" w:hanging="176"/>
              <w:jc w:val="both"/>
              <w:rPr>
                <w:noProof/>
                <w:color w:val="006100"/>
                <w:sz w:val="20"/>
              </w:rPr>
            </w:pPr>
            <w:r>
              <w:rPr>
                <w:noProof/>
                <w:color w:val="006100"/>
                <w:sz w:val="20"/>
              </w:rPr>
              <w:t>-</w:t>
            </w:r>
            <w:r>
              <w:rPr>
                <w:noProof/>
              </w:rPr>
              <w:tab/>
            </w:r>
            <w:r>
              <w:rPr>
                <w:noProof/>
                <w:color w:val="006100"/>
                <w:sz w:val="20"/>
              </w:rPr>
              <w:t>Политика в областта на собствения капитал, включително стратегия за оттегляне на капиталовите инвестиции</w:t>
            </w:r>
          </w:p>
          <w:p w14:paraId="7ED84D1A" w14:textId="77777777" w:rsidR="006054AA" w:rsidRDefault="001F7667">
            <w:pPr>
              <w:pStyle w:val="P68B1DB1-Normal10"/>
              <w:ind w:left="176" w:hanging="142"/>
              <w:jc w:val="both"/>
              <w:rPr>
                <w:noProof/>
                <w:color w:val="006100"/>
                <w:sz w:val="20"/>
              </w:rPr>
            </w:pPr>
            <w:r>
              <w:rPr>
                <w:noProof/>
                <w:color w:val="006100"/>
                <w:sz w:val="20"/>
              </w:rPr>
              <w:t>-</w:t>
            </w:r>
            <w:r>
              <w:rPr>
                <w:noProof/>
              </w:rPr>
              <w:tab/>
            </w:r>
            <w:r>
              <w:rPr>
                <w:noProof/>
                <w:color w:val="006100"/>
                <w:sz w:val="20"/>
              </w:rPr>
              <w:t>Ненанасяне на значителни вреди и списък на политиката за проверка на устойчивостта и изключване</w:t>
            </w:r>
          </w:p>
          <w:p w14:paraId="4B12E697" w14:textId="77777777" w:rsidR="006054AA" w:rsidRDefault="001F7667">
            <w:pPr>
              <w:pStyle w:val="P68B1DB1-Normal10"/>
              <w:ind w:left="176" w:hanging="142"/>
              <w:jc w:val="both"/>
              <w:rPr>
                <w:noProof/>
                <w:color w:val="006100"/>
                <w:sz w:val="20"/>
              </w:rPr>
            </w:pPr>
            <w:r>
              <w:rPr>
                <w:noProof/>
                <w:color w:val="006100"/>
                <w:sz w:val="20"/>
              </w:rPr>
              <w:t>-</w:t>
            </w:r>
            <w:r>
              <w:rPr>
                <w:noProof/>
              </w:rPr>
              <w:tab/>
            </w:r>
            <w:r>
              <w:rPr>
                <w:noProof/>
                <w:color w:val="006100"/>
                <w:sz w:val="20"/>
              </w:rPr>
              <w:t>Политика за отпускане на заеми за дългови инвестиции, включително необходимите гаранции и обезпечения</w:t>
            </w:r>
          </w:p>
          <w:p w14:paraId="2F250A58" w14:textId="77777777" w:rsidR="006054AA" w:rsidRDefault="001F7667">
            <w:pPr>
              <w:pStyle w:val="P68B1DB1-Normal10"/>
              <w:ind w:left="176" w:hanging="142"/>
              <w:jc w:val="both"/>
              <w:rPr>
                <w:noProof/>
                <w:color w:val="006100"/>
                <w:sz w:val="20"/>
              </w:rPr>
            </w:pPr>
            <w:r>
              <w:rPr>
                <w:noProof/>
                <w:color w:val="006100"/>
                <w:sz w:val="20"/>
              </w:rPr>
              <w:t>-</w:t>
            </w:r>
            <w:r>
              <w:rPr>
                <w:noProof/>
              </w:rPr>
              <w:tab/>
            </w:r>
            <w:r>
              <w:rPr>
                <w:noProof/>
                <w:color w:val="006100"/>
                <w:sz w:val="20"/>
              </w:rPr>
              <w:t>График за набиране на средства и за изпълнение</w:t>
            </w:r>
          </w:p>
          <w:p w14:paraId="3B0AA37E" w14:textId="77777777" w:rsidR="006054AA" w:rsidRDefault="006054AA">
            <w:pPr>
              <w:ind w:left="176" w:hanging="142"/>
              <w:jc w:val="both"/>
              <w:rPr>
                <w:rFonts w:ascii="Arial Narrow" w:hAnsi="Arial Narrow"/>
                <w:noProof/>
                <w:color w:val="006100"/>
                <w:sz w:val="20"/>
              </w:rPr>
            </w:pPr>
          </w:p>
        </w:tc>
      </w:tr>
      <w:tr w:rsidR="006054AA" w14:paraId="795731B4" w14:textId="77777777">
        <w:trPr>
          <w:trHeight w:val="313"/>
        </w:trPr>
        <w:tc>
          <w:tcPr>
            <w:tcW w:w="1135" w:type="dxa"/>
            <w:shd w:val="clear" w:color="auto" w:fill="C6EFCE"/>
            <w:noWrap/>
            <w:hideMark/>
          </w:tcPr>
          <w:p w14:paraId="7BF65B89" w14:textId="77777777" w:rsidR="006054AA" w:rsidRDefault="001F7667">
            <w:pPr>
              <w:pStyle w:val="P68B1DB1-Normal11"/>
              <w:jc w:val="center"/>
              <w:rPr>
                <w:noProof/>
              </w:rPr>
            </w:pPr>
            <w:r>
              <w:rPr>
                <w:noProof/>
              </w:rPr>
              <w:t>M4C2—21bis</w:t>
            </w:r>
          </w:p>
        </w:tc>
        <w:tc>
          <w:tcPr>
            <w:tcW w:w="1419" w:type="dxa"/>
            <w:shd w:val="clear" w:color="auto" w:fill="C6EFCE"/>
            <w:noWrap/>
            <w:hideMark/>
          </w:tcPr>
          <w:p w14:paraId="35228823" w14:textId="77777777" w:rsidR="006054AA" w:rsidRDefault="001F7667">
            <w:pPr>
              <w:pStyle w:val="P68B1DB1-Normal11"/>
              <w:jc w:val="center"/>
              <w:rPr>
                <w:noProof/>
              </w:rPr>
            </w:pPr>
            <w:r>
              <w:rPr>
                <w:noProof/>
              </w:rPr>
              <w:t xml:space="preserve">Инвестиция 5.4 — Финансиране на стартиращи предприятия </w:t>
            </w:r>
          </w:p>
        </w:tc>
        <w:tc>
          <w:tcPr>
            <w:tcW w:w="1132" w:type="dxa"/>
            <w:shd w:val="clear" w:color="auto" w:fill="C6EFCE"/>
            <w:noWrap/>
            <w:hideMark/>
          </w:tcPr>
          <w:p w14:paraId="08CD79D0" w14:textId="4C1E852C" w:rsidR="006054AA" w:rsidRDefault="001F7667">
            <w:pPr>
              <w:pStyle w:val="P68B1DB1-Normal11"/>
              <w:jc w:val="center"/>
              <w:rPr>
                <w:noProof/>
              </w:rPr>
            </w:pPr>
            <w:r>
              <w:rPr>
                <w:noProof/>
              </w:rPr>
              <w:t>Ключов етап</w:t>
            </w:r>
          </w:p>
        </w:tc>
        <w:tc>
          <w:tcPr>
            <w:tcW w:w="1418" w:type="dxa"/>
            <w:shd w:val="clear" w:color="auto" w:fill="C6EFCE"/>
            <w:noWrap/>
            <w:hideMark/>
          </w:tcPr>
          <w:p w14:paraId="4DC6E4E6" w14:textId="77777777" w:rsidR="006054AA" w:rsidRDefault="001F7667">
            <w:pPr>
              <w:pStyle w:val="P68B1DB1-Normal11"/>
              <w:jc w:val="center"/>
              <w:rPr>
                <w:noProof/>
              </w:rPr>
            </w:pPr>
            <w:r>
              <w:rPr>
                <w:noProof/>
              </w:rPr>
              <w:t>Министерството приключи прехвърлянето на средства към CDP Venture Capital SGR</w:t>
            </w:r>
          </w:p>
        </w:tc>
        <w:tc>
          <w:tcPr>
            <w:tcW w:w="1275" w:type="dxa"/>
            <w:shd w:val="clear" w:color="auto" w:fill="C6EFCE"/>
            <w:noWrap/>
            <w:hideMark/>
          </w:tcPr>
          <w:p w14:paraId="62481834" w14:textId="77777777" w:rsidR="006054AA" w:rsidRDefault="001F7667">
            <w:pPr>
              <w:pStyle w:val="P68B1DB1-Normal11"/>
              <w:jc w:val="center"/>
              <w:rPr>
                <w:noProof/>
              </w:rPr>
            </w:pPr>
            <w:r>
              <w:rPr>
                <w:noProof/>
              </w:rPr>
              <w:t>Удостоверение за прехвърляне</w:t>
            </w:r>
          </w:p>
        </w:tc>
        <w:tc>
          <w:tcPr>
            <w:tcW w:w="1134" w:type="dxa"/>
            <w:shd w:val="clear" w:color="auto" w:fill="C6EFCE"/>
            <w:noWrap/>
            <w:hideMark/>
          </w:tcPr>
          <w:p w14:paraId="02D57C21" w14:textId="77777777" w:rsidR="006054AA" w:rsidRDefault="006054AA">
            <w:pPr>
              <w:jc w:val="center"/>
              <w:rPr>
                <w:rFonts w:ascii="Arial Narrow" w:hAnsi="Arial Narrow"/>
                <w:noProof/>
                <w:color w:val="006100"/>
                <w:sz w:val="20"/>
              </w:rPr>
            </w:pPr>
          </w:p>
        </w:tc>
        <w:tc>
          <w:tcPr>
            <w:tcW w:w="993" w:type="dxa"/>
            <w:shd w:val="clear" w:color="auto" w:fill="C6EFCE"/>
            <w:noWrap/>
            <w:hideMark/>
          </w:tcPr>
          <w:p w14:paraId="5307AD6B" w14:textId="77777777" w:rsidR="006054AA" w:rsidRDefault="006054AA">
            <w:pPr>
              <w:jc w:val="center"/>
              <w:rPr>
                <w:rFonts w:ascii="Arial Narrow" w:hAnsi="Arial Narrow"/>
                <w:noProof/>
                <w:color w:val="006100"/>
                <w:sz w:val="20"/>
              </w:rPr>
            </w:pPr>
          </w:p>
        </w:tc>
        <w:tc>
          <w:tcPr>
            <w:tcW w:w="1275" w:type="dxa"/>
            <w:shd w:val="clear" w:color="auto" w:fill="C6EFCE"/>
            <w:noWrap/>
            <w:hideMark/>
          </w:tcPr>
          <w:p w14:paraId="6894BAE3" w14:textId="77777777" w:rsidR="006054AA" w:rsidRDefault="006054AA">
            <w:pPr>
              <w:jc w:val="center"/>
              <w:rPr>
                <w:rFonts w:ascii="Arial Narrow" w:hAnsi="Arial Narrow"/>
                <w:noProof/>
                <w:color w:val="006100"/>
                <w:sz w:val="20"/>
              </w:rPr>
            </w:pPr>
          </w:p>
        </w:tc>
        <w:tc>
          <w:tcPr>
            <w:tcW w:w="993" w:type="dxa"/>
            <w:shd w:val="clear" w:color="auto" w:fill="C6EFCE"/>
            <w:noWrap/>
            <w:hideMark/>
          </w:tcPr>
          <w:p w14:paraId="2CD27F37" w14:textId="77777777" w:rsidR="006054AA" w:rsidRDefault="001F7667">
            <w:pPr>
              <w:pStyle w:val="P68B1DB1-Normal11"/>
              <w:jc w:val="center"/>
              <w:rPr>
                <w:noProof/>
              </w:rPr>
            </w:pPr>
            <w:r>
              <w:rPr>
                <w:noProof/>
              </w:rPr>
              <w:t>Т4 Г.</w:t>
            </w:r>
          </w:p>
        </w:tc>
        <w:tc>
          <w:tcPr>
            <w:tcW w:w="708" w:type="dxa"/>
            <w:shd w:val="clear" w:color="auto" w:fill="C6EFCE"/>
            <w:noWrap/>
            <w:hideMark/>
          </w:tcPr>
          <w:p w14:paraId="22673846" w14:textId="77777777" w:rsidR="006054AA" w:rsidRDefault="001F7667">
            <w:pPr>
              <w:pStyle w:val="P68B1DB1-Normal11"/>
              <w:jc w:val="center"/>
              <w:rPr>
                <w:noProof/>
              </w:rPr>
            </w:pPr>
            <w:r>
              <w:rPr>
                <w:noProof/>
              </w:rPr>
              <w:t>2024</w:t>
            </w:r>
          </w:p>
        </w:tc>
        <w:tc>
          <w:tcPr>
            <w:tcW w:w="3686" w:type="dxa"/>
            <w:shd w:val="clear" w:color="auto" w:fill="C6EFCE"/>
            <w:noWrap/>
            <w:hideMark/>
          </w:tcPr>
          <w:p w14:paraId="6CE6A05B" w14:textId="16F6BBCC" w:rsidR="006054AA" w:rsidRDefault="001F7667">
            <w:pPr>
              <w:pStyle w:val="P68B1DB1-Normal11"/>
              <w:rPr>
                <w:noProof/>
              </w:rPr>
            </w:pPr>
            <w:r>
              <w:rPr>
                <w:noProof/>
              </w:rPr>
              <w:t>Италия прехвърля 400 000 000 EUR на CDP рисков капитал за механизма.</w:t>
            </w:r>
          </w:p>
          <w:p w14:paraId="66A2B579" w14:textId="77777777" w:rsidR="006054AA" w:rsidRDefault="001F7667">
            <w:pPr>
              <w:pStyle w:val="P68B1DB1-Normal11"/>
              <w:rPr>
                <w:noProof/>
              </w:rPr>
            </w:pPr>
            <w:r>
              <w:rPr>
                <w:noProof/>
              </w:rPr>
              <w:t xml:space="preserve"> </w:t>
            </w:r>
          </w:p>
          <w:p w14:paraId="238D287E" w14:textId="1D4294C0" w:rsidR="006054AA" w:rsidRDefault="001F7667">
            <w:pPr>
              <w:pStyle w:val="P68B1DB1-Normal11"/>
              <w:rPr>
                <w:noProof/>
              </w:rPr>
            </w:pPr>
            <w:r>
              <w:rPr>
                <w:noProof/>
              </w:rPr>
              <w:t>Задоволителното изпълнение на целта изисква също така изменение на споразумението за изпълнение между Италия и CDP Venture Capital SGR и устава на механизма в съответствие с условията, определени в решението за изпълнение на Съвета.</w:t>
            </w:r>
          </w:p>
        </w:tc>
      </w:tr>
      <w:tr w:rsidR="006054AA" w14:paraId="12C84E78" w14:textId="77777777">
        <w:trPr>
          <w:trHeight w:val="313"/>
        </w:trPr>
        <w:tc>
          <w:tcPr>
            <w:tcW w:w="1135" w:type="dxa"/>
            <w:shd w:val="clear" w:color="auto" w:fill="C6EFCE"/>
            <w:noWrap/>
          </w:tcPr>
          <w:p w14:paraId="211AAE9E" w14:textId="77777777" w:rsidR="006054AA" w:rsidRDefault="001F7667">
            <w:pPr>
              <w:pStyle w:val="P68B1DB1-Normal11"/>
              <w:jc w:val="center"/>
              <w:rPr>
                <w:noProof/>
              </w:rPr>
            </w:pPr>
            <w:r>
              <w:rPr>
                <w:noProof/>
              </w:rPr>
              <w:t>M4C2—21</w:t>
            </w:r>
          </w:p>
        </w:tc>
        <w:tc>
          <w:tcPr>
            <w:tcW w:w="1419" w:type="dxa"/>
            <w:shd w:val="clear" w:color="auto" w:fill="C6EFCE"/>
            <w:noWrap/>
          </w:tcPr>
          <w:p w14:paraId="05040594" w14:textId="1590BA76" w:rsidR="006054AA" w:rsidRDefault="001F7667">
            <w:pPr>
              <w:pStyle w:val="P68B1DB1-Normal11"/>
              <w:jc w:val="center"/>
              <w:rPr>
                <w:noProof/>
              </w:rPr>
            </w:pPr>
            <w:r>
              <w:rPr>
                <w:noProof/>
              </w:rPr>
              <w:t>Инвестиция 5.4 — Финансиране на стартиращи предприятия.</w:t>
            </w:r>
          </w:p>
        </w:tc>
        <w:tc>
          <w:tcPr>
            <w:tcW w:w="1132" w:type="dxa"/>
            <w:shd w:val="clear" w:color="auto" w:fill="C6EFCE"/>
            <w:noWrap/>
          </w:tcPr>
          <w:p w14:paraId="0656B2EB" w14:textId="322F0AF6" w:rsidR="006054AA" w:rsidRDefault="001F7667">
            <w:pPr>
              <w:pStyle w:val="P68B1DB1-Normal11"/>
              <w:jc w:val="center"/>
              <w:rPr>
                <w:noProof/>
              </w:rPr>
            </w:pPr>
            <w:r>
              <w:rPr>
                <w:noProof/>
              </w:rPr>
              <w:t>Целеви</w:t>
            </w:r>
          </w:p>
        </w:tc>
        <w:tc>
          <w:tcPr>
            <w:tcW w:w="1418" w:type="dxa"/>
            <w:shd w:val="clear" w:color="auto" w:fill="C6EFCE"/>
            <w:noWrap/>
          </w:tcPr>
          <w:p w14:paraId="6439FE91" w14:textId="0409179E" w:rsidR="006054AA" w:rsidRDefault="001F7667">
            <w:pPr>
              <w:pStyle w:val="P68B1DB1-Normal11"/>
              <w:jc w:val="center"/>
              <w:rPr>
                <w:noProof/>
              </w:rPr>
            </w:pPr>
            <w:r>
              <w:rPr>
                <w:noProof/>
              </w:rPr>
              <w:t>Правни споразумения, подписани със стартиращи предприятия или фондове за рисков капитал</w:t>
            </w:r>
          </w:p>
        </w:tc>
        <w:tc>
          <w:tcPr>
            <w:tcW w:w="1275" w:type="dxa"/>
            <w:shd w:val="clear" w:color="auto" w:fill="C6EFCE"/>
            <w:noWrap/>
          </w:tcPr>
          <w:p w14:paraId="1FE7F8A3" w14:textId="77777777" w:rsidR="006054AA" w:rsidRDefault="001F7667">
            <w:pPr>
              <w:pStyle w:val="P68B1DB1-Normal11"/>
              <w:jc w:val="center"/>
              <w:rPr>
                <w:noProof/>
              </w:rPr>
            </w:pPr>
            <w:r>
              <w:rPr>
                <w:noProof/>
              </w:rPr>
              <w:t>Влизане в сила на правните споразумения за финансиране</w:t>
            </w:r>
          </w:p>
        </w:tc>
        <w:tc>
          <w:tcPr>
            <w:tcW w:w="1134" w:type="dxa"/>
            <w:shd w:val="clear" w:color="auto" w:fill="C6EFCE"/>
            <w:noWrap/>
          </w:tcPr>
          <w:p w14:paraId="213A57A3" w14:textId="77777777" w:rsidR="006054AA" w:rsidRDefault="001F7667">
            <w:pPr>
              <w:pStyle w:val="P68B1DB1-Normal11"/>
              <w:jc w:val="center"/>
              <w:rPr>
                <w:noProof/>
              </w:rPr>
            </w:pPr>
            <w:r>
              <w:rPr>
                <w:noProof/>
              </w:rPr>
              <w:t>ЕВРО</w:t>
            </w:r>
          </w:p>
        </w:tc>
        <w:tc>
          <w:tcPr>
            <w:tcW w:w="993" w:type="dxa"/>
            <w:shd w:val="clear" w:color="auto" w:fill="C6EFCE"/>
            <w:noWrap/>
          </w:tcPr>
          <w:p w14:paraId="5640DA8F" w14:textId="77777777" w:rsidR="006054AA" w:rsidRDefault="001F7667">
            <w:pPr>
              <w:pStyle w:val="P68B1DB1-Normal11"/>
              <w:jc w:val="center"/>
              <w:rPr>
                <w:noProof/>
              </w:rPr>
            </w:pPr>
            <w:r>
              <w:rPr>
                <w:noProof/>
              </w:rPr>
              <w:t>0</w:t>
            </w:r>
          </w:p>
        </w:tc>
        <w:tc>
          <w:tcPr>
            <w:tcW w:w="1275" w:type="dxa"/>
            <w:shd w:val="clear" w:color="auto" w:fill="C6EFCE"/>
            <w:noWrap/>
          </w:tcPr>
          <w:p w14:paraId="110D91B2" w14:textId="77777777" w:rsidR="006054AA" w:rsidRDefault="001F7667">
            <w:pPr>
              <w:pStyle w:val="P68B1DB1-Normal11"/>
              <w:jc w:val="center"/>
              <w:rPr>
                <w:noProof/>
              </w:rPr>
            </w:pPr>
            <w:r>
              <w:rPr>
                <w:noProof/>
              </w:rPr>
              <w:t>100 %</w:t>
            </w:r>
          </w:p>
        </w:tc>
        <w:tc>
          <w:tcPr>
            <w:tcW w:w="993" w:type="dxa"/>
            <w:shd w:val="clear" w:color="auto" w:fill="C6EFCE"/>
            <w:noWrap/>
          </w:tcPr>
          <w:p w14:paraId="509B02CD" w14:textId="77777777" w:rsidR="006054AA" w:rsidRDefault="001F7667">
            <w:pPr>
              <w:pStyle w:val="P68B1DB1-Normal11"/>
              <w:jc w:val="center"/>
              <w:rPr>
                <w:noProof/>
              </w:rPr>
            </w:pPr>
            <w:r>
              <w:rPr>
                <w:noProof/>
              </w:rPr>
              <w:t>Т2 Г.</w:t>
            </w:r>
          </w:p>
        </w:tc>
        <w:tc>
          <w:tcPr>
            <w:tcW w:w="708" w:type="dxa"/>
            <w:shd w:val="clear" w:color="auto" w:fill="C6EFCE"/>
            <w:noWrap/>
          </w:tcPr>
          <w:p w14:paraId="65C74198" w14:textId="77777777" w:rsidR="006054AA" w:rsidRDefault="001F7667">
            <w:pPr>
              <w:pStyle w:val="P68B1DB1-Normal11"/>
              <w:jc w:val="center"/>
              <w:rPr>
                <w:noProof/>
              </w:rPr>
            </w:pPr>
            <w:r>
              <w:rPr>
                <w:noProof/>
              </w:rPr>
              <w:t>2026</w:t>
            </w:r>
          </w:p>
        </w:tc>
        <w:tc>
          <w:tcPr>
            <w:tcW w:w="3686" w:type="dxa"/>
            <w:shd w:val="clear" w:color="auto" w:fill="C6EFCE"/>
            <w:noWrap/>
          </w:tcPr>
          <w:p w14:paraId="282C5D3B" w14:textId="77777777" w:rsidR="006054AA" w:rsidRDefault="001F7667">
            <w:pPr>
              <w:pStyle w:val="P68B1DB1-Normal11"/>
              <w:rPr>
                <w:noProof/>
              </w:rPr>
            </w:pPr>
            <w:r>
              <w:rPr>
                <w:noProof/>
              </w:rPr>
              <w:t>Cassa Depositi e Prestiti Venture Capital е сключило правни споразумения за финансиране със стартиращи предприятия, програми за инкубация/ускоряване или фондове за рисков капитал в размер, необходим за използване на 100 % от инвестицията по МВУ (400 милиона евро) в механизма (включително средния максимален таван от 13 % от таксите за управление и разходите на DTF за целия жизнен цикъл на фонда и също така включва предварителни условия за следващите инвестиционни кръгове, с изключение на пренесените заинтересовани страни, такси за постигнати резултати и всички разходи и такси за управление, свързани с фондове на трети страни.)</w:t>
            </w:r>
          </w:p>
          <w:p w14:paraId="54FF6C2B" w14:textId="0AE4FB7D" w:rsidR="006054AA" w:rsidRDefault="001F7667">
            <w:pPr>
              <w:pStyle w:val="P68B1DB1-Normal32"/>
              <w:rPr>
                <w:noProof/>
                <w:sz w:val="20"/>
              </w:rPr>
            </w:pPr>
            <w:r>
              <w:rPr>
                <w:noProof/>
              </w:rPr>
              <w:t xml:space="preserve"> </w:t>
            </w:r>
            <w:r>
              <w:rPr>
                <w:noProof/>
              </w:rPr>
              <w:br/>
            </w:r>
            <w:r>
              <w:rPr>
                <w:noProof/>
                <w:sz w:val="20"/>
              </w:rPr>
              <w:t>Инвестицията се разделя на следните два реда на намеса:</w:t>
            </w:r>
          </w:p>
          <w:p w14:paraId="65E57E3E" w14:textId="77777777" w:rsidR="006054AA" w:rsidRDefault="006054AA">
            <w:pPr>
              <w:jc w:val="center"/>
              <w:rPr>
                <w:rFonts w:ascii="Arial Narrow" w:hAnsi="Arial Narrow"/>
                <w:noProof/>
                <w:color w:val="006100"/>
                <w:sz w:val="20"/>
              </w:rPr>
            </w:pPr>
          </w:p>
          <w:p w14:paraId="3028FB73" w14:textId="77777777" w:rsidR="006054AA" w:rsidRDefault="001F7667">
            <w:pPr>
              <w:pStyle w:val="P68B1DB1-Normal11"/>
              <w:rPr>
                <w:noProof/>
              </w:rPr>
            </w:pPr>
            <w:r>
              <w:rPr>
                <w:noProof/>
              </w:rPr>
              <w:t>Преки инвестиции.</w:t>
            </w:r>
          </w:p>
          <w:p w14:paraId="2F4325F9" w14:textId="77777777" w:rsidR="006054AA" w:rsidRDefault="001F7667">
            <w:pPr>
              <w:pStyle w:val="P68B1DB1-Normal11"/>
              <w:rPr>
                <w:noProof/>
              </w:rPr>
            </w:pPr>
            <w:r>
              <w:rPr>
                <w:noProof/>
              </w:rPr>
              <w:t>Непреки инвестиции.</w:t>
            </w:r>
          </w:p>
          <w:p w14:paraId="3E1487F7" w14:textId="24A8F36A" w:rsidR="006054AA" w:rsidRDefault="006054AA">
            <w:pPr>
              <w:rPr>
                <w:rFonts w:ascii="Arial Narrow" w:hAnsi="Arial Narrow"/>
                <w:noProof/>
                <w:color w:val="006100"/>
                <w:sz w:val="20"/>
              </w:rPr>
            </w:pPr>
          </w:p>
          <w:p w14:paraId="0166DFC2" w14:textId="233BF477" w:rsidR="006054AA" w:rsidRDefault="001F7667">
            <w:pPr>
              <w:pStyle w:val="P68B1DB1-Normal11"/>
              <w:rPr>
                <w:noProof/>
              </w:rPr>
            </w:pPr>
            <w:r>
              <w:rPr>
                <w:noProof/>
              </w:rPr>
              <w:t>Що се отнася до непреките инвестиции във фондове за рисков капитал, Cassa Depositi e Prestiti Venture Capital е сключило правни споразумения за финансиране с фондове за рисков капитал в размер, необходим за индикативно използване на около 60 % от инвестициите по МВУ в механизма (с изключение на таксите за управление и разходите на DTF за целия жизнен цикъл на фонда).</w:t>
            </w:r>
          </w:p>
          <w:p w14:paraId="62A2CFC5" w14:textId="77777777" w:rsidR="006054AA" w:rsidRDefault="001F7667">
            <w:pPr>
              <w:pStyle w:val="P68B1DB1-Normal11"/>
              <w:rPr>
                <w:noProof/>
              </w:rPr>
            </w:pPr>
            <w:r>
              <w:rPr>
                <w:noProof/>
              </w:rPr>
              <w:t>По отношение на непреките инвестиции в стартиращи предприятия правните споразумения за финансиране с фондове за рисков капитал включват обвързващ ангажимент за постигане на кумулативен лостов ефект на вложения капитал както на равнището на фондовете, така и на равнището на стартиращите предприятия от най-малко 1x1 за целия жизнен цикъл на фонда.</w:t>
            </w:r>
          </w:p>
          <w:p w14:paraId="1B099E8C" w14:textId="093D32EB" w:rsidR="006054AA" w:rsidRDefault="006054AA">
            <w:pPr>
              <w:rPr>
                <w:rFonts w:ascii="Arial Narrow" w:hAnsi="Arial Narrow"/>
                <w:noProof/>
                <w:color w:val="006100"/>
                <w:sz w:val="20"/>
              </w:rPr>
            </w:pPr>
          </w:p>
          <w:p w14:paraId="5B1427F7" w14:textId="77777777" w:rsidR="006054AA" w:rsidRDefault="001F7667">
            <w:pPr>
              <w:pStyle w:val="P68B1DB1-Normal11"/>
              <w:rPr>
                <w:noProof/>
              </w:rPr>
            </w:pPr>
            <w:r>
              <w:rPr>
                <w:noProof/>
              </w:rPr>
              <w:t>Що се отнася до преките инвестиции, рисковият капитал на CDP трябва да е сключил правни споразумения за финансиране със стартиращи предприятия/програми за инкубация/ускоряване за сума, необходима за индикативно използване на около 40 % от инвестициите по МВУ (400 милиона евро) в механизма (включително такси за управление и разходи на DTF през жизнения цикъл на фонда).</w:t>
            </w:r>
          </w:p>
          <w:p w14:paraId="2F4E1708" w14:textId="4B4DF2A0" w:rsidR="006054AA" w:rsidRDefault="001F7667">
            <w:pPr>
              <w:pStyle w:val="P68B1DB1-Normal11"/>
              <w:rPr>
                <w:noProof/>
              </w:rPr>
            </w:pPr>
            <w:r>
              <w:rPr>
                <w:noProof/>
              </w:rPr>
              <w:t>Също така, що се отнася до преките инвестиции, споразумението за правно финансиране със стартиращи предприятия може да включва предварителни условия за следващите инвестиционни кръгове. (т.е. условията за отключване на финансирането от Serie B или Serie C).</w:t>
            </w:r>
          </w:p>
          <w:p w14:paraId="7870E667" w14:textId="77777777" w:rsidR="006054AA" w:rsidRDefault="006054AA">
            <w:pPr>
              <w:rPr>
                <w:rFonts w:ascii="Arial Narrow" w:hAnsi="Arial Narrow"/>
                <w:noProof/>
                <w:color w:val="006100"/>
                <w:sz w:val="20"/>
              </w:rPr>
            </w:pPr>
          </w:p>
          <w:p w14:paraId="1E43ED97" w14:textId="77777777" w:rsidR="006054AA" w:rsidRDefault="001F7667">
            <w:pPr>
              <w:pStyle w:val="P68B1DB1-Normal11"/>
              <w:rPr>
                <w:noProof/>
              </w:rPr>
            </w:pPr>
            <w:r>
              <w:rPr>
                <w:noProof/>
              </w:rPr>
              <w:t xml:space="preserve">Ангажиментите по тази мярка, сключени преди влизането в сила на измененията на инвестиционната политика на споразумението за изпълнение и в съответствие със споразумението по ключов етап [M4C2—20] предходната инвестиционна политика също се вземат предвид при постигането на целта. </w:t>
            </w:r>
          </w:p>
          <w:p w14:paraId="2EFE6A30" w14:textId="77777777" w:rsidR="006054AA" w:rsidRDefault="006054AA">
            <w:pPr>
              <w:rPr>
                <w:rFonts w:ascii="Arial Narrow" w:hAnsi="Arial Narrow"/>
                <w:noProof/>
                <w:color w:val="006100"/>
                <w:sz w:val="20"/>
              </w:rPr>
            </w:pPr>
          </w:p>
          <w:p w14:paraId="15199DD2" w14:textId="260A58CB" w:rsidR="006054AA" w:rsidRDefault="001F7667">
            <w:pPr>
              <w:pStyle w:val="P68B1DB1-Normal11"/>
              <w:rPr>
                <w:noProof/>
              </w:rPr>
            </w:pPr>
            <w:r>
              <w:rPr>
                <w:noProof/>
              </w:rPr>
              <w:t>От датата на влизане в сила на решението за изпълнение на Съвета новите ангажименти започват да следват новата инвестиционна политика съгласно новото решение за изпълнение на Съвета.</w:t>
            </w:r>
          </w:p>
        </w:tc>
      </w:tr>
      <w:tr w:rsidR="006054AA" w14:paraId="5A068EDA" w14:textId="77777777">
        <w:trPr>
          <w:trHeight w:val="313"/>
        </w:trPr>
        <w:tc>
          <w:tcPr>
            <w:tcW w:w="1135" w:type="dxa"/>
            <w:shd w:val="clear" w:color="auto" w:fill="C6EFCE"/>
            <w:noWrap/>
            <w:vAlign w:val="center"/>
            <w:hideMark/>
          </w:tcPr>
          <w:p w14:paraId="29770885" w14:textId="77777777" w:rsidR="006054AA" w:rsidRDefault="001F7667">
            <w:pPr>
              <w:pStyle w:val="P68B1DB1-Normal11"/>
              <w:jc w:val="center"/>
              <w:rPr>
                <w:noProof/>
              </w:rPr>
            </w:pPr>
            <w:r>
              <w:rPr>
                <w:noProof/>
              </w:rPr>
              <w:t>M4C2—22</w:t>
            </w:r>
          </w:p>
        </w:tc>
        <w:tc>
          <w:tcPr>
            <w:tcW w:w="1419" w:type="dxa"/>
            <w:shd w:val="clear" w:color="auto" w:fill="C6EFCE"/>
            <w:noWrap/>
            <w:vAlign w:val="center"/>
            <w:hideMark/>
          </w:tcPr>
          <w:p w14:paraId="568E8F43" w14:textId="77777777" w:rsidR="006054AA" w:rsidRDefault="001F7667">
            <w:pPr>
              <w:pStyle w:val="P68B1DB1-Normal11"/>
              <w:jc w:val="center"/>
              <w:rPr>
                <w:noProof/>
              </w:rPr>
            </w:pPr>
            <w:r>
              <w:rPr>
                <w:noProof/>
              </w:rPr>
              <w:t>Инвестиция 2.1: ВПОИ</w:t>
            </w:r>
          </w:p>
        </w:tc>
        <w:tc>
          <w:tcPr>
            <w:tcW w:w="1132" w:type="dxa"/>
            <w:shd w:val="clear" w:color="auto" w:fill="C6EFCE"/>
            <w:noWrap/>
            <w:vAlign w:val="center"/>
            <w:hideMark/>
          </w:tcPr>
          <w:p w14:paraId="361AD8FA" w14:textId="77777777" w:rsidR="006054AA" w:rsidRDefault="001F7667">
            <w:pPr>
              <w:pStyle w:val="P68B1DB1-Normal11"/>
              <w:jc w:val="center"/>
              <w:rPr>
                <w:noProof/>
              </w:rPr>
            </w:pPr>
            <w:r>
              <w:rPr>
                <w:noProof/>
              </w:rPr>
              <w:t>Целеви</w:t>
            </w:r>
          </w:p>
        </w:tc>
        <w:tc>
          <w:tcPr>
            <w:tcW w:w="1418" w:type="dxa"/>
            <w:shd w:val="clear" w:color="auto" w:fill="C6EFCE"/>
            <w:noWrap/>
            <w:vAlign w:val="center"/>
            <w:hideMark/>
          </w:tcPr>
          <w:p w14:paraId="3F02CE48" w14:textId="77777777" w:rsidR="006054AA" w:rsidRDefault="001F7667">
            <w:pPr>
              <w:pStyle w:val="P68B1DB1-Normal11"/>
              <w:jc w:val="center"/>
              <w:rPr>
                <w:noProof/>
              </w:rPr>
            </w:pPr>
            <w:r>
              <w:rPr>
                <w:noProof/>
              </w:rPr>
              <w:t>Брой на проектите, които са получили подкрепа</w:t>
            </w:r>
          </w:p>
        </w:tc>
        <w:tc>
          <w:tcPr>
            <w:tcW w:w="1275" w:type="dxa"/>
            <w:shd w:val="clear" w:color="auto" w:fill="C6EFCE"/>
            <w:noWrap/>
            <w:vAlign w:val="center"/>
            <w:hideMark/>
          </w:tcPr>
          <w:p w14:paraId="69B0635D"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2EE0E45E" w14:textId="77777777" w:rsidR="006054AA" w:rsidRDefault="001F7667">
            <w:pPr>
              <w:pStyle w:val="P68B1DB1-Normal11"/>
              <w:jc w:val="center"/>
              <w:rPr>
                <w:noProof/>
              </w:rPr>
            </w:pPr>
            <w:r>
              <w:rPr>
                <w:noProof/>
              </w:rPr>
              <w:t>Брой</w:t>
            </w:r>
          </w:p>
        </w:tc>
        <w:tc>
          <w:tcPr>
            <w:tcW w:w="993" w:type="dxa"/>
            <w:shd w:val="clear" w:color="auto" w:fill="C6EFCE"/>
            <w:noWrap/>
            <w:vAlign w:val="center"/>
            <w:hideMark/>
          </w:tcPr>
          <w:p w14:paraId="04A5AE1D" w14:textId="77777777" w:rsidR="006054AA" w:rsidRDefault="001F7667">
            <w:pPr>
              <w:pStyle w:val="P68B1DB1-Normal11"/>
              <w:jc w:val="center"/>
              <w:rPr>
                <w:noProof/>
              </w:rPr>
            </w:pPr>
            <w:r>
              <w:rPr>
                <w:noProof/>
              </w:rPr>
              <w:t>1</w:t>
            </w:r>
          </w:p>
        </w:tc>
        <w:tc>
          <w:tcPr>
            <w:tcW w:w="1275" w:type="dxa"/>
            <w:shd w:val="clear" w:color="auto" w:fill="C6EFCE"/>
            <w:noWrap/>
            <w:vAlign w:val="center"/>
            <w:hideMark/>
          </w:tcPr>
          <w:p w14:paraId="63153858" w14:textId="77777777" w:rsidR="006054AA" w:rsidRDefault="001F7667">
            <w:pPr>
              <w:pStyle w:val="P68B1DB1-Normal11"/>
              <w:jc w:val="center"/>
              <w:rPr>
                <w:noProof/>
              </w:rPr>
            </w:pPr>
            <w:r>
              <w:rPr>
                <w:noProof/>
              </w:rPr>
              <w:t>20</w:t>
            </w:r>
          </w:p>
        </w:tc>
        <w:tc>
          <w:tcPr>
            <w:tcW w:w="993" w:type="dxa"/>
            <w:shd w:val="clear" w:color="auto" w:fill="C6EFCE"/>
            <w:noWrap/>
            <w:vAlign w:val="center"/>
            <w:hideMark/>
          </w:tcPr>
          <w:p w14:paraId="401F6F72" w14:textId="77777777" w:rsidR="006054AA" w:rsidRDefault="001F7667">
            <w:pPr>
              <w:pStyle w:val="P68B1DB1-Normal11"/>
              <w:jc w:val="center"/>
              <w:rPr>
                <w:noProof/>
              </w:rPr>
            </w:pPr>
            <w:r>
              <w:rPr>
                <w:noProof/>
              </w:rPr>
              <w:t>Т2 Г.</w:t>
            </w:r>
          </w:p>
        </w:tc>
        <w:tc>
          <w:tcPr>
            <w:tcW w:w="708" w:type="dxa"/>
            <w:shd w:val="clear" w:color="auto" w:fill="C6EFCE"/>
            <w:noWrap/>
            <w:vAlign w:val="center"/>
            <w:hideMark/>
          </w:tcPr>
          <w:p w14:paraId="11033C56" w14:textId="77777777" w:rsidR="006054AA" w:rsidRDefault="001F7667">
            <w:pPr>
              <w:pStyle w:val="P68B1DB1-Normal11"/>
              <w:jc w:val="center"/>
              <w:rPr>
                <w:noProof/>
              </w:rPr>
            </w:pPr>
            <w:r>
              <w:rPr>
                <w:noProof/>
              </w:rPr>
              <w:t>2025</w:t>
            </w:r>
          </w:p>
        </w:tc>
        <w:tc>
          <w:tcPr>
            <w:tcW w:w="3686" w:type="dxa"/>
            <w:shd w:val="clear" w:color="auto" w:fill="C6EFCE"/>
            <w:noWrap/>
            <w:vAlign w:val="center"/>
            <w:hideMark/>
          </w:tcPr>
          <w:p w14:paraId="442E7380" w14:textId="77777777" w:rsidR="006054AA" w:rsidRDefault="001F7667">
            <w:pPr>
              <w:pStyle w:val="P68B1DB1-Normal11"/>
              <w:rPr>
                <w:noProof/>
              </w:rPr>
            </w:pPr>
            <w:r>
              <w:rPr>
                <w:noProof/>
              </w:rPr>
              <w:t>Най-малко 20 проекта, получаващи подкрепа чрез модела на ВПОИ;</w:t>
            </w:r>
          </w:p>
          <w:p w14:paraId="4511E18C" w14:textId="77777777" w:rsidR="006054AA" w:rsidRDefault="001F7667">
            <w:pPr>
              <w:pStyle w:val="P68B1DB1-Normal11"/>
              <w:rPr>
                <w:noProof/>
              </w:rPr>
            </w:pPr>
            <w:r>
              <w:rPr>
                <w:noProof/>
              </w:rPr>
              <w:t>Оценката на целевите стойности се основава на оперативните методи на проектите по ВПОИ, задействани в Италия (Микроелектроника 1, батерии 1, батерии 2).</w:t>
            </w:r>
          </w:p>
        </w:tc>
      </w:tr>
    </w:tbl>
    <w:p w14:paraId="0810DDCD" w14:textId="77777777" w:rsidR="006054AA" w:rsidRDefault="006054AA">
      <w:pPr>
        <w:rPr>
          <w:noProof/>
        </w:rPr>
        <w:sectPr w:rsidR="006054AA" w:rsidSect="005D6828">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440" w:right="1440" w:bottom="1440" w:left="1440" w:header="567" w:footer="567" w:gutter="0"/>
          <w:cols w:space="720"/>
          <w:docGrid w:linePitch="360"/>
        </w:sectPr>
      </w:pPr>
    </w:p>
    <w:p w14:paraId="395F6BE8" w14:textId="4805E0E7" w:rsidR="006054AA" w:rsidRDefault="001F7667">
      <w:pPr>
        <w:pStyle w:val="Heading2"/>
        <w:numPr>
          <w:ilvl w:val="1"/>
          <w:numId w:val="0"/>
        </w:numPr>
        <w:ind w:left="850" w:hanging="850"/>
        <w:rPr>
          <w:noProof/>
          <w:u w:val="single"/>
        </w:rPr>
      </w:pPr>
      <w:r>
        <w:rPr>
          <w:noProof/>
        </w:rPr>
        <w:t xml:space="preserve">Л. МИСИЯ 5, КОМПОНЕНТ 1: </w:t>
      </w:r>
      <w:r>
        <w:rPr>
          <w:noProof/>
          <w:u w:val="single"/>
        </w:rPr>
        <w:t>Политика по заетостта</w:t>
      </w:r>
    </w:p>
    <w:p w14:paraId="5F96819D" w14:textId="77777777" w:rsidR="006054AA" w:rsidRDefault="001F7667">
      <w:pPr>
        <w:spacing w:before="120" w:after="120"/>
        <w:jc w:val="both"/>
        <w:rPr>
          <w:rFonts w:eastAsia="Calibri"/>
          <w:noProof/>
        </w:rPr>
      </w:pPr>
      <w:r>
        <w:rPr>
          <w:noProof/>
        </w:rPr>
        <w:t xml:space="preserve">С мерките по този компонент </w:t>
      </w:r>
      <w:r>
        <w:rPr>
          <w:noProof/>
          <w:color w:val="000000" w:themeColor="text1"/>
        </w:rPr>
        <w:t xml:space="preserve">на италианския план за възстановяване и устойчивост </w:t>
      </w:r>
      <w:r>
        <w:rPr>
          <w:noProof/>
        </w:rPr>
        <w:t>се въвежда всеобхватна и интегрирана реформа на активните политики по заетостта и професионалното обучение. Очаква се укрепването на активните политики по заетостта и подобряването на изграждането на капацитет на публичните служби по заетостта (ПСЗ), включително тяхното интегриране с доставчиците на образование и обучение и частните оператори, да повишат ефикасността на услугите. Освен това мерките по този компонент са насочени към намаляване на социалната уязвимост към сътресения, по-специално чрез противодействие на недекларирания труд във всичките му форми и сектори чрез определяне на по-ефективни санкции и по-силни стимули за законна работа. Освен това този компонент насърчава равенството между половете (равно заплащане) чрез системата за сертифициране на равенството между половете. Тя инвестира и в младите хора, като увеличава количеството и качеството на програмите за обучение, например чрез участие в програмата за универсална публична служба.</w:t>
      </w:r>
    </w:p>
    <w:p w14:paraId="4943D292" w14:textId="69D53C9B" w:rsidR="006054AA" w:rsidRDefault="001F7667">
      <w:pPr>
        <w:spacing w:before="120" w:after="120"/>
        <w:jc w:val="both"/>
        <w:rPr>
          <w:noProof/>
        </w:rPr>
      </w:pPr>
      <w:r>
        <w:rPr>
          <w:noProof/>
        </w:rPr>
        <w:t>Очаква се изпълнението на тези мерки да допринесе за преодоляване на предизвикателствата, обхванати от специфичната за държавата препоръка 2 от 2020 г. относно пазара на труда, с която Италия се приканва да „Смекчете въздействието на кризата върху заетостта, включително чрез [...] активна подкрепа за заетостта „, специфичната за държавата препоръка 2 за „подкрепа на уменията (...), включително цифровите умения“, специфичната за държавата препоръка 2 от 2019 г. за „увеличаване на усилията за справяне с недекларирания труд, гарантиране, че активните политики в областта на пазара на труда и социалните политики (...) достигат по-специално до младите хора и уязвимите групи. Подкрепа за участието на жените на пазара на труда „и специфичната за държавата препоръка 2019 от 2 г. за „насърчаване на повишаването на квалификацията, включително чрез укрепване на цифровите умения“.</w:t>
      </w:r>
    </w:p>
    <w:p w14:paraId="49F1FE36" w14:textId="4CC63C2B" w:rsidR="006054AA" w:rsidRDefault="001F7667">
      <w:pPr>
        <w:pStyle w:val="Heading3"/>
        <w:numPr>
          <w:ilvl w:val="0"/>
          <w:numId w:val="0"/>
        </w:numPr>
        <w:ind w:left="850" w:hanging="850"/>
        <w:rPr>
          <w:b/>
          <w:i w:val="0"/>
          <w:noProof/>
          <w:color w:val="4F81BD" w:themeColor="accent1"/>
          <w:u w:val="single"/>
        </w:rPr>
      </w:pPr>
      <w:r>
        <w:rPr>
          <w:b/>
          <w:i w:val="0"/>
          <w:noProof/>
          <w:u w:val="single"/>
          <w:lang w:val="bg-BG"/>
        </w:rPr>
        <w:t>Л</w:t>
      </w:r>
      <w:r>
        <w:rPr>
          <w:b/>
          <w:i w:val="0"/>
          <w:noProof/>
          <w:u w:val="single"/>
        </w:rPr>
        <w:t xml:space="preserve">.1. </w:t>
      </w:r>
      <w:r>
        <w:rPr>
          <w:noProof/>
        </w:rPr>
        <w:tab/>
      </w:r>
      <w:r>
        <w:rPr>
          <w:b/>
          <w:i w:val="0"/>
          <w:noProof/>
          <w:u w:val="single"/>
        </w:rPr>
        <w:t>Описание на реформите и инвестициите за безвъзмездна финансова подкрепа</w:t>
      </w:r>
    </w:p>
    <w:p w14:paraId="44D8AE44" w14:textId="77777777" w:rsidR="006054AA" w:rsidRDefault="001F7667">
      <w:pPr>
        <w:pStyle w:val="P68B1DB1-Normal2"/>
        <w:spacing w:before="120" w:after="120"/>
        <w:jc w:val="both"/>
        <w:rPr>
          <w:noProof/>
          <w:color w:val="006100"/>
        </w:rPr>
      </w:pPr>
      <w:r>
        <w:rPr>
          <w:noProof/>
        </w:rPr>
        <w:t xml:space="preserve">Реформа 1 — Активни политики по заетостта и професионално обучение </w:t>
      </w:r>
    </w:p>
    <w:p w14:paraId="3595F18D" w14:textId="29087E73" w:rsidR="006054AA" w:rsidRDefault="001F7667">
      <w:pPr>
        <w:spacing w:before="120" w:after="120"/>
        <w:jc w:val="both"/>
        <w:rPr>
          <w:noProof/>
          <w:color w:val="000000" w:themeColor="text1"/>
        </w:rPr>
      </w:pPr>
      <w:r>
        <w:rPr>
          <w:noProof/>
        </w:rPr>
        <w:t xml:space="preserve">Целта на тази реформа е да се насърчи по-ефикасна активна система на пазара на труда чрез предоставяне на специфични услуги по заетостта и персонализирани планове за активизиране на пазара на труда. Създаването на </w:t>
      </w:r>
      <w:r>
        <w:rPr>
          <w:b/>
          <w:noProof/>
          <w:color w:val="000000" w:themeColor="text1"/>
        </w:rPr>
        <w:t xml:space="preserve">Национална програма за гарантирана заетост на работниците ( </w:t>
      </w:r>
      <w:r>
        <w:rPr>
          <w:noProof/>
          <w:color w:val="000000" w:themeColor="text1"/>
        </w:rPr>
        <w:t xml:space="preserve">GOL) дава възможност за предоставяне на индивидуализирани услуги на безработните, като по този начин се укрепват пътищата им за активизиране. Програмата GOL се придружава от </w:t>
      </w:r>
      <w:r>
        <w:rPr>
          <w:b/>
          <w:noProof/>
          <w:color w:val="000000" w:themeColor="text1"/>
        </w:rPr>
        <w:t>Националния план за нови умения</w:t>
      </w:r>
      <w:r>
        <w:rPr>
          <w:noProof/>
          <w:color w:val="000000" w:themeColor="text1"/>
        </w:rPr>
        <w:t xml:space="preserve"> и определянето на </w:t>
      </w:r>
      <w:r>
        <w:rPr>
          <w:b/>
          <w:noProof/>
          <w:color w:val="000000" w:themeColor="text1"/>
        </w:rPr>
        <w:t>национални основни равнища на мерки за професионално обучение. Системата</w:t>
      </w:r>
      <w:r>
        <w:rPr>
          <w:noProof/>
          <w:color w:val="000000" w:themeColor="text1"/>
        </w:rPr>
        <w:t xml:space="preserve">за ПОО в Италия се укрепва чрез насърчаване на териториална мрежа от служби в областта на образованието, обучението и заетостта, както и чрез разработване на приобщаваща система за учене през целия живот и иновативни пътища за повишаване на квалификацията и преквалификация. </w:t>
      </w:r>
    </w:p>
    <w:p w14:paraId="546072A2" w14:textId="77777777" w:rsidR="006054AA" w:rsidRDefault="001F7667">
      <w:pPr>
        <w:pStyle w:val="P68B1DB1-Normal2"/>
        <w:spacing w:before="120" w:after="120"/>
        <w:jc w:val="both"/>
        <w:rPr>
          <w:noProof/>
        </w:rPr>
      </w:pPr>
      <w:r>
        <w:rPr>
          <w:noProof/>
          <w:color w:val="000000" w:themeColor="text1"/>
        </w:rPr>
        <w:t xml:space="preserve">Инвестиция 1 — </w:t>
      </w:r>
      <w:r>
        <w:rPr>
          <w:noProof/>
        </w:rPr>
        <w:t>Укрепване на публичните служби по заетостта (ПСЗ)</w:t>
      </w:r>
    </w:p>
    <w:p w14:paraId="131A8479" w14:textId="77777777" w:rsidR="006054AA" w:rsidRDefault="001F7667">
      <w:pPr>
        <w:pStyle w:val="P68B1DB1-Normal16"/>
        <w:spacing w:before="120" w:after="120"/>
        <w:jc w:val="both"/>
        <w:rPr>
          <w:noProof/>
        </w:rPr>
      </w:pPr>
      <w:r>
        <w:rPr>
          <w:noProof/>
        </w:rPr>
        <w:t>Целта на тази инвестиция е да се даде възможност за ефективно предоставяне на услуги в областта на заетостта и обучението. Тази мярка включва инфраструктурни инвестиции, развитие на регионални обсерватории на пазара на труда, развитие на оперативната съвместимост между регионалните и националните информационни системи, разработване и прилагане на мерки за обучение с цел актуализиране на уменията на съветниците по заетостта. Мярката е предвиждала също така разработването и прилагането на съдържание и канали за комуникация на предлаганите услуги.</w:t>
      </w:r>
    </w:p>
    <w:p w14:paraId="1C4AC9ED" w14:textId="77777777" w:rsidR="006054AA" w:rsidRDefault="001F7667">
      <w:pPr>
        <w:pStyle w:val="P68B1DB1-Normal24"/>
        <w:spacing w:before="120" w:after="120"/>
        <w:jc w:val="both"/>
        <w:rPr>
          <w:noProof/>
        </w:rPr>
      </w:pPr>
      <w:r>
        <w:rPr>
          <w:noProof/>
        </w:rPr>
        <w:t>Реформа 2 — Национален план за противодействие на недекларирания труд</w:t>
      </w:r>
    </w:p>
    <w:p w14:paraId="074CAC52" w14:textId="7274A19B" w:rsidR="006054AA" w:rsidRDefault="001F7667">
      <w:pPr>
        <w:pStyle w:val="P68B1DB1-Normal16"/>
        <w:spacing w:before="120" w:after="120"/>
        <w:jc w:val="both"/>
        <w:rPr>
          <w:noProof/>
        </w:rPr>
      </w:pPr>
      <w:r>
        <w:rPr>
          <w:noProof/>
        </w:rPr>
        <w:t xml:space="preserve">Целта на тази мярка е да се подобрят качеството на труда и условията на работниците. Тази мярка включва действия, насочени към </w:t>
      </w:r>
      <w:r>
        <w:rPr>
          <w:b/>
          <w:noProof/>
        </w:rPr>
        <w:t>предотвратяване и противодействие на недекларирания труд</w:t>
      </w:r>
      <w:r>
        <w:rPr>
          <w:noProof/>
        </w:rPr>
        <w:t xml:space="preserve">, трудовата експлоатация (Caporalato) и други форми на нередовен труд. Реформата включва: И) въвеждане на преки и непреки мерки за преобразуване на недекларирания труд в деклариран труд, като се гарантира, че ползите от дейността в декларираната икономика надвишават разходите за работа в недекларираната икономика; II) укрепване на капацитета за инспекции на Националната инспекция по труда; III) подобряване на изготвянето, събирането и навременното разпространение на подробни данни за недекларирания труд; IV) подкрепа за процеса на преобразуване на недекларирания труд в редовен труд, подкрепа за приемането на възпиращи мерки и стимули за редовна работа; V) провеждане на комуникационни кампании, информационни дейности и дейности за повишаване на осведомеността; V) укрепване на системата на управление за борба с недекларирания труд на национално и местно равнище. </w:t>
      </w:r>
    </w:p>
    <w:p w14:paraId="237B7991" w14:textId="77777777" w:rsidR="006054AA" w:rsidRDefault="001F7667">
      <w:pPr>
        <w:pStyle w:val="P68B1DB1-Normal24"/>
        <w:spacing w:before="120" w:after="120"/>
        <w:jc w:val="both"/>
        <w:rPr>
          <w:noProof/>
        </w:rPr>
      </w:pPr>
      <w:r>
        <w:rPr>
          <w:noProof/>
        </w:rPr>
        <w:t>Инвестиция 2 — Система за сертифициране на равенството между половете</w:t>
      </w:r>
    </w:p>
    <w:p w14:paraId="61239ED3" w14:textId="0D4D4956" w:rsidR="006054AA" w:rsidRDefault="001F7667">
      <w:pPr>
        <w:spacing w:before="120" w:after="120"/>
        <w:jc w:val="both"/>
        <w:rPr>
          <w:noProof/>
        </w:rPr>
      </w:pPr>
      <w:r>
        <w:rPr>
          <w:noProof/>
          <w:color w:val="000000" w:themeColor="text1"/>
        </w:rPr>
        <w:t>Целта на тази мярка е да се гарантира по-голямо участие</w:t>
      </w:r>
      <w:r>
        <w:rPr>
          <w:noProof/>
        </w:rPr>
        <w:t>на жените на пазара на труда</w:t>
      </w:r>
      <w:r>
        <w:rPr>
          <w:noProof/>
          <w:color w:val="000000" w:themeColor="text1"/>
        </w:rPr>
        <w:t xml:space="preserve"> и да се намали разликата в заплащането на жените и мъжете. Тези инвестиции включват въвеждането и прилагането </w:t>
      </w:r>
      <w:r>
        <w:rPr>
          <w:noProof/>
        </w:rPr>
        <w:t xml:space="preserve">на </w:t>
      </w:r>
      <w:r>
        <w:rPr>
          <w:b/>
          <w:noProof/>
        </w:rPr>
        <w:t>националната система за сертифициране на равенството между половете</w:t>
      </w:r>
      <w:r>
        <w:rPr>
          <w:noProof/>
        </w:rPr>
        <w:t>, за да се насърчи прозрачността на пазара на труда, както и в бизнес процесите, и в средносрочен до дългосрочен план да се допринесе за подобряване на условията на труд на жените по отношение на качеството, възнаграждението и овластяването на жените.</w:t>
      </w:r>
    </w:p>
    <w:p w14:paraId="2E90FABE" w14:textId="77777777" w:rsidR="006054AA" w:rsidRDefault="001F7667">
      <w:pPr>
        <w:pStyle w:val="P68B1DB1-Normal2"/>
        <w:spacing w:before="120" w:after="120"/>
        <w:jc w:val="both"/>
        <w:rPr>
          <w:noProof/>
          <w:color w:val="000000" w:themeColor="text1"/>
        </w:rPr>
      </w:pPr>
      <w:r>
        <w:rPr>
          <w:noProof/>
        </w:rPr>
        <w:t>Инвестиция 3 — Укрепване на двойната система</w:t>
      </w:r>
    </w:p>
    <w:p w14:paraId="358A3496" w14:textId="5181B406" w:rsidR="006054AA" w:rsidRDefault="001F7667">
      <w:pPr>
        <w:spacing w:before="120" w:after="120"/>
        <w:jc w:val="both"/>
        <w:rPr>
          <w:noProof/>
        </w:rPr>
      </w:pPr>
      <w:r>
        <w:rPr>
          <w:noProof/>
        </w:rPr>
        <w:t xml:space="preserve">Целта на тази мярка е да се помогне на младите хора и възрастните без средно образование да получат достъп до възможности за заетост чрез увеличаване на броя на хората, участващи във формално образование и професионално образование и обучение чрез двойната система, включително чиракуването. Тези инвестиции допринасят за подобряване на взаимодействието между системите за образование и обучение и пазара на труда, както и за повишаване на пригодността за заетост на младите хора чрез придобиване на нови компетентности, в съответствие с цифровия и екологичния преход, с учене на работното място. Той допринася за: I) модернизиране на системата за образование и обучение чрез насърчаване на създаването на обучение на работното място и засилване на диалога с предприятията; II) увеличаване на финансовите средства за предлагане на обучение в маргинализирани райони; III) създаване на стабилно и приобщаващо управление, което включва икономическите и социалните партньори. </w:t>
      </w:r>
    </w:p>
    <w:p w14:paraId="12102082" w14:textId="77777777" w:rsidR="006054AA" w:rsidRDefault="001F7667">
      <w:pPr>
        <w:pStyle w:val="P68B1DB1-Normal2"/>
        <w:spacing w:before="120" w:after="120"/>
        <w:jc w:val="both"/>
        <w:rPr>
          <w:noProof/>
          <w:color w:val="000000" w:themeColor="text1"/>
        </w:rPr>
      </w:pPr>
      <w:r>
        <w:rPr>
          <w:noProof/>
        </w:rPr>
        <w:t>Инвестиция 4 —</w:t>
      </w:r>
      <w:r>
        <w:rPr>
          <w:noProof/>
          <w:color w:val="000000" w:themeColor="text1"/>
        </w:rPr>
        <w:t>Укрепване на универсалната публична служба</w:t>
      </w:r>
    </w:p>
    <w:p w14:paraId="331AFF62" w14:textId="04C0B345" w:rsidR="006054AA" w:rsidRDefault="001F7667">
      <w:pPr>
        <w:spacing w:before="120" w:after="120"/>
        <w:jc w:val="both"/>
        <w:rPr>
          <w:noProof/>
          <w:color w:val="000000" w:themeColor="text1"/>
        </w:rPr>
      </w:pPr>
      <w:r>
        <w:rPr>
          <w:noProof/>
        </w:rPr>
        <w:t xml:space="preserve">Целта на тази мярка е да се укрепи универсалната публична служба, да се увеличи броят на младите хора, участващи в неформално учене, и да се подобрят техните знания и умения. Тези инвестиции включват мерки за повишаване на осведомеността относно значението на активното гражданство, насърчаване на </w:t>
      </w:r>
      <w:r>
        <w:rPr>
          <w:noProof/>
          <w:color w:val="000000" w:themeColor="text1"/>
        </w:rPr>
        <w:t>пригодността за заетост на младите хора и социалното сближаване, като се обръща специално внимание на екологичния и цифровия преход.</w:t>
      </w:r>
    </w:p>
    <w:p w14:paraId="2DC41CC8" w14:textId="35B7EA15" w:rsidR="006054AA" w:rsidRDefault="001F7667">
      <w:pPr>
        <w:pStyle w:val="Heading3"/>
        <w:numPr>
          <w:ilvl w:val="0"/>
          <w:numId w:val="0"/>
        </w:numPr>
        <w:ind w:left="850" w:hanging="850"/>
        <w:rPr>
          <w:b/>
          <w:i w:val="0"/>
          <w:noProof/>
          <w:u w:val="single"/>
        </w:rPr>
      </w:pPr>
      <w:r>
        <w:rPr>
          <w:b/>
          <w:i w:val="0"/>
          <w:noProof/>
          <w:u w:val="single"/>
          <w:lang w:val="bg-BG"/>
        </w:rPr>
        <w:t>Л</w:t>
      </w:r>
      <w:r>
        <w:rPr>
          <w:b/>
          <w:i w:val="0"/>
          <w:noProof/>
          <w:u w:val="single"/>
        </w:rPr>
        <w:t xml:space="preserve">.2.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5790F7C0" w14:textId="77777777" w:rsidR="006054AA" w:rsidRDefault="006054AA">
      <w:pPr>
        <w:spacing w:before="120" w:after="120"/>
        <w:ind w:left="709"/>
        <w:jc w:val="both"/>
        <w:rPr>
          <w:noProof/>
        </w:rPr>
        <w:sectPr w:rsidR="006054AA">
          <w:headerReference w:type="even" r:id="rId278"/>
          <w:headerReference w:type="default" r:id="rId279"/>
          <w:footerReference w:type="even" r:id="rId280"/>
          <w:footerReference w:type="default" r:id="rId281"/>
          <w:headerReference w:type="first" r:id="rId282"/>
          <w:footerReference w:type="first" r:id="rId283"/>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81"/>
        <w:gridCol w:w="1597"/>
        <w:gridCol w:w="1470"/>
        <w:gridCol w:w="1275"/>
        <w:gridCol w:w="1134"/>
        <w:gridCol w:w="1134"/>
        <w:gridCol w:w="851"/>
        <w:gridCol w:w="709"/>
        <w:gridCol w:w="2835"/>
      </w:tblGrid>
      <w:tr w:rsidR="006054AA" w14:paraId="7C89DE0E" w14:textId="77777777">
        <w:trPr>
          <w:trHeight w:val="633"/>
          <w:tblHeader/>
          <w:jc w:val="center"/>
        </w:trPr>
        <w:tc>
          <w:tcPr>
            <w:tcW w:w="1364" w:type="dxa"/>
            <w:vMerge w:val="restart"/>
            <w:shd w:val="clear" w:color="auto" w:fill="BDD7EE"/>
            <w:vAlign w:val="center"/>
            <w:hideMark/>
          </w:tcPr>
          <w:p w14:paraId="6F7D6B72" w14:textId="77777777" w:rsidR="006054AA" w:rsidRDefault="001F7667">
            <w:pPr>
              <w:pStyle w:val="P68B1DB1-Normal9"/>
              <w:jc w:val="center"/>
              <w:rPr>
                <w:noProof/>
              </w:rPr>
            </w:pPr>
            <w:r>
              <w:rPr>
                <w:noProof/>
              </w:rPr>
              <w:t>Пореден номер</w:t>
            </w:r>
          </w:p>
        </w:tc>
        <w:tc>
          <w:tcPr>
            <w:tcW w:w="1513" w:type="dxa"/>
            <w:vMerge w:val="restart"/>
            <w:shd w:val="clear" w:color="auto" w:fill="BDD7EE"/>
            <w:vAlign w:val="center"/>
            <w:hideMark/>
          </w:tcPr>
          <w:p w14:paraId="398FE76E" w14:textId="77777777" w:rsidR="006054AA" w:rsidRDefault="001F7667">
            <w:pPr>
              <w:pStyle w:val="P68B1DB1-Normal9"/>
              <w:jc w:val="center"/>
              <w:rPr>
                <w:noProof/>
              </w:rPr>
            </w:pPr>
            <w:r>
              <w:rPr>
                <w:noProof/>
              </w:rPr>
              <w:t>Свързана мярка (реформа или инвестиции)</w:t>
            </w:r>
          </w:p>
        </w:tc>
        <w:tc>
          <w:tcPr>
            <w:tcW w:w="1281" w:type="dxa"/>
            <w:vMerge w:val="restart"/>
            <w:shd w:val="clear" w:color="auto" w:fill="BDD7EE"/>
            <w:vAlign w:val="center"/>
            <w:hideMark/>
          </w:tcPr>
          <w:p w14:paraId="60AE39E8" w14:textId="77777777" w:rsidR="006054AA" w:rsidRDefault="001F7667">
            <w:pPr>
              <w:pStyle w:val="P68B1DB1-Normal9"/>
              <w:jc w:val="center"/>
              <w:rPr>
                <w:noProof/>
              </w:rPr>
            </w:pPr>
            <w:r>
              <w:rPr>
                <w:noProof/>
              </w:rPr>
              <w:t>Ключов етап/Цел</w:t>
            </w:r>
          </w:p>
        </w:tc>
        <w:tc>
          <w:tcPr>
            <w:tcW w:w="1597" w:type="dxa"/>
            <w:vMerge w:val="restart"/>
            <w:shd w:val="clear" w:color="auto" w:fill="BDD7EE"/>
            <w:vAlign w:val="center"/>
            <w:hideMark/>
          </w:tcPr>
          <w:p w14:paraId="16F0560C" w14:textId="77777777" w:rsidR="006054AA" w:rsidRDefault="001F7667">
            <w:pPr>
              <w:pStyle w:val="P68B1DB1-Normal9"/>
              <w:jc w:val="center"/>
              <w:rPr>
                <w:noProof/>
              </w:rPr>
            </w:pPr>
            <w:r>
              <w:rPr>
                <w:noProof/>
              </w:rPr>
              <w:t>Име</w:t>
            </w:r>
          </w:p>
        </w:tc>
        <w:tc>
          <w:tcPr>
            <w:tcW w:w="1470" w:type="dxa"/>
            <w:vMerge w:val="restart"/>
            <w:shd w:val="clear" w:color="auto" w:fill="BDD7EE"/>
            <w:vAlign w:val="center"/>
            <w:hideMark/>
          </w:tcPr>
          <w:p w14:paraId="1D21B8E4" w14:textId="77777777" w:rsidR="006054AA" w:rsidRDefault="001F7667">
            <w:pPr>
              <w:pStyle w:val="P68B1DB1-Normal19"/>
              <w:jc w:val="center"/>
              <w:rPr>
                <w:b/>
                <w:noProof/>
              </w:rPr>
            </w:pPr>
            <w:r>
              <w:rPr>
                <w:b/>
                <w:noProof/>
              </w:rPr>
              <w:t>Качествени индикатори</w:t>
            </w:r>
            <w:r>
              <w:rPr>
                <w:noProof/>
              </w:rPr>
              <w:t xml:space="preserve"> </w:t>
            </w:r>
            <w:r>
              <w:rPr>
                <w:noProof/>
              </w:rPr>
              <w:br/>
            </w:r>
            <w:r>
              <w:rPr>
                <w:b/>
                <w:noProof/>
              </w:rPr>
              <w:t>(за ключовите етапи)</w:t>
            </w:r>
          </w:p>
        </w:tc>
        <w:tc>
          <w:tcPr>
            <w:tcW w:w="3543" w:type="dxa"/>
            <w:gridSpan w:val="3"/>
            <w:shd w:val="clear" w:color="auto" w:fill="BDD7EE"/>
            <w:vAlign w:val="center"/>
            <w:hideMark/>
          </w:tcPr>
          <w:p w14:paraId="31BED4F3" w14:textId="77777777" w:rsidR="006054AA" w:rsidRDefault="001F7667">
            <w:pPr>
              <w:pStyle w:val="P68B1DB1-Normal19"/>
              <w:jc w:val="center"/>
              <w:rPr>
                <w:b/>
                <w:noProof/>
              </w:rPr>
            </w:pPr>
            <w:r>
              <w:rPr>
                <w:b/>
                <w:noProof/>
              </w:rPr>
              <w:t>Количествени индикатори</w:t>
            </w:r>
            <w:r>
              <w:rPr>
                <w:noProof/>
              </w:rPr>
              <w:t xml:space="preserve"> </w:t>
            </w:r>
            <w:r>
              <w:rPr>
                <w:noProof/>
              </w:rPr>
              <w:br/>
            </w:r>
            <w:r>
              <w:rPr>
                <w:b/>
                <w:noProof/>
              </w:rPr>
              <w:t>(за целите)</w:t>
            </w:r>
          </w:p>
        </w:tc>
        <w:tc>
          <w:tcPr>
            <w:tcW w:w="1560" w:type="dxa"/>
            <w:gridSpan w:val="2"/>
            <w:shd w:val="clear" w:color="auto" w:fill="BDD7EE"/>
            <w:vAlign w:val="center"/>
            <w:hideMark/>
          </w:tcPr>
          <w:p w14:paraId="00FC4B1E" w14:textId="77777777" w:rsidR="006054AA" w:rsidRDefault="001F7667">
            <w:pPr>
              <w:pStyle w:val="P68B1DB1-Normal9"/>
              <w:jc w:val="center"/>
              <w:rPr>
                <w:noProof/>
              </w:rPr>
            </w:pPr>
            <w:r>
              <w:rPr>
                <w:noProof/>
              </w:rPr>
              <w:t>Примерен график за приключване</w:t>
            </w:r>
          </w:p>
        </w:tc>
        <w:tc>
          <w:tcPr>
            <w:tcW w:w="2835" w:type="dxa"/>
            <w:vMerge w:val="restart"/>
            <w:shd w:val="clear" w:color="auto" w:fill="BDD7EE"/>
            <w:vAlign w:val="center"/>
            <w:hideMark/>
          </w:tcPr>
          <w:p w14:paraId="69DA7365" w14:textId="77777777" w:rsidR="006054AA" w:rsidRDefault="001F7667">
            <w:pPr>
              <w:pStyle w:val="P68B1DB1-Normal9"/>
              <w:jc w:val="center"/>
              <w:rPr>
                <w:noProof/>
              </w:rPr>
            </w:pPr>
            <w:r>
              <w:rPr>
                <w:noProof/>
              </w:rPr>
              <w:t>Описание на всеки ключов етап и цел</w:t>
            </w:r>
          </w:p>
        </w:tc>
      </w:tr>
      <w:tr w:rsidR="006054AA" w14:paraId="76BC4635" w14:textId="77777777">
        <w:trPr>
          <w:trHeight w:val="632"/>
          <w:jc w:val="center"/>
        </w:trPr>
        <w:tc>
          <w:tcPr>
            <w:tcW w:w="1364" w:type="dxa"/>
            <w:vMerge/>
            <w:vAlign w:val="center"/>
          </w:tcPr>
          <w:p w14:paraId="5018A7C3" w14:textId="77777777" w:rsidR="006054AA" w:rsidRDefault="006054AA">
            <w:pPr>
              <w:jc w:val="center"/>
              <w:rPr>
                <w:rFonts w:ascii="Arial Narrow" w:hAnsi="Arial Narrow"/>
                <w:b/>
                <w:noProof/>
                <w:sz w:val="20"/>
              </w:rPr>
            </w:pPr>
          </w:p>
        </w:tc>
        <w:tc>
          <w:tcPr>
            <w:tcW w:w="1513" w:type="dxa"/>
            <w:vMerge/>
            <w:vAlign w:val="center"/>
          </w:tcPr>
          <w:p w14:paraId="5CE8B43D" w14:textId="77777777" w:rsidR="006054AA" w:rsidRDefault="006054AA">
            <w:pPr>
              <w:jc w:val="center"/>
              <w:rPr>
                <w:rFonts w:ascii="Arial Narrow" w:hAnsi="Arial Narrow"/>
                <w:b/>
                <w:noProof/>
                <w:sz w:val="20"/>
              </w:rPr>
            </w:pPr>
          </w:p>
        </w:tc>
        <w:tc>
          <w:tcPr>
            <w:tcW w:w="1281" w:type="dxa"/>
            <w:vMerge/>
            <w:vAlign w:val="center"/>
          </w:tcPr>
          <w:p w14:paraId="66575E2D" w14:textId="77777777" w:rsidR="006054AA" w:rsidRDefault="006054AA">
            <w:pPr>
              <w:jc w:val="center"/>
              <w:rPr>
                <w:rFonts w:ascii="Arial Narrow" w:hAnsi="Arial Narrow"/>
                <w:b/>
                <w:noProof/>
                <w:sz w:val="20"/>
              </w:rPr>
            </w:pPr>
          </w:p>
        </w:tc>
        <w:tc>
          <w:tcPr>
            <w:tcW w:w="1597" w:type="dxa"/>
            <w:vMerge/>
            <w:vAlign w:val="center"/>
          </w:tcPr>
          <w:p w14:paraId="40C4D245" w14:textId="77777777" w:rsidR="006054AA" w:rsidRDefault="006054AA">
            <w:pPr>
              <w:jc w:val="center"/>
              <w:rPr>
                <w:rFonts w:ascii="Arial Narrow" w:hAnsi="Arial Narrow"/>
                <w:b/>
                <w:noProof/>
                <w:sz w:val="20"/>
              </w:rPr>
            </w:pPr>
          </w:p>
        </w:tc>
        <w:tc>
          <w:tcPr>
            <w:tcW w:w="1470" w:type="dxa"/>
            <w:vMerge/>
            <w:vAlign w:val="center"/>
          </w:tcPr>
          <w:p w14:paraId="59C36673" w14:textId="77777777" w:rsidR="006054AA" w:rsidRDefault="006054AA">
            <w:pPr>
              <w:jc w:val="center"/>
              <w:rPr>
                <w:rFonts w:ascii="Arial Narrow" w:hAnsi="Arial Narrow"/>
                <w:b/>
                <w:noProof/>
                <w:sz w:val="20"/>
              </w:rPr>
            </w:pPr>
          </w:p>
        </w:tc>
        <w:tc>
          <w:tcPr>
            <w:tcW w:w="1275" w:type="dxa"/>
            <w:shd w:val="clear" w:color="auto" w:fill="BDD7EE"/>
            <w:vAlign w:val="center"/>
          </w:tcPr>
          <w:p w14:paraId="383E2B43" w14:textId="77777777" w:rsidR="006054AA" w:rsidRDefault="001F7667">
            <w:pPr>
              <w:pStyle w:val="P68B1DB1-Normal9"/>
              <w:jc w:val="center"/>
              <w:rPr>
                <w:noProof/>
              </w:rPr>
            </w:pPr>
            <w:r>
              <w:rPr>
                <w:noProof/>
              </w:rPr>
              <w:t>Единица мярка</w:t>
            </w:r>
          </w:p>
        </w:tc>
        <w:tc>
          <w:tcPr>
            <w:tcW w:w="1134" w:type="dxa"/>
            <w:shd w:val="clear" w:color="auto" w:fill="BDD7EE"/>
            <w:vAlign w:val="center"/>
          </w:tcPr>
          <w:p w14:paraId="440E68E1" w14:textId="77777777" w:rsidR="006054AA" w:rsidRDefault="001F7667">
            <w:pPr>
              <w:pStyle w:val="P68B1DB1-Normal9"/>
              <w:jc w:val="center"/>
              <w:rPr>
                <w:noProof/>
              </w:rPr>
            </w:pPr>
            <w:r>
              <w:rPr>
                <w:noProof/>
              </w:rPr>
              <w:t>Базова линия</w:t>
            </w:r>
          </w:p>
        </w:tc>
        <w:tc>
          <w:tcPr>
            <w:tcW w:w="1134" w:type="dxa"/>
            <w:shd w:val="clear" w:color="auto" w:fill="BDD7EE"/>
            <w:vAlign w:val="center"/>
          </w:tcPr>
          <w:p w14:paraId="77DA5AC6" w14:textId="77777777" w:rsidR="006054AA" w:rsidRDefault="001F7667">
            <w:pPr>
              <w:pStyle w:val="P68B1DB1-Normal9"/>
              <w:jc w:val="center"/>
              <w:rPr>
                <w:noProof/>
              </w:rPr>
            </w:pPr>
            <w:r>
              <w:rPr>
                <w:noProof/>
              </w:rPr>
              <w:t>Цел</w:t>
            </w:r>
          </w:p>
        </w:tc>
        <w:tc>
          <w:tcPr>
            <w:tcW w:w="851" w:type="dxa"/>
            <w:shd w:val="clear" w:color="auto" w:fill="BDD7EE"/>
            <w:vAlign w:val="center"/>
          </w:tcPr>
          <w:p w14:paraId="0ED9525F" w14:textId="77777777" w:rsidR="006054AA" w:rsidRDefault="001F7667">
            <w:pPr>
              <w:pStyle w:val="P68B1DB1-Normal9"/>
              <w:jc w:val="center"/>
              <w:rPr>
                <w:noProof/>
              </w:rPr>
            </w:pPr>
            <w:r>
              <w:rPr>
                <w:noProof/>
              </w:rPr>
              <w:t>Тримесечие</w:t>
            </w:r>
          </w:p>
        </w:tc>
        <w:tc>
          <w:tcPr>
            <w:tcW w:w="709" w:type="dxa"/>
            <w:shd w:val="clear" w:color="auto" w:fill="BDD7EE"/>
            <w:vAlign w:val="center"/>
          </w:tcPr>
          <w:p w14:paraId="4239C47A" w14:textId="77777777" w:rsidR="006054AA" w:rsidRDefault="001F7667">
            <w:pPr>
              <w:pStyle w:val="P68B1DB1-Normal9"/>
              <w:jc w:val="center"/>
              <w:rPr>
                <w:noProof/>
              </w:rPr>
            </w:pPr>
            <w:r>
              <w:rPr>
                <w:noProof/>
              </w:rPr>
              <w:t>Година</w:t>
            </w:r>
          </w:p>
        </w:tc>
        <w:tc>
          <w:tcPr>
            <w:tcW w:w="2835" w:type="dxa"/>
            <w:vMerge/>
            <w:vAlign w:val="center"/>
          </w:tcPr>
          <w:p w14:paraId="3D335E7A" w14:textId="77777777" w:rsidR="006054AA" w:rsidRDefault="006054AA">
            <w:pPr>
              <w:jc w:val="center"/>
              <w:rPr>
                <w:rFonts w:ascii="Arial Narrow" w:hAnsi="Arial Narrow"/>
                <w:b/>
                <w:noProof/>
                <w:sz w:val="20"/>
              </w:rPr>
            </w:pPr>
          </w:p>
        </w:tc>
      </w:tr>
      <w:tr w:rsidR="006054AA" w14:paraId="580512F7" w14:textId="77777777">
        <w:trPr>
          <w:trHeight w:val="309"/>
          <w:jc w:val="center"/>
        </w:trPr>
        <w:tc>
          <w:tcPr>
            <w:tcW w:w="1364" w:type="dxa"/>
            <w:shd w:val="clear" w:color="auto" w:fill="C6EFCE"/>
            <w:noWrap/>
            <w:vAlign w:val="center"/>
            <w:hideMark/>
          </w:tcPr>
          <w:p w14:paraId="2FDE61EE" w14:textId="77777777" w:rsidR="006054AA" w:rsidRDefault="001F7667">
            <w:pPr>
              <w:pStyle w:val="P68B1DB1-Normal11"/>
              <w:jc w:val="center"/>
              <w:rPr>
                <w:noProof/>
              </w:rPr>
            </w:pPr>
            <w:r>
              <w:rPr>
                <w:noProof/>
              </w:rPr>
              <w:t xml:space="preserve">M5C1—1 </w:t>
            </w:r>
          </w:p>
        </w:tc>
        <w:tc>
          <w:tcPr>
            <w:tcW w:w="1513" w:type="dxa"/>
            <w:shd w:val="clear" w:color="auto" w:fill="C6EFCE"/>
            <w:noWrap/>
            <w:vAlign w:val="center"/>
            <w:hideMark/>
          </w:tcPr>
          <w:p w14:paraId="015FB8EA" w14:textId="77777777" w:rsidR="006054AA" w:rsidRDefault="001F7667">
            <w:pPr>
              <w:pStyle w:val="P68B1DB1-Normal11"/>
              <w:jc w:val="center"/>
              <w:rPr>
                <w:noProof/>
              </w:rPr>
            </w:pPr>
            <w:r>
              <w:rPr>
                <w:noProof/>
              </w:rPr>
              <w:t>Реформа 1 — АППТ и професионално обучение</w:t>
            </w:r>
          </w:p>
        </w:tc>
        <w:tc>
          <w:tcPr>
            <w:tcW w:w="1281" w:type="dxa"/>
            <w:shd w:val="clear" w:color="auto" w:fill="C6EFCE"/>
            <w:noWrap/>
            <w:vAlign w:val="center"/>
            <w:hideMark/>
          </w:tcPr>
          <w:p w14:paraId="50458721" w14:textId="77777777" w:rsidR="006054AA" w:rsidRDefault="001F7667">
            <w:pPr>
              <w:pStyle w:val="P68B1DB1-Normal11"/>
              <w:jc w:val="center"/>
              <w:rPr>
                <w:noProof/>
              </w:rPr>
            </w:pPr>
            <w:r>
              <w:rPr>
                <w:noProof/>
              </w:rPr>
              <w:t>Ключов етап</w:t>
            </w:r>
          </w:p>
        </w:tc>
        <w:tc>
          <w:tcPr>
            <w:tcW w:w="1597" w:type="dxa"/>
            <w:shd w:val="clear" w:color="auto" w:fill="C6EFCE"/>
            <w:noWrap/>
            <w:vAlign w:val="center"/>
            <w:hideMark/>
          </w:tcPr>
          <w:p w14:paraId="165DD795" w14:textId="77777777" w:rsidR="006054AA" w:rsidRDefault="001F7667">
            <w:pPr>
              <w:pStyle w:val="P68B1DB1-Normal11"/>
              <w:jc w:val="center"/>
              <w:rPr>
                <w:noProof/>
              </w:rPr>
            </w:pPr>
            <w:r>
              <w:rPr>
                <w:noProof/>
              </w:rPr>
              <w:t>Влизане в сила на междуведомственото постановление за създаване на национална програма за гарантирана заетост на работниците и междуведомствено постановление за създаване на национален план за нови умения</w:t>
            </w:r>
          </w:p>
        </w:tc>
        <w:tc>
          <w:tcPr>
            <w:tcW w:w="1470" w:type="dxa"/>
            <w:shd w:val="clear" w:color="auto" w:fill="C6EFCE"/>
            <w:noWrap/>
            <w:vAlign w:val="center"/>
            <w:hideMark/>
          </w:tcPr>
          <w:p w14:paraId="29241EDC" w14:textId="77777777" w:rsidR="006054AA" w:rsidRDefault="001F7667">
            <w:pPr>
              <w:pStyle w:val="P68B1DB1-Normal11"/>
              <w:jc w:val="center"/>
              <w:rPr>
                <w:noProof/>
              </w:rPr>
            </w:pPr>
            <w:r>
              <w:rPr>
                <w:noProof/>
              </w:rPr>
              <w:t>Разпоредба в междуведомствените укази, указваща влизането в сила на двете междуведомствени укази след споразумения на Конференцията на държавните и регионалните власти относно програмата GOL и Националния план за нови умения</w:t>
            </w:r>
          </w:p>
        </w:tc>
        <w:tc>
          <w:tcPr>
            <w:tcW w:w="1275" w:type="dxa"/>
            <w:shd w:val="clear" w:color="auto" w:fill="C6EFCE"/>
            <w:noWrap/>
            <w:vAlign w:val="center"/>
            <w:hideMark/>
          </w:tcPr>
          <w:p w14:paraId="69C0AC72"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1FA4790B" w14:textId="77777777" w:rsidR="006054AA" w:rsidRDefault="001F7667">
            <w:pPr>
              <w:pStyle w:val="P68B1DB1-Normal11"/>
              <w:jc w:val="center"/>
              <w:rPr>
                <w:rFonts w:eastAsia="Calibri"/>
                <w:noProof/>
              </w:rPr>
            </w:pPr>
            <w:r>
              <w:rPr>
                <w:noProof/>
              </w:rPr>
              <w:t>НЯМА</w:t>
            </w:r>
          </w:p>
        </w:tc>
        <w:tc>
          <w:tcPr>
            <w:tcW w:w="1134" w:type="dxa"/>
            <w:shd w:val="clear" w:color="auto" w:fill="C6EFCE"/>
            <w:noWrap/>
            <w:vAlign w:val="center"/>
            <w:hideMark/>
          </w:tcPr>
          <w:p w14:paraId="03C4567E" w14:textId="77777777" w:rsidR="006054AA" w:rsidRDefault="001F7667">
            <w:pPr>
              <w:pStyle w:val="P68B1DB1-Normal11"/>
              <w:jc w:val="center"/>
              <w:rPr>
                <w:noProof/>
              </w:rPr>
            </w:pPr>
            <w:r>
              <w:rPr>
                <w:noProof/>
              </w:rPr>
              <w:t>НЯМА</w:t>
            </w:r>
          </w:p>
        </w:tc>
        <w:tc>
          <w:tcPr>
            <w:tcW w:w="851" w:type="dxa"/>
            <w:shd w:val="clear" w:color="auto" w:fill="C6EFCE"/>
            <w:noWrap/>
            <w:vAlign w:val="center"/>
            <w:hideMark/>
          </w:tcPr>
          <w:p w14:paraId="1E36DBCB" w14:textId="77777777" w:rsidR="006054AA" w:rsidRDefault="001F7667">
            <w:pPr>
              <w:pStyle w:val="P68B1DB1-Normal11"/>
              <w:jc w:val="center"/>
              <w:rPr>
                <w:rFonts w:eastAsia="Calibri"/>
                <w:noProof/>
              </w:rPr>
            </w:pPr>
            <w:r>
              <w:rPr>
                <w:noProof/>
              </w:rPr>
              <w:t>Т4 Г.</w:t>
            </w:r>
          </w:p>
        </w:tc>
        <w:tc>
          <w:tcPr>
            <w:tcW w:w="709" w:type="dxa"/>
            <w:shd w:val="clear" w:color="auto" w:fill="C6EFCE"/>
            <w:noWrap/>
            <w:vAlign w:val="center"/>
            <w:hideMark/>
          </w:tcPr>
          <w:p w14:paraId="399AC12E" w14:textId="77777777" w:rsidR="006054AA" w:rsidRDefault="001F7667">
            <w:pPr>
              <w:pStyle w:val="P68B1DB1-Normal11"/>
              <w:jc w:val="center"/>
              <w:rPr>
                <w:noProof/>
              </w:rPr>
            </w:pPr>
            <w:r>
              <w:rPr>
                <w:noProof/>
              </w:rPr>
              <w:t>2021</w:t>
            </w:r>
          </w:p>
        </w:tc>
        <w:tc>
          <w:tcPr>
            <w:tcW w:w="2835" w:type="dxa"/>
            <w:shd w:val="clear" w:color="auto" w:fill="C6EFCE"/>
            <w:noWrap/>
            <w:vAlign w:val="center"/>
            <w:hideMark/>
          </w:tcPr>
          <w:p w14:paraId="00F1D1AA" w14:textId="77777777" w:rsidR="006054AA" w:rsidRDefault="001F7667">
            <w:pPr>
              <w:pStyle w:val="P68B1DB1-Normal11"/>
              <w:rPr>
                <w:rFonts w:eastAsia="Calibri"/>
                <w:noProof/>
              </w:rPr>
            </w:pPr>
            <w:r>
              <w:rPr>
                <w:noProof/>
              </w:rPr>
              <w:t>Актовете в полза на GOL като минимум: I) определяне на основните елементи и техните стандарти на публичните служби по заетостта (ПСЗ), включително прогнозиране на уменията, персонализирани планове за обучение, насоки и професионални напътствия, за да се гарантира ефективното предоставяне на персонализирани услуги по заетостта в съответствие с общи и единни стандарти на цялата национална територия, ii) гарантиране, че дейностите по обучение за повишаване на квалификацията и преквалификация, предоставяни от публичните служби по заетостта (ПСЗ), са изцяло в съответствие с Националния план за нови умения, включително цифрови умения, iii) гарантират, че публичните служби по заетостта (ПСЗ) са насочени към нуждите на получателите, iv) гарантират, че публичните служби по заетостта (ПСЗ) са насочени приоритетно към най-уязвимите; V) определяне на цел от минимум 25 % от бенефициерите по програмите за гарантирана заетост на работниците като получатели на съответното обучение, със специален акцент върху цифровите умения и с приоритет за най-уязвимите; VI) създаване на нови механизми, които укрепват и структурират сътрудничеството между публичните и частните системи, включително във връзка с определянето на съответните потребности от умения и предоставянето на предложения за работа. Постановлението постановява, че получателите на социални защитни мрежи имат достъп до услугите, предоставяни по Националната програма „Гарантирана заетост на работниците“, в срок от 4 месеца от датата, на която са придобили правото си на мрежи за социална сигурност. Актовете за Националния план за нови умения като минимум: I) определя общи стандарти и основни равнища на професионално обучение на цялата национална територия, ii) е насочена както към заетите, така и към безработните, и към лицата с цел подобряване на техните цифрови умения и насърчаване на ученето през целия живот. III) определяне на уменията и съответните стандарти въз основа на сътрудничество между публичните и частните системи, iv) отчитане на различните потребности на разглежданите целеви групи, които като минимум включват най-уязвимите, v) обхващат всички съответни секторни стратегии, за да имат цялостен подход, включително националния стратегически план за компетентностите на възрастните; vi) включват разпоредби за разработването на система за прогнозиране на новите компетентности, необходими в краткосрочен и средносрочен план на пазара на труда.</w:t>
            </w:r>
          </w:p>
        </w:tc>
      </w:tr>
      <w:tr w:rsidR="006054AA" w14:paraId="74D8E370" w14:textId="77777777">
        <w:trPr>
          <w:trHeight w:val="309"/>
          <w:jc w:val="center"/>
        </w:trPr>
        <w:tc>
          <w:tcPr>
            <w:tcW w:w="1364" w:type="dxa"/>
            <w:shd w:val="clear" w:color="auto" w:fill="C6EFCE"/>
            <w:noWrap/>
            <w:vAlign w:val="center"/>
            <w:hideMark/>
          </w:tcPr>
          <w:p w14:paraId="55B56E03" w14:textId="77777777" w:rsidR="006054AA" w:rsidRDefault="001F7667">
            <w:pPr>
              <w:pStyle w:val="P68B1DB1-Normal11"/>
              <w:jc w:val="center"/>
              <w:rPr>
                <w:noProof/>
              </w:rPr>
            </w:pPr>
            <w:r>
              <w:rPr>
                <w:noProof/>
              </w:rPr>
              <w:t xml:space="preserve">M5C1—2 </w:t>
            </w:r>
          </w:p>
        </w:tc>
        <w:tc>
          <w:tcPr>
            <w:tcW w:w="1513" w:type="dxa"/>
            <w:shd w:val="clear" w:color="auto" w:fill="C6EFCE"/>
            <w:noWrap/>
            <w:vAlign w:val="center"/>
            <w:hideMark/>
          </w:tcPr>
          <w:p w14:paraId="2C4A5E0E" w14:textId="77777777" w:rsidR="006054AA" w:rsidRDefault="001F7667">
            <w:pPr>
              <w:pStyle w:val="P68B1DB1-Normal11"/>
              <w:jc w:val="center"/>
              <w:rPr>
                <w:noProof/>
              </w:rPr>
            </w:pPr>
            <w:r>
              <w:rPr>
                <w:noProof/>
              </w:rPr>
              <w:t>Реформа 1 — АППТ и професионално обучение</w:t>
            </w:r>
          </w:p>
        </w:tc>
        <w:tc>
          <w:tcPr>
            <w:tcW w:w="1281" w:type="dxa"/>
            <w:shd w:val="clear" w:color="auto" w:fill="C6EFCE"/>
            <w:noWrap/>
            <w:vAlign w:val="center"/>
            <w:hideMark/>
          </w:tcPr>
          <w:p w14:paraId="3C070751" w14:textId="77777777" w:rsidR="006054AA" w:rsidRDefault="001F7667">
            <w:pPr>
              <w:pStyle w:val="P68B1DB1-Normal11"/>
              <w:jc w:val="center"/>
              <w:rPr>
                <w:noProof/>
              </w:rPr>
            </w:pPr>
            <w:r>
              <w:rPr>
                <w:noProof/>
              </w:rPr>
              <w:t>Ключов етап</w:t>
            </w:r>
          </w:p>
        </w:tc>
        <w:tc>
          <w:tcPr>
            <w:tcW w:w="1597" w:type="dxa"/>
            <w:shd w:val="clear" w:color="auto" w:fill="C6EFCE"/>
            <w:noWrap/>
            <w:vAlign w:val="center"/>
            <w:hideMark/>
          </w:tcPr>
          <w:p w14:paraId="74B08C28" w14:textId="77777777" w:rsidR="006054AA" w:rsidRDefault="001F7667">
            <w:pPr>
              <w:pStyle w:val="P68B1DB1-Normal11"/>
              <w:jc w:val="center"/>
              <w:rPr>
                <w:noProof/>
              </w:rPr>
            </w:pPr>
            <w:r>
              <w:rPr>
                <w:noProof/>
              </w:rPr>
              <w:t xml:space="preserve">Влизане в сила на регионално равнище на всички планове за публичните служби по заетостта (ПСЗ)  </w:t>
            </w:r>
          </w:p>
        </w:tc>
        <w:tc>
          <w:tcPr>
            <w:tcW w:w="1470" w:type="dxa"/>
            <w:shd w:val="clear" w:color="auto" w:fill="C6EFCE"/>
            <w:noWrap/>
            <w:vAlign w:val="center"/>
            <w:hideMark/>
          </w:tcPr>
          <w:p w14:paraId="33FDE3A7" w14:textId="77777777" w:rsidR="006054AA" w:rsidRDefault="001F7667">
            <w:pPr>
              <w:pStyle w:val="P68B1DB1-Normal11"/>
              <w:jc w:val="center"/>
              <w:rPr>
                <w:noProof/>
              </w:rPr>
            </w:pPr>
            <w:r>
              <w:rPr>
                <w:noProof/>
              </w:rPr>
              <w:t>Разпоредба, посочваща влизането в сила на плановете, приети от регионите, и изпълнените дейности</w:t>
            </w:r>
          </w:p>
        </w:tc>
        <w:tc>
          <w:tcPr>
            <w:tcW w:w="1275" w:type="dxa"/>
            <w:shd w:val="clear" w:color="auto" w:fill="C6EFCE"/>
            <w:noWrap/>
            <w:vAlign w:val="center"/>
            <w:hideMark/>
          </w:tcPr>
          <w:p w14:paraId="2E1340BB" w14:textId="77777777" w:rsidR="006054AA" w:rsidRDefault="001F7667">
            <w:pPr>
              <w:pStyle w:val="P68B1DB1-Normal11"/>
              <w:jc w:val="center"/>
              <w:rPr>
                <w:rFonts w:eastAsia="Calibri"/>
                <w:noProof/>
              </w:rPr>
            </w:pPr>
            <w:r>
              <w:rPr>
                <w:noProof/>
              </w:rPr>
              <w:t>НЯМА</w:t>
            </w:r>
          </w:p>
        </w:tc>
        <w:tc>
          <w:tcPr>
            <w:tcW w:w="1134" w:type="dxa"/>
            <w:shd w:val="clear" w:color="auto" w:fill="C6EFCE"/>
            <w:noWrap/>
            <w:vAlign w:val="center"/>
            <w:hideMark/>
          </w:tcPr>
          <w:p w14:paraId="33A70F37"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2AFF7D2F" w14:textId="77777777" w:rsidR="006054AA" w:rsidRDefault="001F7667">
            <w:pPr>
              <w:pStyle w:val="P68B1DB1-Normal11"/>
              <w:jc w:val="center"/>
              <w:rPr>
                <w:noProof/>
              </w:rPr>
            </w:pPr>
            <w:r>
              <w:rPr>
                <w:noProof/>
              </w:rPr>
              <w:t>НЯМА</w:t>
            </w:r>
          </w:p>
        </w:tc>
        <w:tc>
          <w:tcPr>
            <w:tcW w:w="851" w:type="dxa"/>
            <w:shd w:val="clear" w:color="auto" w:fill="C6EFCE"/>
            <w:noWrap/>
            <w:vAlign w:val="center"/>
            <w:hideMark/>
          </w:tcPr>
          <w:p w14:paraId="26724380" w14:textId="77777777" w:rsidR="006054AA" w:rsidRDefault="001F7667">
            <w:pPr>
              <w:pStyle w:val="P68B1DB1-Normal11"/>
              <w:jc w:val="center"/>
              <w:rPr>
                <w:rFonts w:eastAsia="Calibri"/>
                <w:noProof/>
              </w:rPr>
            </w:pPr>
            <w:r>
              <w:rPr>
                <w:noProof/>
              </w:rPr>
              <w:t>Т4 Г.</w:t>
            </w:r>
          </w:p>
        </w:tc>
        <w:tc>
          <w:tcPr>
            <w:tcW w:w="709" w:type="dxa"/>
            <w:shd w:val="clear" w:color="auto" w:fill="C6EFCE"/>
            <w:noWrap/>
            <w:vAlign w:val="center"/>
            <w:hideMark/>
          </w:tcPr>
          <w:p w14:paraId="08944DA9" w14:textId="77777777" w:rsidR="006054AA" w:rsidRDefault="001F7667">
            <w:pPr>
              <w:pStyle w:val="P68B1DB1-Normal11"/>
              <w:jc w:val="center"/>
              <w:rPr>
                <w:noProof/>
              </w:rPr>
            </w:pPr>
            <w:r>
              <w:rPr>
                <w:noProof/>
              </w:rPr>
              <w:t>2022</w:t>
            </w:r>
          </w:p>
        </w:tc>
        <w:tc>
          <w:tcPr>
            <w:tcW w:w="2835" w:type="dxa"/>
            <w:shd w:val="clear" w:color="auto" w:fill="C6EFCE"/>
            <w:noWrap/>
            <w:vAlign w:val="center"/>
            <w:hideMark/>
          </w:tcPr>
          <w:p w14:paraId="3C73FCCC" w14:textId="77777777" w:rsidR="006054AA" w:rsidRDefault="001F7667">
            <w:pPr>
              <w:pStyle w:val="P68B1DB1-Normal11"/>
              <w:rPr>
                <w:rFonts w:eastAsia="Calibri"/>
                <w:noProof/>
              </w:rPr>
            </w:pPr>
            <w:r>
              <w:rPr>
                <w:noProof/>
              </w:rPr>
              <w:t xml:space="preserve">В националната нормативна уредба на програмата за гарантирана заетост на работниците (GOL) се предвижда определянето на регионално равнище на необходимите оперативни дейности за изпълнение на програмата. За да се осигури съгласуваност между националната нормативна уредба и регионалното изпълнение, се приемат регионални планове за публичните служби по заетостта (ПСЗ). </w:t>
            </w:r>
          </w:p>
          <w:p w14:paraId="48B604FC" w14:textId="77777777" w:rsidR="006054AA" w:rsidRDefault="006054AA">
            <w:pPr>
              <w:rPr>
                <w:rFonts w:ascii="Arial Narrow" w:eastAsia="Calibri" w:hAnsi="Arial Narrow"/>
                <w:noProof/>
                <w:color w:val="006100"/>
                <w:sz w:val="20"/>
              </w:rPr>
            </w:pPr>
          </w:p>
          <w:p w14:paraId="09EA2073" w14:textId="7F8E84C0" w:rsidR="006054AA" w:rsidRDefault="001F7667">
            <w:pPr>
              <w:pStyle w:val="P68B1DB1-Normal11"/>
              <w:rPr>
                <w:rFonts w:eastAsia="Calibri"/>
                <w:noProof/>
              </w:rPr>
            </w:pPr>
            <w:r>
              <w:rPr>
                <w:noProof/>
              </w:rPr>
              <w:t>В допълнение към приемането на плановете регионите изпълняват дейностите въз основа на плановете, като достигат до най-малко 10 % от предвидените бенефициери по програмата (крайна цел 3 000 000 души).</w:t>
            </w:r>
          </w:p>
          <w:p w14:paraId="6427E7C4" w14:textId="77777777" w:rsidR="006054AA" w:rsidRDefault="006054AA">
            <w:pPr>
              <w:rPr>
                <w:rFonts w:ascii="Arial Narrow" w:hAnsi="Arial Narrow"/>
                <w:noProof/>
                <w:color w:val="006100"/>
                <w:sz w:val="20"/>
              </w:rPr>
            </w:pPr>
          </w:p>
          <w:p w14:paraId="75EB9AA4" w14:textId="484A4438" w:rsidR="006054AA" w:rsidRDefault="001F7667">
            <w:pPr>
              <w:pStyle w:val="P68B1DB1-Normal11"/>
              <w:rPr>
                <w:noProof/>
              </w:rPr>
            </w:pPr>
            <w:r>
              <w:rPr>
                <w:noProof/>
              </w:rPr>
              <w:t>Влизането в сила на плановете за публичните служби по заетостта (ПСЗ) дава възможност за цялостно изпълнение на програмата за гарантирана заетост на работниците (GOL).</w:t>
            </w:r>
          </w:p>
          <w:p w14:paraId="6A986EA0" w14:textId="77777777" w:rsidR="006054AA" w:rsidRDefault="006054AA">
            <w:pPr>
              <w:rPr>
                <w:rFonts w:ascii="Arial Narrow" w:eastAsia="Calibri" w:hAnsi="Arial Narrow"/>
                <w:noProof/>
                <w:color w:val="006100"/>
                <w:sz w:val="20"/>
              </w:rPr>
            </w:pPr>
          </w:p>
        </w:tc>
      </w:tr>
      <w:tr w:rsidR="006054AA" w14:paraId="79F2B0EF" w14:textId="77777777">
        <w:trPr>
          <w:trHeight w:val="309"/>
          <w:jc w:val="center"/>
        </w:trPr>
        <w:tc>
          <w:tcPr>
            <w:tcW w:w="1364" w:type="dxa"/>
            <w:shd w:val="clear" w:color="auto" w:fill="C6EFCE"/>
            <w:noWrap/>
            <w:vAlign w:val="center"/>
            <w:hideMark/>
          </w:tcPr>
          <w:p w14:paraId="3F9A2E6F" w14:textId="77777777" w:rsidR="006054AA" w:rsidRDefault="001F7667">
            <w:pPr>
              <w:pStyle w:val="P68B1DB1-Normal11"/>
              <w:jc w:val="center"/>
              <w:rPr>
                <w:noProof/>
              </w:rPr>
            </w:pPr>
            <w:r>
              <w:rPr>
                <w:noProof/>
              </w:rPr>
              <w:t xml:space="preserve">M5C1—3 </w:t>
            </w:r>
          </w:p>
        </w:tc>
        <w:tc>
          <w:tcPr>
            <w:tcW w:w="1513" w:type="dxa"/>
            <w:shd w:val="clear" w:color="auto" w:fill="C6EFCE"/>
            <w:noWrap/>
            <w:vAlign w:val="center"/>
            <w:hideMark/>
          </w:tcPr>
          <w:p w14:paraId="18F41DC9" w14:textId="77777777" w:rsidR="006054AA" w:rsidRDefault="001F7667">
            <w:pPr>
              <w:pStyle w:val="P68B1DB1-Normal11"/>
              <w:jc w:val="center"/>
              <w:rPr>
                <w:noProof/>
              </w:rPr>
            </w:pPr>
            <w:r>
              <w:rPr>
                <w:noProof/>
              </w:rPr>
              <w:t>Реформа 1 — АППТ и професионално обучение</w:t>
            </w:r>
          </w:p>
        </w:tc>
        <w:tc>
          <w:tcPr>
            <w:tcW w:w="1281" w:type="dxa"/>
            <w:shd w:val="clear" w:color="auto" w:fill="C6EFCE"/>
            <w:noWrap/>
            <w:vAlign w:val="center"/>
            <w:hideMark/>
          </w:tcPr>
          <w:p w14:paraId="68276A1B" w14:textId="77777777" w:rsidR="006054AA" w:rsidRDefault="001F7667">
            <w:pPr>
              <w:pStyle w:val="P68B1DB1-Normal11"/>
              <w:jc w:val="center"/>
              <w:rPr>
                <w:noProof/>
              </w:rPr>
            </w:pPr>
            <w:r>
              <w:rPr>
                <w:noProof/>
              </w:rPr>
              <w:t>Целеви</w:t>
            </w:r>
          </w:p>
        </w:tc>
        <w:tc>
          <w:tcPr>
            <w:tcW w:w="1597" w:type="dxa"/>
            <w:shd w:val="clear" w:color="auto" w:fill="C6EFCE"/>
            <w:noWrap/>
            <w:vAlign w:val="center"/>
            <w:hideMark/>
          </w:tcPr>
          <w:p w14:paraId="69ABCF44" w14:textId="7C3FD519" w:rsidR="006054AA" w:rsidRDefault="001F7667">
            <w:pPr>
              <w:pStyle w:val="P68B1DB1-Normal11"/>
              <w:jc w:val="center"/>
              <w:rPr>
                <w:rFonts w:eastAsia="Calibri"/>
                <w:noProof/>
              </w:rPr>
            </w:pPr>
            <w:r>
              <w:rPr>
                <w:noProof/>
              </w:rPr>
              <w:t>Хора, обхванати от програмата за гарантирана заетост на работниците (GOL)</w:t>
            </w:r>
          </w:p>
        </w:tc>
        <w:tc>
          <w:tcPr>
            <w:tcW w:w="1470" w:type="dxa"/>
            <w:shd w:val="clear" w:color="auto" w:fill="C6EFCE"/>
            <w:noWrap/>
            <w:vAlign w:val="center"/>
            <w:hideMark/>
          </w:tcPr>
          <w:p w14:paraId="7F3B549E"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222A2756" w14:textId="77777777" w:rsidR="006054AA" w:rsidRDefault="001F7667">
            <w:pPr>
              <w:pStyle w:val="P68B1DB1-Normal11"/>
              <w:jc w:val="center"/>
              <w:rPr>
                <w:rFonts w:eastAsia="Calibri"/>
                <w:noProof/>
              </w:rPr>
            </w:pPr>
            <w:r>
              <w:rPr>
                <w:noProof/>
              </w:rPr>
              <w:t xml:space="preserve">Брой </w:t>
            </w:r>
          </w:p>
        </w:tc>
        <w:tc>
          <w:tcPr>
            <w:tcW w:w="1134" w:type="dxa"/>
            <w:shd w:val="clear" w:color="auto" w:fill="C6EFCE"/>
            <w:noWrap/>
            <w:vAlign w:val="center"/>
            <w:hideMark/>
          </w:tcPr>
          <w:p w14:paraId="4633E47C" w14:textId="2A54CB63" w:rsidR="006054AA" w:rsidRDefault="001F7667">
            <w:pPr>
              <w:pStyle w:val="P68B1DB1-Normal11"/>
              <w:jc w:val="center"/>
              <w:rPr>
                <w:noProof/>
              </w:rPr>
            </w:pPr>
            <w:r>
              <w:rPr>
                <w:noProof/>
              </w:rPr>
              <w:t>300 000</w:t>
            </w:r>
          </w:p>
        </w:tc>
        <w:tc>
          <w:tcPr>
            <w:tcW w:w="1134" w:type="dxa"/>
            <w:shd w:val="clear" w:color="auto" w:fill="C6EFCE"/>
            <w:noWrap/>
            <w:vAlign w:val="center"/>
            <w:hideMark/>
          </w:tcPr>
          <w:p w14:paraId="4FD14582" w14:textId="5DAE42E9" w:rsidR="006054AA" w:rsidRDefault="001F7667">
            <w:pPr>
              <w:pStyle w:val="P68B1DB1-Normal11"/>
              <w:jc w:val="center"/>
              <w:rPr>
                <w:noProof/>
              </w:rPr>
            </w:pPr>
            <w:r>
              <w:rPr>
                <w:noProof/>
              </w:rPr>
              <w:t>3 000 000</w:t>
            </w:r>
          </w:p>
        </w:tc>
        <w:tc>
          <w:tcPr>
            <w:tcW w:w="851" w:type="dxa"/>
            <w:shd w:val="clear" w:color="auto" w:fill="C6EFCE"/>
            <w:noWrap/>
            <w:vAlign w:val="center"/>
            <w:hideMark/>
          </w:tcPr>
          <w:p w14:paraId="2A646B9D" w14:textId="77777777" w:rsidR="006054AA" w:rsidRDefault="001F7667">
            <w:pPr>
              <w:pStyle w:val="P68B1DB1-Normal11"/>
              <w:jc w:val="center"/>
              <w:rPr>
                <w:noProof/>
              </w:rPr>
            </w:pPr>
            <w:r>
              <w:rPr>
                <w:noProof/>
              </w:rPr>
              <w:t>Т4 Г.</w:t>
            </w:r>
          </w:p>
        </w:tc>
        <w:tc>
          <w:tcPr>
            <w:tcW w:w="709" w:type="dxa"/>
            <w:shd w:val="clear" w:color="auto" w:fill="C6EFCE"/>
            <w:noWrap/>
            <w:vAlign w:val="center"/>
            <w:hideMark/>
          </w:tcPr>
          <w:p w14:paraId="69812246" w14:textId="77777777" w:rsidR="006054AA" w:rsidRDefault="001F7667">
            <w:pPr>
              <w:pStyle w:val="P68B1DB1-Normal11"/>
              <w:jc w:val="center"/>
              <w:rPr>
                <w:rFonts w:eastAsia="Calibri"/>
                <w:noProof/>
              </w:rPr>
            </w:pPr>
            <w:r>
              <w:rPr>
                <w:noProof/>
              </w:rPr>
              <w:t>2025</w:t>
            </w:r>
          </w:p>
        </w:tc>
        <w:tc>
          <w:tcPr>
            <w:tcW w:w="2835" w:type="dxa"/>
            <w:shd w:val="clear" w:color="auto" w:fill="C6EFCE"/>
            <w:noWrap/>
            <w:vAlign w:val="center"/>
            <w:hideMark/>
          </w:tcPr>
          <w:p w14:paraId="1A0CD922" w14:textId="4D38F64F" w:rsidR="006054AA" w:rsidRDefault="001F7667">
            <w:pPr>
              <w:pStyle w:val="P68B1DB1-Normal11"/>
              <w:rPr>
                <w:rFonts w:eastAsia="Calibri"/>
                <w:noProof/>
              </w:rPr>
            </w:pPr>
            <w:r>
              <w:rPr>
                <w:noProof/>
              </w:rPr>
              <w:t>Най-малко 3 000 000 души се възползват от програмата за гарантирана заетост на работниците (GOL). Задоволителното изпълнение на целта зависи и от задоволителното изпълнение на вторична цел: най-малко 75 % от бенефициерите трябва да бъдат жени, трайно безработни, хора с увреждания или хора на възраст под 30 години или над 55 години.</w:t>
            </w:r>
          </w:p>
        </w:tc>
      </w:tr>
      <w:tr w:rsidR="006054AA" w14:paraId="4A77873F" w14:textId="77777777">
        <w:trPr>
          <w:trHeight w:val="309"/>
          <w:jc w:val="center"/>
        </w:trPr>
        <w:tc>
          <w:tcPr>
            <w:tcW w:w="1364" w:type="dxa"/>
            <w:shd w:val="clear" w:color="auto" w:fill="C6EFCE"/>
            <w:noWrap/>
            <w:vAlign w:val="center"/>
            <w:hideMark/>
          </w:tcPr>
          <w:p w14:paraId="6E7ABAE1" w14:textId="77777777" w:rsidR="006054AA" w:rsidRDefault="001F7667">
            <w:pPr>
              <w:pStyle w:val="P68B1DB1-Normal11"/>
              <w:jc w:val="center"/>
              <w:rPr>
                <w:noProof/>
              </w:rPr>
            </w:pPr>
            <w:r>
              <w:rPr>
                <w:noProof/>
              </w:rPr>
              <w:t xml:space="preserve">M5C1—4 </w:t>
            </w:r>
          </w:p>
        </w:tc>
        <w:tc>
          <w:tcPr>
            <w:tcW w:w="1513" w:type="dxa"/>
            <w:shd w:val="clear" w:color="auto" w:fill="C6EFCE"/>
            <w:noWrap/>
            <w:vAlign w:val="center"/>
            <w:hideMark/>
          </w:tcPr>
          <w:p w14:paraId="09663B49" w14:textId="53F77CE6" w:rsidR="006054AA" w:rsidRDefault="001F7667">
            <w:pPr>
              <w:pStyle w:val="P68B1DB1-Normal11"/>
              <w:jc w:val="center"/>
              <w:rPr>
                <w:rFonts w:eastAsia="Calibri"/>
                <w:noProof/>
              </w:rPr>
            </w:pPr>
            <w:r>
              <w:rPr>
                <w:noProof/>
              </w:rPr>
              <w:t>Реформа 1 — АППТ и професионално обучение</w:t>
            </w:r>
          </w:p>
        </w:tc>
        <w:tc>
          <w:tcPr>
            <w:tcW w:w="1281" w:type="dxa"/>
            <w:shd w:val="clear" w:color="auto" w:fill="C6EFCE"/>
            <w:noWrap/>
            <w:vAlign w:val="center"/>
            <w:hideMark/>
          </w:tcPr>
          <w:p w14:paraId="31FD11F3" w14:textId="77777777" w:rsidR="006054AA" w:rsidRDefault="001F7667">
            <w:pPr>
              <w:pStyle w:val="P68B1DB1-Normal11"/>
              <w:jc w:val="center"/>
              <w:rPr>
                <w:noProof/>
              </w:rPr>
            </w:pPr>
            <w:r>
              <w:rPr>
                <w:noProof/>
              </w:rPr>
              <w:t>Целеви</w:t>
            </w:r>
          </w:p>
        </w:tc>
        <w:tc>
          <w:tcPr>
            <w:tcW w:w="1597" w:type="dxa"/>
            <w:shd w:val="clear" w:color="auto" w:fill="C6EFCE"/>
            <w:noWrap/>
            <w:vAlign w:val="center"/>
            <w:hideMark/>
          </w:tcPr>
          <w:p w14:paraId="0BF5EF9F" w14:textId="1380BC07" w:rsidR="006054AA" w:rsidRDefault="001F7667">
            <w:pPr>
              <w:pStyle w:val="P68B1DB1-Normal11"/>
              <w:jc w:val="center"/>
              <w:rPr>
                <w:noProof/>
              </w:rPr>
            </w:pPr>
            <w:r>
              <w:rPr>
                <w:noProof/>
              </w:rPr>
              <w:t>Гарантирана пригодност за заетост на бенефициерите на работниците са участвали в професионално обучение</w:t>
            </w:r>
          </w:p>
        </w:tc>
        <w:tc>
          <w:tcPr>
            <w:tcW w:w="1470" w:type="dxa"/>
            <w:shd w:val="clear" w:color="auto" w:fill="C6EFCE"/>
            <w:noWrap/>
            <w:vAlign w:val="center"/>
            <w:hideMark/>
          </w:tcPr>
          <w:p w14:paraId="74F66FBD"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2D29A2B8" w14:textId="77777777" w:rsidR="006054AA" w:rsidRDefault="001F7667">
            <w:pPr>
              <w:pStyle w:val="P68B1DB1-Normal11"/>
              <w:jc w:val="center"/>
              <w:rPr>
                <w:rFonts w:eastAsia="Calibri"/>
                <w:noProof/>
              </w:rPr>
            </w:pPr>
            <w:r>
              <w:rPr>
                <w:noProof/>
              </w:rPr>
              <w:t xml:space="preserve">Брой </w:t>
            </w:r>
          </w:p>
        </w:tc>
        <w:tc>
          <w:tcPr>
            <w:tcW w:w="1134" w:type="dxa"/>
            <w:shd w:val="clear" w:color="auto" w:fill="C6EFCE"/>
            <w:noWrap/>
            <w:vAlign w:val="center"/>
            <w:hideMark/>
          </w:tcPr>
          <w:p w14:paraId="31542677" w14:textId="77777777" w:rsidR="006054AA" w:rsidRDefault="001F7667">
            <w:pPr>
              <w:pStyle w:val="P68B1DB1-Normal11"/>
              <w:jc w:val="center"/>
              <w:rPr>
                <w:rFonts w:eastAsia="Calibri"/>
                <w:noProof/>
              </w:rPr>
            </w:pPr>
            <w:r>
              <w:rPr>
                <w:noProof/>
              </w:rPr>
              <w:t>0</w:t>
            </w:r>
          </w:p>
        </w:tc>
        <w:tc>
          <w:tcPr>
            <w:tcW w:w="1134" w:type="dxa"/>
            <w:shd w:val="clear" w:color="auto" w:fill="C6EFCE"/>
            <w:noWrap/>
            <w:vAlign w:val="center"/>
            <w:hideMark/>
          </w:tcPr>
          <w:p w14:paraId="045470DC" w14:textId="4FDBBD39" w:rsidR="006054AA" w:rsidRDefault="001F7667">
            <w:pPr>
              <w:pStyle w:val="P68B1DB1-Normal11"/>
              <w:jc w:val="center"/>
              <w:rPr>
                <w:rFonts w:eastAsia="Calibri"/>
                <w:noProof/>
              </w:rPr>
            </w:pPr>
            <w:r>
              <w:rPr>
                <w:noProof/>
              </w:rPr>
              <w:t>800 000</w:t>
            </w:r>
          </w:p>
        </w:tc>
        <w:tc>
          <w:tcPr>
            <w:tcW w:w="851" w:type="dxa"/>
            <w:shd w:val="clear" w:color="auto" w:fill="C6EFCE"/>
            <w:noWrap/>
            <w:vAlign w:val="center"/>
            <w:hideMark/>
          </w:tcPr>
          <w:p w14:paraId="367A624B" w14:textId="77777777" w:rsidR="006054AA" w:rsidRDefault="001F7667">
            <w:pPr>
              <w:pStyle w:val="P68B1DB1-Normal11"/>
              <w:jc w:val="center"/>
              <w:rPr>
                <w:rFonts w:eastAsia="Calibri"/>
                <w:noProof/>
              </w:rPr>
            </w:pPr>
            <w:r>
              <w:rPr>
                <w:noProof/>
              </w:rPr>
              <w:t>Т4 Г.</w:t>
            </w:r>
          </w:p>
        </w:tc>
        <w:tc>
          <w:tcPr>
            <w:tcW w:w="709" w:type="dxa"/>
            <w:shd w:val="clear" w:color="auto" w:fill="C6EFCE"/>
            <w:noWrap/>
            <w:vAlign w:val="center"/>
            <w:hideMark/>
          </w:tcPr>
          <w:p w14:paraId="10199DD5" w14:textId="77777777" w:rsidR="006054AA" w:rsidRDefault="001F7667">
            <w:pPr>
              <w:pStyle w:val="P68B1DB1-Normal11"/>
              <w:jc w:val="center"/>
              <w:rPr>
                <w:rFonts w:eastAsia="Calibri"/>
                <w:noProof/>
              </w:rPr>
            </w:pPr>
            <w:r>
              <w:rPr>
                <w:noProof/>
              </w:rPr>
              <w:t>2025</w:t>
            </w:r>
          </w:p>
        </w:tc>
        <w:tc>
          <w:tcPr>
            <w:tcW w:w="2835" w:type="dxa"/>
            <w:shd w:val="clear" w:color="auto" w:fill="C6EFCE"/>
            <w:noWrap/>
            <w:vAlign w:val="center"/>
            <w:hideMark/>
          </w:tcPr>
          <w:p w14:paraId="41C8ABE7" w14:textId="0E4A22A2" w:rsidR="006054AA" w:rsidRDefault="001F7667">
            <w:pPr>
              <w:pStyle w:val="P68B1DB1-Normal11"/>
              <w:rPr>
                <w:noProof/>
              </w:rPr>
            </w:pPr>
            <w:r>
              <w:rPr>
                <w:noProof/>
              </w:rPr>
              <w:t>Професионалното обучение е част от програмата за 800 000 от бенефициерите на АППТ за пет години. Поради това най-малко 800 000 от 3 000 000-те бенефициери по гаранцията за заетост на работниците (GOL) са участвали в професионално обучение. Задоволителното изпълнение на целта зависи и от задоволителното изпълнение на вторична цел: най-малко 300 000 от тези бенефициери са участвали в обучения относно цифровите умения.</w:t>
            </w:r>
          </w:p>
        </w:tc>
      </w:tr>
      <w:tr w:rsidR="006054AA" w14:paraId="72942FD5" w14:textId="77777777">
        <w:trPr>
          <w:trHeight w:val="309"/>
          <w:jc w:val="center"/>
        </w:trPr>
        <w:tc>
          <w:tcPr>
            <w:tcW w:w="1364" w:type="dxa"/>
            <w:shd w:val="clear" w:color="auto" w:fill="C6EFCE"/>
            <w:noWrap/>
            <w:vAlign w:val="center"/>
            <w:hideMark/>
          </w:tcPr>
          <w:p w14:paraId="668C5CEB" w14:textId="77777777" w:rsidR="006054AA" w:rsidRDefault="001F7667">
            <w:pPr>
              <w:pStyle w:val="P68B1DB1-Normal11"/>
              <w:jc w:val="center"/>
              <w:rPr>
                <w:noProof/>
              </w:rPr>
            </w:pPr>
            <w:r>
              <w:rPr>
                <w:noProof/>
              </w:rPr>
              <w:t xml:space="preserve">M5C1—5 </w:t>
            </w:r>
          </w:p>
        </w:tc>
        <w:tc>
          <w:tcPr>
            <w:tcW w:w="1513" w:type="dxa"/>
            <w:shd w:val="clear" w:color="auto" w:fill="C6EFCE"/>
            <w:noWrap/>
            <w:vAlign w:val="center"/>
            <w:hideMark/>
          </w:tcPr>
          <w:p w14:paraId="31D585D4" w14:textId="77777777" w:rsidR="006054AA" w:rsidRDefault="001F7667">
            <w:pPr>
              <w:pStyle w:val="P68B1DB1-Normal11"/>
              <w:jc w:val="center"/>
              <w:rPr>
                <w:noProof/>
              </w:rPr>
            </w:pPr>
            <w:r>
              <w:rPr>
                <w:noProof/>
              </w:rPr>
              <w:t>Реформа 1 — АППТ и професионално обучение</w:t>
            </w:r>
          </w:p>
        </w:tc>
        <w:tc>
          <w:tcPr>
            <w:tcW w:w="1281" w:type="dxa"/>
            <w:shd w:val="clear" w:color="auto" w:fill="C6EFCE"/>
            <w:noWrap/>
            <w:vAlign w:val="center"/>
            <w:hideMark/>
          </w:tcPr>
          <w:p w14:paraId="677BE36A" w14:textId="77777777" w:rsidR="006054AA" w:rsidRDefault="001F7667">
            <w:pPr>
              <w:pStyle w:val="P68B1DB1-Normal11"/>
              <w:jc w:val="center"/>
              <w:rPr>
                <w:noProof/>
              </w:rPr>
            </w:pPr>
            <w:r>
              <w:rPr>
                <w:noProof/>
              </w:rPr>
              <w:t>Целеви</w:t>
            </w:r>
          </w:p>
        </w:tc>
        <w:tc>
          <w:tcPr>
            <w:tcW w:w="1597" w:type="dxa"/>
            <w:shd w:val="clear" w:color="auto" w:fill="C6EFCE"/>
            <w:noWrap/>
            <w:vAlign w:val="center"/>
            <w:hideMark/>
          </w:tcPr>
          <w:p w14:paraId="16D04BB4" w14:textId="77777777" w:rsidR="006054AA" w:rsidRDefault="001F7667">
            <w:pPr>
              <w:pStyle w:val="P68B1DB1-Normal11"/>
              <w:jc w:val="center"/>
              <w:rPr>
                <w:rFonts w:eastAsia="Calibri"/>
                <w:noProof/>
              </w:rPr>
            </w:pPr>
            <w:r>
              <w:rPr>
                <w:noProof/>
              </w:rPr>
              <w:t xml:space="preserve"> Публичните служби по заетостта (ПСЗ) във всеки регион отговарят на критериите за основно равнище на услугите на ПСЗ, както е определено в програмата за гарантирана заетост на работниците (GOL)</w:t>
            </w:r>
          </w:p>
        </w:tc>
        <w:tc>
          <w:tcPr>
            <w:tcW w:w="1470" w:type="dxa"/>
            <w:shd w:val="clear" w:color="auto" w:fill="C6EFCE"/>
            <w:noWrap/>
            <w:vAlign w:val="center"/>
            <w:hideMark/>
          </w:tcPr>
          <w:p w14:paraId="4FF4E4F9"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01010139" w14:textId="77777777" w:rsidR="006054AA" w:rsidRDefault="001F7667">
            <w:pPr>
              <w:pStyle w:val="P68B1DB1-Normal11"/>
              <w:jc w:val="center"/>
              <w:rPr>
                <w:noProof/>
              </w:rPr>
            </w:pPr>
            <w:r>
              <w:rPr>
                <w:noProof/>
              </w:rPr>
              <w:t xml:space="preserve">Проценти </w:t>
            </w:r>
          </w:p>
        </w:tc>
        <w:tc>
          <w:tcPr>
            <w:tcW w:w="1134" w:type="dxa"/>
            <w:shd w:val="clear" w:color="auto" w:fill="C6EFCE"/>
            <w:noWrap/>
            <w:vAlign w:val="center"/>
            <w:hideMark/>
          </w:tcPr>
          <w:p w14:paraId="1E98963D" w14:textId="77777777" w:rsidR="006054AA" w:rsidRDefault="001F7667">
            <w:pPr>
              <w:pStyle w:val="P68B1DB1-Normal11"/>
              <w:jc w:val="center"/>
              <w:rPr>
                <w:noProof/>
              </w:rPr>
            </w:pPr>
            <w:r>
              <w:rPr>
                <w:noProof/>
              </w:rPr>
              <w:t>0</w:t>
            </w:r>
          </w:p>
        </w:tc>
        <w:tc>
          <w:tcPr>
            <w:tcW w:w="1134" w:type="dxa"/>
            <w:shd w:val="clear" w:color="auto" w:fill="C6EFCE"/>
            <w:noWrap/>
            <w:vAlign w:val="center"/>
            <w:hideMark/>
          </w:tcPr>
          <w:p w14:paraId="5EC87448" w14:textId="77777777" w:rsidR="006054AA" w:rsidRDefault="001F7667">
            <w:pPr>
              <w:pStyle w:val="P68B1DB1-Normal11"/>
              <w:jc w:val="center"/>
              <w:rPr>
                <w:rFonts w:eastAsia="Calibri"/>
                <w:noProof/>
              </w:rPr>
            </w:pPr>
            <w:r>
              <w:rPr>
                <w:noProof/>
              </w:rPr>
              <w:t>80</w:t>
            </w:r>
          </w:p>
        </w:tc>
        <w:tc>
          <w:tcPr>
            <w:tcW w:w="851" w:type="dxa"/>
            <w:shd w:val="clear" w:color="auto" w:fill="C6EFCE"/>
            <w:noWrap/>
            <w:vAlign w:val="center"/>
            <w:hideMark/>
          </w:tcPr>
          <w:p w14:paraId="4B21D67E" w14:textId="77777777" w:rsidR="006054AA" w:rsidRDefault="001F7667">
            <w:pPr>
              <w:pStyle w:val="P68B1DB1-Normal11"/>
              <w:jc w:val="center"/>
              <w:rPr>
                <w:rFonts w:eastAsia="Calibri"/>
                <w:noProof/>
              </w:rPr>
            </w:pPr>
            <w:r>
              <w:rPr>
                <w:noProof/>
              </w:rPr>
              <w:t>Т4 Г.</w:t>
            </w:r>
          </w:p>
        </w:tc>
        <w:tc>
          <w:tcPr>
            <w:tcW w:w="709" w:type="dxa"/>
            <w:shd w:val="clear" w:color="auto" w:fill="C6EFCE"/>
            <w:noWrap/>
            <w:vAlign w:val="center"/>
            <w:hideMark/>
          </w:tcPr>
          <w:p w14:paraId="6C2E8A52" w14:textId="77777777" w:rsidR="006054AA" w:rsidRDefault="001F7667">
            <w:pPr>
              <w:pStyle w:val="P68B1DB1-Normal11"/>
              <w:jc w:val="center"/>
              <w:rPr>
                <w:rFonts w:eastAsia="Calibri"/>
                <w:noProof/>
              </w:rPr>
            </w:pPr>
            <w:r>
              <w:rPr>
                <w:noProof/>
              </w:rPr>
              <w:t>2025</w:t>
            </w:r>
          </w:p>
        </w:tc>
        <w:tc>
          <w:tcPr>
            <w:tcW w:w="2835" w:type="dxa"/>
            <w:shd w:val="clear" w:color="auto" w:fill="C6EFCE"/>
            <w:noWrap/>
            <w:vAlign w:val="center"/>
            <w:hideMark/>
          </w:tcPr>
          <w:p w14:paraId="507D50DE" w14:textId="77777777" w:rsidR="006054AA" w:rsidRDefault="001F7667">
            <w:pPr>
              <w:pStyle w:val="P68B1DB1-Normal11"/>
              <w:rPr>
                <w:rFonts w:eastAsia="Calibri"/>
                <w:noProof/>
              </w:rPr>
            </w:pPr>
            <w:r>
              <w:rPr>
                <w:noProof/>
              </w:rPr>
              <w:t>Основен компонент на програмното ПЛЕ е определянето на редица услуги от съществено значение, които да се предоставят на бенефициерите на ALMPS, като се започне от най-уязвимите. До края на 2025 г. най-малко 80 % от публичните служби по заетостта (ПСЗ) във всеки регион са изпълнили критериите за основно равнище на услугите на ПСЗ, определени в програмата за гарантирана заетост на работниците (GOL).</w:t>
            </w:r>
          </w:p>
        </w:tc>
      </w:tr>
      <w:tr w:rsidR="006054AA" w14:paraId="38B2A0C7" w14:textId="77777777">
        <w:trPr>
          <w:trHeight w:val="309"/>
          <w:jc w:val="center"/>
        </w:trPr>
        <w:tc>
          <w:tcPr>
            <w:tcW w:w="1364" w:type="dxa"/>
            <w:shd w:val="clear" w:color="auto" w:fill="C6EFCE"/>
            <w:noWrap/>
            <w:vAlign w:val="center"/>
            <w:hideMark/>
          </w:tcPr>
          <w:p w14:paraId="13B5C80E" w14:textId="45E69E94" w:rsidR="006054AA" w:rsidRDefault="001F7667">
            <w:pPr>
              <w:pStyle w:val="P68B1DB1-Normal11"/>
              <w:spacing w:before="120" w:after="120"/>
              <w:jc w:val="center"/>
              <w:rPr>
                <w:noProof/>
              </w:rPr>
            </w:pPr>
            <w:r>
              <w:rPr>
                <w:noProof/>
              </w:rPr>
              <w:t>M5C1—6</w:t>
            </w:r>
          </w:p>
        </w:tc>
        <w:tc>
          <w:tcPr>
            <w:tcW w:w="1513" w:type="dxa"/>
            <w:shd w:val="clear" w:color="auto" w:fill="C6EFCE"/>
            <w:noWrap/>
            <w:vAlign w:val="center"/>
            <w:hideMark/>
          </w:tcPr>
          <w:p w14:paraId="0771B265" w14:textId="55F59898" w:rsidR="006054AA" w:rsidRDefault="001F7667">
            <w:pPr>
              <w:pStyle w:val="P68B1DB1-Normal11"/>
              <w:spacing w:before="120" w:after="120"/>
              <w:jc w:val="center"/>
              <w:rPr>
                <w:rFonts w:eastAsia="Calibri"/>
                <w:noProof/>
              </w:rPr>
            </w:pPr>
            <w:r>
              <w:rPr>
                <w:noProof/>
              </w:rPr>
              <w:t>Инвестиция 1 — Укрепване на публичните служби по заетостта (ПСЗ)</w:t>
            </w:r>
          </w:p>
        </w:tc>
        <w:tc>
          <w:tcPr>
            <w:tcW w:w="1281" w:type="dxa"/>
            <w:shd w:val="clear" w:color="auto" w:fill="C6EFCE"/>
            <w:noWrap/>
            <w:vAlign w:val="center"/>
            <w:hideMark/>
          </w:tcPr>
          <w:p w14:paraId="2FD57F0B" w14:textId="77777777" w:rsidR="006054AA" w:rsidRDefault="001F7667">
            <w:pPr>
              <w:pStyle w:val="P68B1DB1-Normal11"/>
              <w:spacing w:before="120" w:after="120"/>
              <w:jc w:val="center"/>
              <w:rPr>
                <w:rFonts w:eastAsia="Calibri"/>
                <w:noProof/>
              </w:rPr>
            </w:pPr>
            <w:r>
              <w:rPr>
                <w:noProof/>
              </w:rPr>
              <w:t>Целеви</w:t>
            </w:r>
          </w:p>
        </w:tc>
        <w:tc>
          <w:tcPr>
            <w:tcW w:w="1597" w:type="dxa"/>
            <w:shd w:val="clear" w:color="auto" w:fill="C6EFCE"/>
            <w:noWrap/>
            <w:vAlign w:val="center"/>
            <w:hideMark/>
          </w:tcPr>
          <w:p w14:paraId="2C77A53C" w14:textId="77777777" w:rsidR="006054AA" w:rsidRDefault="001F7667">
            <w:pPr>
              <w:pStyle w:val="P68B1DB1-Normal11"/>
              <w:spacing w:before="120" w:after="120"/>
              <w:jc w:val="center"/>
              <w:rPr>
                <w:rFonts w:eastAsia="Calibri"/>
                <w:noProof/>
              </w:rPr>
            </w:pPr>
            <w:r>
              <w:rPr>
                <w:noProof/>
              </w:rPr>
              <w:t xml:space="preserve"> Публичните служби по заетостта (ПСЗ) изпълняват дейностите, предвидени в плана за укрепване, през тригодишния период 2021—2023 г.</w:t>
            </w:r>
          </w:p>
        </w:tc>
        <w:tc>
          <w:tcPr>
            <w:tcW w:w="1470" w:type="dxa"/>
            <w:shd w:val="clear" w:color="auto" w:fill="C6EFCE"/>
            <w:noWrap/>
            <w:vAlign w:val="center"/>
            <w:hideMark/>
          </w:tcPr>
          <w:p w14:paraId="050AB948" w14:textId="77777777" w:rsidR="006054AA" w:rsidRDefault="001F7667">
            <w:pPr>
              <w:pStyle w:val="P68B1DB1-Normal11"/>
              <w:spacing w:before="120" w:after="120"/>
              <w:jc w:val="center"/>
              <w:rPr>
                <w:rFonts w:eastAsia="Calibri"/>
                <w:noProof/>
              </w:rPr>
            </w:pPr>
            <w:r>
              <w:rPr>
                <w:noProof/>
              </w:rPr>
              <w:t>НЯМА</w:t>
            </w:r>
          </w:p>
        </w:tc>
        <w:tc>
          <w:tcPr>
            <w:tcW w:w="1275" w:type="dxa"/>
            <w:shd w:val="clear" w:color="auto" w:fill="C6EFCE"/>
            <w:noWrap/>
            <w:vAlign w:val="center"/>
            <w:hideMark/>
          </w:tcPr>
          <w:p w14:paraId="0772A167" w14:textId="77777777" w:rsidR="006054AA" w:rsidRDefault="001F7667">
            <w:pPr>
              <w:pStyle w:val="P68B1DB1-Normal11"/>
              <w:spacing w:before="120" w:after="120"/>
              <w:jc w:val="center"/>
              <w:rPr>
                <w:rFonts w:eastAsia="Calibri"/>
                <w:noProof/>
              </w:rPr>
            </w:pPr>
            <w:r>
              <w:rPr>
                <w:noProof/>
              </w:rPr>
              <w:t>Брой</w:t>
            </w:r>
          </w:p>
        </w:tc>
        <w:tc>
          <w:tcPr>
            <w:tcW w:w="1134" w:type="dxa"/>
            <w:shd w:val="clear" w:color="auto" w:fill="C6EFCE"/>
            <w:noWrap/>
            <w:vAlign w:val="center"/>
            <w:hideMark/>
          </w:tcPr>
          <w:p w14:paraId="53A6A044" w14:textId="77777777" w:rsidR="006054AA" w:rsidRDefault="001F7667">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3A5F4538" w14:textId="77777777" w:rsidR="006054AA" w:rsidRDefault="001F7667">
            <w:pPr>
              <w:pStyle w:val="P68B1DB1-Normal11"/>
              <w:spacing w:before="120" w:after="120"/>
              <w:jc w:val="center"/>
              <w:rPr>
                <w:rFonts w:eastAsia="Calibri"/>
                <w:noProof/>
              </w:rPr>
            </w:pPr>
            <w:r>
              <w:rPr>
                <w:noProof/>
              </w:rPr>
              <w:t>250</w:t>
            </w:r>
          </w:p>
        </w:tc>
        <w:tc>
          <w:tcPr>
            <w:tcW w:w="851" w:type="dxa"/>
            <w:shd w:val="clear" w:color="auto" w:fill="C6EFCE"/>
            <w:noWrap/>
            <w:vAlign w:val="center"/>
            <w:hideMark/>
          </w:tcPr>
          <w:p w14:paraId="73EF3A20" w14:textId="77777777" w:rsidR="006054AA" w:rsidRDefault="001F7667">
            <w:pPr>
              <w:pStyle w:val="P68B1DB1-Normal11"/>
              <w:spacing w:before="120" w:after="120"/>
              <w:jc w:val="center"/>
              <w:rPr>
                <w:rFonts w:eastAsia="Calibri"/>
                <w:noProof/>
              </w:rPr>
            </w:pPr>
            <w:r>
              <w:rPr>
                <w:noProof/>
              </w:rPr>
              <w:t>Т4 Г.</w:t>
            </w:r>
          </w:p>
        </w:tc>
        <w:tc>
          <w:tcPr>
            <w:tcW w:w="709" w:type="dxa"/>
            <w:shd w:val="clear" w:color="auto" w:fill="C6EFCE"/>
            <w:noWrap/>
            <w:vAlign w:val="center"/>
            <w:hideMark/>
          </w:tcPr>
          <w:p w14:paraId="3B95D416" w14:textId="77777777" w:rsidR="006054AA" w:rsidRDefault="001F7667">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7DF63092" w14:textId="77777777" w:rsidR="006054AA" w:rsidRDefault="001F7667">
            <w:pPr>
              <w:pStyle w:val="P68B1DB1-Normal11"/>
              <w:spacing w:before="120" w:after="120"/>
              <w:rPr>
                <w:rFonts w:eastAsia="Calibri"/>
                <w:noProof/>
              </w:rPr>
            </w:pPr>
            <w:r>
              <w:rPr>
                <w:noProof/>
              </w:rPr>
              <w:t>През тригодишния период 250—2021 г. най-малко 2023 публични служби по заетостта (ПСЗ) са изпълнили поне 50 % от дейностите, предвидени в „плана за укрепване“.</w:t>
            </w:r>
          </w:p>
          <w:p w14:paraId="68B25669" w14:textId="77777777" w:rsidR="006054AA" w:rsidRDefault="001F7667">
            <w:pPr>
              <w:pStyle w:val="P68B1DB1-Normal11"/>
              <w:spacing w:before="120" w:after="120"/>
              <w:rPr>
                <w:rFonts w:eastAsia="Calibri"/>
                <w:noProof/>
              </w:rPr>
            </w:pPr>
            <w:r>
              <w:rPr>
                <w:noProof/>
              </w:rPr>
              <w:t>Тези дейности са в съответствие с плана за централно укрепване и са допълнително определени на регионално равнище въз основа на анализ на нуждите и разпределени ресурси.</w:t>
            </w:r>
          </w:p>
          <w:p w14:paraId="1CA9E046" w14:textId="77777777" w:rsidR="006054AA" w:rsidRDefault="001F7667">
            <w:pPr>
              <w:pStyle w:val="P68B1DB1-Normal11"/>
              <w:spacing w:before="120" w:after="120"/>
              <w:rPr>
                <w:rFonts w:eastAsia="Calibri"/>
                <w:noProof/>
              </w:rPr>
            </w:pPr>
            <w:r>
              <w:rPr>
                <w:noProof/>
              </w:rPr>
              <w:t xml:space="preserve">Тези дейности включват: I) обновяване и обновяване на настоящите места на публичните служби по заетостта (ПСЗ) и закупуване на нови такива; II) по-нататъшно внедряване на информационната система с оглед на националната оперативна съвместимост; III) професионално обучение на персонала; IV) създаване на регионални обсерватории на местните пазари на труда; V) институционална комуникация и информационни дейности. </w:t>
            </w:r>
          </w:p>
          <w:p w14:paraId="3C0DA703" w14:textId="77777777" w:rsidR="006054AA" w:rsidRDefault="001F7667">
            <w:pPr>
              <w:pStyle w:val="P68B1DB1-Normal11"/>
              <w:spacing w:before="120" w:after="120"/>
              <w:rPr>
                <w:rFonts w:eastAsia="Calibri"/>
                <w:noProof/>
              </w:rPr>
            </w:pPr>
            <w:r>
              <w:rPr>
                <w:noProof/>
              </w:rPr>
              <w:t>Инфраструктурните дейности не са включени в тази цел.</w:t>
            </w:r>
          </w:p>
          <w:p w14:paraId="72CCDFCD" w14:textId="77777777" w:rsidR="006054AA" w:rsidRDefault="001F7667">
            <w:pPr>
              <w:pStyle w:val="P68B1DB1-Normal11"/>
              <w:spacing w:before="120" w:after="120"/>
              <w:rPr>
                <w:rFonts w:eastAsia="Calibri"/>
                <w:noProof/>
              </w:rPr>
            </w:pPr>
            <w:r>
              <w:rPr>
                <w:noProof/>
              </w:rPr>
              <w:t>Осигурява се равен баланс при постигането на целта по отношение на териториалното разпределение (север, Център и Юг).</w:t>
            </w:r>
          </w:p>
        </w:tc>
      </w:tr>
      <w:tr w:rsidR="006054AA" w14:paraId="1011EC40" w14:textId="77777777">
        <w:trPr>
          <w:trHeight w:val="309"/>
          <w:jc w:val="center"/>
        </w:trPr>
        <w:tc>
          <w:tcPr>
            <w:tcW w:w="1364" w:type="dxa"/>
            <w:shd w:val="clear" w:color="auto" w:fill="C6EFCE"/>
            <w:noWrap/>
            <w:vAlign w:val="center"/>
            <w:hideMark/>
          </w:tcPr>
          <w:p w14:paraId="110D21F6" w14:textId="3903F19D" w:rsidR="006054AA" w:rsidRDefault="001F7667">
            <w:pPr>
              <w:pStyle w:val="P68B1DB1-Normal11"/>
              <w:spacing w:before="120" w:after="120"/>
              <w:jc w:val="center"/>
              <w:rPr>
                <w:rFonts w:eastAsia="Calibri"/>
                <w:noProof/>
              </w:rPr>
            </w:pPr>
            <w:r>
              <w:rPr>
                <w:noProof/>
              </w:rPr>
              <w:t>M5C1—7</w:t>
            </w:r>
          </w:p>
        </w:tc>
        <w:tc>
          <w:tcPr>
            <w:tcW w:w="1513" w:type="dxa"/>
            <w:shd w:val="clear" w:color="auto" w:fill="C6EFCE"/>
            <w:noWrap/>
            <w:vAlign w:val="center"/>
            <w:hideMark/>
          </w:tcPr>
          <w:p w14:paraId="0C541C78" w14:textId="2CBF77B7" w:rsidR="006054AA" w:rsidRDefault="001F7667">
            <w:pPr>
              <w:pStyle w:val="P68B1DB1-Normal11"/>
              <w:spacing w:before="120" w:after="120"/>
              <w:jc w:val="center"/>
              <w:rPr>
                <w:rFonts w:eastAsia="Calibri"/>
                <w:noProof/>
              </w:rPr>
            </w:pPr>
            <w:r>
              <w:rPr>
                <w:noProof/>
              </w:rPr>
              <w:t>Инвестиция 1 — Укрепване на публичните служби по заетостта (ПСЗ)</w:t>
            </w:r>
          </w:p>
        </w:tc>
        <w:tc>
          <w:tcPr>
            <w:tcW w:w="1281" w:type="dxa"/>
            <w:shd w:val="clear" w:color="auto" w:fill="C6EFCE"/>
            <w:noWrap/>
            <w:vAlign w:val="center"/>
            <w:hideMark/>
          </w:tcPr>
          <w:p w14:paraId="11D4ECC1" w14:textId="77777777" w:rsidR="006054AA" w:rsidRDefault="001F7667">
            <w:pPr>
              <w:pStyle w:val="P68B1DB1-Normal11"/>
              <w:spacing w:before="120" w:after="120"/>
              <w:jc w:val="center"/>
              <w:rPr>
                <w:rFonts w:eastAsia="Calibri"/>
                <w:noProof/>
              </w:rPr>
            </w:pPr>
            <w:r>
              <w:rPr>
                <w:noProof/>
              </w:rPr>
              <w:t>Целеви</w:t>
            </w:r>
          </w:p>
        </w:tc>
        <w:tc>
          <w:tcPr>
            <w:tcW w:w="1597" w:type="dxa"/>
            <w:shd w:val="clear" w:color="auto" w:fill="C6EFCE"/>
            <w:noWrap/>
            <w:vAlign w:val="center"/>
            <w:hideMark/>
          </w:tcPr>
          <w:p w14:paraId="308B74B1" w14:textId="77777777" w:rsidR="006054AA" w:rsidRDefault="001F7667">
            <w:pPr>
              <w:pStyle w:val="P68B1DB1-Normal11"/>
              <w:spacing w:before="120" w:after="120"/>
              <w:jc w:val="center"/>
              <w:rPr>
                <w:rFonts w:eastAsia="Calibri"/>
                <w:noProof/>
              </w:rPr>
            </w:pPr>
            <w:r>
              <w:rPr>
                <w:noProof/>
              </w:rPr>
              <w:t>Публичните служби по заетостта (ПСЗ) приключиха дейностите, предвидени в плана за укрепване</w:t>
            </w:r>
          </w:p>
        </w:tc>
        <w:tc>
          <w:tcPr>
            <w:tcW w:w="1470" w:type="dxa"/>
            <w:shd w:val="clear" w:color="auto" w:fill="C6EFCE"/>
            <w:noWrap/>
            <w:vAlign w:val="center"/>
            <w:hideMark/>
          </w:tcPr>
          <w:p w14:paraId="71087633" w14:textId="77777777" w:rsidR="006054AA" w:rsidRDefault="001F7667">
            <w:pPr>
              <w:pStyle w:val="P68B1DB1-Normal11"/>
              <w:spacing w:before="120" w:after="120"/>
              <w:jc w:val="center"/>
              <w:rPr>
                <w:rFonts w:eastAsia="Calibri"/>
                <w:noProof/>
              </w:rPr>
            </w:pPr>
            <w:r>
              <w:rPr>
                <w:noProof/>
              </w:rPr>
              <w:t>НЯМА</w:t>
            </w:r>
          </w:p>
        </w:tc>
        <w:tc>
          <w:tcPr>
            <w:tcW w:w="1275" w:type="dxa"/>
            <w:shd w:val="clear" w:color="auto" w:fill="C6EFCE"/>
            <w:noWrap/>
            <w:vAlign w:val="center"/>
            <w:hideMark/>
          </w:tcPr>
          <w:p w14:paraId="6CAB82CD" w14:textId="77777777" w:rsidR="006054AA" w:rsidRDefault="001F7667">
            <w:pPr>
              <w:pStyle w:val="P68B1DB1-Normal11"/>
              <w:spacing w:before="120" w:after="120"/>
              <w:jc w:val="center"/>
              <w:rPr>
                <w:rFonts w:eastAsia="Calibri"/>
                <w:noProof/>
              </w:rPr>
            </w:pPr>
            <w:r>
              <w:rPr>
                <w:noProof/>
              </w:rPr>
              <w:t xml:space="preserve">Брой </w:t>
            </w:r>
          </w:p>
        </w:tc>
        <w:tc>
          <w:tcPr>
            <w:tcW w:w="1134" w:type="dxa"/>
            <w:shd w:val="clear" w:color="auto" w:fill="C6EFCE"/>
            <w:noWrap/>
            <w:vAlign w:val="center"/>
            <w:hideMark/>
          </w:tcPr>
          <w:p w14:paraId="0AC5F17B" w14:textId="77777777" w:rsidR="006054AA" w:rsidRDefault="001F7667">
            <w:pPr>
              <w:pStyle w:val="P68B1DB1-Normal11"/>
              <w:spacing w:before="120" w:after="120"/>
              <w:jc w:val="center"/>
              <w:rPr>
                <w:rFonts w:eastAsia="Calibri"/>
                <w:noProof/>
              </w:rPr>
            </w:pPr>
            <w:r>
              <w:rPr>
                <w:noProof/>
              </w:rPr>
              <w:t>250</w:t>
            </w:r>
          </w:p>
        </w:tc>
        <w:tc>
          <w:tcPr>
            <w:tcW w:w="1134" w:type="dxa"/>
            <w:shd w:val="clear" w:color="auto" w:fill="C6EFCE"/>
            <w:noWrap/>
            <w:vAlign w:val="center"/>
            <w:hideMark/>
          </w:tcPr>
          <w:p w14:paraId="66CDAAA9" w14:textId="77777777" w:rsidR="006054AA" w:rsidRDefault="001F7667">
            <w:pPr>
              <w:pStyle w:val="P68B1DB1-Normal11"/>
              <w:spacing w:before="120" w:after="120"/>
              <w:jc w:val="center"/>
              <w:rPr>
                <w:noProof/>
              </w:rPr>
            </w:pPr>
            <w:r>
              <w:rPr>
                <w:noProof/>
              </w:rPr>
              <w:t>500</w:t>
            </w:r>
          </w:p>
        </w:tc>
        <w:tc>
          <w:tcPr>
            <w:tcW w:w="851" w:type="dxa"/>
            <w:shd w:val="clear" w:color="auto" w:fill="C6EFCE"/>
            <w:noWrap/>
            <w:vAlign w:val="center"/>
            <w:hideMark/>
          </w:tcPr>
          <w:p w14:paraId="7B191153" w14:textId="77777777" w:rsidR="006054AA" w:rsidRDefault="001F7667">
            <w:pPr>
              <w:pStyle w:val="P68B1DB1-Normal11"/>
              <w:spacing w:before="120" w:after="120"/>
              <w:jc w:val="center"/>
              <w:rPr>
                <w:rFonts w:eastAsia="Calibri"/>
                <w:noProof/>
              </w:rPr>
            </w:pPr>
            <w:r>
              <w:rPr>
                <w:noProof/>
              </w:rPr>
              <w:t>Т4 Г.</w:t>
            </w:r>
          </w:p>
        </w:tc>
        <w:tc>
          <w:tcPr>
            <w:tcW w:w="709" w:type="dxa"/>
            <w:shd w:val="clear" w:color="auto" w:fill="C6EFCE"/>
            <w:noWrap/>
            <w:vAlign w:val="center"/>
            <w:hideMark/>
          </w:tcPr>
          <w:p w14:paraId="0BBA87A1" w14:textId="77777777" w:rsidR="006054AA" w:rsidRDefault="001F7667">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0DF1E350" w14:textId="77777777" w:rsidR="006054AA" w:rsidRDefault="001F7667">
            <w:pPr>
              <w:pStyle w:val="P68B1DB1-Normal11"/>
              <w:spacing w:after="120"/>
              <w:rPr>
                <w:rFonts w:eastAsia="Calibri"/>
                <w:noProof/>
              </w:rPr>
            </w:pPr>
            <w:r>
              <w:rPr>
                <w:noProof/>
              </w:rPr>
              <w:t>Най-малко 500 публични служби по заетостта (ПСЗ) са завършили 100 % от дейностите, предвидени в регионалните планове за развитие на публичните центрове по заетостта (</w:t>
            </w:r>
            <w:r>
              <w:rPr>
                <w:i/>
                <w:noProof/>
              </w:rPr>
              <w:t>Piani regionali di potenziamento dei centri per l’impiego</w:t>
            </w:r>
            <w:r>
              <w:rPr>
                <w:noProof/>
              </w:rPr>
              <w:t>).</w:t>
            </w:r>
          </w:p>
          <w:p w14:paraId="13AA33E8" w14:textId="77777777" w:rsidR="006054AA" w:rsidRDefault="001F7667">
            <w:pPr>
              <w:pStyle w:val="P68B1DB1-Normal11"/>
              <w:spacing w:before="120" w:after="120"/>
              <w:rPr>
                <w:rFonts w:eastAsia="Calibri"/>
                <w:noProof/>
              </w:rPr>
            </w:pPr>
            <w:r>
              <w:rPr>
                <w:noProof/>
              </w:rPr>
              <w:t>Тези дейности са в съответствие с плана за централно укрепване и са допълнително определени на регионално равнище въз основа на анализ на нуждите и разпределени ресурси.</w:t>
            </w:r>
          </w:p>
          <w:p w14:paraId="0395F578" w14:textId="37327A28" w:rsidR="006054AA" w:rsidRDefault="001F7667">
            <w:pPr>
              <w:pStyle w:val="P68B1DB1-Normal11"/>
              <w:spacing w:before="120" w:after="120"/>
              <w:rPr>
                <w:rFonts w:eastAsia="Calibri"/>
                <w:noProof/>
              </w:rPr>
            </w:pPr>
            <w:r>
              <w:rPr>
                <w:noProof/>
              </w:rPr>
              <w:t xml:space="preserve">Тези дейности включват: И) по-нататъшно прилагане на информационната система с оглед на националната оперативна съвместимост; II) професионално обучение на персонала; </w:t>
            </w:r>
            <w:r>
              <w:rPr>
                <w:noProof/>
              </w:rPr>
              <w:br/>
              <w:t>III) създаване на регионални обсерватории на местните пазари на труда; IV) институционална комуникация и информационни дейности.</w:t>
            </w:r>
          </w:p>
          <w:p w14:paraId="2AF6BA30" w14:textId="77777777" w:rsidR="006054AA" w:rsidRDefault="001F7667">
            <w:pPr>
              <w:pStyle w:val="P68B1DB1-Normal11"/>
              <w:spacing w:before="120" w:after="120"/>
              <w:rPr>
                <w:rFonts w:eastAsia="Calibri"/>
                <w:noProof/>
              </w:rPr>
            </w:pPr>
            <w:r>
              <w:rPr>
                <w:noProof/>
              </w:rPr>
              <w:t xml:space="preserve">Инфраструктурните дейности не са включени в тази цел. </w:t>
            </w:r>
          </w:p>
          <w:p w14:paraId="565182C0" w14:textId="77777777" w:rsidR="006054AA" w:rsidRDefault="001F7667">
            <w:pPr>
              <w:pStyle w:val="P68B1DB1-Normal11"/>
              <w:spacing w:before="120" w:after="120"/>
              <w:rPr>
                <w:rFonts w:eastAsia="Calibri"/>
                <w:noProof/>
              </w:rPr>
            </w:pPr>
            <w:r>
              <w:rPr>
                <w:noProof/>
              </w:rPr>
              <w:t>При постигането на целта се гарантира баланс по отношение на териториалното разпределение (Север, Център и Юг), включително чрез интервенции в областта на субсидиарността.</w:t>
            </w:r>
          </w:p>
        </w:tc>
      </w:tr>
      <w:tr w:rsidR="006054AA" w14:paraId="55B164C5" w14:textId="77777777">
        <w:trPr>
          <w:trHeight w:val="309"/>
          <w:jc w:val="center"/>
        </w:trPr>
        <w:tc>
          <w:tcPr>
            <w:tcW w:w="1364" w:type="dxa"/>
            <w:shd w:val="clear" w:color="auto" w:fill="C6EFCE"/>
            <w:noWrap/>
            <w:vAlign w:val="center"/>
          </w:tcPr>
          <w:p w14:paraId="1AA10754" w14:textId="77777777" w:rsidR="006054AA" w:rsidRDefault="001F7667">
            <w:pPr>
              <w:pStyle w:val="P68B1DB1-Normal11"/>
              <w:jc w:val="center"/>
              <w:rPr>
                <w:noProof/>
              </w:rPr>
            </w:pPr>
            <w:r>
              <w:rPr>
                <w:noProof/>
              </w:rPr>
              <w:t>M5C1—7bis</w:t>
            </w:r>
          </w:p>
        </w:tc>
        <w:tc>
          <w:tcPr>
            <w:tcW w:w="1513" w:type="dxa"/>
            <w:shd w:val="clear" w:color="auto" w:fill="C6EFCE"/>
            <w:noWrap/>
            <w:vAlign w:val="center"/>
          </w:tcPr>
          <w:p w14:paraId="3933760A" w14:textId="5A640466" w:rsidR="006054AA" w:rsidRDefault="001F7667">
            <w:pPr>
              <w:pStyle w:val="P68B1DB1-Normal11"/>
              <w:spacing w:before="120" w:after="120"/>
              <w:jc w:val="center"/>
              <w:rPr>
                <w:rFonts w:eastAsia="Calibri"/>
                <w:noProof/>
              </w:rPr>
            </w:pPr>
            <w:r>
              <w:rPr>
                <w:noProof/>
              </w:rPr>
              <w:t>Инвестиция 1 — Укрепване на публичните служби по заетостта (ПСЗ)</w:t>
            </w:r>
          </w:p>
        </w:tc>
        <w:tc>
          <w:tcPr>
            <w:tcW w:w="1281" w:type="dxa"/>
            <w:shd w:val="clear" w:color="auto" w:fill="C6EFCE"/>
            <w:noWrap/>
            <w:vAlign w:val="center"/>
          </w:tcPr>
          <w:p w14:paraId="06442EDC" w14:textId="77777777" w:rsidR="006054AA" w:rsidRDefault="001F7667">
            <w:pPr>
              <w:pStyle w:val="P68B1DB1-Normal11"/>
              <w:jc w:val="center"/>
              <w:rPr>
                <w:rFonts w:eastAsia="Calibri"/>
                <w:noProof/>
              </w:rPr>
            </w:pPr>
            <w:r>
              <w:rPr>
                <w:noProof/>
              </w:rPr>
              <w:t>Целеви</w:t>
            </w:r>
          </w:p>
        </w:tc>
        <w:tc>
          <w:tcPr>
            <w:tcW w:w="1597" w:type="dxa"/>
            <w:shd w:val="clear" w:color="auto" w:fill="C6EFCE"/>
            <w:noWrap/>
            <w:vAlign w:val="center"/>
          </w:tcPr>
          <w:p w14:paraId="00C65D81" w14:textId="77777777" w:rsidR="006054AA" w:rsidRDefault="001F7667">
            <w:pPr>
              <w:pStyle w:val="P68B1DB1-Normal11"/>
              <w:jc w:val="center"/>
              <w:rPr>
                <w:noProof/>
              </w:rPr>
            </w:pPr>
            <w:r>
              <w:rPr>
                <w:noProof/>
              </w:rPr>
              <w:t>Публичните служби по заетостта (ПСЗ) приключиха дейностите, предвидени в плана за укрепване</w:t>
            </w:r>
          </w:p>
        </w:tc>
        <w:tc>
          <w:tcPr>
            <w:tcW w:w="1470" w:type="dxa"/>
            <w:shd w:val="clear" w:color="auto" w:fill="C6EFCE"/>
            <w:noWrap/>
            <w:vAlign w:val="center"/>
          </w:tcPr>
          <w:p w14:paraId="54FDDE73" w14:textId="77777777" w:rsidR="006054AA" w:rsidRDefault="001F7667">
            <w:pPr>
              <w:pStyle w:val="P68B1DB1-Normal11"/>
              <w:jc w:val="center"/>
              <w:rPr>
                <w:rFonts w:eastAsia="Calibri"/>
                <w:noProof/>
              </w:rPr>
            </w:pPr>
            <w:r>
              <w:rPr>
                <w:noProof/>
              </w:rPr>
              <w:t>НЯМА</w:t>
            </w:r>
          </w:p>
        </w:tc>
        <w:tc>
          <w:tcPr>
            <w:tcW w:w="1275" w:type="dxa"/>
            <w:shd w:val="clear" w:color="auto" w:fill="C6EFCE"/>
            <w:noWrap/>
            <w:vAlign w:val="center"/>
          </w:tcPr>
          <w:p w14:paraId="2A4BD1A6" w14:textId="77777777" w:rsidR="006054AA" w:rsidRDefault="001F7667">
            <w:pPr>
              <w:pStyle w:val="P68B1DB1-Normal11"/>
              <w:jc w:val="center"/>
              <w:rPr>
                <w:rFonts w:eastAsia="Calibri"/>
                <w:noProof/>
              </w:rPr>
            </w:pPr>
            <w:r>
              <w:rPr>
                <w:noProof/>
              </w:rPr>
              <w:t xml:space="preserve">Брой </w:t>
            </w:r>
          </w:p>
        </w:tc>
        <w:tc>
          <w:tcPr>
            <w:tcW w:w="1134" w:type="dxa"/>
            <w:shd w:val="clear" w:color="auto" w:fill="C6EFCE"/>
            <w:noWrap/>
            <w:vAlign w:val="center"/>
          </w:tcPr>
          <w:p w14:paraId="39B69383" w14:textId="77777777" w:rsidR="006054AA" w:rsidRDefault="001F7667">
            <w:pPr>
              <w:pStyle w:val="P68B1DB1-Normal11"/>
              <w:jc w:val="center"/>
              <w:rPr>
                <w:rFonts w:eastAsia="Calibri"/>
                <w:noProof/>
              </w:rPr>
            </w:pPr>
            <w:r>
              <w:rPr>
                <w:noProof/>
              </w:rPr>
              <w:t>0</w:t>
            </w:r>
          </w:p>
        </w:tc>
        <w:tc>
          <w:tcPr>
            <w:tcW w:w="1134" w:type="dxa"/>
            <w:shd w:val="clear" w:color="auto" w:fill="C6EFCE"/>
            <w:noWrap/>
            <w:vAlign w:val="center"/>
          </w:tcPr>
          <w:p w14:paraId="2C45EA00" w14:textId="77777777" w:rsidR="006054AA" w:rsidRDefault="001F7667">
            <w:pPr>
              <w:pStyle w:val="P68B1DB1-Normal11"/>
              <w:jc w:val="center"/>
              <w:rPr>
                <w:rFonts w:eastAsia="Calibri"/>
                <w:noProof/>
              </w:rPr>
            </w:pPr>
            <w:r>
              <w:rPr>
                <w:noProof/>
              </w:rPr>
              <w:t>500</w:t>
            </w:r>
          </w:p>
        </w:tc>
        <w:tc>
          <w:tcPr>
            <w:tcW w:w="851" w:type="dxa"/>
            <w:shd w:val="clear" w:color="auto" w:fill="C6EFCE"/>
            <w:noWrap/>
            <w:vAlign w:val="center"/>
          </w:tcPr>
          <w:p w14:paraId="112EBA93" w14:textId="77777777" w:rsidR="006054AA" w:rsidRDefault="001F7667">
            <w:pPr>
              <w:pStyle w:val="P68B1DB1-Normal11"/>
              <w:jc w:val="center"/>
              <w:rPr>
                <w:rFonts w:eastAsia="Calibri"/>
                <w:noProof/>
              </w:rPr>
            </w:pPr>
            <w:r>
              <w:rPr>
                <w:noProof/>
              </w:rPr>
              <w:t>Т2 Г.</w:t>
            </w:r>
          </w:p>
        </w:tc>
        <w:tc>
          <w:tcPr>
            <w:tcW w:w="709" w:type="dxa"/>
            <w:shd w:val="clear" w:color="auto" w:fill="C6EFCE"/>
            <w:noWrap/>
            <w:vAlign w:val="center"/>
          </w:tcPr>
          <w:p w14:paraId="48B85233" w14:textId="77777777" w:rsidR="006054AA" w:rsidRDefault="001F7667">
            <w:pPr>
              <w:pStyle w:val="P68B1DB1-Normal11"/>
              <w:jc w:val="center"/>
              <w:rPr>
                <w:rFonts w:eastAsia="Calibri"/>
                <w:noProof/>
              </w:rPr>
            </w:pPr>
            <w:r>
              <w:rPr>
                <w:noProof/>
              </w:rPr>
              <w:t>2026</w:t>
            </w:r>
          </w:p>
        </w:tc>
        <w:tc>
          <w:tcPr>
            <w:tcW w:w="2835" w:type="dxa"/>
            <w:shd w:val="clear" w:color="auto" w:fill="C6EFCE"/>
            <w:noWrap/>
            <w:vAlign w:val="center"/>
          </w:tcPr>
          <w:p w14:paraId="62363C3A" w14:textId="77777777" w:rsidR="006054AA" w:rsidRDefault="001F7667">
            <w:pPr>
              <w:pStyle w:val="P68B1DB1-Normal11"/>
              <w:spacing w:before="120" w:after="120"/>
              <w:rPr>
                <w:rFonts w:eastAsia="Calibri"/>
                <w:noProof/>
              </w:rPr>
            </w:pPr>
            <w:r>
              <w:rPr>
                <w:noProof/>
              </w:rPr>
              <w:t xml:space="preserve">Най-малко 500 публични служби по заетостта (ПСЗ) са завършили 100 % от дейностите, предвидени в регионалните планове за развитие на публичните центрове по заетостта </w:t>
            </w:r>
            <w:r>
              <w:rPr>
                <w:i/>
                <w:noProof/>
              </w:rPr>
              <w:t xml:space="preserve">(Piani regionali di potenziamento dei centri per l’impiego) </w:t>
            </w:r>
            <w:r>
              <w:rPr>
                <w:noProof/>
              </w:rPr>
              <w:t>във връзка с обновяването и обновяването на текущи сгради на публичните служби по заетостта (ПСЗ) и регионалните агенции и закупуването на нови такива, както е описано в постановлението на генералния секретар на Министерството на труда и социалните политики DSG № 123/2020.</w:t>
            </w:r>
          </w:p>
        </w:tc>
      </w:tr>
      <w:tr w:rsidR="006054AA" w14:paraId="789C711D" w14:textId="77777777">
        <w:trPr>
          <w:trHeight w:val="309"/>
          <w:jc w:val="center"/>
        </w:trPr>
        <w:tc>
          <w:tcPr>
            <w:tcW w:w="1364" w:type="dxa"/>
            <w:shd w:val="clear" w:color="auto" w:fill="C6EFCE"/>
            <w:noWrap/>
            <w:vAlign w:val="center"/>
            <w:hideMark/>
          </w:tcPr>
          <w:p w14:paraId="20F55497" w14:textId="20BBF3C9" w:rsidR="006054AA" w:rsidRDefault="001F7667">
            <w:pPr>
              <w:pStyle w:val="P68B1DB1-Normal11"/>
              <w:jc w:val="center"/>
              <w:rPr>
                <w:rFonts w:eastAsia="Calibri"/>
                <w:noProof/>
              </w:rPr>
            </w:pPr>
            <w:r>
              <w:rPr>
                <w:noProof/>
              </w:rPr>
              <w:t>M5C1—8</w:t>
            </w:r>
          </w:p>
        </w:tc>
        <w:tc>
          <w:tcPr>
            <w:tcW w:w="1513" w:type="dxa"/>
            <w:shd w:val="clear" w:color="auto" w:fill="C6EFCE"/>
            <w:noWrap/>
            <w:vAlign w:val="center"/>
            <w:hideMark/>
          </w:tcPr>
          <w:p w14:paraId="7EBAEBA9" w14:textId="77777777" w:rsidR="006054AA" w:rsidRDefault="001F7667">
            <w:pPr>
              <w:pStyle w:val="P68B1DB1-Normal11"/>
              <w:jc w:val="center"/>
              <w:rPr>
                <w:rFonts w:eastAsia="Calibri"/>
                <w:noProof/>
              </w:rPr>
            </w:pPr>
            <w:r>
              <w:rPr>
                <w:noProof/>
              </w:rPr>
              <w:t>Реформа 2 — Недеклариран труд</w:t>
            </w:r>
          </w:p>
        </w:tc>
        <w:tc>
          <w:tcPr>
            <w:tcW w:w="1281" w:type="dxa"/>
            <w:shd w:val="clear" w:color="auto" w:fill="C6EFCE"/>
            <w:noWrap/>
            <w:vAlign w:val="center"/>
            <w:hideMark/>
          </w:tcPr>
          <w:p w14:paraId="63EFA52F" w14:textId="77777777" w:rsidR="006054AA" w:rsidRDefault="001F7667">
            <w:pPr>
              <w:pStyle w:val="P68B1DB1-Normal11"/>
              <w:jc w:val="center"/>
              <w:rPr>
                <w:rFonts w:eastAsia="Calibri"/>
                <w:noProof/>
              </w:rPr>
            </w:pPr>
            <w:r>
              <w:rPr>
                <w:noProof/>
              </w:rPr>
              <w:t>Ключов етап</w:t>
            </w:r>
          </w:p>
        </w:tc>
        <w:tc>
          <w:tcPr>
            <w:tcW w:w="1597" w:type="dxa"/>
            <w:shd w:val="clear" w:color="auto" w:fill="C6EFCE"/>
            <w:noWrap/>
            <w:vAlign w:val="center"/>
            <w:hideMark/>
          </w:tcPr>
          <w:p w14:paraId="7BA0E066" w14:textId="77777777" w:rsidR="006054AA" w:rsidRDefault="001F7667">
            <w:pPr>
              <w:pStyle w:val="P68B1DB1-Normal11"/>
              <w:jc w:val="center"/>
              <w:rPr>
                <w:noProof/>
              </w:rPr>
            </w:pPr>
            <w:r>
              <w:rPr>
                <w:noProof/>
              </w:rPr>
              <w:t>Влизане в сила на национален план и пътна карта за изпълнение за борба с недекларирания труд във всички икономически сектори.</w:t>
            </w:r>
          </w:p>
        </w:tc>
        <w:tc>
          <w:tcPr>
            <w:tcW w:w="1470" w:type="dxa"/>
            <w:shd w:val="clear" w:color="auto" w:fill="C6EFCE"/>
            <w:noWrap/>
            <w:vAlign w:val="center"/>
            <w:hideMark/>
          </w:tcPr>
          <w:p w14:paraId="7D0FD54C" w14:textId="08B0F3AB" w:rsidR="006054AA" w:rsidRDefault="001F7667">
            <w:pPr>
              <w:pStyle w:val="P68B1DB1-Normal11"/>
              <w:jc w:val="center"/>
              <w:rPr>
                <w:rFonts w:eastAsia="Calibri"/>
                <w:noProof/>
              </w:rPr>
            </w:pPr>
            <w:r>
              <w:rPr>
                <w:noProof/>
              </w:rPr>
              <w:t>Разпоредби в закона, указващи влизането в сила на националния план и създаването на междуинституционална работна група, която ще отговаря за създаването на национален план и пътна карта за изпълнение</w:t>
            </w:r>
          </w:p>
        </w:tc>
        <w:tc>
          <w:tcPr>
            <w:tcW w:w="1275" w:type="dxa"/>
            <w:shd w:val="clear" w:color="auto" w:fill="C6EFCE"/>
            <w:noWrap/>
            <w:vAlign w:val="center"/>
            <w:hideMark/>
          </w:tcPr>
          <w:p w14:paraId="6376B42D" w14:textId="77777777" w:rsidR="006054AA" w:rsidRDefault="001F7667">
            <w:pPr>
              <w:pStyle w:val="P68B1DB1-Normal11"/>
              <w:jc w:val="center"/>
              <w:rPr>
                <w:rFonts w:eastAsia="Calibri"/>
                <w:noProof/>
              </w:rPr>
            </w:pPr>
            <w:r>
              <w:rPr>
                <w:noProof/>
              </w:rPr>
              <w:t>НЯМА</w:t>
            </w:r>
          </w:p>
        </w:tc>
        <w:tc>
          <w:tcPr>
            <w:tcW w:w="1134" w:type="dxa"/>
            <w:shd w:val="clear" w:color="auto" w:fill="C6EFCE"/>
            <w:noWrap/>
            <w:vAlign w:val="center"/>
            <w:hideMark/>
          </w:tcPr>
          <w:p w14:paraId="5BEB0E05" w14:textId="77777777" w:rsidR="006054AA" w:rsidRDefault="001F7667">
            <w:pPr>
              <w:pStyle w:val="P68B1DB1-Normal11"/>
              <w:jc w:val="center"/>
              <w:rPr>
                <w:rFonts w:eastAsia="Calibri"/>
                <w:noProof/>
              </w:rPr>
            </w:pPr>
            <w:r>
              <w:rPr>
                <w:noProof/>
              </w:rPr>
              <w:t>НЯМА</w:t>
            </w:r>
          </w:p>
        </w:tc>
        <w:tc>
          <w:tcPr>
            <w:tcW w:w="1134" w:type="dxa"/>
            <w:shd w:val="clear" w:color="auto" w:fill="C6EFCE"/>
            <w:noWrap/>
            <w:vAlign w:val="center"/>
            <w:hideMark/>
          </w:tcPr>
          <w:p w14:paraId="6385B054" w14:textId="77777777" w:rsidR="006054AA" w:rsidRDefault="001F7667">
            <w:pPr>
              <w:pStyle w:val="P68B1DB1-Normal11"/>
              <w:jc w:val="center"/>
              <w:rPr>
                <w:rFonts w:eastAsia="Calibri"/>
                <w:noProof/>
              </w:rPr>
            </w:pPr>
            <w:r>
              <w:rPr>
                <w:noProof/>
              </w:rPr>
              <w:t>НЯМА</w:t>
            </w:r>
          </w:p>
        </w:tc>
        <w:tc>
          <w:tcPr>
            <w:tcW w:w="851" w:type="dxa"/>
            <w:shd w:val="clear" w:color="auto" w:fill="C6EFCE"/>
            <w:noWrap/>
            <w:vAlign w:val="center"/>
            <w:hideMark/>
          </w:tcPr>
          <w:p w14:paraId="1ACA708B" w14:textId="77777777" w:rsidR="006054AA" w:rsidRDefault="001F7667">
            <w:pPr>
              <w:pStyle w:val="P68B1DB1-Normal11"/>
              <w:jc w:val="center"/>
              <w:rPr>
                <w:rFonts w:eastAsia="Calibri"/>
                <w:noProof/>
              </w:rPr>
            </w:pPr>
            <w:r>
              <w:rPr>
                <w:noProof/>
              </w:rPr>
              <w:t>Т4 Г.</w:t>
            </w:r>
          </w:p>
        </w:tc>
        <w:tc>
          <w:tcPr>
            <w:tcW w:w="709" w:type="dxa"/>
            <w:shd w:val="clear" w:color="auto" w:fill="C6EFCE"/>
            <w:noWrap/>
            <w:vAlign w:val="center"/>
            <w:hideMark/>
          </w:tcPr>
          <w:p w14:paraId="634C38CB" w14:textId="77777777" w:rsidR="006054AA" w:rsidRDefault="001F7667">
            <w:pPr>
              <w:pStyle w:val="P68B1DB1-Normal11"/>
              <w:jc w:val="center"/>
              <w:rPr>
                <w:rFonts w:eastAsia="Calibri"/>
                <w:noProof/>
              </w:rPr>
            </w:pPr>
            <w:r>
              <w:rPr>
                <w:noProof/>
              </w:rPr>
              <w:t>2022</w:t>
            </w:r>
          </w:p>
        </w:tc>
        <w:tc>
          <w:tcPr>
            <w:tcW w:w="2835" w:type="dxa"/>
            <w:shd w:val="clear" w:color="auto" w:fill="C6EFCE"/>
            <w:noWrap/>
            <w:vAlign w:val="center"/>
            <w:hideMark/>
          </w:tcPr>
          <w:p w14:paraId="7E2BBBB4" w14:textId="77777777" w:rsidR="006054AA" w:rsidRDefault="001F7667">
            <w:pPr>
              <w:pStyle w:val="P68B1DB1-Normal19"/>
              <w:rPr>
                <w:rFonts w:eastAsia="Calibri"/>
                <w:noProof/>
                <w:color w:val="006100"/>
              </w:rPr>
            </w:pPr>
            <w:r>
              <w:rPr>
                <w:noProof/>
                <w:color w:val="006100"/>
              </w:rPr>
              <w:t xml:space="preserve">Приемане на национален план и обвързана със срокове (една година) пътна карта за изпълнение за борба с недекларирания труд във всички икономически сектори. Националният план се основава на общата стратегия за борба с недекларирания труд и на многоведомствения подход, използван за приемане на Националния план срещу експлоатацията на труда в селскостопанския сектор — „Piano triennale di contrasto allo sfruttamento lavorativo in agricoltura e al caporalato (2020—2022 г.)“. Националният план и пътната карта за изпълнение включват най-малко следното: </w:t>
            </w:r>
            <w:r>
              <w:rPr>
                <w:noProof/>
              </w:rPr>
              <w:t xml:space="preserve"> </w:t>
            </w:r>
            <w:r>
              <w:rPr>
                <w:noProof/>
              </w:rPr>
              <w:br/>
            </w:r>
            <w:r>
              <w:rPr>
                <w:noProof/>
                <w:color w:val="006100"/>
              </w:rPr>
              <w:t xml:space="preserve">И) мерки за подобряване на производството, събирането и навременното разпространение на подробни данни за недекларирания труд; </w:t>
            </w:r>
            <w:r>
              <w:rPr>
                <w:noProof/>
              </w:rPr>
              <w:t xml:space="preserve"> </w:t>
            </w:r>
            <w:r>
              <w:rPr>
                <w:noProof/>
              </w:rPr>
              <w:br/>
            </w:r>
            <w:r>
              <w:rPr>
                <w:noProof/>
                <w:color w:val="006100"/>
              </w:rPr>
              <w:t xml:space="preserve">II) въвеждане на преки и непреки мерки за преобразуване на недекларирания труд в деклариран труд, като се гарантира, че ползите от дейността в декларираната икономика надвишават разходите за работа в недекларираната икономика. Например а) възпиращи мерки, като например засилване на инспекциите и санкциите, и превантивни мерки за насърчаване на декларирания труд, като например целеви финансови стимули, също и чрез преразглеждане и рационализиране на съществуващите такива; б) укрепване на връзката със заетостта и социалната политика; </w:t>
            </w:r>
            <w:r>
              <w:rPr>
                <w:noProof/>
              </w:rPr>
              <w:t xml:space="preserve"> </w:t>
            </w:r>
            <w:r>
              <w:rPr>
                <w:noProof/>
              </w:rPr>
              <w:br/>
            </w:r>
            <w:r>
              <w:rPr>
                <w:noProof/>
                <w:color w:val="006100"/>
              </w:rPr>
              <w:t xml:space="preserve">III) национална информационна кампания относно „обезценяването“ на недекларирания труд, насочена към работодателите и работниците, с активното участие на социалните партньори; </w:t>
            </w:r>
            <w:r>
              <w:rPr>
                <w:noProof/>
              </w:rPr>
              <w:t xml:space="preserve"> </w:t>
            </w:r>
            <w:r>
              <w:rPr>
                <w:noProof/>
              </w:rPr>
              <w:br/>
            </w:r>
            <w:r>
              <w:rPr>
                <w:noProof/>
                <w:color w:val="006100"/>
              </w:rPr>
              <w:t xml:space="preserve">Структура на управление, която да гарантира ефективното изпълнение на действията; </w:t>
            </w:r>
          </w:p>
          <w:p w14:paraId="6ECCE12C" w14:textId="77777777" w:rsidR="006054AA" w:rsidRDefault="001F7667">
            <w:pPr>
              <w:pStyle w:val="P68B1DB1-Normal11"/>
              <w:rPr>
                <w:rFonts w:eastAsia="Calibri"/>
                <w:noProof/>
              </w:rPr>
            </w:pPr>
            <w:r>
              <w:rPr>
                <w:noProof/>
              </w:rPr>
              <w:t>V) мерки за преодоляване на незаконните селища за борба с трудовата експлоатация в селското стопанство.</w:t>
            </w:r>
          </w:p>
          <w:p w14:paraId="44E74DB2" w14:textId="77777777" w:rsidR="006054AA" w:rsidRDefault="006054AA">
            <w:pPr>
              <w:rPr>
                <w:rFonts w:ascii="Arial Narrow" w:eastAsia="Calibri" w:hAnsi="Arial Narrow"/>
                <w:noProof/>
                <w:color w:val="006100"/>
                <w:sz w:val="20"/>
              </w:rPr>
            </w:pPr>
          </w:p>
        </w:tc>
      </w:tr>
      <w:tr w:rsidR="006054AA" w14:paraId="179179CF" w14:textId="77777777">
        <w:trPr>
          <w:trHeight w:val="309"/>
          <w:jc w:val="center"/>
        </w:trPr>
        <w:tc>
          <w:tcPr>
            <w:tcW w:w="1364" w:type="dxa"/>
            <w:shd w:val="clear" w:color="auto" w:fill="C6EFCE"/>
            <w:noWrap/>
            <w:vAlign w:val="center"/>
            <w:hideMark/>
          </w:tcPr>
          <w:p w14:paraId="04467B4E" w14:textId="7A0B3771" w:rsidR="006054AA" w:rsidRDefault="001F7667">
            <w:pPr>
              <w:pStyle w:val="P68B1DB1-Normal11"/>
              <w:jc w:val="center"/>
              <w:rPr>
                <w:rFonts w:eastAsia="Calibri"/>
                <w:noProof/>
              </w:rPr>
            </w:pPr>
            <w:r>
              <w:rPr>
                <w:noProof/>
              </w:rPr>
              <w:t>M5C1—9</w:t>
            </w:r>
          </w:p>
        </w:tc>
        <w:tc>
          <w:tcPr>
            <w:tcW w:w="1513" w:type="dxa"/>
            <w:shd w:val="clear" w:color="auto" w:fill="C6EFCE"/>
            <w:noWrap/>
            <w:vAlign w:val="center"/>
            <w:hideMark/>
          </w:tcPr>
          <w:p w14:paraId="1EF519EF" w14:textId="77777777" w:rsidR="006054AA" w:rsidRDefault="001F7667">
            <w:pPr>
              <w:pStyle w:val="P68B1DB1-Normal11"/>
              <w:jc w:val="center"/>
              <w:rPr>
                <w:rFonts w:eastAsia="Calibri"/>
                <w:noProof/>
              </w:rPr>
            </w:pPr>
            <w:r>
              <w:rPr>
                <w:noProof/>
              </w:rPr>
              <w:t>Реформа 2 — Недеклариран труд</w:t>
            </w:r>
          </w:p>
        </w:tc>
        <w:tc>
          <w:tcPr>
            <w:tcW w:w="1281" w:type="dxa"/>
            <w:shd w:val="clear" w:color="auto" w:fill="C6EFCE"/>
            <w:noWrap/>
            <w:vAlign w:val="center"/>
            <w:hideMark/>
          </w:tcPr>
          <w:p w14:paraId="3BF09AF3" w14:textId="77777777" w:rsidR="006054AA" w:rsidRDefault="001F7667">
            <w:pPr>
              <w:pStyle w:val="P68B1DB1-Normal11"/>
              <w:jc w:val="center"/>
              <w:rPr>
                <w:rFonts w:eastAsia="Calibri"/>
                <w:noProof/>
              </w:rPr>
            </w:pPr>
            <w:r>
              <w:rPr>
                <w:noProof/>
              </w:rPr>
              <w:t>Ключов етап</w:t>
            </w:r>
          </w:p>
        </w:tc>
        <w:tc>
          <w:tcPr>
            <w:tcW w:w="1597" w:type="dxa"/>
            <w:shd w:val="clear" w:color="auto" w:fill="C6EFCE"/>
            <w:noWrap/>
            <w:vAlign w:val="center"/>
            <w:hideMark/>
          </w:tcPr>
          <w:p w14:paraId="18752DCD" w14:textId="77777777" w:rsidR="006054AA" w:rsidRDefault="001F7667">
            <w:pPr>
              <w:pStyle w:val="P68B1DB1-Normal11"/>
              <w:jc w:val="center"/>
              <w:rPr>
                <w:noProof/>
              </w:rPr>
            </w:pPr>
            <w:r>
              <w:rPr>
                <w:noProof/>
              </w:rPr>
              <w:t>Пълно прилагане на мерките, включени в националния план, в съответствие с пътната карта</w:t>
            </w:r>
          </w:p>
        </w:tc>
        <w:tc>
          <w:tcPr>
            <w:tcW w:w="1470" w:type="dxa"/>
            <w:shd w:val="clear" w:color="auto" w:fill="C6EFCE"/>
            <w:noWrap/>
            <w:vAlign w:val="center"/>
            <w:hideMark/>
          </w:tcPr>
          <w:p w14:paraId="626ADCEC" w14:textId="77777777" w:rsidR="006054AA" w:rsidRDefault="001F7667">
            <w:pPr>
              <w:pStyle w:val="P68B1DB1-Normal11"/>
              <w:jc w:val="center"/>
              <w:rPr>
                <w:noProof/>
              </w:rPr>
            </w:pPr>
            <w:r>
              <w:rPr>
                <w:noProof/>
              </w:rPr>
              <w:t>Изпълнени мерки по националния план</w:t>
            </w:r>
          </w:p>
        </w:tc>
        <w:tc>
          <w:tcPr>
            <w:tcW w:w="1275" w:type="dxa"/>
            <w:shd w:val="clear" w:color="auto" w:fill="C6EFCE"/>
            <w:noWrap/>
            <w:vAlign w:val="center"/>
            <w:hideMark/>
          </w:tcPr>
          <w:p w14:paraId="38AA4691" w14:textId="77777777" w:rsidR="006054AA" w:rsidRDefault="001F7667">
            <w:pPr>
              <w:pStyle w:val="P68B1DB1-Normal11"/>
              <w:jc w:val="center"/>
              <w:rPr>
                <w:rFonts w:eastAsia="Calibri"/>
                <w:noProof/>
              </w:rPr>
            </w:pPr>
            <w:r>
              <w:rPr>
                <w:noProof/>
              </w:rPr>
              <w:t>НЯМА</w:t>
            </w:r>
          </w:p>
        </w:tc>
        <w:tc>
          <w:tcPr>
            <w:tcW w:w="1134" w:type="dxa"/>
            <w:shd w:val="clear" w:color="auto" w:fill="C6EFCE"/>
            <w:noWrap/>
            <w:vAlign w:val="center"/>
            <w:hideMark/>
          </w:tcPr>
          <w:p w14:paraId="7761F3AD" w14:textId="77777777" w:rsidR="006054AA" w:rsidRDefault="001F7667">
            <w:pPr>
              <w:pStyle w:val="P68B1DB1-Normal11"/>
              <w:jc w:val="center"/>
              <w:rPr>
                <w:rFonts w:eastAsia="Calibri"/>
                <w:noProof/>
              </w:rPr>
            </w:pPr>
            <w:r>
              <w:rPr>
                <w:noProof/>
              </w:rPr>
              <w:t>НЯМА</w:t>
            </w:r>
          </w:p>
        </w:tc>
        <w:tc>
          <w:tcPr>
            <w:tcW w:w="1134" w:type="dxa"/>
            <w:shd w:val="clear" w:color="auto" w:fill="C6EFCE"/>
            <w:noWrap/>
            <w:vAlign w:val="center"/>
            <w:hideMark/>
          </w:tcPr>
          <w:p w14:paraId="03CE2D3C" w14:textId="77777777" w:rsidR="006054AA" w:rsidRDefault="001F7667">
            <w:pPr>
              <w:pStyle w:val="P68B1DB1-Normal11"/>
              <w:jc w:val="center"/>
              <w:rPr>
                <w:rFonts w:eastAsia="Calibri"/>
                <w:noProof/>
              </w:rPr>
            </w:pPr>
            <w:r>
              <w:rPr>
                <w:noProof/>
              </w:rPr>
              <w:t>НЯМА</w:t>
            </w:r>
          </w:p>
        </w:tc>
        <w:tc>
          <w:tcPr>
            <w:tcW w:w="851" w:type="dxa"/>
            <w:shd w:val="clear" w:color="auto" w:fill="C6EFCE"/>
            <w:noWrap/>
            <w:vAlign w:val="center"/>
            <w:hideMark/>
          </w:tcPr>
          <w:p w14:paraId="17AA142A" w14:textId="77777777" w:rsidR="006054AA" w:rsidRDefault="001F7667">
            <w:pPr>
              <w:pStyle w:val="P68B1DB1-Normal11"/>
              <w:jc w:val="center"/>
              <w:rPr>
                <w:rFonts w:eastAsia="Calibri"/>
                <w:noProof/>
              </w:rPr>
            </w:pPr>
            <w:r>
              <w:rPr>
                <w:noProof/>
              </w:rPr>
              <w:t>Т1 Г.</w:t>
            </w:r>
          </w:p>
        </w:tc>
        <w:tc>
          <w:tcPr>
            <w:tcW w:w="709" w:type="dxa"/>
            <w:shd w:val="clear" w:color="auto" w:fill="C6EFCE"/>
            <w:noWrap/>
            <w:vAlign w:val="center"/>
            <w:hideMark/>
          </w:tcPr>
          <w:p w14:paraId="72D46007" w14:textId="77777777" w:rsidR="006054AA" w:rsidRDefault="001F7667">
            <w:pPr>
              <w:pStyle w:val="P68B1DB1-Normal11"/>
              <w:jc w:val="center"/>
              <w:rPr>
                <w:rFonts w:eastAsia="Calibri"/>
                <w:noProof/>
              </w:rPr>
            </w:pPr>
            <w:r>
              <w:rPr>
                <w:noProof/>
              </w:rPr>
              <w:t>2024</w:t>
            </w:r>
          </w:p>
        </w:tc>
        <w:tc>
          <w:tcPr>
            <w:tcW w:w="2835" w:type="dxa"/>
            <w:shd w:val="clear" w:color="auto" w:fill="C6EFCE"/>
            <w:noWrap/>
            <w:vAlign w:val="center"/>
            <w:hideMark/>
          </w:tcPr>
          <w:p w14:paraId="5874E567" w14:textId="77777777" w:rsidR="006054AA" w:rsidRDefault="001F7667">
            <w:pPr>
              <w:pStyle w:val="P68B1DB1-Normal11"/>
              <w:rPr>
                <w:rFonts w:eastAsia="Calibri"/>
                <w:noProof/>
              </w:rPr>
            </w:pPr>
            <w:r>
              <w:rPr>
                <w:noProof/>
              </w:rPr>
              <w:t>Пълно прилагане на всички мерки, включени в националния план, в съответствие с пътната карта.</w:t>
            </w:r>
          </w:p>
        </w:tc>
      </w:tr>
      <w:tr w:rsidR="006054AA" w14:paraId="7EB24EA1" w14:textId="77777777">
        <w:trPr>
          <w:trHeight w:val="309"/>
          <w:jc w:val="center"/>
        </w:trPr>
        <w:tc>
          <w:tcPr>
            <w:tcW w:w="1364" w:type="dxa"/>
            <w:shd w:val="clear" w:color="auto" w:fill="C6EFCE"/>
            <w:noWrap/>
            <w:vAlign w:val="center"/>
            <w:hideMark/>
          </w:tcPr>
          <w:p w14:paraId="42FAC86D" w14:textId="77777777" w:rsidR="006054AA" w:rsidRDefault="001F7667">
            <w:pPr>
              <w:pStyle w:val="P68B1DB1-Normal11"/>
              <w:jc w:val="center"/>
              <w:rPr>
                <w:noProof/>
              </w:rPr>
            </w:pPr>
            <w:r>
              <w:rPr>
                <w:noProof/>
              </w:rPr>
              <w:t xml:space="preserve">M5C1—10 </w:t>
            </w:r>
          </w:p>
        </w:tc>
        <w:tc>
          <w:tcPr>
            <w:tcW w:w="1513" w:type="dxa"/>
            <w:shd w:val="clear" w:color="auto" w:fill="C6EFCE"/>
            <w:noWrap/>
            <w:vAlign w:val="center"/>
            <w:hideMark/>
          </w:tcPr>
          <w:p w14:paraId="3C244DAC" w14:textId="53E40940" w:rsidR="006054AA" w:rsidRDefault="001F7667">
            <w:pPr>
              <w:pStyle w:val="P68B1DB1-Normal11"/>
              <w:jc w:val="center"/>
              <w:rPr>
                <w:rFonts w:eastAsia="Calibri"/>
                <w:noProof/>
              </w:rPr>
            </w:pPr>
            <w:r>
              <w:rPr>
                <w:noProof/>
              </w:rPr>
              <w:t>Реформа 2 — Недеклариран труд</w:t>
            </w:r>
          </w:p>
        </w:tc>
        <w:tc>
          <w:tcPr>
            <w:tcW w:w="1281" w:type="dxa"/>
            <w:shd w:val="clear" w:color="auto" w:fill="C6EFCE"/>
            <w:noWrap/>
            <w:vAlign w:val="center"/>
            <w:hideMark/>
          </w:tcPr>
          <w:p w14:paraId="57C4A05E" w14:textId="77777777" w:rsidR="006054AA" w:rsidRDefault="001F7667">
            <w:pPr>
              <w:pStyle w:val="P68B1DB1-Normal11"/>
              <w:jc w:val="center"/>
              <w:rPr>
                <w:rFonts w:eastAsia="Calibri"/>
                <w:noProof/>
              </w:rPr>
            </w:pPr>
            <w:r>
              <w:rPr>
                <w:noProof/>
              </w:rPr>
              <w:t>Целеви</w:t>
            </w:r>
          </w:p>
        </w:tc>
        <w:tc>
          <w:tcPr>
            <w:tcW w:w="1597" w:type="dxa"/>
            <w:shd w:val="clear" w:color="auto" w:fill="C6EFCE"/>
            <w:noWrap/>
            <w:vAlign w:val="center"/>
            <w:hideMark/>
          </w:tcPr>
          <w:p w14:paraId="2D490AAB" w14:textId="77777777" w:rsidR="006054AA" w:rsidRDefault="001F7667">
            <w:pPr>
              <w:pStyle w:val="P68B1DB1-Normal11"/>
              <w:jc w:val="center"/>
              <w:rPr>
                <w:rFonts w:eastAsia="Calibri"/>
                <w:noProof/>
              </w:rPr>
            </w:pPr>
            <w:r>
              <w:rPr>
                <w:noProof/>
              </w:rPr>
              <w:t>Увеличен брой инспекции по труда</w:t>
            </w:r>
          </w:p>
        </w:tc>
        <w:tc>
          <w:tcPr>
            <w:tcW w:w="1470" w:type="dxa"/>
            <w:shd w:val="clear" w:color="auto" w:fill="C6EFCE"/>
            <w:noWrap/>
            <w:vAlign w:val="center"/>
            <w:hideMark/>
          </w:tcPr>
          <w:p w14:paraId="662B17C3" w14:textId="77777777" w:rsidR="006054AA" w:rsidRDefault="001F7667">
            <w:pPr>
              <w:pStyle w:val="P68B1DB1-Normal11"/>
              <w:jc w:val="center"/>
              <w:rPr>
                <w:rFonts w:eastAsia="Calibri"/>
                <w:noProof/>
              </w:rPr>
            </w:pPr>
            <w:r>
              <w:rPr>
                <w:noProof/>
              </w:rPr>
              <w:t>НЯМА</w:t>
            </w:r>
          </w:p>
        </w:tc>
        <w:tc>
          <w:tcPr>
            <w:tcW w:w="1275" w:type="dxa"/>
            <w:shd w:val="clear" w:color="auto" w:fill="C6EFCE"/>
            <w:noWrap/>
            <w:vAlign w:val="center"/>
            <w:hideMark/>
          </w:tcPr>
          <w:p w14:paraId="1E3B8549" w14:textId="77777777" w:rsidR="006054AA" w:rsidRDefault="001F7667">
            <w:pPr>
              <w:pStyle w:val="P68B1DB1-Normal11"/>
              <w:jc w:val="center"/>
              <w:rPr>
                <w:noProof/>
              </w:rPr>
            </w:pPr>
            <w:r>
              <w:rPr>
                <w:noProof/>
              </w:rPr>
              <w:t xml:space="preserve">Проценти </w:t>
            </w:r>
          </w:p>
        </w:tc>
        <w:tc>
          <w:tcPr>
            <w:tcW w:w="1134" w:type="dxa"/>
            <w:shd w:val="clear" w:color="auto" w:fill="C6EFCE"/>
            <w:noWrap/>
            <w:vAlign w:val="center"/>
            <w:hideMark/>
          </w:tcPr>
          <w:p w14:paraId="6C74F525" w14:textId="77777777" w:rsidR="006054AA" w:rsidRDefault="001F7667">
            <w:pPr>
              <w:pStyle w:val="P68B1DB1-Normal11"/>
              <w:jc w:val="center"/>
              <w:rPr>
                <w:noProof/>
              </w:rPr>
            </w:pPr>
            <w:r>
              <w:rPr>
                <w:noProof/>
              </w:rPr>
              <w:t>0</w:t>
            </w:r>
          </w:p>
        </w:tc>
        <w:tc>
          <w:tcPr>
            <w:tcW w:w="1134" w:type="dxa"/>
            <w:shd w:val="clear" w:color="auto" w:fill="C6EFCE"/>
            <w:noWrap/>
            <w:vAlign w:val="center"/>
            <w:hideMark/>
          </w:tcPr>
          <w:p w14:paraId="5DED6C0C" w14:textId="77777777" w:rsidR="006054AA" w:rsidRDefault="001F7667">
            <w:pPr>
              <w:pStyle w:val="P68B1DB1-Normal11"/>
              <w:jc w:val="center"/>
              <w:rPr>
                <w:noProof/>
              </w:rPr>
            </w:pPr>
            <w:r>
              <w:rPr>
                <w:noProof/>
              </w:rPr>
              <w:t>20</w:t>
            </w:r>
          </w:p>
        </w:tc>
        <w:tc>
          <w:tcPr>
            <w:tcW w:w="851" w:type="dxa"/>
            <w:shd w:val="clear" w:color="auto" w:fill="C6EFCE"/>
            <w:noWrap/>
            <w:vAlign w:val="center"/>
            <w:hideMark/>
          </w:tcPr>
          <w:p w14:paraId="7856FFDE" w14:textId="77777777" w:rsidR="006054AA" w:rsidRDefault="001F7667">
            <w:pPr>
              <w:pStyle w:val="P68B1DB1-Normal11"/>
              <w:jc w:val="center"/>
              <w:rPr>
                <w:rFonts w:eastAsia="Calibri"/>
                <w:noProof/>
              </w:rPr>
            </w:pPr>
            <w:r>
              <w:rPr>
                <w:noProof/>
              </w:rPr>
              <w:t>Т2 Г.</w:t>
            </w:r>
          </w:p>
        </w:tc>
        <w:tc>
          <w:tcPr>
            <w:tcW w:w="709" w:type="dxa"/>
            <w:shd w:val="clear" w:color="auto" w:fill="C6EFCE"/>
            <w:noWrap/>
            <w:vAlign w:val="center"/>
            <w:hideMark/>
          </w:tcPr>
          <w:p w14:paraId="3CA2DCFD" w14:textId="77777777" w:rsidR="006054AA" w:rsidRDefault="001F7667">
            <w:pPr>
              <w:pStyle w:val="P68B1DB1-Normal11"/>
              <w:jc w:val="center"/>
              <w:rPr>
                <w:rFonts w:eastAsia="Calibri"/>
                <w:noProof/>
              </w:rPr>
            </w:pPr>
            <w:r>
              <w:rPr>
                <w:noProof/>
              </w:rPr>
              <w:t>2025</w:t>
            </w:r>
          </w:p>
        </w:tc>
        <w:tc>
          <w:tcPr>
            <w:tcW w:w="2835" w:type="dxa"/>
            <w:shd w:val="clear" w:color="auto" w:fill="C6EFCE"/>
            <w:noWrap/>
            <w:vAlign w:val="center"/>
            <w:hideMark/>
          </w:tcPr>
          <w:p w14:paraId="4F049AC5" w14:textId="47E715AF" w:rsidR="006054AA" w:rsidRDefault="001F7667">
            <w:pPr>
              <w:pStyle w:val="P68B1DB1-Normal11"/>
              <w:rPr>
                <w:noProof/>
              </w:rPr>
            </w:pPr>
            <w:r>
              <w:rPr>
                <w:noProof/>
              </w:rPr>
              <w:t>Увеличение с най-малко + 20 % на броя на инспекциите спрямо периода 2019—2021 г. През двегодишния период 2019—20 г. инспекциите по труда бяха средно около 85 000.</w:t>
            </w:r>
          </w:p>
        </w:tc>
      </w:tr>
      <w:tr w:rsidR="006054AA" w14:paraId="5172D08C" w14:textId="77777777">
        <w:trPr>
          <w:trHeight w:val="309"/>
          <w:jc w:val="center"/>
        </w:trPr>
        <w:tc>
          <w:tcPr>
            <w:tcW w:w="1364" w:type="dxa"/>
            <w:shd w:val="clear" w:color="auto" w:fill="C6EFCE"/>
            <w:noWrap/>
            <w:vAlign w:val="center"/>
            <w:hideMark/>
          </w:tcPr>
          <w:p w14:paraId="197F793E" w14:textId="77777777" w:rsidR="006054AA" w:rsidRDefault="001F7667">
            <w:pPr>
              <w:pStyle w:val="P68B1DB1-Normal11"/>
              <w:jc w:val="center"/>
              <w:rPr>
                <w:rFonts w:eastAsia="Calibri"/>
                <w:noProof/>
              </w:rPr>
            </w:pPr>
            <w:r>
              <w:rPr>
                <w:noProof/>
              </w:rPr>
              <w:t xml:space="preserve">M5C1—11 </w:t>
            </w:r>
          </w:p>
        </w:tc>
        <w:tc>
          <w:tcPr>
            <w:tcW w:w="1513" w:type="dxa"/>
            <w:shd w:val="clear" w:color="auto" w:fill="C6EFCE"/>
            <w:noWrap/>
            <w:vAlign w:val="center"/>
            <w:hideMark/>
          </w:tcPr>
          <w:p w14:paraId="1DF55B01" w14:textId="090B4F09" w:rsidR="006054AA" w:rsidRDefault="001F7667">
            <w:pPr>
              <w:pStyle w:val="P68B1DB1-Normal11"/>
              <w:jc w:val="center"/>
              <w:rPr>
                <w:rFonts w:eastAsia="Calibri"/>
                <w:noProof/>
              </w:rPr>
            </w:pPr>
            <w:r>
              <w:rPr>
                <w:noProof/>
              </w:rPr>
              <w:t>Реформа 2 — Недеклариран труд</w:t>
            </w:r>
          </w:p>
        </w:tc>
        <w:tc>
          <w:tcPr>
            <w:tcW w:w="1281" w:type="dxa"/>
            <w:shd w:val="clear" w:color="auto" w:fill="C6EFCE"/>
            <w:noWrap/>
            <w:vAlign w:val="center"/>
            <w:hideMark/>
          </w:tcPr>
          <w:p w14:paraId="68B0E5D7" w14:textId="77777777" w:rsidR="006054AA" w:rsidRDefault="001F7667">
            <w:pPr>
              <w:pStyle w:val="P68B1DB1-Normal11"/>
              <w:jc w:val="center"/>
              <w:rPr>
                <w:rFonts w:eastAsia="Calibri"/>
                <w:noProof/>
              </w:rPr>
            </w:pPr>
            <w:r>
              <w:rPr>
                <w:noProof/>
              </w:rPr>
              <w:t>Целеви</w:t>
            </w:r>
          </w:p>
        </w:tc>
        <w:tc>
          <w:tcPr>
            <w:tcW w:w="1597" w:type="dxa"/>
            <w:shd w:val="clear" w:color="auto" w:fill="C6EFCE"/>
            <w:noWrap/>
            <w:vAlign w:val="center"/>
            <w:hideMark/>
          </w:tcPr>
          <w:p w14:paraId="656E56F3" w14:textId="77777777" w:rsidR="006054AA" w:rsidRDefault="001F7667">
            <w:pPr>
              <w:pStyle w:val="P68B1DB1-Normal11"/>
              <w:jc w:val="center"/>
              <w:rPr>
                <w:rFonts w:eastAsia="Calibri"/>
                <w:noProof/>
              </w:rPr>
            </w:pPr>
            <w:r>
              <w:rPr>
                <w:noProof/>
              </w:rPr>
              <w:t>Намалено разпространение на недекларирания труд</w:t>
            </w:r>
          </w:p>
        </w:tc>
        <w:tc>
          <w:tcPr>
            <w:tcW w:w="1470" w:type="dxa"/>
            <w:shd w:val="clear" w:color="auto" w:fill="C6EFCE"/>
            <w:noWrap/>
            <w:vAlign w:val="center"/>
            <w:hideMark/>
          </w:tcPr>
          <w:p w14:paraId="550A8D0E" w14:textId="77777777" w:rsidR="006054AA" w:rsidRDefault="001F7667">
            <w:pPr>
              <w:pStyle w:val="P68B1DB1-Normal11"/>
              <w:jc w:val="center"/>
              <w:rPr>
                <w:noProof/>
              </w:rPr>
            </w:pPr>
            <w:r>
              <w:rPr>
                <w:noProof/>
              </w:rPr>
              <w:t>НЯМА</w:t>
            </w:r>
          </w:p>
        </w:tc>
        <w:tc>
          <w:tcPr>
            <w:tcW w:w="1275" w:type="dxa"/>
            <w:shd w:val="clear" w:color="auto" w:fill="C6EFCE"/>
            <w:noWrap/>
            <w:vAlign w:val="center"/>
            <w:hideMark/>
          </w:tcPr>
          <w:p w14:paraId="10D237B1" w14:textId="77777777" w:rsidR="006054AA" w:rsidRDefault="001F7667">
            <w:pPr>
              <w:pStyle w:val="P68B1DB1-Normal11"/>
              <w:jc w:val="center"/>
              <w:rPr>
                <w:noProof/>
              </w:rPr>
            </w:pPr>
            <w:r>
              <w:rPr>
                <w:noProof/>
              </w:rPr>
              <w:t xml:space="preserve">Проценти </w:t>
            </w:r>
          </w:p>
        </w:tc>
        <w:tc>
          <w:tcPr>
            <w:tcW w:w="1134" w:type="dxa"/>
            <w:shd w:val="clear" w:color="auto" w:fill="C6EFCE"/>
            <w:noWrap/>
            <w:vAlign w:val="center"/>
            <w:hideMark/>
          </w:tcPr>
          <w:p w14:paraId="6BAF4077" w14:textId="77777777" w:rsidR="006054AA" w:rsidRDefault="001F7667">
            <w:pPr>
              <w:pStyle w:val="P68B1DB1-Normal11"/>
              <w:jc w:val="center"/>
              <w:rPr>
                <w:rFonts w:eastAsia="Calibri"/>
                <w:noProof/>
              </w:rPr>
            </w:pPr>
            <w:r>
              <w:rPr>
                <w:noProof/>
              </w:rPr>
              <w:t>0</w:t>
            </w:r>
          </w:p>
        </w:tc>
        <w:tc>
          <w:tcPr>
            <w:tcW w:w="1134" w:type="dxa"/>
            <w:shd w:val="clear" w:color="auto" w:fill="C6EFCE"/>
            <w:noWrap/>
            <w:vAlign w:val="center"/>
            <w:hideMark/>
          </w:tcPr>
          <w:p w14:paraId="3D48F3CA" w14:textId="77777777" w:rsidR="006054AA" w:rsidRDefault="001F7667">
            <w:pPr>
              <w:pStyle w:val="P68B1DB1-Normal11"/>
              <w:jc w:val="center"/>
              <w:rPr>
                <w:noProof/>
              </w:rPr>
            </w:pPr>
            <w:r>
              <w:rPr>
                <w:noProof/>
              </w:rPr>
              <w:t>2</w:t>
            </w:r>
          </w:p>
        </w:tc>
        <w:tc>
          <w:tcPr>
            <w:tcW w:w="851" w:type="dxa"/>
            <w:shd w:val="clear" w:color="auto" w:fill="C6EFCE"/>
            <w:noWrap/>
            <w:vAlign w:val="center"/>
            <w:hideMark/>
          </w:tcPr>
          <w:p w14:paraId="32BD6F37" w14:textId="77777777" w:rsidR="006054AA" w:rsidRDefault="001F7667">
            <w:pPr>
              <w:pStyle w:val="P68B1DB1-Normal11"/>
              <w:jc w:val="center"/>
              <w:rPr>
                <w:rFonts w:eastAsia="Calibri"/>
                <w:noProof/>
              </w:rPr>
            </w:pPr>
            <w:r>
              <w:rPr>
                <w:noProof/>
              </w:rPr>
              <w:t>Т1 Г.</w:t>
            </w:r>
          </w:p>
        </w:tc>
        <w:tc>
          <w:tcPr>
            <w:tcW w:w="709" w:type="dxa"/>
            <w:shd w:val="clear" w:color="auto" w:fill="C6EFCE"/>
            <w:noWrap/>
            <w:vAlign w:val="center"/>
            <w:hideMark/>
          </w:tcPr>
          <w:p w14:paraId="28605ADD" w14:textId="77777777" w:rsidR="006054AA" w:rsidRDefault="001F7667">
            <w:pPr>
              <w:pStyle w:val="P68B1DB1-Normal11"/>
              <w:jc w:val="center"/>
              <w:rPr>
                <w:rFonts w:eastAsia="Calibri"/>
                <w:noProof/>
              </w:rPr>
            </w:pPr>
            <w:r>
              <w:rPr>
                <w:noProof/>
              </w:rPr>
              <w:t>2026</w:t>
            </w:r>
          </w:p>
        </w:tc>
        <w:tc>
          <w:tcPr>
            <w:tcW w:w="2835" w:type="dxa"/>
            <w:shd w:val="clear" w:color="auto" w:fill="C6EFCE"/>
            <w:noWrap/>
            <w:vAlign w:val="center"/>
            <w:hideMark/>
          </w:tcPr>
          <w:p w14:paraId="138A8783" w14:textId="77777777" w:rsidR="006054AA" w:rsidRDefault="001F7667">
            <w:pPr>
              <w:pStyle w:val="P68B1DB1-Normal11"/>
              <w:rPr>
                <w:noProof/>
              </w:rPr>
            </w:pPr>
            <w:r>
              <w:rPr>
                <w:noProof/>
              </w:rPr>
              <w:t xml:space="preserve">Намаляване на случаите на недеклариран труд с най-малко 2 процентни пункта в зависимост от целевите сектори. </w:t>
            </w:r>
          </w:p>
          <w:p w14:paraId="447D5B0C" w14:textId="77777777" w:rsidR="006054AA" w:rsidRDefault="001F7667">
            <w:pPr>
              <w:pStyle w:val="P68B1DB1-Normal11"/>
              <w:rPr>
                <w:noProof/>
              </w:rPr>
            </w:pPr>
            <w:r>
              <w:rPr>
                <w:noProof/>
              </w:rPr>
              <w:t>Основната цел на целта е да се определи равнището на амбиция на националния план, който трябва да бъде приет до 2022 г. В този контекст се предоставят аналитични спецификации и се определят съответните и осъществими показатели.</w:t>
            </w:r>
          </w:p>
          <w:p w14:paraId="181AA684" w14:textId="77777777" w:rsidR="006054AA" w:rsidRDefault="006054AA">
            <w:pPr>
              <w:rPr>
                <w:rFonts w:ascii="Arial Narrow" w:hAnsi="Arial Narrow"/>
                <w:noProof/>
                <w:color w:val="006100"/>
                <w:sz w:val="20"/>
              </w:rPr>
            </w:pPr>
          </w:p>
        </w:tc>
      </w:tr>
      <w:tr w:rsidR="006054AA" w14:paraId="00699AE5" w14:textId="77777777">
        <w:trPr>
          <w:trHeight w:val="309"/>
          <w:jc w:val="center"/>
        </w:trPr>
        <w:tc>
          <w:tcPr>
            <w:tcW w:w="1364" w:type="dxa"/>
            <w:shd w:val="clear" w:color="auto" w:fill="C6EFCE"/>
            <w:noWrap/>
            <w:vAlign w:val="center"/>
            <w:hideMark/>
          </w:tcPr>
          <w:p w14:paraId="62DE35DA" w14:textId="25894342" w:rsidR="006054AA" w:rsidRDefault="001F7667">
            <w:pPr>
              <w:pStyle w:val="P68B1DB1-Normal11"/>
              <w:spacing w:before="120" w:after="120"/>
              <w:jc w:val="center"/>
              <w:rPr>
                <w:rFonts w:eastAsia="Calibri"/>
                <w:noProof/>
              </w:rPr>
            </w:pPr>
            <w:r>
              <w:rPr>
                <w:noProof/>
              </w:rPr>
              <w:t>M5C1—12</w:t>
            </w:r>
          </w:p>
        </w:tc>
        <w:tc>
          <w:tcPr>
            <w:tcW w:w="1513" w:type="dxa"/>
            <w:shd w:val="clear" w:color="auto" w:fill="C6EFCE"/>
            <w:noWrap/>
            <w:vAlign w:val="center"/>
            <w:hideMark/>
          </w:tcPr>
          <w:p w14:paraId="01C4DE04" w14:textId="77777777" w:rsidR="006054AA" w:rsidRDefault="001F7667">
            <w:pPr>
              <w:pStyle w:val="P68B1DB1-Normal11"/>
              <w:spacing w:before="120" w:after="120"/>
              <w:jc w:val="center"/>
              <w:rPr>
                <w:noProof/>
              </w:rPr>
            </w:pPr>
            <w:r>
              <w:rPr>
                <w:noProof/>
              </w:rPr>
              <w:t>Инвестиция 2 — Система за сертифициране на равенството между половете</w:t>
            </w:r>
          </w:p>
        </w:tc>
        <w:tc>
          <w:tcPr>
            <w:tcW w:w="1281" w:type="dxa"/>
            <w:shd w:val="clear" w:color="auto" w:fill="C6EFCE"/>
            <w:noWrap/>
            <w:vAlign w:val="center"/>
            <w:hideMark/>
          </w:tcPr>
          <w:p w14:paraId="7885EF8E" w14:textId="77777777" w:rsidR="006054AA" w:rsidRDefault="001F7667">
            <w:pPr>
              <w:pStyle w:val="P68B1DB1-Normal11"/>
              <w:spacing w:before="120" w:after="120"/>
              <w:jc w:val="center"/>
              <w:rPr>
                <w:rFonts w:eastAsia="Calibri"/>
                <w:noProof/>
              </w:rPr>
            </w:pPr>
            <w:r>
              <w:rPr>
                <w:noProof/>
              </w:rPr>
              <w:t>Ключов етап</w:t>
            </w:r>
          </w:p>
        </w:tc>
        <w:tc>
          <w:tcPr>
            <w:tcW w:w="1597" w:type="dxa"/>
            <w:shd w:val="clear" w:color="auto" w:fill="C6EFCE"/>
            <w:noWrap/>
            <w:vAlign w:val="center"/>
            <w:hideMark/>
          </w:tcPr>
          <w:p w14:paraId="45440BF4" w14:textId="77777777" w:rsidR="006054AA" w:rsidRDefault="001F7667">
            <w:pPr>
              <w:pStyle w:val="P68B1DB1-Normal11"/>
              <w:spacing w:before="120" w:after="120"/>
              <w:jc w:val="center"/>
              <w:rPr>
                <w:rFonts w:eastAsia="Calibri"/>
                <w:noProof/>
              </w:rPr>
            </w:pPr>
            <w:r>
              <w:rPr>
                <w:noProof/>
              </w:rPr>
              <w:t xml:space="preserve">Влизане в сила на система за сертифициране на равенството между половете и съпътстващи механизми за стимулиране на дружествата </w:t>
            </w:r>
          </w:p>
        </w:tc>
        <w:tc>
          <w:tcPr>
            <w:tcW w:w="1470" w:type="dxa"/>
            <w:shd w:val="clear" w:color="auto" w:fill="C6EFCE"/>
            <w:noWrap/>
            <w:vAlign w:val="center"/>
            <w:hideMark/>
          </w:tcPr>
          <w:p w14:paraId="5E8B79AA" w14:textId="77777777" w:rsidR="006054AA" w:rsidRDefault="001F7667">
            <w:pPr>
              <w:pStyle w:val="P68B1DB1-Normal11"/>
              <w:spacing w:before="120" w:after="120"/>
              <w:jc w:val="center"/>
              <w:rPr>
                <w:rFonts w:eastAsia="Calibri"/>
                <w:noProof/>
              </w:rPr>
            </w:pPr>
            <w:r>
              <w:rPr>
                <w:noProof/>
              </w:rPr>
              <w:t>Законови разпоредби, указващи влизането в сила на законодателните актове и мерките за изпълнение, уреждащи определянето на системата за сертифициране</w:t>
            </w:r>
          </w:p>
        </w:tc>
        <w:tc>
          <w:tcPr>
            <w:tcW w:w="1275" w:type="dxa"/>
            <w:shd w:val="clear" w:color="auto" w:fill="C6EFCE"/>
            <w:noWrap/>
            <w:vAlign w:val="center"/>
            <w:hideMark/>
          </w:tcPr>
          <w:p w14:paraId="27C7496C" w14:textId="77777777" w:rsidR="006054AA" w:rsidRDefault="001F7667">
            <w:pPr>
              <w:pStyle w:val="P68B1DB1-Normal11"/>
              <w:spacing w:before="120" w:after="120"/>
              <w:jc w:val="center"/>
              <w:rPr>
                <w:rFonts w:eastAsia="Calibri"/>
                <w:noProof/>
              </w:rPr>
            </w:pPr>
            <w:r>
              <w:rPr>
                <w:noProof/>
              </w:rPr>
              <w:t>НЯМА</w:t>
            </w:r>
          </w:p>
        </w:tc>
        <w:tc>
          <w:tcPr>
            <w:tcW w:w="1134" w:type="dxa"/>
            <w:shd w:val="clear" w:color="auto" w:fill="C6EFCE"/>
            <w:noWrap/>
            <w:vAlign w:val="center"/>
            <w:hideMark/>
          </w:tcPr>
          <w:p w14:paraId="235885D5" w14:textId="77777777" w:rsidR="006054AA" w:rsidRDefault="001F7667">
            <w:pPr>
              <w:pStyle w:val="P68B1DB1-Normal11"/>
              <w:spacing w:before="120" w:after="120"/>
              <w:jc w:val="center"/>
              <w:rPr>
                <w:rFonts w:eastAsia="Calibri"/>
                <w:noProof/>
              </w:rPr>
            </w:pPr>
            <w:r>
              <w:rPr>
                <w:noProof/>
              </w:rPr>
              <w:t>НЯМА</w:t>
            </w:r>
          </w:p>
        </w:tc>
        <w:tc>
          <w:tcPr>
            <w:tcW w:w="1134" w:type="dxa"/>
            <w:shd w:val="clear" w:color="auto" w:fill="C6EFCE"/>
            <w:noWrap/>
            <w:vAlign w:val="center"/>
            <w:hideMark/>
          </w:tcPr>
          <w:p w14:paraId="16130ECE" w14:textId="77777777" w:rsidR="006054AA" w:rsidRDefault="001F7667">
            <w:pPr>
              <w:pStyle w:val="P68B1DB1-Normal11"/>
              <w:spacing w:before="120" w:after="120"/>
              <w:jc w:val="center"/>
              <w:rPr>
                <w:rFonts w:eastAsia="Calibri"/>
                <w:noProof/>
              </w:rPr>
            </w:pPr>
            <w:r>
              <w:rPr>
                <w:noProof/>
              </w:rPr>
              <w:t>НЯМА</w:t>
            </w:r>
          </w:p>
        </w:tc>
        <w:tc>
          <w:tcPr>
            <w:tcW w:w="851" w:type="dxa"/>
            <w:shd w:val="clear" w:color="auto" w:fill="C6EFCE"/>
            <w:noWrap/>
            <w:vAlign w:val="center"/>
            <w:hideMark/>
          </w:tcPr>
          <w:p w14:paraId="742BA0D1" w14:textId="77777777" w:rsidR="006054AA" w:rsidRDefault="001F7667">
            <w:pPr>
              <w:pStyle w:val="P68B1DB1-Normal11"/>
              <w:spacing w:before="120" w:after="120"/>
              <w:jc w:val="center"/>
              <w:rPr>
                <w:rFonts w:eastAsia="Calibri"/>
                <w:noProof/>
              </w:rPr>
            </w:pPr>
            <w:r>
              <w:rPr>
                <w:noProof/>
              </w:rPr>
              <w:t>Т4 Г.</w:t>
            </w:r>
          </w:p>
        </w:tc>
        <w:tc>
          <w:tcPr>
            <w:tcW w:w="709" w:type="dxa"/>
            <w:shd w:val="clear" w:color="auto" w:fill="C6EFCE"/>
            <w:noWrap/>
            <w:vAlign w:val="center"/>
            <w:hideMark/>
          </w:tcPr>
          <w:p w14:paraId="48C563AB" w14:textId="77777777" w:rsidR="006054AA" w:rsidRDefault="001F7667">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578D66C5" w14:textId="77777777" w:rsidR="006054AA" w:rsidRDefault="001F7667">
            <w:pPr>
              <w:pStyle w:val="P68B1DB1-Normal11"/>
              <w:spacing w:before="120" w:after="120"/>
              <w:rPr>
                <w:rFonts w:eastAsia="Calibri"/>
                <w:noProof/>
              </w:rPr>
            </w:pPr>
            <w:r>
              <w:rPr>
                <w:noProof/>
              </w:rPr>
              <w:t>Системата за сертифициране на равенството между половете и съпътстващите механизми за стимулиране на дружествата обхващат най-малко следните измерения: възможности за растеж за жените, равно заплащане за равен труд, управленски политики за многообразие на половете, закрила на майчинството.</w:t>
            </w:r>
          </w:p>
          <w:p w14:paraId="66AC70A0" w14:textId="6D581F8D" w:rsidR="006054AA" w:rsidRDefault="001F7667">
            <w:pPr>
              <w:pStyle w:val="P68B1DB1-Normal11"/>
              <w:spacing w:before="120" w:after="120"/>
              <w:rPr>
                <w:rFonts w:eastAsia="Calibri"/>
                <w:noProof/>
              </w:rPr>
            </w:pPr>
            <w:r>
              <w:rPr>
                <w:noProof/>
              </w:rPr>
              <w:t>Определяне на механизмите за стимулиране на организациите, които предприемат процеса на сертифициране, и на техническите насоки. Включително: И) разработване на техническите стандарти на системата за сертифициране на равенството между половете за дружествата; II) определяне на механизма за стимулиране; III) мярката се придружава от създаването на информационна система.</w:t>
            </w:r>
          </w:p>
        </w:tc>
      </w:tr>
      <w:tr w:rsidR="006054AA" w14:paraId="1CE4271B" w14:textId="77777777">
        <w:trPr>
          <w:trHeight w:val="309"/>
          <w:jc w:val="center"/>
        </w:trPr>
        <w:tc>
          <w:tcPr>
            <w:tcW w:w="1364" w:type="dxa"/>
            <w:shd w:val="clear" w:color="auto" w:fill="C6EFCE"/>
            <w:noWrap/>
            <w:vAlign w:val="center"/>
            <w:hideMark/>
          </w:tcPr>
          <w:p w14:paraId="278E175B" w14:textId="43D92601" w:rsidR="006054AA" w:rsidRDefault="001F7667">
            <w:pPr>
              <w:pStyle w:val="P68B1DB1-Normal11"/>
              <w:spacing w:before="120" w:after="120"/>
              <w:jc w:val="center"/>
              <w:rPr>
                <w:rFonts w:eastAsia="Calibri"/>
                <w:noProof/>
              </w:rPr>
            </w:pPr>
            <w:r>
              <w:rPr>
                <w:noProof/>
              </w:rPr>
              <w:t>M5C1—13</w:t>
            </w:r>
          </w:p>
        </w:tc>
        <w:tc>
          <w:tcPr>
            <w:tcW w:w="1513" w:type="dxa"/>
            <w:shd w:val="clear" w:color="auto" w:fill="C6EFCE"/>
            <w:noWrap/>
            <w:vAlign w:val="center"/>
            <w:hideMark/>
          </w:tcPr>
          <w:p w14:paraId="1122B3EF" w14:textId="77777777" w:rsidR="006054AA" w:rsidRDefault="001F7667">
            <w:pPr>
              <w:pStyle w:val="P68B1DB1-Normal11"/>
              <w:spacing w:before="120" w:after="120"/>
              <w:jc w:val="center"/>
              <w:rPr>
                <w:noProof/>
              </w:rPr>
            </w:pPr>
            <w:r>
              <w:rPr>
                <w:noProof/>
              </w:rPr>
              <w:t>Инвестиция 2 — Система за сертифициране на равенството между половете</w:t>
            </w:r>
          </w:p>
        </w:tc>
        <w:tc>
          <w:tcPr>
            <w:tcW w:w="1281" w:type="dxa"/>
            <w:shd w:val="clear" w:color="auto" w:fill="C6EFCE"/>
            <w:noWrap/>
            <w:vAlign w:val="center"/>
            <w:hideMark/>
          </w:tcPr>
          <w:p w14:paraId="7B5DA24D" w14:textId="77777777" w:rsidR="006054AA" w:rsidRDefault="001F7667">
            <w:pPr>
              <w:pStyle w:val="P68B1DB1-Normal11"/>
              <w:spacing w:before="120" w:after="120"/>
              <w:jc w:val="center"/>
              <w:rPr>
                <w:rFonts w:eastAsia="Calibri"/>
                <w:noProof/>
              </w:rPr>
            </w:pPr>
            <w:r>
              <w:rPr>
                <w:noProof/>
              </w:rPr>
              <w:t>Целеви</w:t>
            </w:r>
          </w:p>
        </w:tc>
        <w:tc>
          <w:tcPr>
            <w:tcW w:w="1597" w:type="dxa"/>
            <w:shd w:val="clear" w:color="auto" w:fill="C6EFCE"/>
            <w:noWrap/>
            <w:vAlign w:val="center"/>
            <w:hideMark/>
          </w:tcPr>
          <w:p w14:paraId="522852F1" w14:textId="77777777" w:rsidR="006054AA" w:rsidRDefault="001F7667">
            <w:pPr>
              <w:pStyle w:val="P68B1DB1-Normal11"/>
              <w:spacing w:before="120" w:after="120"/>
              <w:jc w:val="center"/>
              <w:rPr>
                <w:rFonts w:eastAsia="Calibri"/>
                <w:noProof/>
              </w:rPr>
            </w:pPr>
            <w:r>
              <w:rPr>
                <w:noProof/>
              </w:rPr>
              <w:t>Дружествата са получили сертификат за равенство между половете</w:t>
            </w:r>
          </w:p>
        </w:tc>
        <w:tc>
          <w:tcPr>
            <w:tcW w:w="1470" w:type="dxa"/>
            <w:shd w:val="clear" w:color="auto" w:fill="C6EFCE"/>
            <w:noWrap/>
            <w:vAlign w:val="center"/>
            <w:hideMark/>
          </w:tcPr>
          <w:p w14:paraId="7002C1D6" w14:textId="77777777" w:rsidR="006054AA" w:rsidRDefault="001F7667">
            <w:pPr>
              <w:pStyle w:val="P68B1DB1-Normal11"/>
              <w:spacing w:before="120" w:after="120"/>
              <w:jc w:val="center"/>
              <w:rPr>
                <w:rFonts w:eastAsia="Calibri"/>
                <w:noProof/>
              </w:rPr>
            </w:pPr>
            <w:r>
              <w:rPr>
                <w:noProof/>
              </w:rPr>
              <w:t>НЯМА</w:t>
            </w:r>
          </w:p>
        </w:tc>
        <w:tc>
          <w:tcPr>
            <w:tcW w:w="1275" w:type="dxa"/>
            <w:shd w:val="clear" w:color="auto" w:fill="C6EFCE"/>
            <w:noWrap/>
            <w:vAlign w:val="center"/>
            <w:hideMark/>
          </w:tcPr>
          <w:p w14:paraId="34D32A3A" w14:textId="77777777" w:rsidR="006054AA" w:rsidRDefault="001F7667">
            <w:pPr>
              <w:pStyle w:val="P68B1DB1-Normal11"/>
              <w:spacing w:before="120" w:after="120"/>
              <w:jc w:val="center"/>
              <w:rPr>
                <w:rFonts w:eastAsia="Calibri"/>
                <w:noProof/>
              </w:rPr>
            </w:pPr>
            <w:r>
              <w:rPr>
                <w:noProof/>
              </w:rPr>
              <w:t xml:space="preserve">Брой </w:t>
            </w:r>
          </w:p>
        </w:tc>
        <w:tc>
          <w:tcPr>
            <w:tcW w:w="1134" w:type="dxa"/>
            <w:shd w:val="clear" w:color="auto" w:fill="C6EFCE"/>
            <w:noWrap/>
            <w:vAlign w:val="center"/>
            <w:hideMark/>
          </w:tcPr>
          <w:p w14:paraId="2407B3BC" w14:textId="77777777" w:rsidR="006054AA" w:rsidRDefault="001F7667">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568703C5" w14:textId="77777777" w:rsidR="006054AA" w:rsidRDefault="001F7667">
            <w:pPr>
              <w:pStyle w:val="P68B1DB1-Normal11"/>
              <w:spacing w:before="120" w:after="120"/>
              <w:jc w:val="center"/>
              <w:rPr>
                <w:rFonts w:eastAsia="Calibri"/>
                <w:noProof/>
              </w:rPr>
            </w:pPr>
            <w:r>
              <w:rPr>
                <w:noProof/>
              </w:rPr>
              <w:t>800</w:t>
            </w:r>
          </w:p>
        </w:tc>
        <w:tc>
          <w:tcPr>
            <w:tcW w:w="851" w:type="dxa"/>
            <w:shd w:val="clear" w:color="auto" w:fill="C6EFCE"/>
            <w:noWrap/>
            <w:vAlign w:val="center"/>
            <w:hideMark/>
          </w:tcPr>
          <w:p w14:paraId="14A8798E" w14:textId="77777777" w:rsidR="006054AA" w:rsidRDefault="001F7667">
            <w:pPr>
              <w:pStyle w:val="P68B1DB1-Normal11"/>
              <w:spacing w:before="120" w:after="120"/>
              <w:jc w:val="center"/>
              <w:rPr>
                <w:rFonts w:eastAsia="Calibri"/>
                <w:noProof/>
              </w:rPr>
            </w:pPr>
            <w:r>
              <w:rPr>
                <w:noProof/>
              </w:rPr>
              <w:t>Т2 Г.</w:t>
            </w:r>
          </w:p>
        </w:tc>
        <w:tc>
          <w:tcPr>
            <w:tcW w:w="709" w:type="dxa"/>
            <w:shd w:val="clear" w:color="auto" w:fill="C6EFCE"/>
            <w:noWrap/>
            <w:vAlign w:val="center"/>
            <w:hideMark/>
          </w:tcPr>
          <w:p w14:paraId="1E4C0006" w14:textId="77777777" w:rsidR="006054AA" w:rsidRDefault="001F7667">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64A9ABF0" w14:textId="77777777" w:rsidR="006054AA" w:rsidRDefault="001F7667">
            <w:pPr>
              <w:pStyle w:val="P68B1DB1-Normal11"/>
              <w:spacing w:before="120" w:after="120"/>
              <w:rPr>
                <w:rFonts w:eastAsia="Calibri"/>
                <w:noProof/>
              </w:rPr>
            </w:pPr>
            <w:r>
              <w:rPr>
                <w:noProof/>
              </w:rPr>
              <w:t>Най-малко 800 дружества (от които 450 МСП) са получили сертификат за равенство между половете.</w:t>
            </w:r>
          </w:p>
          <w:p w14:paraId="5C35F425" w14:textId="77777777" w:rsidR="006054AA" w:rsidRDefault="001F7667">
            <w:pPr>
              <w:pStyle w:val="P68B1DB1-Normal11"/>
              <w:spacing w:before="120" w:after="120"/>
              <w:rPr>
                <w:rFonts w:eastAsia="Calibri"/>
                <w:noProof/>
              </w:rPr>
            </w:pPr>
            <w:r>
              <w:rPr>
                <w:noProof/>
              </w:rPr>
              <w:t xml:space="preserve">Дружествата поемат сами разходите за процеса на сертифициране.  </w:t>
            </w:r>
          </w:p>
        </w:tc>
      </w:tr>
      <w:tr w:rsidR="006054AA" w14:paraId="35166D9E" w14:textId="77777777">
        <w:trPr>
          <w:trHeight w:val="309"/>
          <w:jc w:val="center"/>
        </w:trPr>
        <w:tc>
          <w:tcPr>
            <w:tcW w:w="1364" w:type="dxa"/>
            <w:shd w:val="clear" w:color="auto" w:fill="C6EFCE"/>
            <w:noWrap/>
            <w:vAlign w:val="center"/>
            <w:hideMark/>
          </w:tcPr>
          <w:p w14:paraId="77BCED5A" w14:textId="53C8FD24" w:rsidR="006054AA" w:rsidRDefault="001F7667">
            <w:pPr>
              <w:pStyle w:val="P68B1DB1-Normal11"/>
              <w:spacing w:before="120" w:after="120"/>
              <w:jc w:val="center"/>
              <w:rPr>
                <w:noProof/>
              </w:rPr>
            </w:pPr>
            <w:r>
              <w:rPr>
                <w:noProof/>
              </w:rPr>
              <w:t>M5C1—14</w:t>
            </w:r>
          </w:p>
        </w:tc>
        <w:tc>
          <w:tcPr>
            <w:tcW w:w="1513" w:type="dxa"/>
            <w:shd w:val="clear" w:color="auto" w:fill="C6EFCE"/>
            <w:noWrap/>
            <w:vAlign w:val="center"/>
            <w:hideMark/>
          </w:tcPr>
          <w:p w14:paraId="34DE5AC9" w14:textId="0AE2D6F1" w:rsidR="006054AA" w:rsidRDefault="001F7667">
            <w:pPr>
              <w:pStyle w:val="P68B1DB1-Normal11"/>
              <w:spacing w:before="120" w:after="120"/>
              <w:jc w:val="center"/>
              <w:rPr>
                <w:rFonts w:eastAsia="Calibri"/>
                <w:noProof/>
              </w:rPr>
            </w:pPr>
            <w:r>
              <w:rPr>
                <w:noProof/>
              </w:rPr>
              <w:t>Инвестиция 2 — Система за сертифициране на равенството между половете</w:t>
            </w:r>
          </w:p>
        </w:tc>
        <w:tc>
          <w:tcPr>
            <w:tcW w:w="1281" w:type="dxa"/>
            <w:shd w:val="clear" w:color="auto" w:fill="C6EFCE"/>
            <w:noWrap/>
            <w:vAlign w:val="center"/>
            <w:hideMark/>
          </w:tcPr>
          <w:p w14:paraId="514D8F36" w14:textId="77777777" w:rsidR="006054AA" w:rsidRDefault="001F7667">
            <w:pPr>
              <w:pStyle w:val="P68B1DB1-Normal11"/>
              <w:spacing w:before="120" w:after="120"/>
              <w:jc w:val="center"/>
              <w:rPr>
                <w:rFonts w:eastAsia="Calibri"/>
                <w:noProof/>
              </w:rPr>
            </w:pPr>
            <w:r>
              <w:rPr>
                <w:noProof/>
              </w:rPr>
              <w:t>Целеви</w:t>
            </w:r>
          </w:p>
        </w:tc>
        <w:tc>
          <w:tcPr>
            <w:tcW w:w="1597" w:type="dxa"/>
            <w:shd w:val="clear" w:color="auto" w:fill="C6EFCE"/>
            <w:noWrap/>
            <w:vAlign w:val="center"/>
            <w:hideMark/>
          </w:tcPr>
          <w:p w14:paraId="277BDB51" w14:textId="77777777" w:rsidR="006054AA" w:rsidRDefault="001F7667">
            <w:pPr>
              <w:pStyle w:val="P68B1DB1-Normal11"/>
              <w:spacing w:before="120" w:after="120"/>
              <w:jc w:val="center"/>
              <w:rPr>
                <w:rFonts w:eastAsia="Calibri"/>
                <w:noProof/>
              </w:rPr>
            </w:pPr>
            <w:r>
              <w:rPr>
                <w:noProof/>
              </w:rPr>
              <w:t>Дружествата, получили подкрепа чрез техническата помощ, са получили сертификат за равенство между половете</w:t>
            </w:r>
          </w:p>
        </w:tc>
        <w:tc>
          <w:tcPr>
            <w:tcW w:w="1470" w:type="dxa"/>
            <w:shd w:val="clear" w:color="auto" w:fill="C6EFCE"/>
            <w:noWrap/>
            <w:vAlign w:val="center"/>
            <w:hideMark/>
          </w:tcPr>
          <w:p w14:paraId="55997DF4" w14:textId="77777777" w:rsidR="006054AA" w:rsidRDefault="001F7667">
            <w:pPr>
              <w:pStyle w:val="P68B1DB1-Normal11"/>
              <w:spacing w:before="120" w:after="120"/>
              <w:jc w:val="center"/>
              <w:rPr>
                <w:rFonts w:eastAsia="Calibri"/>
                <w:noProof/>
              </w:rPr>
            </w:pPr>
            <w:r>
              <w:rPr>
                <w:noProof/>
              </w:rPr>
              <w:t>НЯМА</w:t>
            </w:r>
          </w:p>
        </w:tc>
        <w:tc>
          <w:tcPr>
            <w:tcW w:w="1275" w:type="dxa"/>
            <w:shd w:val="clear" w:color="auto" w:fill="C6EFCE"/>
            <w:noWrap/>
            <w:vAlign w:val="center"/>
            <w:hideMark/>
          </w:tcPr>
          <w:p w14:paraId="7C81D713" w14:textId="77777777" w:rsidR="006054AA" w:rsidRDefault="001F7667">
            <w:pPr>
              <w:pStyle w:val="P68B1DB1-Normal11"/>
              <w:spacing w:before="120" w:after="120"/>
              <w:jc w:val="center"/>
              <w:rPr>
                <w:rFonts w:eastAsia="Calibri"/>
                <w:noProof/>
              </w:rPr>
            </w:pPr>
            <w:r>
              <w:rPr>
                <w:noProof/>
              </w:rPr>
              <w:t xml:space="preserve">Брой </w:t>
            </w:r>
          </w:p>
        </w:tc>
        <w:tc>
          <w:tcPr>
            <w:tcW w:w="1134" w:type="dxa"/>
            <w:shd w:val="clear" w:color="auto" w:fill="C6EFCE"/>
            <w:noWrap/>
            <w:vAlign w:val="center"/>
            <w:hideMark/>
          </w:tcPr>
          <w:p w14:paraId="1C24E126" w14:textId="77777777" w:rsidR="006054AA" w:rsidRDefault="001F7667">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4DDE4259" w14:textId="1FE4307F" w:rsidR="006054AA" w:rsidRDefault="001F7667">
            <w:pPr>
              <w:pStyle w:val="P68B1DB1-Normal11"/>
              <w:spacing w:before="120" w:after="120"/>
              <w:jc w:val="center"/>
              <w:rPr>
                <w:rFonts w:eastAsia="Calibri"/>
                <w:noProof/>
              </w:rPr>
            </w:pPr>
            <w:r>
              <w:rPr>
                <w:noProof/>
              </w:rPr>
              <w:t>1 000</w:t>
            </w:r>
          </w:p>
        </w:tc>
        <w:tc>
          <w:tcPr>
            <w:tcW w:w="851" w:type="dxa"/>
            <w:shd w:val="clear" w:color="auto" w:fill="C6EFCE"/>
            <w:noWrap/>
            <w:vAlign w:val="center"/>
            <w:hideMark/>
          </w:tcPr>
          <w:p w14:paraId="62A43E7A" w14:textId="77777777" w:rsidR="006054AA" w:rsidRDefault="001F7667">
            <w:pPr>
              <w:pStyle w:val="P68B1DB1-Normal11"/>
              <w:spacing w:before="120" w:after="120"/>
              <w:jc w:val="center"/>
              <w:rPr>
                <w:rFonts w:eastAsia="Calibri"/>
                <w:noProof/>
              </w:rPr>
            </w:pPr>
            <w:r>
              <w:rPr>
                <w:noProof/>
              </w:rPr>
              <w:t>Т2 Г.</w:t>
            </w:r>
          </w:p>
        </w:tc>
        <w:tc>
          <w:tcPr>
            <w:tcW w:w="709" w:type="dxa"/>
            <w:shd w:val="clear" w:color="auto" w:fill="C6EFCE"/>
            <w:noWrap/>
            <w:vAlign w:val="center"/>
            <w:hideMark/>
          </w:tcPr>
          <w:p w14:paraId="51FDA89C" w14:textId="77777777" w:rsidR="006054AA" w:rsidRDefault="001F7667">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0B3A3DCB" w14:textId="00C60487" w:rsidR="006054AA" w:rsidRDefault="001F7667">
            <w:pPr>
              <w:pStyle w:val="P68B1DB1-Normal11"/>
              <w:spacing w:before="120" w:after="120"/>
              <w:rPr>
                <w:rFonts w:eastAsia="Calibri"/>
                <w:noProof/>
              </w:rPr>
            </w:pPr>
            <w:r>
              <w:rPr>
                <w:noProof/>
              </w:rPr>
              <w:t>Най-малко 1 000 дружества, получили подкрепа чрез техническата помощ, са получили сертификат за равенство между половете.</w:t>
            </w:r>
          </w:p>
          <w:p w14:paraId="54615569" w14:textId="1131189F" w:rsidR="006054AA" w:rsidRDefault="001F7667">
            <w:pPr>
              <w:pStyle w:val="P68B1DB1-Normal11"/>
              <w:spacing w:before="120" w:after="120"/>
              <w:rPr>
                <w:rFonts w:eastAsia="Calibri"/>
                <w:noProof/>
              </w:rPr>
            </w:pPr>
            <w:r>
              <w:rPr>
                <w:noProof/>
              </w:rPr>
              <w:t>За предоставянето на съпътстващи мерки под формата на наставничество, техническа и управленска подкрепа, мерки за постигане на равновесие между професионалния и личния живот, образование по предприемачество се използва ваучерна схема.</w:t>
            </w:r>
          </w:p>
        </w:tc>
      </w:tr>
      <w:tr w:rsidR="006054AA" w14:paraId="350BA10E" w14:textId="77777777">
        <w:trPr>
          <w:trHeight w:val="309"/>
          <w:jc w:val="center"/>
        </w:trPr>
        <w:tc>
          <w:tcPr>
            <w:tcW w:w="1364" w:type="dxa"/>
            <w:shd w:val="clear" w:color="auto" w:fill="C6EFCE"/>
            <w:noWrap/>
            <w:vAlign w:val="center"/>
            <w:hideMark/>
          </w:tcPr>
          <w:p w14:paraId="3203452D" w14:textId="19E3C91E" w:rsidR="006054AA" w:rsidRDefault="001F7667">
            <w:pPr>
              <w:pStyle w:val="P68B1DB1-Normal11"/>
              <w:spacing w:before="120" w:after="120"/>
              <w:jc w:val="center"/>
              <w:rPr>
                <w:rFonts w:eastAsia="Calibri"/>
                <w:noProof/>
              </w:rPr>
            </w:pPr>
            <w:r>
              <w:rPr>
                <w:noProof/>
              </w:rPr>
              <w:t>M5C1—15</w:t>
            </w:r>
          </w:p>
        </w:tc>
        <w:tc>
          <w:tcPr>
            <w:tcW w:w="1513" w:type="dxa"/>
            <w:shd w:val="clear" w:color="auto" w:fill="C6EFCE"/>
            <w:noWrap/>
            <w:vAlign w:val="center"/>
            <w:hideMark/>
          </w:tcPr>
          <w:p w14:paraId="4281AD62" w14:textId="77777777" w:rsidR="006054AA" w:rsidRDefault="001F7667">
            <w:pPr>
              <w:pStyle w:val="P68B1DB1-Normal11"/>
              <w:spacing w:before="120" w:after="120"/>
              <w:jc w:val="center"/>
              <w:rPr>
                <w:rFonts w:eastAsia="Calibri"/>
                <w:noProof/>
              </w:rPr>
            </w:pPr>
            <w:r>
              <w:rPr>
                <w:noProof/>
              </w:rPr>
              <w:t>Инвестиция 3 — Укрепване на двойната система</w:t>
            </w:r>
          </w:p>
        </w:tc>
        <w:tc>
          <w:tcPr>
            <w:tcW w:w="1281" w:type="dxa"/>
            <w:shd w:val="clear" w:color="auto" w:fill="C6EFCE"/>
            <w:noWrap/>
            <w:vAlign w:val="center"/>
            <w:hideMark/>
          </w:tcPr>
          <w:p w14:paraId="03E560DF" w14:textId="77777777" w:rsidR="006054AA" w:rsidRDefault="001F7667">
            <w:pPr>
              <w:pStyle w:val="P68B1DB1-Normal11"/>
              <w:spacing w:before="120" w:after="120"/>
              <w:jc w:val="center"/>
              <w:rPr>
                <w:rFonts w:eastAsia="Calibri"/>
                <w:noProof/>
              </w:rPr>
            </w:pPr>
            <w:r>
              <w:rPr>
                <w:noProof/>
              </w:rPr>
              <w:t>Целеви</w:t>
            </w:r>
          </w:p>
        </w:tc>
        <w:tc>
          <w:tcPr>
            <w:tcW w:w="1597" w:type="dxa"/>
            <w:shd w:val="clear" w:color="auto" w:fill="C6EFCE"/>
            <w:noWrap/>
            <w:vAlign w:val="center"/>
            <w:hideMark/>
          </w:tcPr>
          <w:p w14:paraId="11C1FD71" w14:textId="77777777" w:rsidR="006054AA" w:rsidRDefault="001F7667">
            <w:pPr>
              <w:pStyle w:val="P68B1DB1-Normal11"/>
              <w:spacing w:before="120" w:after="120"/>
              <w:jc w:val="center"/>
              <w:rPr>
                <w:rFonts w:eastAsia="Calibri"/>
                <w:noProof/>
              </w:rPr>
            </w:pPr>
            <w:r>
              <w:rPr>
                <w:noProof/>
              </w:rPr>
              <w:t>Лица, които са участвали в двойната система и са получили съответното сертифициране през петгодишния период 2021—2025 г.</w:t>
            </w:r>
          </w:p>
        </w:tc>
        <w:tc>
          <w:tcPr>
            <w:tcW w:w="1470" w:type="dxa"/>
            <w:shd w:val="clear" w:color="auto" w:fill="C6EFCE"/>
            <w:noWrap/>
            <w:vAlign w:val="center"/>
            <w:hideMark/>
          </w:tcPr>
          <w:p w14:paraId="5A2494E4" w14:textId="77777777" w:rsidR="006054AA" w:rsidRDefault="001F7667">
            <w:pPr>
              <w:pStyle w:val="P68B1DB1-Normal11"/>
              <w:spacing w:before="120" w:after="120"/>
              <w:jc w:val="center"/>
              <w:rPr>
                <w:rFonts w:eastAsia="Calibri"/>
                <w:noProof/>
              </w:rPr>
            </w:pPr>
            <w:r>
              <w:rPr>
                <w:noProof/>
              </w:rPr>
              <w:t>НЯМА</w:t>
            </w:r>
          </w:p>
        </w:tc>
        <w:tc>
          <w:tcPr>
            <w:tcW w:w="1275" w:type="dxa"/>
            <w:shd w:val="clear" w:color="auto" w:fill="C6EFCE"/>
            <w:noWrap/>
            <w:vAlign w:val="center"/>
            <w:hideMark/>
          </w:tcPr>
          <w:p w14:paraId="4870DB8D" w14:textId="77777777" w:rsidR="006054AA" w:rsidRDefault="001F7667">
            <w:pPr>
              <w:pStyle w:val="P68B1DB1-Normal11"/>
              <w:spacing w:before="120" w:after="120"/>
              <w:jc w:val="center"/>
              <w:rPr>
                <w:rFonts w:eastAsia="Calibri"/>
                <w:noProof/>
              </w:rPr>
            </w:pPr>
            <w:r>
              <w:rPr>
                <w:noProof/>
              </w:rPr>
              <w:t xml:space="preserve">Брой </w:t>
            </w:r>
          </w:p>
        </w:tc>
        <w:tc>
          <w:tcPr>
            <w:tcW w:w="1134" w:type="dxa"/>
            <w:shd w:val="clear" w:color="auto" w:fill="C6EFCE"/>
            <w:noWrap/>
            <w:vAlign w:val="center"/>
            <w:hideMark/>
          </w:tcPr>
          <w:p w14:paraId="2CA37934" w14:textId="7CE75920" w:rsidR="006054AA" w:rsidRDefault="001F7667">
            <w:pPr>
              <w:pStyle w:val="P68B1DB1-Normal11"/>
              <w:spacing w:before="120" w:after="120"/>
              <w:jc w:val="center"/>
              <w:rPr>
                <w:rFonts w:eastAsia="Calibri"/>
                <w:noProof/>
              </w:rPr>
            </w:pPr>
            <w:r>
              <w:rPr>
                <w:noProof/>
              </w:rPr>
              <w:t>39 000</w:t>
            </w:r>
          </w:p>
        </w:tc>
        <w:tc>
          <w:tcPr>
            <w:tcW w:w="1134" w:type="dxa"/>
            <w:shd w:val="clear" w:color="auto" w:fill="C6EFCE"/>
            <w:noWrap/>
            <w:vAlign w:val="center"/>
            <w:hideMark/>
          </w:tcPr>
          <w:p w14:paraId="166D9696" w14:textId="5B194B96" w:rsidR="006054AA" w:rsidRDefault="001F7667">
            <w:pPr>
              <w:pStyle w:val="P68B1DB1-Normal11"/>
              <w:spacing w:before="120" w:after="120"/>
              <w:jc w:val="center"/>
              <w:rPr>
                <w:rFonts w:eastAsia="Calibri"/>
                <w:noProof/>
              </w:rPr>
            </w:pPr>
            <w:r>
              <w:rPr>
                <w:noProof/>
              </w:rPr>
              <w:t>129 000</w:t>
            </w:r>
          </w:p>
        </w:tc>
        <w:tc>
          <w:tcPr>
            <w:tcW w:w="851" w:type="dxa"/>
            <w:shd w:val="clear" w:color="auto" w:fill="C6EFCE"/>
            <w:noWrap/>
            <w:vAlign w:val="center"/>
            <w:hideMark/>
          </w:tcPr>
          <w:p w14:paraId="0536B20B" w14:textId="77777777" w:rsidR="006054AA" w:rsidRDefault="001F7667">
            <w:pPr>
              <w:pStyle w:val="P68B1DB1-Normal11"/>
              <w:spacing w:before="120" w:after="120"/>
              <w:jc w:val="center"/>
              <w:rPr>
                <w:rFonts w:eastAsia="Calibri"/>
                <w:noProof/>
              </w:rPr>
            </w:pPr>
            <w:r>
              <w:rPr>
                <w:noProof/>
              </w:rPr>
              <w:t>Т4 Г.</w:t>
            </w:r>
          </w:p>
        </w:tc>
        <w:tc>
          <w:tcPr>
            <w:tcW w:w="709" w:type="dxa"/>
            <w:shd w:val="clear" w:color="auto" w:fill="C6EFCE"/>
            <w:noWrap/>
            <w:vAlign w:val="center"/>
            <w:hideMark/>
          </w:tcPr>
          <w:p w14:paraId="1E58F04B" w14:textId="77777777" w:rsidR="006054AA" w:rsidRDefault="001F7667">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55072BBC" w14:textId="5DAA9529" w:rsidR="006054AA" w:rsidRDefault="001F7667">
            <w:pPr>
              <w:pStyle w:val="P68B1DB1-Normal11"/>
              <w:spacing w:before="120" w:after="120"/>
              <w:rPr>
                <w:rFonts w:eastAsia="Calibri"/>
                <w:noProof/>
              </w:rPr>
            </w:pPr>
            <w:r>
              <w:rPr>
                <w:noProof/>
              </w:rPr>
              <w:t>Направени са най-малко 90 000 допълнителни записвания в двойната система и съответните сертификати, доказващи завършването на курса, са получени през петгодишния период 2021—2025 г. в сравнение с базовия сценарий.</w:t>
            </w:r>
          </w:p>
          <w:p w14:paraId="0F25B7DF" w14:textId="77777777" w:rsidR="006054AA" w:rsidRDefault="001F7667">
            <w:pPr>
              <w:pStyle w:val="P68B1DB1-Normal11"/>
              <w:spacing w:before="120" w:after="120"/>
              <w:rPr>
                <w:rFonts w:eastAsia="Calibri"/>
                <w:noProof/>
              </w:rPr>
            </w:pPr>
            <w:r>
              <w:rPr>
                <w:noProof/>
              </w:rPr>
              <w:t>Разпределението на средствата за регионите за укрепване на двойната система се извършва въз основа на броя на студентите, записани в курсове за ПОО.</w:t>
            </w:r>
          </w:p>
        </w:tc>
      </w:tr>
      <w:tr w:rsidR="006054AA" w14:paraId="3E7E90B6" w14:textId="77777777">
        <w:trPr>
          <w:trHeight w:val="309"/>
          <w:jc w:val="center"/>
        </w:trPr>
        <w:tc>
          <w:tcPr>
            <w:tcW w:w="1364" w:type="dxa"/>
            <w:shd w:val="clear" w:color="auto" w:fill="C6EFCE"/>
            <w:noWrap/>
            <w:vAlign w:val="center"/>
          </w:tcPr>
          <w:p w14:paraId="1A2E7506" w14:textId="77777777" w:rsidR="006054AA" w:rsidRDefault="001F7667">
            <w:pPr>
              <w:pStyle w:val="P68B1DB1-Normal11"/>
              <w:spacing w:before="120" w:after="120"/>
              <w:jc w:val="center"/>
              <w:rPr>
                <w:rFonts w:eastAsia="Calibri"/>
                <w:noProof/>
              </w:rPr>
            </w:pPr>
            <w:r>
              <w:rPr>
                <w:noProof/>
              </w:rPr>
              <w:t>M5C1—15bis</w:t>
            </w:r>
          </w:p>
        </w:tc>
        <w:tc>
          <w:tcPr>
            <w:tcW w:w="1513" w:type="dxa"/>
            <w:shd w:val="clear" w:color="auto" w:fill="C6EFCE"/>
            <w:noWrap/>
            <w:vAlign w:val="center"/>
          </w:tcPr>
          <w:p w14:paraId="034C1FFB" w14:textId="77777777" w:rsidR="006054AA" w:rsidRDefault="001F7667">
            <w:pPr>
              <w:pStyle w:val="P68B1DB1-Normal11"/>
              <w:spacing w:before="120" w:after="120"/>
              <w:jc w:val="center"/>
              <w:rPr>
                <w:rFonts w:eastAsia="Calibri"/>
                <w:noProof/>
              </w:rPr>
            </w:pPr>
            <w:r>
              <w:rPr>
                <w:noProof/>
              </w:rPr>
              <w:t>Инвестиция 4 — Универсална публична служба</w:t>
            </w:r>
          </w:p>
        </w:tc>
        <w:tc>
          <w:tcPr>
            <w:tcW w:w="1281" w:type="dxa"/>
            <w:shd w:val="clear" w:color="auto" w:fill="C6EFCE"/>
            <w:noWrap/>
            <w:vAlign w:val="center"/>
          </w:tcPr>
          <w:p w14:paraId="1A738786" w14:textId="77777777" w:rsidR="006054AA" w:rsidRDefault="001F7667">
            <w:pPr>
              <w:pStyle w:val="P68B1DB1-Normal11"/>
              <w:spacing w:before="120" w:after="120"/>
              <w:jc w:val="center"/>
              <w:rPr>
                <w:rFonts w:eastAsia="Calibri"/>
                <w:noProof/>
              </w:rPr>
            </w:pPr>
            <w:r>
              <w:rPr>
                <w:noProof/>
              </w:rPr>
              <w:t>Ключов етап</w:t>
            </w:r>
          </w:p>
        </w:tc>
        <w:tc>
          <w:tcPr>
            <w:tcW w:w="1597" w:type="dxa"/>
            <w:shd w:val="clear" w:color="auto" w:fill="C6EFCE"/>
            <w:noWrap/>
            <w:vAlign w:val="center"/>
          </w:tcPr>
          <w:p w14:paraId="5D22E105" w14:textId="7DADC4CE" w:rsidR="006054AA" w:rsidRDefault="001F7667">
            <w:pPr>
              <w:pStyle w:val="P68B1DB1-Normal11"/>
              <w:spacing w:before="120" w:after="120"/>
              <w:jc w:val="center"/>
              <w:rPr>
                <w:rFonts w:eastAsia="Calibri"/>
                <w:noProof/>
              </w:rPr>
            </w:pPr>
            <w:bookmarkStart w:id="4" w:name="_Hlk149581877"/>
            <w:r>
              <w:rPr>
                <w:noProof/>
              </w:rPr>
              <w:t>Нормативно преразглеждане на „Disposizioni concernenti la disciplina dei rapporti tra enti e operatori volontari del servizio civile universale“, прието като dpcm (decreto del Presidente del Consiglio dei ministri)</w:t>
            </w:r>
            <w:r>
              <w:rPr>
                <w:noProof/>
                <w:vertAlign w:val="superscript"/>
              </w:rPr>
              <w:t>на</w:t>
            </w:r>
            <w:r>
              <w:rPr>
                <w:noProof/>
              </w:rPr>
              <w:t xml:space="preserve"> 14 януари 2019 г. с цел укрепване на универсалната публична служба </w:t>
            </w:r>
            <w:bookmarkEnd w:id="4"/>
          </w:p>
        </w:tc>
        <w:tc>
          <w:tcPr>
            <w:tcW w:w="1470" w:type="dxa"/>
            <w:shd w:val="clear" w:color="auto" w:fill="C6EFCE"/>
            <w:noWrap/>
            <w:vAlign w:val="center"/>
          </w:tcPr>
          <w:p w14:paraId="1E1F5648" w14:textId="77777777" w:rsidR="006054AA" w:rsidRDefault="001F7667">
            <w:pPr>
              <w:pStyle w:val="P68B1DB1-Normal11"/>
              <w:spacing w:before="120" w:after="120"/>
              <w:jc w:val="center"/>
              <w:rPr>
                <w:rFonts w:eastAsia="Calibri"/>
                <w:noProof/>
              </w:rPr>
            </w:pPr>
            <w:r>
              <w:rPr>
                <w:noProof/>
              </w:rPr>
              <w:t>Приемане на съответния акт</w:t>
            </w:r>
          </w:p>
        </w:tc>
        <w:tc>
          <w:tcPr>
            <w:tcW w:w="1275" w:type="dxa"/>
            <w:shd w:val="clear" w:color="auto" w:fill="C6EFCE"/>
            <w:noWrap/>
            <w:vAlign w:val="center"/>
          </w:tcPr>
          <w:p w14:paraId="333DDD5A" w14:textId="77777777" w:rsidR="006054AA" w:rsidRDefault="001F7667">
            <w:pPr>
              <w:pStyle w:val="P68B1DB1-Normal11"/>
              <w:spacing w:before="120" w:after="120"/>
              <w:jc w:val="center"/>
              <w:rPr>
                <w:rFonts w:eastAsia="Calibri"/>
                <w:noProof/>
              </w:rPr>
            </w:pPr>
            <w:r>
              <w:rPr>
                <w:noProof/>
              </w:rPr>
              <w:t>НЯМА</w:t>
            </w:r>
          </w:p>
        </w:tc>
        <w:tc>
          <w:tcPr>
            <w:tcW w:w="1134" w:type="dxa"/>
            <w:shd w:val="clear" w:color="auto" w:fill="C6EFCE"/>
            <w:noWrap/>
            <w:vAlign w:val="center"/>
          </w:tcPr>
          <w:p w14:paraId="67618D53" w14:textId="77777777" w:rsidR="006054AA" w:rsidRDefault="001F7667">
            <w:pPr>
              <w:pStyle w:val="P68B1DB1-Normal11"/>
              <w:spacing w:before="120" w:after="120"/>
              <w:jc w:val="center"/>
              <w:rPr>
                <w:rFonts w:eastAsia="Calibri"/>
                <w:noProof/>
              </w:rPr>
            </w:pPr>
            <w:r>
              <w:rPr>
                <w:noProof/>
              </w:rPr>
              <w:t>НЯМА</w:t>
            </w:r>
          </w:p>
        </w:tc>
        <w:tc>
          <w:tcPr>
            <w:tcW w:w="1134" w:type="dxa"/>
            <w:shd w:val="clear" w:color="auto" w:fill="C6EFCE"/>
            <w:noWrap/>
            <w:vAlign w:val="center"/>
          </w:tcPr>
          <w:p w14:paraId="24779BDF" w14:textId="77777777" w:rsidR="006054AA" w:rsidRDefault="001F7667">
            <w:pPr>
              <w:pStyle w:val="P68B1DB1-Normal11"/>
              <w:spacing w:before="120" w:after="120"/>
              <w:jc w:val="center"/>
              <w:rPr>
                <w:rFonts w:eastAsia="Calibri"/>
                <w:noProof/>
              </w:rPr>
            </w:pPr>
            <w:r>
              <w:rPr>
                <w:noProof/>
              </w:rPr>
              <w:t>НЯМА</w:t>
            </w:r>
          </w:p>
        </w:tc>
        <w:tc>
          <w:tcPr>
            <w:tcW w:w="851" w:type="dxa"/>
            <w:shd w:val="clear" w:color="auto" w:fill="C6EFCE"/>
            <w:noWrap/>
            <w:vAlign w:val="center"/>
          </w:tcPr>
          <w:p w14:paraId="1BA37103" w14:textId="77777777" w:rsidR="006054AA" w:rsidRDefault="001F7667">
            <w:pPr>
              <w:pStyle w:val="P68B1DB1-Normal11"/>
              <w:spacing w:before="120" w:after="120"/>
              <w:jc w:val="center"/>
              <w:rPr>
                <w:rFonts w:eastAsia="Calibri"/>
                <w:noProof/>
              </w:rPr>
            </w:pPr>
            <w:r>
              <w:rPr>
                <w:noProof/>
              </w:rPr>
              <w:t>Т4 Г.</w:t>
            </w:r>
          </w:p>
        </w:tc>
        <w:tc>
          <w:tcPr>
            <w:tcW w:w="709" w:type="dxa"/>
            <w:shd w:val="clear" w:color="auto" w:fill="C6EFCE"/>
            <w:noWrap/>
            <w:vAlign w:val="center"/>
          </w:tcPr>
          <w:p w14:paraId="68334000" w14:textId="77777777" w:rsidR="006054AA" w:rsidRDefault="001F7667">
            <w:pPr>
              <w:pStyle w:val="P68B1DB1-Normal11"/>
              <w:spacing w:before="120" w:after="120"/>
              <w:jc w:val="center"/>
              <w:rPr>
                <w:rFonts w:eastAsia="Calibri"/>
                <w:noProof/>
              </w:rPr>
            </w:pPr>
            <w:r>
              <w:rPr>
                <w:noProof/>
              </w:rPr>
              <w:t>2024</w:t>
            </w:r>
          </w:p>
        </w:tc>
        <w:tc>
          <w:tcPr>
            <w:tcW w:w="2835" w:type="dxa"/>
            <w:shd w:val="clear" w:color="auto" w:fill="C6EFCE"/>
            <w:noWrap/>
            <w:vAlign w:val="center"/>
          </w:tcPr>
          <w:p w14:paraId="112B3DE2" w14:textId="6BF69697" w:rsidR="006054AA" w:rsidRDefault="001F7667">
            <w:pPr>
              <w:pStyle w:val="P68B1DB1-Normal11"/>
              <w:spacing w:before="120" w:after="120"/>
              <w:rPr>
                <w:rFonts w:eastAsia="Calibri"/>
                <w:noProof/>
              </w:rPr>
            </w:pPr>
            <w:r>
              <w:rPr>
                <w:noProof/>
              </w:rPr>
              <w:t xml:space="preserve">Влизане в сила на преразгледания акт относно отношенията между субектите и доброволческите оператори (ОВЛ), като се вземат предвид резултатите от проекта за ИТП (20IT06 — „Подкрепа за разработването и изпълнението на проекта за ПВУ на универсалната публична служба (UCS), за отключване на възможности за младежка заетост“). </w:t>
            </w:r>
          </w:p>
          <w:p w14:paraId="42F1C092" w14:textId="5078844C" w:rsidR="006054AA" w:rsidRDefault="001F7667">
            <w:pPr>
              <w:pStyle w:val="P68B1DB1-Normal11"/>
              <w:spacing w:before="120"/>
              <w:rPr>
                <w:rFonts w:eastAsia="Calibri"/>
                <w:noProof/>
              </w:rPr>
            </w:pPr>
            <w:r>
              <w:rPr>
                <w:noProof/>
              </w:rPr>
              <w:t>Преразгледаният акт:</w:t>
            </w:r>
          </w:p>
          <w:p w14:paraId="4F758717" w14:textId="4D7486B4" w:rsidR="006054AA" w:rsidRDefault="001F7667">
            <w:pPr>
              <w:pStyle w:val="P68B1DB1-Normal11"/>
              <w:rPr>
                <w:rFonts w:eastAsia="Calibri"/>
                <w:noProof/>
              </w:rPr>
            </w:pPr>
            <w:r>
              <w:rPr>
                <w:noProof/>
              </w:rPr>
              <w:t>увеличаване на участието на младите хора;</w:t>
            </w:r>
          </w:p>
          <w:p w14:paraId="6ACC6654" w14:textId="5E1BF379" w:rsidR="006054AA" w:rsidRDefault="001F7667">
            <w:pPr>
              <w:pStyle w:val="P68B1DB1-Normal10"/>
              <w:rPr>
                <w:rFonts w:eastAsia="Calibri"/>
                <w:noProof/>
                <w:color w:val="006100"/>
                <w:sz w:val="20"/>
              </w:rPr>
            </w:pPr>
            <w:r>
              <w:rPr>
                <w:noProof/>
                <w:color w:val="006100"/>
                <w:sz w:val="20"/>
              </w:rPr>
              <w:t>— опростяване на процедурите; и че</w:t>
            </w:r>
            <w:r>
              <w:rPr>
                <w:noProof/>
              </w:rPr>
              <w:br/>
            </w:r>
            <w:r>
              <w:rPr>
                <w:noProof/>
                <w:color w:val="006100"/>
                <w:sz w:val="20"/>
              </w:rPr>
              <w:t>— подобряване на качеството на проектите по UCS.</w:t>
            </w:r>
          </w:p>
        </w:tc>
      </w:tr>
      <w:tr w:rsidR="006054AA" w14:paraId="2ED33151" w14:textId="77777777">
        <w:trPr>
          <w:trHeight w:val="309"/>
          <w:jc w:val="center"/>
        </w:trPr>
        <w:tc>
          <w:tcPr>
            <w:tcW w:w="1364" w:type="dxa"/>
            <w:shd w:val="clear" w:color="auto" w:fill="C6EFCE"/>
            <w:noWrap/>
            <w:vAlign w:val="center"/>
            <w:hideMark/>
          </w:tcPr>
          <w:p w14:paraId="60B74889" w14:textId="29C5169C" w:rsidR="006054AA" w:rsidRDefault="001F7667">
            <w:pPr>
              <w:pStyle w:val="P68B1DB1-Normal11"/>
              <w:spacing w:before="120" w:after="120"/>
              <w:jc w:val="center"/>
              <w:rPr>
                <w:rFonts w:eastAsia="Calibri"/>
                <w:noProof/>
              </w:rPr>
            </w:pPr>
            <w:r>
              <w:rPr>
                <w:noProof/>
              </w:rPr>
              <w:t>M5C1—16</w:t>
            </w:r>
          </w:p>
        </w:tc>
        <w:tc>
          <w:tcPr>
            <w:tcW w:w="1513" w:type="dxa"/>
            <w:shd w:val="clear" w:color="auto" w:fill="C6EFCE"/>
            <w:noWrap/>
            <w:vAlign w:val="center"/>
            <w:hideMark/>
          </w:tcPr>
          <w:p w14:paraId="72668D0D" w14:textId="77777777" w:rsidR="006054AA" w:rsidRDefault="001F7667">
            <w:pPr>
              <w:pStyle w:val="P68B1DB1-Normal11"/>
              <w:spacing w:before="120" w:after="120"/>
              <w:jc w:val="center"/>
              <w:rPr>
                <w:rFonts w:eastAsia="Calibri"/>
                <w:noProof/>
              </w:rPr>
            </w:pPr>
            <w:r>
              <w:rPr>
                <w:noProof/>
              </w:rPr>
              <w:t>Инвестиция 4 — Универсална публична служба</w:t>
            </w:r>
          </w:p>
        </w:tc>
        <w:tc>
          <w:tcPr>
            <w:tcW w:w="1281" w:type="dxa"/>
            <w:shd w:val="clear" w:color="auto" w:fill="C6EFCE"/>
            <w:noWrap/>
            <w:vAlign w:val="center"/>
            <w:hideMark/>
          </w:tcPr>
          <w:p w14:paraId="633E3165" w14:textId="77777777" w:rsidR="006054AA" w:rsidRDefault="001F7667">
            <w:pPr>
              <w:pStyle w:val="P68B1DB1-Normal11"/>
              <w:spacing w:before="120" w:after="120"/>
              <w:jc w:val="center"/>
              <w:rPr>
                <w:rFonts w:eastAsia="Calibri"/>
                <w:noProof/>
              </w:rPr>
            </w:pPr>
            <w:r>
              <w:rPr>
                <w:noProof/>
              </w:rPr>
              <w:t>Целеви</w:t>
            </w:r>
          </w:p>
        </w:tc>
        <w:tc>
          <w:tcPr>
            <w:tcW w:w="1597" w:type="dxa"/>
            <w:shd w:val="clear" w:color="auto" w:fill="C6EFCE"/>
            <w:noWrap/>
            <w:vAlign w:val="center"/>
            <w:hideMark/>
          </w:tcPr>
          <w:p w14:paraId="63F9CB54" w14:textId="77777777" w:rsidR="006054AA" w:rsidRDefault="001F7667">
            <w:pPr>
              <w:pStyle w:val="P68B1DB1-Normal11"/>
              <w:spacing w:before="120" w:after="120"/>
              <w:jc w:val="center"/>
              <w:rPr>
                <w:rFonts w:eastAsia="Calibri"/>
                <w:noProof/>
              </w:rPr>
            </w:pPr>
            <w:r>
              <w:rPr>
                <w:noProof/>
              </w:rPr>
              <w:t xml:space="preserve"> Хората са участвали в програмата за универсална публична служба и са получили съответното сертифициране през четиригодишния период 2021—2024 г.</w:t>
            </w:r>
          </w:p>
        </w:tc>
        <w:tc>
          <w:tcPr>
            <w:tcW w:w="1470" w:type="dxa"/>
            <w:shd w:val="clear" w:color="auto" w:fill="C6EFCE"/>
            <w:noWrap/>
            <w:vAlign w:val="center"/>
            <w:hideMark/>
          </w:tcPr>
          <w:p w14:paraId="00FA34FA" w14:textId="77777777" w:rsidR="006054AA" w:rsidRDefault="001F7667">
            <w:pPr>
              <w:pStyle w:val="P68B1DB1-Normal11"/>
              <w:spacing w:before="120" w:after="120"/>
              <w:jc w:val="center"/>
              <w:rPr>
                <w:rFonts w:eastAsia="Calibri"/>
                <w:noProof/>
              </w:rPr>
            </w:pPr>
            <w:r>
              <w:rPr>
                <w:noProof/>
              </w:rPr>
              <w:t>НЯМА</w:t>
            </w:r>
          </w:p>
        </w:tc>
        <w:tc>
          <w:tcPr>
            <w:tcW w:w="1275" w:type="dxa"/>
            <w:shd w:val="clear" w:color="auto" w:fill="C6EFCE"/>
            <w:noWrap/>
            <w:vAlign w:val="center"/>
            <w:hideMark/>
          </w:tcPr>
          <w:p w14:paraId="19CF1E09" w14:textId="77777777" w:rsidR="006054AA" w:rsidRDefault="001F7667">
            <w:pPr>
              <w:pStyle w:val="P68B1DB1-Normal11"/>
              <w:spacing w:before="120" w:after="120"/>
              <w:jc w:val="center"/>
              <w:rPr>
                <w:rFonts w:eastAsia="Calibri"/>
                <w:noProof/>
              </w:rPr>
            </w:pPr>
            <w:r>
              <w:rPr>
                <w:noProof/>
              </w:rPr>
              <w:t xml:space="preserve">Брой </w:t>
            </w:r>
          </w:p>
        </w:tc>
        <w:tc>
          <w:tcPr>
            <w:tcW w:w="1134" w:type="dxa"/>
            <w:shd w:val="clear" w:color="auto" w:fill="C6EFCE"/>
            <w:noWrap/>
            <w:vAlign w:val="center"/>
            <w:hideMark/>
          </w:tcPr>
          <w:p w14:paraId="39BFF020" w14:textId="77777777" w:rsidR="006054AA" w:rsidRDefault="001F7667">
            <w:pPr>
              <w:pStyle w:val="P68B1DB1-Normal11"/>
              <w:spacing w:before="120" w:after="120"/>
              <w:jc w:val="center"/>
              <w:rPr>
                <w:noProof/>
              </w:rPr>
            </w:pPr>
            <w:r>
              <w:rPr>
                <w:noProof/>
              </w:rPr>
              <w:t>0</w:t>
            </w:r>
          </w:p>
        </w:tc>
        <w:tc>
          <w:tcPr>
            <w:tcW w:w="1134" w:type="dxa"/>
            <w:shd w:val="clear" w:color="auto" w:fill="C6EFCE"/>
            <w:noWrap/>
            <w:vAlign w:val="center"/>
            <w:hideMark/>
          </w:tcPr>
          <w:p w14:paraId="136BCB17" w14:textId="6C8A54BD" w:rsidR="006054AA" w:rsidRDefault="001F7667">
            <w:pPr>
              <w:pStyle w:val="P68B1DB1-Normal11"/>
              <w:spacing w:before="120" w:after="120"/>
              <w:jc w:val="center"/>
              <w:rPr>
                <w:rFonts w:eastAsia="Calibri"/>
                <w:noProof/>
              </w:rPr>
            </w:pPr>
            <w:r>
              <w:rPr>
                <w:noProof/>
              </w:rPr>
              <w:t>166 670</w:t>
            </w:r>
          </w:p>
        </w:tc>
        <w:tc>
          <w:tcPr>
            <w:tcW w:w="851" w:type="dxa"/>
            <w:shd w:val="clear" w:color="auto" w:fill="C6EFCE"/>
            <w:noWrap/>
            <w:vAlign w:val="center"/>
            <w:hideMark/>
          </w:tcPr>
          <w:p w14:paraId="295AE9DA" w14:textId="77777777" w:rsidR="006054AA" w:rsidRDefault="001F7667">
            <w:pPr>
              <w:pStyle w:val="P68B1DB1-Normal11"/>
              <w:spacing w:before="120" w:after="120"/>
              <w:jc w:val="center"/>
              <w:rPr>
                <w:rFonts w:eastAsia="Calibri"/>
                <w:noProof/>
              </w:rPr>
            </w:pPr>
            <w:r>
              <w:rPr>
                <w:noProof/>
              </w:rPr>
              <w:t>Т2 Г.</w:t>
            </w:r>
          </w:p>
        </w:tc>
        <w:tc>
          <w:tcPr>
            <w:tcW w:w="709" w:type="dxa"/>
            <w:shd w:val="clear" w:color="auto" w:fill="C6EFCE"/>
            <w:noWrap/>
            <w:vAlign w:val="center"/>
            <w:hideMark/>
          </w:tcPr>
          <w:p w14:paraId="1FCA2863" w14:textId="77777777" w:rsidR="006054AA" w:rsidRDefault="001F7667">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297C2FCA" w14:textId="1BACDFB2" w:rsidR="006054AA" w:rsidRDefault="001F7667">
            <w:pPr>
              <w:pStyle w:val="P68B1DB1-Normal11"/>
              <w:spacing w:before="120" w:after="120"/>
              <w:rPr>
                <w:rFonts w:eastAsia="Calibri"/>
                <w:noProof/>
              </w:rPr>
            </w:pPr>
            <w:r>
              <w:rPr>
                <w:noProof/>
              </w:rPr>
              <w:t>Най-малко 166 670 души са участвали в програмата за универсална публична служба през четиригодишния период 2021—2024 г.</w:t>
            </w:r>
          </w:p>
          <w:p w14:paraId="1C421959" w14:textId="77777777" w:rsidR="006054AA" w:rsidRDefault="001F7667">
            <w:pPr>
              <w:pStyle w:val="P68B1DB1-Normal11"/>
              <w:spacing w:before="120" w:after="120"/>
              <w:rPr>
                <w:rFonts w:eastAsia="Calibri"/>
                <w:noProof/>
              </w:rPr>
            </w:pPr>
            <w:r>
              <w:rPr>
                <w:noProof/>
              </w:rPr>
              <w:t xml:space="preserve">Основната цел е да се укрепи Всеобщата публична служба, да се увеличи броят на доброволците и да се повиши качеството на програмите и проектите, в които участват млади хора. </w:t>
            </w:r>
          </w:p>
        </w:tc>
      </w:tr>
    </w:tbl>
    <w:p w14:paraId="7717BCED" w14:textId="77777777" w:rsidR="006054AA" w:rsidRDefault="006054AA">
      <w:pPr>
        <w:rPr>
          <w:noProof/>
        </w:rPr>
      </w:pPr>
    </w:p>
    <w:p w14:paraId="64B7BB65" w14:textId="77777777" w:rsidR="006054AA" w:rsidRDefault="006054AA">
      <w:pPr>
        <w:spacing w:before="120" w:after="120"/>
        <w:ind w:left="709"/>
        <w:jc w:val="both"/>
        <w:rPr>
          <w:noProof/>
        </w:rPr>
      </w:pPr>
    </w:p>
    <w:p w14:paraId="779CEFB9" w14:textId="77777777" w:rsidR="006054AA" w:rsidRDefault="006054AA">
      <w:pPr>
        <w:spacing w:before="120" w:after="120"/>
        <w:ind w:left="709"/>
        <w:jc w:val="both"/>
        <w:rPr>
          <w:noProof/>
        </w:rPr>
        <w:sectPr w:rsidR="006054AA" w:rsidSect="000D3774">
          <w:headerReference w:type="even" r:id="rId284"/>
          <w:headerReference w:type="default" r:id="rId285"/>
          <w:footerReference w:type="even" r:id="rId286"/>
          <w:footerReference w:type="default" r:id="rId287"/>
          <w:headerReference w:type="first" r:id="rId288"/>
          <w:footerReference w:type="first" r:id="rId289"/>
          <w:pgSz w:w="16838" w:h="11906" w:orient="landscape" w:code="9"/>
          <w:pgMar w:top="1134" w:right="1134" w:bottom="1134" w:left="1134" w:header="567" w:footer="567" w:gutter="0"/>
          <w:cols w:space="720"/>
          <w:docGrid w:linePitch="360"/>
        </w:sectPr>
      </w:pPr>
    </w:p>
    <w:p w14:paraId="1BCC0CAF" w14:textId="58000C26" w:rsidR="006054AA" w:rsidRDefault="001F7667">
      <w:pPr>
        <w:pStyle w:val="Heading3"/>
        <w:numPr>
          <w:ilvl w:val="0"/>
          <w:numId w:val="0"/>
        </w:numPr>
        <w:ind w:left="850" w:hanging="850"/>
        <w:rPr>
          <w:b/>
          <w:i w:val="0"/>
          <w:noProof/>
          <w:color w:val="4F81BD" w:themeColor="accent1"/>
          <w:u w:val="single"/>
        </w:rPr>
      </w:pPr>
      <w:r>
        <w:rPr>
          <w:b/>
          <w:i w:val="0"/>
          <w:noProof/>
          <w:u w:val="single"/>
          <w:lang w:val="bg-BG"/>
        </w:rPr>
        <w:t>Л</w:t>
      </w:r>
      <w:r>
        <w:rPr>
          <w:b/>
          <w:i w:val="0"/>
          <w:noProof/>
          <w:u w:val="single"/>
        </w:rPr>
        <w:t xml:space="preserve">.3. </w:t>
      </w:r>
      <w:r>
        <w:rPr>
          <w:noProof/>
        </w:rPr>
        <w:tab/>
      </w:r>
      <w:r>
        <w:rPr>
          <w:b/>
          <w:i w:val="0"/>
          <w:noProof/>
          <w:u w:val="single"/>
        </w:rPr>
        <w:t xml:space="preserve">Описание на реформите и инвестициите за заема </w:t>
      </w:r>
    </w:p>
    <w:p w14:paraId="7E0F6059" w14:textId="77777777" w:rsidR="006054AA" w:rsidRDefault="001F7667">
      <w:pPr>
        <w:pStyle w:val="P68B1DB1-Normal2"/>
        <w:spacing w:before="120" w:after="120"/>
        <w:jc w:val="both"/>
        <w:rPr>
          <w:noProof/>
        </w:rPr>
      </w:pPr>
      <w:r>
        <w:rPr>
          <w:noProof/>
        </w:rPr>
        <w:t>Инвестиция 5 — Създаване на женски предприятия</w:t>
      </w:r>
    </w:p>
    <w:p w14:paraId="52012527" w14:textId="1A7D3869" w:rsidR="006054AA" w:rsidRDefault="001F7667">
      <w:pPr>
        <w:spacing w:before="120" w:after="120"/>
        <w:jc w:val="both"/>
        <w:rPr>
          <w:noProof/>
        </w:rPr>
      </w:pPr>
      <w:r>
        <w:rPr>
          <w:noProof/>
        </w:rPr>
        <w:t xml:space="preserve">Целта на тази мярка е да допринесе за повишаване на равнището на участие на жените на пазара на труда, и по-специално да подкрепи участието на жените в бизнес дейности. Инвестицията подкрепя създаването </w:t>
      </w:r>
      <w:r>
        <w:rPr>
          <w:b/>
          <w:noProof/>
        </w:rPr>
        <w:t>на предприятия за жени</w:t>
      </w:r>
      <w:r>
        <w:rPr>
          <w:noProof/>
        </w:rPr>
        <w:t xml:space="preserve">. Основните цели на мярката са: И) систематизиране и преработване на настоящите мерки за подкрепа в подкрепа на предприемачеството сред жените с цел повишаване на тяхната ефективност; II) подкрепа за изпълнението на вече създадени и действащи иновативни бизнес проекти; III) подкрепа за започването на предприемачески дейности на жените чрез наставничество, техническа и управленска подкрепа, мерки за постигане на равновесие между професионалния и личния живот и др.; Създаване — чрез целенасочени комуникационни дейности — на благоприятен културен климат за предприемачество сред жените. </w:t>
      </w:r>
    </w:p>
    <w:p w14:paraId="10FB1FCA" w14:textId="472CEDD2" w:rsidR="006054AA" w:rsidRDefault="001F7667">
      <w:pPr>
        <w:pStyle w:val="Heading3"/>
        <w:numPr>
          <w:ilvl w:val="0"/>
          <w:numId w:val="0"/>
        </w:numPr>
        <w:ind w:left="850" w:hanging="850"/>
        <w:rPr>
          <w:b/>
          <w:i w:val="0"/>
          <w:noProof/>
          <w:u w:val="single"/>
        </w:rPr>
      </w:pPr>
      <w:r>
        <w:rPr>
          <w:b/>
          <w:i w:val="0"/>
          <w:noProof/>
          <w:u w:val="single"/>
          <w:lang w:val="bg-BG"/>
        </w:rPr>
        <w:t>Л</w:t>
      </w:r>
      <w:r>
        <w:rPr>
          <w:b/>
          <w:i w:val="0"/>
          <w:noProof/>
          <w:u w:val="single"/>
        </w:rPr>
        <w:t xml:space="preserve">.4. </w:t>
      </w:r>
      <w:r>
        <w:rPr>
          <w:noProof/>
        </w:rPr>
        <w:tab/>
      </w:r>
      <w:r>
        <w:rPr>
          <w:b/>
          <w:i w:val="0"/>
          <w:noProof/>
          <w:u w:val="single"/>
        </w:rPr>
        <w:t xml:space="preserve">Ключови етапи, цели, показатели и график за мониторинг и изпълнение на заема </w:t>
      </w:r>
    </w:p>
    <w:p w14:paraId="0CFF3AF6" w14:textId="77777777" w:rsidR="006054AA" w:rsidRDefault="006054AA">
      <w:pPr>
        <w:spacing w:before="120" w:after="120"/>
        <w:ind w:left="709"/>
        <w:contextualSpacing/>
        <w:jc w:val="both"/>
        <w:rPr>
          <w:noProof/>
        </w:rPr>
        <w:sectPr w:rsidR="006054AA" w:rsidSect="000D3774">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670"/>
        <w:gridCol w:w="1037"/>
        <w:gridCol w:w="999"/>
        <w:gridCol w:w="1189"/>
        <w:gridCol w:w="979"/>
        <w:gridCol w:w="689"/>
        <w:gridCol w:w="2982"/>
      </w:tblGrid>
      <w:tr w:rsidR="006054AA" w14:paraId="3AA0246A" w14:textId="77777777">
        <w:trPr>
          <w:trHeight w:val="701"/>
          <w:tblHeader/>
          <w:jc w:val="center"/>
        </w:trPr>
        <w:tc>
          <w:tcPr>
            <w:tcW w:w="1254" w:type="dxa"/>
            <w:vMerge w:val="restart"/>
            <w:shd w:val="clear" w:color="auto" w:fill="BDD7EE"/>
            <w:vAlign w:val="center"/>
            <w:hideMark/>
          </w:tcPr>
          <w:p w14:paraId="3685BA26" w14:textId="77777777" w:rsidR="006054AA" w:rsidRDefault="001F7667">
            <w:pPr>
              <w:pStyle w:val="P68B1DB1-Normal33"/>
              <w:jc w:val="center"/>
              <w:rPr>
                <w:noProof/>
              </w:rPr>
            </w:pPr>
            <w:r>
              <w:rPr>
                <w:noProof/>
              </w:rPr>
              <w:t>Пореден номер</w:t>
            </w:r>
          </w:p>
        </w:tc>
        <w:tc>
          <w:tcPr>
            <w:tcW w:w="1530" w:type="dxa"/>
            <w:vMerge w:val="restart"/>
            <w:shd w:val="clear" w:color="auto" w:fill="BDD7EE"/>
            <w:vAlign w:val="center"/>
            <w:hideMark/>
          </w:tcPr>
          <w:p w14:paraId="434301EC" w14:textId="77777777" w:rsidR="006054AA" w:rsidRDefault="001F7667">
            <w:pPr>
              <w:pStyle w:val="P68B1DB1-Normal33"/>
              <w:jc w:val="center"/>
              <w:rPr>
                <w:noProof/>
              </w:rPr>
            </w:pPr>
            <w:r>
              <w:rPr>
                <w:noProof/>
              </w:rPr>
              <w:t>Свързана мярка (реформа или инвестиции)</w:t>
            </w:r>
          </w:p>
        </w:tc>
        <w:tc>
          <w:tcPr>
            <w:tcW w:w="1179" w:type="dxa"/>
            <w:vMerge w:val="restart"/>
            <w:shd w:val="clear" w:color="auto" w:fill="BDD7EE"/>
            <w:vAlign w:val="center"/>
            <w:hideMark/>
          </w:tcPr>
          <w:p w14:paraId="7CAD8476" w14:textId="77777777" w:rsidR="006054AA" w:rsidRDefault="001F7667">
            <w:pPr>
              <w:pStyle w:val="P68B1DB1-Normal33"/>
              <w:jc w:val="center"/>
              <w:rPr>
                <w:noProof/>
              </w:rPr>
            </w:pPr>
            <w:r>
              <w:rPr>
                <w:noProof/>
              </w:rPr>
              <w:t>Ключов етап/Цел</w:t>
            </w:r>
          </w:p>
        </w:tc>
        <w:tc>
          <w:tcPr>
            <w:tcW w:w="1802" w:type="dxa"/>
            <w:vMerge w:val="restart"/>
            <w:shd w:val="clear" w:color="auto" w:fill="BDD7EE"/>
            <w:vAlign w:val="center"/>
            <w:hideMark/>
          </w:tcPr>
          <w:p w14:paraId="27BF98E2" w14:textId="77777777" w:rsidR="006054AA" w:rsidRDefault="001F7667">
            <w:pPr>
              <w:pStyle w:val="P68B1DB1-Normal33"/>
              <w:jc w:val="center"/>
              <w:rPr>
                <w:noProof/>
              </w:rPr>
            </w:pPr>
            <w:r>
              <w:rPr>
                <w:noProof/>
              </w:rPr>
              <w:t>Име</w:t>
            </w:r>
          </w:p>
        </w:tc>
        <w:tc>
          <w:tcPr>
            <w:tcW w:w="1670" w:type="dxa"/>
            <w:vMerge w:val="restart"/>
            <w:shd w:val="clear" w:color="auto" w:fill="BDD7EE"/>
            <w:vAlign w:val="center"/>
            <w:hideMark/>
          </w:tcPr>
          <w:p w14:paraId="7C58CCDF" w14:textId="77777777" w:rsidR="006054AA" w:rsidRDefault="001F7667">
            <w:pPr>
              <w:pStyle w:val="P68B1DB1-Normal19"/>
              <w:jc w:val="center"/>
              <w:rPr>
                <w:b/>
                <w:noProof/>
                <w:color w:val="000000"/>
              </w:rPr>
            </w:pPr>
            <w:r>
              <w:rPr>
                <w:b/>
                <w:noProof/>
                <w:color w:val="000000"/>
              </w:rPr>
              <w:t>Качествени индикатори</w:t>
            </w:r>
            <w:r>
              <w:rPr>
                <w:noProof/>
              </w:rPr>
              <w:t xml:space="preserve"> </w:t>
            </w:r>
            <w:r>
              <w:rPr>
                <w:noProof/>
              </w:rPr>
              <w:br/>
            </w:r>
            <w:r>
              <w:rPr>
                <w:b/>
                <w:noProof/>
                <w:color w:val="000000"/>
              </w:rPr>
              <w:t>(за ключовите етапи)</w:t>
            </w:r>
          </w:p>
        </w:tc>
        <w:tc>
          <w:tcPr>
            <w:tcW w:w="3225" w:type="dxa"/>
            <w:gridSpan w:val="3"/>
            <w:shd w:val="clear" w:color="auto" w:fill="BDD7EE"/>
            <w:vAlign w:val="center"/>
            <w:hideMark/>
          </w:tcPr>
          <w:p w14:paraId="75B87EBF" w14:textId="77777777" w:rsidR="006054AA" w:rsidRDefault="001F7667">
            <w:pPr>
              <w:pStyle w:val="P68B1DB1-Normal19"/>
              <w:jc w:val="center"/>
              <w:rPr>
                <w:b/>
                <w:noProof/>
                <w:color w:val="000000"/>
              </w:rPr>
            </w:pPr>
            <w:r>
              <w:rPr>
                <w:b/>
                <w:noProof/>
                <w:color w:val="000000"/>
              </w:rPr>
              <w:t>Количествени индикатори</w:t>
            </w:r>
            <w:r>
              <w:rPr>
                <w:noProof/>
              </w:rPr>
              <w:t xml:space="preserve"> </w:t>
            </w:r>
            <w:r>
              <w:rPr>
                <w:noProof/>
              </w:rPr>
              <w:br/>
            </w:r>
            <w:r>
              <w:rPr>
                <w:b/>
                <w:noProof/>
                <w:color w:val="000000"/>
              </w:rPr>
              <w:t>(за целите)</w:t>
            </w:r>
          </w:p>
        </w:tc>
        <w:tc>
          <w:tcPr>
            <w:tcW w:w="1668" w:type="dxa"/>
            <w:gridSpan w:val="2"/>
            <w:shd w:val="clear" w:color="auto" w:fill="BDD7EE"/>
            <w:vAlign w:val="center"/>
            <w:hideMark/>
          </w:tcPr>
          <w:p w14:paraId="41E3496B" w14:textId="77777777" w:rsidR="006054AA" w:rsidRDefault="001F7667">
            <w:pPr>
              <w:pStyle w:val="P68B1DB1-Normal33"/>
              <w:jc w:val="center"/>
              <w:rPr>
                <w:noProof/>
              </w:rPr>
            </w:pPr>
            <w:r>
              <w:rPr>
                <w:noProof/>
              </w:rPr>
              <w:t>Примерен график за приключване</w:t>
            </w:r>
          </w:p>
        </w:tc>
        <w:tc>
          <w:tcPr>
            <w:tcW w:w="2982" w:type="dxa"/>
            <w:vMerge w:val="restart"/>
            <w:shd w:val="clear" w:color="auto" w:fill="BDD7EE"/>
            <w:vAlign w:val="center"/>
            <w:hideMark/>
          </w:tcPr>
          <w:p w14:paraId="4784543B" w14:textId="77777777" w:rsidR="006054AA" w:rsidRDefault="001F7667">
            <w:pPr>
              <w:pStyle w:val="P68B1DB1-Normal33"/>
              <w:jc w:val="center"/>
              <w:rPr>
                <w:noProof/>
              </w:rPr>
            </w:pPr>
            <w:r>
              <w:rPr>
                <w:noProof/>
              </w:rPr>
              <w:t>Описание на всеки ключов етап и цел</w:t>
            </w:r>
          </w:p>
        </w:tc>
      </w:tr>
      <w:tr w:rsidR="006054AA" w14:paraId="010B3DE5" w14:textId="77777777">
        <w:trPr>
          <w:trHeight w:val="701"/>
          <w:jc w:val="center"/>
        </w:trPr>
        <w:tc>
          <w:tcPr>
            <w:tcW w:w="1254" w:type="dxa"/>
            <w:vMerge/>
            <w:vAlign w:val="center"/>
          </w:tcPr>
          <w:p w14:paraId="2CA1CD34" w14:textId="77777777" w:rsidR="006054AA" w:rsidRDefault="006054AA">
            <w:pPr>
              <w:rPr>
                <w:rFonts w:ascii="Arial Narrow" w:hAnsi="Arial Narrow"/>
                <w:b/>
                <w:noProof/>
                <w:color w:val="000000"/>
                <w:sz w:val="20"/>
              </w:rPr>
            </w:pPr>
          </w:p>
        </w:tc>
        <w:tc>
          <w:tcPr>
            <w:tcW w:w="1530" w:type="dxa"/>
            <w:vMerge/>
            <w:vAlign w:val="center"/>
          </w:tcPr>
          <w:p w14:paraId="5649FD6F" w14:textId="77777777" w:rsidR="006054AA" w:rsidRDefault="006054AA">
            <w:pPr>
              <w:rPr>
                <w:rFonts w:ascii="Arial Narrow" w:hAnsi="Arial Narrow"/>
                <w:b/>
                <w:noProof/>
                <w:color w:val="000000"/>
                <w:sz w:val="20"/>
              </w:rPr>
            </w:pPr>
          </w:p>
        </w:tc>
        <w:tc>
          <w:tcPr>
            <w:tcW w:w="1179" w:type="dxa"/>
            <w:vMerge/>
            <w:vAlign w:val="center"/>
          </w:tcPr>
          <w:p w14:paraId="6F8C7858" w14:textId="77777777" w:rsidR="006054AA" w:rsidRDefault="006054AA">
            <w:pPr>
              <w:rPr>
                <w:rFonts w:ascii="Arial Narrow" w:hAnsi="Arial Narrow"/>
                <w:b/>
                <w:noProof/>
                <w:color w:val="000000"/>
                <w:sz w:val="20"/>
              </w:rPr>
            </w:pPr>
          </w:p>
        </w:tc>
        <w:tc>
          <w:tcPr>
            <w:tcW w:w="1802" w:type="dxa"/>
            <w:vMerge/>
            <w:vAlign w:val="center"/>
          </w:tcPr>
          <w:p w14:paraId="7AF1ACD2" w14:textId="77777777" w:rsidR="006054AA" w:rsidRDefault="006054AA">
            <w:pPr>
              <w:rPr>
                <w:rFonts w:ascii="Arial Narrow" w:hAnsi="Arial Narrow"/>
                <w:b/>
                <w:noProof/>
                <w:color w:val="000000"/>
                <w:sz w:val="20"/>
              </w:rPr>
            </w:pPr>
          </w:p>
        </w:tc>
        <w:tc>
          <w:tcPr>
            <w:tcW w:w="1670" w:type="dxa"/>
            <w:vMerge/>
            <w:vAlign w:val="center"/>
          </w:tcPr>
          <w:p w14:paraId="247FE103" w14:textId="77777777" w:rsidR="006054AA" w:rsidRDefault="006054AA">
            <w:pPr>
              <w:jc w:val="center"/>
              <w:rPr>
                <w:rFonts w:ascii="Arial Narrow" w:hAnsi="Arial Narrow"/>
                <w:b/>
                <w:noProof/>
                <w:color w:val="000000"/>
                <w:sz w:val="20"/>
              </w:rPr>
            </w:pPr>
          </w:p>
        </w:tc>
        <w:tc>
          <w:tcPr>
            <w:tcW w:w="1037" w:type="dxa"/>
            <w:shd w:val="clear" w:color="auto" w:fill="BDD7EE"/>
            <w:vAlign w:val="center"/>
          </w:tcPr>
          <w:p w14:paraId="58E7F925" w14:textId="77777777" w:rsidR="006054AA" w:rsidRDefault="001F7667">
            <w:pPr>
              <w:pStyle w:val="P68B1DB1-Normal33"/>
              <w:jc w:val="center"/>
              <w:rPr>
                <w:noProof/>
              </w:rPr>
            </w:pPr>
            <w:r>
              <w:rPr>
                <w:noProof/>
              </w:rPr>
              <w:t>Единица мярка</w:t>
            </w:r>
          </w:p>
        </w:tc>
        <w:tc>
          <w:tcPr>
            <w:tcW w:w="999" w:type="dxa"/>
            <w:shd w:val="clear" w:color="auto" w:fill="BDD7EE"/>
            <w:vAlign w:val="center"/>
          </w:tcPr>
          <w:p w14:paraId="564DDE1A" w14:textId="77777777" w:rsidR="006054AA" w:rsidRDefault="001F7667">
            <w:pPr>
              <w:pStyle w:val="P68B1DB1-Normal33"/>
              <w:jc w:val="center"/>
              <w:rPr>
                <w:noProof/>
              </w:rPr>
            </w:pPr>
            <w:r>
              <w:rPr>
                <w:noProof/>
              </w:rPr>
              <w:t>Базова линия</w:t>
            </w:r>
          </w:p>
        </w:tc>
        <w:tc>
          <w:tcPr>
            <w:tcW w:w="1189" w:type="dxa"/>
            <w:shd w:val="clear" w:color="auto" w:fill="BDD7EE"/>
            <w:vAlign w:val="center"/>
          </w:tcPr>
          <w:p w14:paraId="044E673D" w14:textId="77777777" w:rsidR="006054AA" w:rsidRDefault="001F7667">
            <w:pPr>
              <w:pStyle w:val="P68B1DB1-Normal33"/>
              <w:jc w:val="center"/>
              <w:rPr>
                <w:noProof/>
              </w:rPr>
            </w:pPr>
            <w:r>
              <w:rPr>
                <w:noProof/>
              </w:rPr>
              <w:t>Цел</w:t>
            </w:r>
          </w:p>
        </w:tc>
        <w:tc>
          <w:tcPr>
            <w:tcW w:w="979" w:type="dxa"/>
            <w:shd w:val="clear" w:color="auto" w:fill="BDD7EE"/>
            <w:vAlign w:val="center"/>
          </w:tcPr>
          <w:p w14:paraId="4EDB2FD4" w14:textId="77777777" w:rsidR="006054AA" w:rsidRDefault="001F7667">
            <w:pPr>
              <w:pStyle w:val="P68B1DB1-Normal33"/>
              <w:jc w:val="center"/>
              <w:rPr>
                <w:noProof/>
              </w:rPr>
            </w:pPr>
            <w:r>
              <w:rPr>
                <w:noProof/>
              </w:rPr>
              <w:t>Тримесечие</w:t>
            </w:r>
          </w:p>
        </w:tc>
        <w:tc>
          <w:tcPr>
            <w:tcW w:w="689" w:type="dxa"/>
            <w:shd w:val="clear" w:color="auto" w:fill="BDD7EE"/>
            <w:vAlign w:val="center"/>
          </w:tcPr>
          <w:p w14:paraId="49C6B959" w14:textId="77777777" w:rsidR="006054AA" w:rsidRDefault="001F7667">
            <w:pPr>
              <w:pStyle w:val="P68B1DB1-Normal33"/>
              <w:jc w:val="center"/>
              <w:rPr>
                <w:noProof/>
              </w:rPr>
            </w:pPr>
            <w:r>
              <w:rPr>
                <w:noProof/>
              </w:rPr>
              <w:t>Година</w:t>
            </w:r>
          </w:p>
        </w:tc>
        <w:tc>
          <w:tcPr>
            <w:tcW w:w="2982" w:type="dxa"/>
            <w:vMerge/>
            <w:vAlign w:val="center"/>
          </w:tcPr>
          <w:p w14:paraId="67C1634C" w14:textId="77777777" w:rsidR="006054AA" w:rsidRDefault="006054AA">
            <w:pPr>
              <w:rPr>
                <w:rFonts w:ascii="Arial Narrow" w:hAnsi="Arial Narrow"/>
                <w:b/>
                <w:noProof/>
                <w:color w:val="000000"/>
                <w:sz w:val="20"/>
              </w:rPr>
            </w:pPr>
          </w:p>
        </w:tc>
      </w:tr>
      <w:tr w:rsidR="006054AA" w14:paraId="7FF01C1E" w14:textId="77777777">
        <w:trPr>
          <w:trHeight w:val="1965"/>
          <w:jc w:val="center"/>
        </w:trPr>
        <w:tc>
          <w:tcPr>
            <w:tcW w:w="1254" w:type="dxa"/>
            <w:shd w:val="clear" w:color="auto" w:fill="C6EFCE"/>
            <w:vAlign w:val="center"/>
            <w:hideMark/>
          </w:tcPr>
          <w:p w14:paraId="27522128" w14:textId="77777777" w:rsidR="006054AA" w:rsidRDefault="001F7667">
            <w:pPr>
              <w:pStyle w:val="P68B1DB1-Normal11"/>
              <w:jc w:val="center"/>
              <w:rPr>
                <w:noProof/>
              </w:rPr>
            </w:pPr>
            <w:r>
              <w:rPr>
                <w:noProof/>
              </w:rPr>
              <w:t>M5C1—17</w:t>
            </w:r>
          </w:p>
        </w:tc>
        <w:tc>
          <w:tcPr>
            <w:tcW w:w="1530" w:type="dxa"/>
            <w:shd w:val="clear" w:color="auto" w:fill="C6EFCE"/>
            <w:vAlign w:val="center"/>
            <w:hideMark/>
          </w:tcPr>
          <w:p w14:paraId="14CEC065" w14:textId="77777777" w:rsidR="006054AA" w:rsidRDefault="001F7667">
            <w:pPr>
              <w:pStyle w:val="P68B1DB1-Normal11"/>
              <w:jc w:val="center"/>
              <w:rPr>
                <w:noProof/>
              </w:rPr>
            </w:pPr>
            <w:r>
              <w:rPr>
                <w:noProof/>
              </w:rPr>
              <w:t>Инвестиция 5 — Създаване на женски предприятия</w:t>
            </w:r>
          </w:p>
        </w:tc>
        <w:tc>
          <w:tcPr>
            <w:tcW w:w="1179" w:type="dxa"/>
            <w:shd w:val="clear" w:color="auto" w:fill="C6EFCE"/>
            <w:vAlign w:val="center"/>
            <w:hideMark/>
          </w:tcPr>
          <w:p w14:paraId="5AB79EE5" w14:textId="77777777" w:rsidR="006054AA" w:rsidRDefault="001F7667">
            <w:pPr>
              <w:pStyle w:val="P68B1DB1-Normal11"/>
              <w:jc w:val="center"/>
              <w:rPr>
                <w:noProof/>
              </w:rPr>
            </w:pPr>
            <w:r>
              <w:rPr>
                <w:noProof/>
              </w:rPr>
              <w:t>Ключов етап</w:t>
            </w:r>
          </w:p>
        </w:tc>
        <w:tc>
          <w:tcPr>
            <w:tcW w:w="1802" w:type="dxa"/>
            <w:shd w:val="clear" w:color="auto" w:fill="C6EFCE"/>
            <w:vAlign w:val="center"/>
            <w:hideMark/>
          </w:tcPr>
          <w:p w14:paraId="5157A23A" w14:textId="77777777" w:rsidR="006054AA" w:rsidRDefault="001F7667">
            <w:pPr>
              <w:pStyle w:val="P68B1DB1-Normal11"/>
              <w:jc w:val="center"/>
              <w:rPr>
                <w:noProof/>
              </w:rPr>
            </w:pPr>
            <w:r>
              <w:rPr>
                <w:noProof/>
              </w:rPr>
              <w:t>Приет е Фондът за подкрепа на предприемачеството сред жените</w:t>
            </w:r>
          </w:p>
        </w:tc>
        <w:tc>
          <w:tcPr>
            <w:tcW w:w="1670" w:type="dxa"/>
            <w:shd w:val="clear" w:color="auto" w:fill="C6EFCE"/>
            <w:vAlign w:val="center"/>
            <w:hideMark/>
          </w:tcPr>
          <w:p w14:paraId="29F763F0" w14:textId="77777777" w:rsidR="006054AA" w:rsidRDefault="001F7667">
            <w:pPr>
              <w:pStyle w:val="P68B1DB1-Normal11"/>
              <w:jc w:val="center"/>
              <w:rPr>
                <w:noProof/>
              </w:rPr>
            </w:pPr>
            <w:r>
              <w:rPr>
                <w:noProof/>
              </w:rPr>
              <w:t>Одобрява се министерско постановление за създаването на „Fondo Impresa Donna“</w:t>
            </w:r>
          </w:p>
        </w:tc>
        <w:tc>
          <w:tcPr>
            <w:tcW w:w="1037" w:type="dxa"/>
            <w:shd w:val="clear" w:color="auto" w:fill="C6EFCE"/>
            <w:vAlign w:val="center"/>
            <w:hideMark/>
          </w:tcPr>
          <w:p w14:paraId="12C1B200" w14:textId="77777777" w:rsidR="006054AA" w:rsidRDefault="001F7667">
            <w:pPr>
              <w:pStyle w:val="P68B1DB1-Normal11"/>
              <w:jc w:val="center"/>
              <w:rPr>
                <w:noProof/>
              </w:rPr>
            </w:pPr>
            <w:r>
              <w:rPr>
                <w:noProof/>
              </w:rPr>
              <w:t>НЯМА</w:t>
            </w:r>
          </w:p>
        </w:tc>
        <w:tc>
          <w:tcPr>
            <w:tcW w:w="999" w:type="dxa"/>
            <w:shd w:val="clear" w:color="auto" w:fill="C6EFCE"/>
            <w:vAlign w:val="center"/>
            <w:hideMark/>
          </w:tcPr>
          <w:p w14:paraId="2BD66C3D" w14:textId="77777777" w:rsidR="006054AA" w:rsidRDefault="001F7667">
            <w:pPr>
              <w:pStyle w:val="P68B1DB1-Normal11"/>
              <w:jc w:val="center"/>
              <w:rPr>
                <w:noProof/>
              </w:rPr>
            </w:pPr>
            <w:r>
              <w:rPr>
                <w:noProof/>
              </w:rPr>
              <w:t>НЯМА</w:t>
            </w:r>
          </w:p>
        </w:tc>
        <w:tc>
          <w:tcPr>
            <w:tcW w:w="1189" w:type="dxa"/>
            <w:shd w:val="clear" w:color="auto" w:fill="C6EFCE"/>
            <w:vAlign w:val="center"/>
            <w:hideMark/>
          </w:tcPr>
          <w:p w14:paraId="5C032983" w14:textId="77777777" w:rsidR="006054AA" w:rsidRDefault="001F7667">
            <w:pPr>
              <w:pStyle w:val="P68B1DB1-Normal11"/>
              <w:jc w:val="center"/>
              <w:rPr>
                <w:noProof/>
              </w:rPr>
            </w:pPr>
            <w:r>
              <w:rPr>
                <w:noProof/>
              </w:rPr>
              <w:t>НЯМА</w:t>
            </w:r>
          </w:p>
        </w:tc>
        <w:tc>
          <w:tcPr>
            <w:tcW w:w="979" w:type="dxa"/>
            <w:shd w:val="clear" w:color="auto" w:fill="C6EFCE"/>
            <w:vAlign w:val="center"/>
            <w:hideMark/>
          </w:tcPr>
          <w:p w14:paraId="005C8021" w14:textId="77777777" w:rsidR="006054AA" w:rsidRDefault="001F7667">
            <w:pPr>
              <w:pStyle w:val="P68B1DB1-Normal11"/>
              <w:jc w:val="center"/>
              <w:rPr>
                <w:noProof/>
              </w:rPr>
            </w:pPr>
            <w:r>
              <w:rPr>
                <w:noProof/>
              </w:rPr>
              <w:t>Т3 Г.</w:t>
            </w:r>
          </w:p>
        </w:tc>
        <w:tc>
          <w:tcPr>
            <w:tcW w:w="689" w:type="dxa"/>
            <w:shd w:val="clear" w:color="auto" w:fill="C6EFCE"/>
            <w:vAlign w:val="center"/>
            <w:hideMark/>
          </w:tcPr>
          <w:p w14:paraId="77AC16ED" w14:textId="77777777" w:rsidR="006054AA" w:rsidRDefault="001F7667">
            <w:pPr>
              <w:pStyle w:val="P68B1DB1-Normal11"/>
              <w:jc w:val="center"/>
              <w:rPr>
                <w:noProof/>
              </w:rPr>
            </w:pPr>
            <w:r>
              <w:rPr>
                <w:noProof/>
              </w:rPr>
              <w:t>2021</w:t>
            </w:r>
          </w:p>
        </w:tc>
        <w:tc>
          <w:tcPr>
            <w:tcW w:w="2982" w:type="dxa"/>
            <w:shd w:val="clear" w:color="auto" w:fill="C6EFCE"/>
            <w:vAlign w:val="center"/>
            <w:hideMark/>
          </w:tcPr>
          <w:p w14:paraId="1FF870FF" w14:textId="77777777" w:rsidR="006054AA" w:rsidRDefault="001F7667">
            <w:pPr>
              <w:pStyle w:val="P68B1DB1-Normal11"/>
              <w:rPr>
                <w:noProof/>
              </w:rPr>
            </w:pPr>
            <w:r>
              <w:rPr>
                <w:noProof/>
              </w:rPr>
              <w:t>Фондът за подкрепа на предприемачеството сред жените се приема с министерско постановление, с което се установява набор от критерии за допустимост в съответствие с целите на МВУ, включително принципа за ненанасяне на значителни вреди и подписването на споразумението за финансиране и оперативните споразумения с финансовия (те) посредник (и).</w:t>
            </w:r>
          </w:p>
          <w:p w14:paraId="1913A1E8" w14:textId="77777777" w:rsidR="006054AA" w:rsidRDefault="006054AA">
            <w:pPr>
              <w:rPr>
                <w:rFonts w:ascii="Arial Narrow" w:hAnsi="Arial Narrow"/>
                <w:noProof/>
                <w:color w:val="006100"/>
                <w:sz w:val="20"/>
              </w:rPr>
            </w:pPr>
          </w:p>
          <w:p w14:paraId="21370EC2" w14:textId="77777777" w:rsidR="006054AA" w:rsidRDefault="001F7667">
            <w:pPr>
              <w:pStyle w:val="P68B1DB1-Normal11"/>
              <w:rPr>
                <w:noProof/>
              </w:rPr>
            </w:pPr>
            <w:r>
              <w:rPr>
                <w:noProof/>
              </w:rPr>
              <w:t>Тези фондове представляват „Fondo Impresa Donna“, който прилага специалната мярка за подкрепа на предприемачеството сред жените. Мерките за прилагане се съгласуват предварително от Министерството на икономическото развитие и отдела за равни възможности към PCM, които имат за цел:</w:t>
            </w:r>
          </w:p>
          <w:p w14:paraId="583DFB45" w14:textId="77777777" w:rsidR="006054AA" w:rsidRDefault="001F7667">
            <w:pPr>
              <w:pStyle w:val="P68B1DB1-Normal11"/>
              <w:rPr>
                <w:noProof/>
              </w:rPr>
            </w:pPr>
            <w:r>
              <w:rPr>
                <w:noProof/>
              </w:rPr>
              <w:t>— засилване на съществуващите мерки, които вече се управляват от вътрешни органи на Министерството на икономическото развитие (като NITO-ON, Smart), чрез вливане на капитал, което е запазено само за женски предприятия;</w:t>
            </w:r>
          </w:p>
          <w:p w14:paraId="5CDD7B41" w14:textId="3204B780" w:rsidR="006054AA" w:rsidRDefault="001F7667">
            <w:pPr>
              <w:pStyle w:val="P68B1DB1-Normal11"/>
              <w:rPr>
                <w:noProof/>
              </w:rPr>
            </w:pPr>
            <w:r>
              <w:rPr>
                <w:noProof/>
              </w:rPr>
              <w:t>— предвиждане на допълнителни средства за Фонда за предприемачество сред жените, създаден със Закона за бюджета за 2021 г. (от първото тримесечие на 3 2022 г.);</w:t>
            </w:r>
          </w:p>
          <w:p w14:paraId="37CE49C0" w14:textId="77777777" w:rsidR="006054AA" w:rsidRDefault="001F7667">
            <w:pPr>
              <w:pStyle w:val="P68B1DB1-Normal11"/>
              <w:rPr>
                <w:noProof/>
              </w:rPr>
            </w:pPr>
            <w:r>
              <w:rPr>
                <w:noProof/>
              </w:rPr>
              <w:t>разработване на съпътстващи мерки, мониторинг и комуникационни кампании. Отдел „Равни възможности“ провежда многогодишна информационна кампания за насърчаване на предприемачеството сред жените, за дейности за професионално ориентиране на жените от всяка възраст и студенти в университетите по предмети и професии, в които жените са по-слабо представени, както и за създаване на комуникационна платформа.</w:t>
            </w:r>
          </w:p>
        </w:tc>
      </w:tr>
      <w:tr w:rsidR="006054AA" w14:paraId="0C11C86A" w14:textId="77777777">
        <w:trPr>
          <w:trHeight w:val="845"/>
          <w:jc w:val="center"/>
        </w:trPr>
        <w:tc>
          <w:tcPr>
            <w:tcW w:w="1254" w:type="dxa"/>
            <w:shd w:val="clear" w:color="auto" w:fill="C6EFCE"/>
            <w:vAlign w:val="center"/>
            <w:hideMark/>
          </w:tcPr>
          <w:p w14:paraId="3973B524" w14:textId="77777777" w:rsidR="006054AA" w:rsidRDefault="001F7667">
            <w:pPr>
              <w:pStyle w:val="P68B1DB1-Normal11"/>
              <w:jc w:val="center"/>
              <w:rPr>
                <w:noProof/>
              </w:rPr>
            </w:pPr>
            <w:r>
              <w:rPr>
                <w:noProof/>
              </w:rPr>
              <w:t>M5C1—18</w:t>
            </w:r>
          </w:p>
        </w:tc>
        <w:tc>
          <w:tcPr>
            <w:tcW w:w="1530" w:type="dxa"/>
            <w:shd w:val="clear" w:color="auto" w:fill="C6EFCE"/>
            <w:vAlign w:val="center"/>
            <w:hideMark/>
          </w:tcPr>
          <w:p w14:paraId="26F904DD" w14:textId="77777777" w:rsidR="006054AA" w:rsidRDefault="001F7667">
            <w:pPr>
              <w:pStyle w:val="P68B1DB1-Normal11"/>
              <w:jc w:val="center"/>
              <w:rPr>
                <w:noProof/>
              </w:rPr>
            </w:pPr>
            <w:r>
              <w:rPr>
                <w:noProof/>
              </w:rPr>
              <w:t>Инвестиция 5 — Създаване на женски предприятия</w:t>
            </w:r>
          </w:p>
        </w:tc>
        <w:tc>
          <w:tcPr>
            <w:tcW w:w="1179" w:type="dxa"/>
            <w:shd w:val="clear" w:color="auto" w:fill="C6EFCE"/>
            <w:vAlign w:val="center"/>
            <w:hideMark/>
          </w:tcPr>
          <w:p w14:paraId="3A3C6382" w14:textId="77777777" w:rsidR="006054AA" w:rsidRDefault="001F7667">
            <w:pPr>
              <w:pStyle w:val="P68B1DB1-Normal11"/>
              <w:jc w:val="center"/>
              <w:rPr>
                <w:noProof/>
              </w:rPr>
            </w:pPr>
            <w:r>
              <w:rPr>
                <w:noProof/>
              </w:rPr>
              <w:t>Целеви</w:t>
            </w:r>
          </w:p>
        </w:tc>
        <w:tc>
          <w:tcPr>
            <w:tcW w:w="1802" w:type="dxa"/>
            <w:shd w:val="clear" w:color="auto" w:fill="C6EFCE"/>
            <w:vAlign w:val="center"/>
            <w:hideMark/>
          </w:tcPr>
          <w:p w14:paraId="39C2482C" w14:textId="77777777" w:rsidR="006054AA" w:rsidRDefault="001F7667">
            <w:pPr>
              <w:pStyle w:val="P68B1DB1-Normal11"/>
              <w:jc w:val="center"/>
              <w:rPr>
                <w:noProof/>
              </w:rPr>
            </w:pPr>
            <w:r>
              <w:rPr>
                <w:noProof/>
              </w:rPr>
              <w:t xml:space="preserve"> Поето задължение за финансова подкрепа за предприятията </w:t>
            </w:r>
          </w:p>
        </w:tc>
        <w:tc>
          <w:tcPr>
            <w:tcW w:w="1670" w:type="dxa"/>
            <w:shd w:val="clear" w:color="auto" w:fill="C6EFCE"/>
            <w:vAlign w:val="center"/>
            <w:hideMark/>
          </w:tcPr>
          <w:p w14:paraId="6D578092" w14:textId="77777777" w:rsidR="006054AA" w:rsidRDefault="001F7667">
            <w:pPr>
              <w:pStyle w:val="P68B1DB1-Normal11"/>
              <w:jc w:val="center"/>
              <w:rPr>
                <w:noProof/>
              </w:rPr>
            </w:pPr>
            <w:r>
              <w:rPr>
                <w:noProof/>
              </w:rPr>
              <w:t>НЯМА</w:t>
            </w:r>
          </w:p>
        </w:tc>
        <w:tc>
          <w:tcPr>
            <w:tcW w:w="1037" w:type="dxa"/>
            <w:shd w:val="clear" w:color="auto" w:fill="C6EFCE"/>
            <w:vAlign w:val="center"/>
            <w:hideMark/>
          </w:tcPr>
          <w:p w14:paraId="50EC50E8" w14:textId="77777777" w:rsidR="006054AA" w:rsidRDefault="001F7667">
            <w:pPr>
              <w:pStyle w:val="P68B1DB1-Normal11"/>
              <w:jc w:val="center"/>
              <w:rPr>
                <w:noProof/>
              </w:rPr>
            </w:pPr>
            <w:r>
              <w:rPr>
                <w:noProof/>
              </w:rPr>
              <w:t>Брой</w:t>
            </w:r>
          </w:p>
        </w:tc>
        <w:tc>
          <w:tcPr>
            <w:tcW w:w="999" w:type="dxa"/>
            <w:shd w:val="clear" w:color="auto" w:fill="C6EFCE"/>
            <w:vAlign w:val="center"/>
            <w:hideMark/>
          </w:tcPr>
          <w:p w14:paraId="14E8B577" w14:textId="77777777" w:rsidR="006054AA" w:rsidRDefault="001F7667">
            <w:pPr>
              <w:pStyle w:val="P68B1DB1-Normal11"/>
              <w:jc w:val="center"/>
              <w:rPr>
                <w:noProof/>
              </w:rPr>
            </w:pPr>
            <w:r>
              <w:rPr>
                <w:noProof/>
              </w:rPr>
              <w:t>0</w:t>
            </w:r>
          </w:p>
        </w:tc>
        <w:tc>
          <w:tcPr>
            <w:tcW w:w="1189" w:type="dxa"/>
            <w:shd w:val="clear" w:color="auto" w:fill="C6EFCE"/>
            <w:vAlign w:val="center"/>
            <w:hideMark/>
          </w:tcPr>
          <w:p w14:paraId="3E866043" w14:textId="77777777" w:rsidR="006054AA" w:rsidRDefault="001F7667">
            <w:pPr>
              <w:pStyle w:val="P68B1DB1-Normal11"/>
              <w:jc w:val="center"/>
              <w:rPr>
                <w:noProof/>
              </w:rPr>
            </w:pPr>
            <w:r>
              <w:rPr>
                <w:noProof/>
              </w:rPr>
              <w:t>700</w:t>
            </w:r>
          </w:p>
        </w:tc>
        <w:tc>
          <w:tcPr>
            <w:tcW w:w="979" w:type="dxa"/>
            <w:shd w:val="clear" w:color="auto" w:fill="C6EFCE"/>
            <w:vAlign w:val="center"/>
            <w:hideMark/>
          </w:tcPr>
          <w:p w14:paraId="4427AF80" w14:textId="77777777" w:rsidR="006054AA" w:rsidRDefault="001F7667">
            <w:pPr>
              <w:pStyle w:val="P68B1DB1-Normal11"/>
              <w:jc w:val="center"/>
              <w:rPr>
                <w:noProof/>
              </w:rPr>
            </w:pPr>
            <w:r>
              <w:rPr>
                <w:noProof/>
              </w:rPr>
              <w:t>Т2 Г.</w:t>
            </w:r>
          </w:p>
        </w:tc>
        <w:tc>
          <w:tcPr>
            <w:tcW w:w="689" w:type="dxa"/>
            <w:shd w:val="clear" w:color="auto" w:fill="C6EFCE"/>
            <w:vAlign w:val="center"/>
            <w:hideMark/>
          </w:tcPr>
          <w:p w14:paraId="41848E14" w14:textId="77777777" w:rsidR="006054AA" w:rsidRDefault="001F7667">
            <w:pPr>
              <w:pStyle w:val="P68B1DB1-Normal11"/>
              <w:jc w:val="center"/>
              <w:rPr>
                <w:noProof/>
              </w:rPr>
            </w:pPr>
            <w:r>
              <w:rPr>
                <w:noProof/>
              </w:rPr>
              <w:t>2023</w:t>
            </w:r>
          </w:p>
        </w:tc>
        <w:tc>
          <w:tcPr>
            <w:tcW w:w="2982" w:type="dxa"/>
            <w:shd w:val="clear" w:color="auto" w:fill="C6EFCE"/>
            <w:vAlign w:val="center"/>
            <w:hideMark/>
          </w:tcPr>
          <w:p w14:paraId="154B612C" w14:textId="77777777" w:rsidR="006054AA" w:rsidRDefault="001F7667">
            <w:pPr>
              <w:pStyle w:val="P68B1DB1-Normal11"/>
              <w:rPr>
                <w:noProof/>
              </w:rPr>
            </w:pPr>
            <w:r>
              <w:rPr>
                <w:noProof/>
              </w:rPr>
              <w:t xml:space="preserve">Беше поето задължение за финансова подкрепа за поне 700 допълнителни предприятия в сравнение с базовия сценарий. </w:t>
            </w:r>
          </w:p>
          <w:p w14:paraId="07DB888A" w14:textId="77777777" w:rsidR="006054AA" w:rsidRDefault="001F7667">
            <w:pPr>
              <w:pStyle w:val="P68B1DB1-Normal11"/>
              <w:rPr>
                <w:noProof/>
              </w:rPr>
            </w:pPr>
            <w:r>
              <w:rPr>
                <w:noProof/>
              </w:rPr>
              <w:t>Прилагането на подкрепата за предприемачеството сред жените се осъществява чрез вече действащи инструменти (NITO-ON, Smart σ Start) и новия фонд, създаден със Закона за бюджета за 2021 г. (женски предприятия, подпомагани до ноември 2020 г. от съществуващите финансови инструменти като базов сценарий).</w:t>
            </w:r>
          </w:p>
        </w:tc>
      </w:tr>
      <w:tr w:rsidR="006054AA" w14:paraId="632B0D98" w14:textId="77777777">
        <w:trPr>
          <w:trHeight w:val="703"/>
          <w:jc w:val="center"/>
        </w:trPr>
        <w:tc>
          <w:tcPr>
            <w:tcW w:w="1254" w:type="dxa"/>
            <w:shd w:val="clear" w:color="auto" w:fill="C6EFCE"/>
            <w:vAlign w:val="center"/>
            <w:hideMark/>
          </w:tcPr>
          <w:p w14:paraId="2142396A" w14:textId="77777777" w:rsidR="006054AA" w:rsidRDefault="001F7667">
            <w:pPr>
              <w:pStyle w:val="P68B1DB1-Normal11"/>
              <w:jc w:val="center"/>
              <w:rPr>
                <w:noProof/>
              </w:rPr>
            </w:pPr>
            <w:r>
              <w:rPr>
                <w:noProof/>
              </w:rPr>
              <w:t>M5C1—19</w:t>
            </w:r>
          </w:p>
        </w:tc>
        <w:tc>
          <w:tcPr>
            <w:tcW w:w="1530" w:type="dxa"/>
            <w:shd w:val="clear" w:color="auto" w:fill="C6EFCE"/>
            <w:vAlign w:val="center"/>
            <w:hideMark/>
          </w:tcPr>
          <w:p w14:paraId="04A1661D" w14:textId="77777777" w:rsidR="006054AA" w:rsidRDefault="001F7667">
            <w:pPr>
              <w:pStyle w:val="P68B1DB1-Normal11"/>
              <w:jc w:val="center"/>
              <w:rPr>
                <w:noProof/>
              </w:rPr>
            </w:pPr>
            <w:r>
              <w:rPr>
                <w:noProof/>
              </w:rPr>
              <w:t>Инвестиция 5 — Създаване на женски предприятия</w:t>
            </w:r>
          </w:p>
        </w:tc>
        <w:tc>
          <w:tcPr>
            <w:tcW w:w="1179" w:type="dxa"/>
            <w:shd w:val="clear" w:color="auto" w:fill="C6EFCE"/>
            <w:vAlign w:val="center"/>
            <w:hideMark/>
          </w:tcPr>
          <w:p w14:paraId="3ED70867" w14:textId="77777777" w:rsidR="006054AA" w:rsidRDefault="001F7667">
            <w:pPr>
              <w:pStyle w:val="P68B1DB1-Normal11"/>
              <w:jc w:val="center"/>
              <w:rPr>
                <w:noProof/>
              </w:rPr>
            </w:pPr>
            <w:r>
              <w:rPr>
                <w:noProof/>
              </w:rPr>
              <w:t>Целеви</w:t>
            </w:r>
          </w:p>
        </w:tc>
        <w:tc>
          <w:tcPr>
            <w:tcW w:w="1802" w:type="dxa"/>
            <w:shd w:val="clear" w:color="auto" w:fill="C6EFCE"/>
            <w:vAlign w:val="center"/>
            <w:hideMark/>
          </w:tcPr>
          <w:p w14:paraId="5A6A3527" w14:textId="77777777" w:rsidR="006054AA" w:rsidRDefault="001F7667">
            <w:pPr>
              <w:pStyle w:val="P68B1DB1-Normal11"/>
              <w:jc w:val="center"/>
              <w:rPr>
                <w:noProof/>
              </w:rPr>
            </w:pPr>
            <w:r>
              <w:rPr>
                <w:noProof/>
              </w:rPr>
              <w:t>Предприятията, определени в съответната инвестиционна политика, са получили финансова подкрепа</w:t>
            </w:r>
          </w:p>
        </w:tc>
        <w:tc>
          <w:tcPr>
            <w:tcW w:w="1670" w:type="dxa"/>
            <w:shd w:val="clear" w:color="auto" w:fill="C6EFCE"/>
            <w:vAlign w:val="center"/>
            <w:hideMark/>
          </w:tcPr>
          <w:p w14:paraId="3785FBED" w14:textId="77777777" w:rsidR="006054AA" w:rsidRDefault="001F7667">
            <w:pPr>
              <w:pStyle w:val="P68B1DB1-Normal11"/>
              <w:jc w:val="center"/>
              <w:rPr>
                <w:noProof/>
              </w:rPr>
            </w:pPr>
            <w:r>
              <w:rPr>
                <w:noProof/>
              </w:rPr>
              <w:t>НЯМА</w:t>
            </w:r>
          </w:p>
        </w:tc>
        <w:tc>
          <w:tcPr>
            <w:tcW w:w="1037" w:type="dxa"/>
            <w:shd w:val="clear" w:color="auto" w:fill="C6EFCE"/>
            <w:vAlign w:val="center"/>
            <w:hideMark/>
          </w:tcPr>
          <w:p w14:paraId="2A1E7603" w14:textId="77777777" w:rsidR="006054AA" w:rsidRDefault="001F7667">
            <w:pPr>
              <w:pStyle w:val="P68B1DB1-Normal11"/>
              <w:jc w:val="center"/>
              <w:rPr>
                <w:noProof/>
              </w:rPr>
            </w:pPr>
            <w:r>
              <w:rPr>
                <w:noProof/>
              </w:rPr>
              <w:t>Брой</w:t>
            </w:r>
          </w:p>
        </w:tc>
        <w:tc>
          <w:tcPr>
            <w:tcW w:w="999" w:type="dxa"/>
            <w:shd w:val="clear" w:color="auto" w:fill="C6EFCE"/>
            <w:vAlign w:val="center"/>
            <w:hideMark/>
          </w:tcPr>
          <w:p w14:paraId="6DA20C6E" w14:textId="77777777" w:rsidR="006054AA" w:rsidRDefault="001F7667">
            <w:pPr>
              <w:pStyle w:val="P68B1DB1-Normal11"/>
              <w:jc w:val="center"/>
              <w:rPr>
                <w:noProof/>
              </w:rPr>
            </w:pPr>
            <w:r>
              <w:rPr>
                <w:noProof/>
              </w:rPr>
              <w:t>0</w:t>
            </w:r>
          </w:p>
        </w:tc>
        <w:tc>
          <w:tcPr>
            <w:tcW w:w="1189" w:type="dxa"/>
            <w:shd w:val="clear" w:color="auto" w:fill="C6EFCE"/>
            <w:vAlign w:val="center"/>
            <w:hideMark/>
          </w:tcPr>
          <w:p w14:paraId="7CC3D2C4" w14:textId="4B88077F" w:rsidR="006054AA" w:rsidRDefault="001F7667">
            <w:pPr>
              <w:pStyle w:val="P68B1DB1-Normal11"/>
              <w:jc w:val="center"/>
              <w:rPr>
                <w:noProof/>
              </w:rPr>
            </w:pPr>
            <w:r>
              <w:rPr>
                <w:noProof/>
              </w:rPr>
              <w:t>2 400</w:t>
            </w:r>
          </w:p>
        </w:tc>
        <w:tc>
          <w:tcPr>
            <w:tcW w:w="979" w:type="dxa"/>
            <w:shd w:val="clear" w:color="auto" w:fill="C6EFCE"/>
            <w:vAlign w:val="center"/>
            <w:hideMark/>
          </w:tcPr>
          <w:p w14:paraId="7F799E50" w14:textId="77777777" w:rsidR="006054AA" w:rsidRDefault="001F7667">
            <w:pPr>
              <w:pStyle w:val="P68B1DB1-Normal11"/>
              <w:jc w:val="center"/>
              <w:rPr>
                <w:noProof/>
              </w:rPr>
            </w:pPr>
            <w:r>
              <w:rPr>
                <w:noProof/>
              </w:rPr>
              <w:t>Т2 Г.</w:t>
            </w:r>
          </w:p>
        </w:tc>
        <w:tc>
          <w:tcPr>
            <w:tcW w:w="689" w:type="dxa"/>
            <w:shd w:val="clear" w:color="auto" w:fill="C6EFCE"/>
            <w:vAlign w:val="center"/>
            <w:hideMark/>
          </w:tcPr>
          <w:p w14:paraId="77BB5FAA" w14:textId="77777777" w:rsidR="006054AA" w:rsidRDefault="001F7667">
            <w:pPr>
              <w:pStyle w:val="P68B1DB1-Normal11"/>
              <w:jc w:val="center"/>
              <w:rPr>
                <w:noProof/>
              </w:rPr>
            </w:pPr>
            <w:r>
              <w:rPr>
                <w:noProof/>
              </w:rPr>
              <w:t>2026</w:t>
            </w:r>
          </w:p>
        </w:tc>
        <w:tc>
          <w:tcPr>
            <w:tcW w:w="2982" w:type="dxa"/>
            <w:shd w:val="clear" w:color="auto" w:fill="C6EFCE"/>
            <w:vAlign w:val="center"/>
            <w:hideMark/>
          </w:tcPr>
          <w:p w14:paraId="6A51FFA8" w14:textId="1793DA60" w:rsidR="006054AA" w:rsidRDefault="001F7667">
            <w:pPr>
              <w:pStyle w:val="P68B1DB1-Normal11"/>
              <w:rPr>
                <w:noProof/>
              </w:rPr>
            </w:pPr>
            <w:r>
              <w:rPr>
                <w:noProof/>
              </w:rPr>
              <w:t>Финансовата подкрепа е изплатена на най-малко 2 400 предприятия, както е определено в съответната инвестиционна политика.</w:t>
            </w:r>
          </w:p>
          <w:p w14:paraId="66C9B675" w14:textId="77777777" w:rsidR="006054AA" w:rsidRDefault="006054AA">
            <w:pPr>
              <w:rPr>
                <w:rFonts w:ascii="Arial Narrow" w:hAnsi="Arial Narrow"/>
                <w:noProof/>
                <w:color w:val="006100"/>
                <w:sz w:val="20"/>
              </w:rPr>
            </w:pPr>
          </w:p>
          <w:p w14:paraId="63698BF4" w14:textId="77777777" w:rsidR="006054AA" w:rsidRDefault="001F7667">
            <w:pPr>
              <w:pStyle w:val="P68B1DB1-Normal11"/>
              <w:rPr>
                <w:noProof/>
              </w:rPr>
            </w:pPr>
            <w:r>
              <w:rPr>
                <w:noProof/>
              </w:rPr>
              <w:t>Прилагането на подкрепата за предприемачеството сред жените се осъществява чрез вече действащи инструменти (NITO-ON, Smart σ Start) и новия фонд, създаден със Закона за бюджета за 2021 г.</w:t>
            </w:r>
          </w:p>
        </w:tc>
      </w:tr>
    </w:tbl>
    <w:p w14:paraId="05B56706" w14:textId="77777777" w:rsidR="006054AA" w:rsidRDefault="006054AA">
      <w:pPr>
        <w:rPr>
          <w:rFonts w:ascii="Arial Narrow" w:hAnsi="Arial Narrow"/>
          <w:noProof/>
        </w:rPr>
      </w:pPr>
    </w:p>
    <w:p w14:paraId="1B3E0CC0" w14:textId="77777777" w:rsidR="006054AA" w:rsidRDefault="006054AA">
      <w:pPr>
        <w:tabs>
          <w:tab w:val="left" w:pos="4252"/>
        </w:tabs>
        <w:rPr>
          <w:i/>
          <w:noProof/>
        </w:rPr>
      </w:pPr>
    </w:p>
    <w:p w14:paraId="367BE4BD" w14:textId="77777777" w:rsidR="006054AA" w:rsidRDefault="006054AA">
      <w:pPr>
        <w:tabs>
          <w:tab w:val="left" w:pos="4252"/>
        </w:tabs>
        <w:rPr>
          <w:i/>
          <w:noProof/>
        </w:rPr>
        <w:sectPr w:rsidR="006054AA" w:rsidSect="000D3774">
          <w:headerReference w:type="even" r:id="rId296"/>
          <w:headerReference w:type="default" r:id="rId297"/>
          <w:footerReference w:type="even" r:id="rId298"/>
          <w:footerReference w:type="default" r:id="rId299"/>
          <w:headerReference w:type="first" r:id="rId300"/>
          <w:footerReference w:type="first" r:id="rId301"/>
          <w:pgSz w:w="16838" w:h="11906" w:orient="landscape" w:code="9"/>
          <w:pgMar w:top="1134" w:right="1134" w:bottom="1134" w:left="1134" w:header="567" w:footer="567" w:gutter="0"/>
          <w:cols w:space="720"/>
          <w:docGrid w:linePitch="360"/>
        </w:sectPr>
      </w:pPr>
    </w:p>
    <w:p w14:paraId="69C2BFEE" w14:textId="3F2335C4" w:rsidR="006054AA" w:rsidRDefault="001F7667">
      <w:pPr>
        <w:pStyle w:val="Heading2"/>
        <w:numPr>
          <w:ilvl w:val="0"/>
          <w:numId w:val="0"/>
        </w:numPr>
        <w:ind w:left="850" w:hanging="850"/>
        <w:rPr>
          <w:noProof/>
        </w:rPr>
      </w:pPr>
      <w:r>
        <w:rPr>
          <w:noProof/>
        </w:rPr>
        <w:t>М. МИСИЯ 5 КОМПОНЕНТ 2: Социални инфраструктури, семейства, общности и трети сектор</w:t>
      </w:r>
    </w:p>
    <w:p w14:paraId="05BBF2CA" w14:textId="77777777" w:rsidR="006054AA" w:rsidRDefault="001F7667">
      <w:pPr>
        <w:spacing w:before="120" w:after="120"/>
        <w:jc w:val="both"/>
        <w:rPr>
          <w:noProof/>
        </w:rPr>
      </w:pPr>
      <w:r>
        <w:rPr>
          <w:noProof/>
        </w:rPr>
        <w:t>Планираните реформи и инвестиции, включени в този компонент, са насочени към укрепване на устойчивостта чрез подкрепа за интеграцията и приобщаването на най-уязвимите, наред с индивидуалните, семейните и социалните измерения. Този компонент осигурява национална стратегия за активното приобщаване на уязвимите групи от населението. Целите на този компонент са: И) засилване на ролята на интегрираните социални услуги в подкрепа на семействата, малолетните и непълнолетните и подрастващите, за подкрепа на родителските умения и за защита на уязвимите семейства, както и на хората с увреждания, включително чрез подобряване на социалните инфраструктури, включващи третия сектор; II) подобряване на автономността на хората с увреждания чрез предоставяне на социални и здравни услуги в общността и по домовете и премахване на пречките пред достъпа до жилищно настаняване и възможности за работа; III) подобряване на приобщаването на хората в крайна маргинализация и лоши жилищни условия (напр. бездомни хора) чрез по-широко предлагане на съоръжения и услуги за временна помощ за настаняване, персонализирани пътища към автономност и лична устойчивост; IV) засилване на наличието на по-достъпни обществени и частни жилища и градско и териториално обновление; Развитие на капацитета за устойчивост на най-уязвимите чрез разпространение на спортната култура и създаване на спортни инфраструктури чрез създаването на градски паркове, в които спортните дейности могат да бъдат съчетани с развлекателни дейности в полза на общностите.</w:t>
      </w:r>
    </w:p>
    <w:p w14:paraId="2A566949" w14:textId="316D5ED6" w:rsidR="006054AA" w:rsidRDefault="001F7667">
      <w:pPr>
        <w:spacing w:before="120" w:after="120"/>
        <w:jc w:val="both"/>
        <w:rPr>
          <w:noProof/>
        </w:rPr>
      </w:pPr>
      <w:r>
        <w:rPr>
          <w:noProof/>
        </w:rPr>
        <w:t xml:space="preserve">Очаква се изпълнението на тези мерки да допринесе за преодоляване на предизвикателствата, обхванати от специфичните за всяка държава препоръки за 2 г. относно социалната политика за 2019 г., в които Италия се призовава да „гарантира, че [...] социалните политики са ефективно интегрирани и достигат по-специално до младите хора и уязвимите групи „и в специфичните за всяка държава препоръки за 2 г. за „осигуряване на адекватен (...) достъп до социална закрила“. </w:t>
      </w:r>
    </w:p>
    <w:p w14:paraId="5011E46B"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M.1. </w:t>
      </w:r>
      <w:r>
        <w:rPr>
          <w:noProof/>
        </w:rPr>
        <w:tab/>
      </w:r>
      <w:r>
        <w:rPr>
          <w:b/>
          <w:i w:val="0"/>
          <w:noProof/>
          <w:u w:val="single"/>
        </w:rPr>
        <w:t>Описание на реформите и инвестициите за безвъзмездна финансова подкрепа</w:t>
      </w:r>
    </w:p>
    <w:p w14:paraId="6F1C0412" w14:textId="77777777" w:rsidR="006054AA" w:rsidRDefault="001F7667">
      <w:pPr>
        <w:pStyle w:val="P68B1DB1-Normal2"/>
        <w:spacing w:before="120" w:after="120"/>
        <w:jc w:val="both"/>
        <w:rPr>
          <w:rFonts w:eastAsia="Calibri"/>
          <w:noProof/>
        </w:rPr>
      </w:pPr>
      <w:r>
        <w:rPr>
          <w:noProof/>
        </w:rPr>
        <w:t>Реформа 1 — Рамково законодателство за хората с увреждания</w:t>
      </w:r>
    </w:p>
    <w:p w14:paraId="280BE916" w14:textId="4B39121D" w:rsidR="006054AA" w:rsidRDefault="001F7667">
      <w:pPr>
        <w:spacing w:before="120" w:after="120"/>
        <w:jc w:val="both"/>
        <w:rPr>
          <w:rFonts w:eastAsia="Calibri"/>
          <w:noProof/>
        </w:rPr>
      </w:pPr>
      <w:r>
        <w:rPr>
          <w:noProof/>
        </w:rPr>
        <w:t xml:space="preserve">Основната цел на реформата е да се измени законодателството относно уврежданията и да се насърчи деинституционализацията (т.е. прехвърлянето от публични или частни институции към техните семейства или към домове в общността) и автономността на хората с увреждания. Това включва (I) укрепване на предлагането на социални услуги, (II) опростяване на достъпа до социални и здравни услуги, (III) реформи на оценките на уврежданията, (IV) насърчаване на проекти за независим живот, (V) насърчаване на работата на експертни екипи, които могат да подпомагат хората с увреждания с многостранни потребности. </w:t>
      </w:r>
    </w:p>
    <w:p w14:paraId="6BF9B493" w14:textId="77777777" w:rsidR="006054AA" w:rsidRDefault="001F7667">
      <w:pPr>
        <w:pStyle w:val="P68B1DB1-Normal2"/>
        <w:spacing w:before="120" w:after="120"/>
        <w:jc w:val="both"/>
        <w:rPr>
          <w:rFonts w:eastAsia="Calibri"/>
          <w:noProof/>
        </w:rPr>
      </w:pPr>
      <w:r>
        <w:rPr>
          <w:noProof/>
        </w:rPr>
        <w:t>Реформа 2 — Реформа за възрастните хора, които не са самодостатъчни</w:t>
      </w:r>
    </w:p>
    <w:p w14:paraId="15EE35AA" w14:textId="7C4662BF" w:rsidR="006054AA" w:rsidRDefault="001F7667">
      <w:pPr>
        <w:spacing w:before="120" w:after="120"/>
        <w:jc w:val="both"/>
        <w:rPr>
          <w:rFonts w:eastAsia="Calibri"/>
          <w:noProof/>
        </w:rPr>
      </w:pPr>
      <w:r>
        <w:rPr>
          <w:noProof/>
        </w:rPr>
        <w:t xml:space="preserve">Целта на тази мярка е да се реформират социалните услуги и да се подобрят условията на живот на възрастните хора, които не са самостоятелни. Тази реформа включва: I) опростяване на достъпа на възрастните хора до услуги чрез създаването на единни звена за социален и здравен достъп, II) определяне на начини за признаване на липсата на самодостатъчност въз основа на необходимостта от помощ, III) предоставяне на многоизмерна оценка, IV) определяне на индивидуализирани проекти, които насърчават деинституционализацията.  Тази реформа се очаква чрез конкретни интервенции, предвидени в плана, включени както в здравната мисия (M6), по отношение на проекти, които укрепват местните здравни услуги и домашните грижи, така и в този компонент, по-специално по отношение на инвестиция 1, интервенция II, насочена към деинституционализацията. </w:t>
      </w:r>
    </w:p>
    <w:p w14:paraId="6E8D6D68" w14:textId="77777777" w:rsidR="006054AA" w:rsidRDefault="001F7667">
      <w:pPr>
        <w:pStyle w:val="P68B1DB1-Normal2"/>
        <w:spacing w:before="120" w:after="120"/>
        <w:jc w:val="both"/>
        <w:rPr>
          <w:rFonts w:eastAsia="Calibri"/>
          <w:noProof/>
        </w:rPr>
      </w:pPr>
      <w:r>
        <w:rPr>
          <w:noProof/>
        </w:rPr>
        <w:t>Инвестиция 1 — Подкрепа за уязвимите лица и предотвратяване на институционализацията</w:t>
      </w:r>
    </w:p>
    <w:p w14:paraId="3AFFD943" w14:textId="28667A08" w:rsidR="006054AA" w:rsidRDefault="001F7667">
      <w:pPr>
        <w:spacing w:before="120" w:after="120"/>
        <w:jc w:val="both"/>
        <w:rPr>
          <w:rFonts w:eastAsia="Calibri"/>
          <w:noProof/>
        </w:rPr>
      </w:pPr>
      <w:r>
        <w:rPr>
          <w:noProof/>
        </w:rPr>
        <w:t xml:space="preserve">Целта на тази мярка е да се подкрепят уязвимите хора и да се предотврати институционализацията. Тази инвестиция включва следните интервенции: I) подкрепа за родителските умения и предотвратяване на уязвимостта на семействата и децата; II) подкрепа за самостоятелен живот и деинституционализация на възрастните хора; II) укрепване на социалните услуги по домовете, за да се гарантира преждевременното освобождаване от работа и да се предотврати хоспитализацията; III) укрепване на социалните услуги и предотвратяване на професионалното изчерпване сред социалните работници. </w:t>
      </w:r>
    </w:p>
    <w:p w14:paraId="043EB06B" w14:textId="77777777" w:rsidR="006054AA" w:rsidRDefault="001F7667">
      <w:pPr>
        <w:pStyle w:val="P68B1DB1-Normal2"/>
        <w:spacing w:before="120" w:after="120"/>
        <w:jc w:val="both"/>
        <w:rPr>
          <w:rFonts w:eastAsia="Calibri"/>
          <w:noProof/>
        </w:rPr>
      </w:pPr>
      <w:r>
        <w:rPr>
          <w:noProof/>
        </w:rPr>
        <w:t>Инвестиция 2 — Самостоятелни модели за хората с увреждания</w:t>
      </w:r>
    </w:p>
    <w:p w14:paraId="22EE82C9" w14:textId="55F74C88" w:rsidR="006054AA" w:rsidRDefault="001F7667">
      <w:pPr>
        <w:spacing w:before="120" w:after="120"/>
        <w:jc w:val="both"/>
        <w:rPr>
          <w:rFonts w:eastAsia="Calibri"/>
          <w:noProof/>
        </w:rPr>
      </w:pPr>
      <w:r>
        <w:rPr>
          <w:noProof/>
        </w:rPr>
        <w:t xml:space="preserve">Целта на тази мярка е да се увеличи автономността на хората с увреждания. Целта на инвестицията е да се ускори процесът на деинституционализация чрез предоставяне на социални и здравни услуги в общността и по домовете, за да се подобри автономността на хората с увреждания. Мярката насърчава достъпа до жилищно настаняване и възможности за работа, включително нови възможности, предлагани от информационните технологии. </w:t>
      </w:r>
    </w:p>
    <w:p w14:paraId="331C21C7" w14:textId="77777777" w:rsidR="006054AA" w:rsidRDefault="001F7667">
      <w:pPr>
        <w:pStyle w:val="P68B1DB1-Normal2"/>
        <w:spacing w:before="120" w:after="120"/>
        <w:jc w:val="both"/>
        <w:rPr>
          <w:noProof/>
        </w:rPr>
      </w:pPr>
      <w:r>
        <w:rPr>
          <w:noProof/>
        </w:rPr>
        <w:t>Инвестиция 3 — Жилищни първи и пощенски станции</w:t>
      </w:r>
    </w:p>
    <w:p w14:paraId="28D2ABAB" w14:textId="7B1D313F" w:rsidR="006054AA" w:rsidRDefault="001F7667">
      <w:pPr>
        <w:spacing w:before="120" w:after="120"/>
        <w:jc w:val="both"/>
        <w:rPr>
          <w:rFonts w:eastAsia="Calibri"/>
          <w:noProof/>
        </w:rPr>
      </w:pPr>
      <w:r>
        <w:rPr>
          <w:noProof/>
        </w:rPr>
        <w:t>Целта на тази мярка е да се защити и подкрепи приобщаването на маргинализираните хора чрез жилищно настаняване на първа и пощенска станция. Въвеждането на подхода „жилищното настаняване на първо място“ означава, че общините предоставят апартаменти за отделни лица, малки групи или семейства до 24 месеца. В допълнение към това се активират персонализирани проекти за всяко отделно лице/семейство, за да се приложат програми за развитие на личностното израстване и да им се помогне да постигнат по-висока степен на автономност, включително като им се предостави обучение и други услуги, насочени към подобряване на тяхната пригодност за заетост. От друга страна, въвеждането на „пощенски станции“ означава създаването на център за обслужване и приобщаване на бездомни хора. Тези центрове предлагат, освен ограничен нощен прием, важни удобства, като например здравни услуги, кетъринг, погребване, културно посредничество, консултиране, професионална ориентация, правни консултации и разпространение на стоки, наред с другото.</w:t>
      </w:r>
    </w:p>
    <w:p w14:paraId="3510882D" w14:textId="77777777" w:rsidR="006054AA" w:rsidRDefault="001F7667">
      <w:pPr>
        <w:pStyle w:val="Heading3"/>
        <w:numPr>
          <w:ilvl w:val="0"/>
          <w:numId w:val="0"/>
        </w:numPr>
        <w:ind w:left="850" w:hanging="850"/>
        <w:rPr>
          <w:b/>
          <w:i w:val="0"/>
          <w:noProof/>
          <w:u w:val="single"/>
        </w:rPr>
      </w:pPr>
      <w:r>
        <w:rPr>
          <w:b/>
          <w:i w:val="0"/>
          <w:noProof/>
          <w:u w:val="single"/>
        </w:rPr>
        <w:t xml:space="preserve">M.2.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56450402" w14:textId="77777777" w:rsidR="006054AA" w:rsidRDefault="001F7667">
      <w:pPr>
        <w:pStyle w:val="P68B1DB1-Normal34"/>
        <w:spacing w:before="120" w:after="120"/>
        <w:ind w:left="709"/>
        <w:jc w:val="both"/>
        <w:rPr>
          <w:noProof/>
        </w:rPr>
      </w:pPr>
      <w:r>
        <w:rPr>
          <w:noProof/>
        </w:rPr>
        <w:t>.</w:t>
      </w:r>
    </w:p>
    <w:p w14:paraId="30B79C84" w14:textId="77777777" w:rsidR="006054AA" w:rsidRDefault="006054AA">
      <w:pPr>
        <w:spacing w:before="120" w:after="120"/>
        <w:ind w:left="709"/>
        <w:jc w:val="both"/>
        <w:rPr>
          <w:noProof/>
        </w:rPr>
        <w:sectPr w:rsidR="006054AA">
          <w:headerReference w:type="even" r:id="rId302"/>
          <w:headerReference w:type="default" r:id="rId303"/>
          <w:footerReference w:type="even" r:id="rId304"/>
          <w:footerReference w:type="default" r:id="rId305"/>
          <w:headerReference w:type="first" r:id="rId306"/>
          <w:footerReference w:type="first" r:id="rId307"/>
          <w:pgSz w:w="11907" w:h="16839"/>
          <w:pgMar w:top="1440" w:right="1440" w:bottom="1440" w:left="1440" w:header="567" w:footer="567" w:gutter="0"/>
          <w:cols w:space="720"/>
          <w:docGrid w:linePitch="360"/>
        </w:sectPr>
      </w:pPr>
    </w:p>
    <w:tbl>
      <w:tblPr>
        <w:tblW w:w="1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2058"/>
        <w:gridCol w:w="1322"/>
        <w:gridCol w:w="1705"/>
        <w:gridCol w:w="1525"/>
        <w:gridCol w:w="1474"/>
        <w:gridCol w:w="1092"/>
        <w:gridCol w:w="775"/>
        <w:gridCol w:w="1200"/>
        <w:gridCol w:w="811"/>
        <w:gridCol w:w="5046"/>
      </w:tblGrid>
      <w:tr w:rsidR="006054AA" w14:paraId="0AA52FA7" w14:textId="77777777">
        <w:trPr>
          <w:trHeight w:val="927"/>
          <w:tblHeader/>
          <w:jc w:val="center"/>
        </w:trPr>
        <w:tc>
          <w:tcPr>
            <w:tcW w:w="1648" w:type="dxa"/>
            <w:vMerge w:val="restart"/>
            <w:shd w:val="clear" w:color="auto" w:fill="BDD7EE"/>
            <w:vAlign w:val="center"/>
            <w:hideMark/>
          </w:tcPr>
          <w:p w14:paraId="0EFC3AFD" w14:textId="77777777" w:rsidR="006054AA" w:rsidRDefault="001F7667">
            <w:pPr>
              <w:pStyle w:val="P68B1DB1-Normal9"/>
              <w:jc w:val="center"/>
              <w:rPr>
                <w:noProof/>
              </w:rPr>
            </w:pPr>
            <w:r>
              <w:rPr>
                <w:noProof/>
              </w:rPr>
              <w:t>Пореден номер</w:t>
            </w:r>
          </w:p>
        </w:tc>
        <w:tc>
          <w:tcPr>
            <w:tcW w:w="1908" w:type="dxa"/>
            <w:vMerge w:val="restart"/>
            <w:shd w:val="clear" w:color="auto" w:fill="BDD7EE"/>
            <w:vAlign w:val="center"/>
            <w:hideMark/>
          </w:tcPr>
          <w:p w14:paraId="7D6FB6E0" w14:textId="77777777" w:rsidR="006054AA" w:rsidRDefault="001F7667">
            <w:pPr>
              <w:pStyle w:val="P68B1DB1-Normal9"/>
              <w:jc w:val="center"/>
              <w:rPr>
                <w:noProof/>
              </w:rPr>
            </w:pPr>
            <w:r>
              <w:rPr>
                <w:noProof/>
              </w:rPr>
              <w:t>Свързана мярка (реформа или инвестиции)</w:t>
            </w:r>
          </w:p>
        </w:tc>
        <w:tc>
          <w:tcPr>
            <w:tcW w:w="1322" w:type="dxa"/>
            <w:vMerge w:val="restart"/>
            <w:shd w:val="clear" w:color="auto" w:fill="BDD7EE"/>
            <w:vAlign w:val="center"/>
            <w:hideMark/>
          </w:tcPr>
          <w:p w14:paraId="41C7ADB4" w14:textId="77777777" w:rsidR="006054AA" w:rsidRDefault="001F7667">
            <w:pPr>
              <w:pStyle w:val="P68B1DB1-Normal9"/>
              <w:jc w:val="center"/>
              <w:rPr>
                <w:noProof/>
              </w:rPr>
            </w:pPr>
            <w:r>
              <w:rPr>
                <w:noProof/>
              </w:rPr>
              <w:t>Ключов етап/Цел</w:t>
            </w:r>
          </w:p>
        </w:tc>
        <w:tc>
          <w:tcPr>
            <w:tcW w:w="1395" w:type="dxa"/>
            <w:vMerge w:val="restart"/>
            <w:shd w:val="clear" w:color="auto" w:fill="BDD7EE"/>
            <w:vAlign w:val="center"/>
            <w:hideMark/>
          </w:tcPr>
          <w:p w14:paraId="245FB5D3" w14:textId="77777777" w:rsidR="006054AA" w:rsidRDefault="001F7667">
            <w:pPr>
              <w:pStyle w:val="P68B1DB1-Normal9"/>
              <w:jc w:val="center"/>
              <w:rPr>
                <w:noProof/>
              </w:rPr>
            </w:pPr>
            <w:r>
              <w:rPr>
                <w:noProof/>
              </w:rPr>
              <w:t>Име</w:t>
            </w:r>
          </w:p>
        </w:tc>
        <w:tc>
          <w:tcPr>
            <w:tcW w:w="1476" w:type="dxa"/>
            <w:vMerge w:val="restart"/>
            <w:shd w:val="clear" w:color="auto" w:fill="BDD7EE"/>
            <w:vAlign w:val="center"/>
            <w:hideMark/>
          </w:tcPr>
          <w:p w14:paraId="06CF148E" w14:textId="77777777" w:rsidR="006054AA" w:rsidRDefault="001F7667">
            <w:pPr>
              <w:pStyle w:val="P68B1DB1-Normal19"/>
              <w:jc w:val="center"/>
              <w:rPr>
                <w:b/>
                <w:noProof/>
              </w:rPr>
            </w:pPr>
            <w:r>
              <w:rPr>
                <w:b/>
                <w:noProof/>
              </w:rPr>
              <w:t>Качествени индикатори</w:t>
            </w:r>
            <w:r>
              <w:rPr>
                <w:noProof/>
              </w:rPr>
              <w:t xml:space="preserve"> </w:t>
            </w:r>
            <w:r>
              <w:rPr>
                <w:noProof/>
              </w:rPr>
              <w:br/>
            </w:r>
            <w:r>
              <w:rPr>
                <w:b/>
                <w:noProof/>
              </w:rPr>
              <w:t>(за ключовите етапи)</w:t>
            </w:r>
          </w:p>
        </w:tc>
        <w:tc>
          <w:tcPr>
            <w:tcW w:w="3341" w:type="dxa"/>
            <w:gridSpan w:val="3"/>
            <w:shd w:val="clear" w:color="auto" w:fill="BDD7EE"/>
            <w:vAlign w:val="center"/>
            <w:hideMark/>
          </w:tcPr>
          <w:p w14:paraId="51544834" w14:textId="77777777" w:rsidR="006054AA" w:rsidRDefault="001F7667">
            <w:pPr>
              <w:pStyle w:val="P68B1DB1-Normal19"/>
              <w:jc w:val="center"/>
              <w:rPr>
                <w:b/>
                <w:noProof/>
              </w:rPr>
            </w:pPr>
            <w:r>
              <w:rPr>
                <w:b/>
                <w:noProof/>
              </w:rPr>
              <w:t>Количествени индикатори</w:t>
            </w:r>
            <w:r>
              <w:rPr>
                <w:noProof/>
              </w:rPr>
              <w:t xml:space="preserve"> </w:t>
            </w:r>
            <w:r>
              <w:rPr>
                <w:noProof/>
              </w:rPr>
              <w:br/>
            </w:r>
            <w:r>
              <w:rPr>
                <w:b/>
                <w:noProof/>
              </w:rPr>
              <w:t>(за целите)</w:t>
            </w:r>
          </w:p>
        </w:tc>
        <w:tc>
          <w:tcPr>
            <w:tcW w:w="1833" w:type="dxa"/>
            <w:gridSpan w:val="2"/>
            <w:shd w:val="clear" w:color="auto" w:fill="BDD7EE"/>
            <w:vAlign w:val="center"/>
            <w:hideMark/>
          </w:tcPr>
          <w:p w14:paraId="2962CAB5" w14:textId="77777777" w:rsidR="006054AA" w:rsidRDefault="001F7667">
            <w:pPr>
              <w:pStyle w:val="P68B1DB1-Normal9"/>
              <w:jc w:val="center"/>
              <w:rPr>
                <w:noProof/>
              </w:rPr>
            </w:pPr>
            <w:r>
              <w:rPr>
                <w:noProof/>
              </w:rPr>
              <w:t>Примерен график за приключване</w:t>
            </w:r>
          </w:p>
        </w:tc>
        <w:tc>
          <w:tcPr>
            <w:tcW w:w="5046" w:type="dxa"/>
            <w:vMerge w:val="restart"/>
            <w:shd w:val="clear" w:color="auto" w:fill="BDD7EE"/>
            <w:vAlign w:val="center"/>
            <w:hideMark/>
          </w:tcPr>
          <w:p w14:paraId="4E075719" w14:textId="77777777" w:rsidR="006054AA" w:rsidRDefault="001F7667">
            <w:pPr>
              <w:pStyle w:val="P68B1DB1-Normal9"/>
              <w:jc w:val="center"/>
              <w:rPr>
                <w:noProof/>
              </w:rPr>
            </w:pPr>
            <w:r>
              <w:rPr>
                <w:noProof/>
              </w:rPr>
              <w:t>Описание на всеки ключов етап и цел</w:t>
            </w:r>
          </w:p>
        </w:tc>
      </w:tr>
      <w:tr w:rsidR="006054AA" w14:paraId="1B3ED9BC" w14:textId="77777777">
        <w:trPr>
          <w:trHeight w:val="654"/>
          <w:jc w:val="center"/>
        </w:trPr>
        <w:tc>
          <w:tcPr>
            <w:tcW w:w="1648" w:type="dxa"/>
            <w:vMerge/>
            <w:vAlign w:val="center"/>
            <w:hideMark/>
          </w:tcPr>
          <w:p w14:paraId="7E21DDC6" w14:textId="77777777" w:rsidR="006054AA" w:rsidRDefault="006054AA">
            <w:pPr>
              <w:jc w:val="center"/>
              <w:rPr>
                <w:rFonts w:ascii="Arial Narrow" w:hAnsi="Arial Narrow"/>
                <w:b/>
                <w:noProof/>
                <w:sz w:val="20"/>
              </w:rPr>
            </w:pPr>
          </w:p>
        </w:tc>
        <w:tc>
          <w:tcPr>
            <w:tcW w:w="1908" w:type="dxa"/>
            <w:vMerge/>
            <w:vAlign w:val="center"/>
            <w:hideMark/>
          </w:tcPr>
          <w:p w14:paraId="7445F966" w14:textId="77777777" w:rsidR="006054AA" w:rsidRDefault="006054AA">
            <w:pPr>
              <w:jc w:val="center"/>
              <w:rPr>
                <w:rFonts w:ascii="Arial Narrow" w:hAnsi="Arial Narrow"/>
                <w:b/>
                <w:noProof/>
                <w:sz w:val="20"/>
              </w:rPr>
            </w:pPr>
          </w:p>
        </w:tc>
        <w:tc>
          <w:tcPr>
            <w:tcW w:w="1322" w:type="dxa"/>
            <w:vMerge/>
            <w:vAlign w:val="center"/>
            <w:hideMark/>
          </w:tcPr>
          <w:p w14:paraId="3B7DC3A7" w14:textId="77777777" w:rsidR="006054AA" w:rsidRDefault="006054AA">
            <w:pPr>
              <w:jc w:val="center"/>
              <w:rPr>
                <w:rFonts w:ascii="Arial Narrow" w:hAnsi="Arial Narrow"/>
                <w:b/>
                <w:noProof/>
                <w:sz w:val="20"/>
              </w:rPr>
            </w:pPr>
          </w:p>
        </w:tc>
        <w:tc>
          <w:tcPr>
            <w:tcW w:w="1395" w:type="dxa"/>
            <w:vMerge/>
            <w:vAlign w:val="center"/>
            <w:hideMark/>
          </w:tcPr>
          <w:p w14:paraId="62C7B269" w14:textId="77777777" w:rsidR="006054AA" w:rsidRDefault="006054AA">
            <w:pPr>
              <w:jc w:val="center"/>
              <w:rPr>
                <w:rFonts w:ascii="Arial Narrow" w:hAnsi="Arial Narrow"/>
                <w:b/>
                <w:noProof/>
                <w:sz w:val="20"/>
              </w:rPr>
            </w:pPr>
          </w:p>
        </w:tc>
        <w:tc>
          <w:tcPr>
            <w:tcW w:w="1476" w:type="dxa"/>
            <w:vMerge/>
            <w:vAlign w:val="center"/>
            <w:hideMark/>
          </w:tcPr>
          <w:p w14:paraId="221450B2" w14:textId="77777777" w:rsidR="006054AA" w:rsidRDefault="006054AA">
            <w:pPr>
              <w:jc w:val="center"/>
              <w:rPr>
                <w:rFonts w:ascii="Arial Narrow" w:hAnsi="Arial Narrow"/>
                <w:b/>
                <w:noProof/>
                <w:sz w:val="20"/>
              </w:rPr>
            </w:pPr>
          </w:p>
        </w:tc>
        <w:tc>
          <w:tcPr>
            <w:tcW w:w="1474" w:type="dxa"/>
            <w:shd w:val="clear" w:color="auto" w:fill="BDD7EE"/>
            <w:vAlign w:val="center"/>
            <w:hideMark/>
          </w:tcPr>
          <w:p w14:paraId="00687B62" w14:textId="77777777" w:rsidR="006054AA" w:rsidRDefault="001F7667">
            <w:pPr>
              <w:pStyle w:val="P68B1DB1-Normal9"/>
              <w:jc w:val="center"/>
              <w:rPr>
                <w:noProof/>
              </w:rPr>
            </w:pPr>
            <w:r>
              <w:rPr>
                <w:noProof/>
              </w:rPr>
              <w:t>Единица мярка</w:t>
            </w:r>
          </w:p>
        </w:tc>
        <w:tc>
          <w:tcPr>
            <w:tcW w:w="1092" w:type="dxa"/>
            <w:shd w:val="clear" w:color="auto" w:fill="BDD7EE"/>
            <w:vAlign w:val="center"/>
            <w:hideMark/>
          </w:tcPr>
          <w:p w14:paraId="4352135A" w14:textId="77777777" w:rsidR="006054AA" w:rsidRDefault="001F7667">
            <w:pPr>
              <w:pStyle w:val="P68B1DB1-Normal9"/>
              <w:jc w:val="center"/>
              <w:rPr>
                <w:noProof/>
              </w:rPr>
            </w:pPr>
            <w:r>
              <w:rPr>
                <w:noProof/>
              </w:rPr>
              <w:t>Базова линия</w:t>
            </w:r>
          </w:p>
        </w:tc>
        <w:tc>
          <w:tcPr>
            <w:tcW w:w="775" w:type="dxa"/>
            <w:shd w:val="clear" w:color="auto" w:fill="BDD7EE"/>
            <w:vAlign w:val="center"/>
            <w:hideMark/>
          </w:tcPr>
          <w:p w14:paraId="3EBD38BE" w14:textId="77777777" w:rsidR="006054AA" w:rsidRDefault="001F7667">
            <w:pPr>
              <w:pStyle w:val="P68B1DB1-Normal9"/>
              <w:jc w:val="center"/>
              <w:rPr>
                <w:noProof/>
              </w:rPr>
            </w:pPr>
            <w:r>
              <w:rPr>
                <w:noProof/>
              </w:rPr>
              <w:t>Цел</w:t>
            </w:r>
          </w:p>
        </w:tc>
        <w:tc>
          <w:tcPr>
            <w:tcW w:w="1078" w:type="dxa"/>
            <w:shd w:val="clear" w:color="auto" w:fill="BDD7EE"/>
            <w:vAlign w:val="center"/>
            <w:hideMark/>
          </w:tcPr>
          <w:p w14:paraId="7C36991A" w14:textId="77777777" w:rsidR="006054AA" w:rsidRDefault="001F7667">
            <w:pPr>
              <w:pStyle w:val="P68B1DB1-Normal9"/>
              <w:jc w:val="center"/>
              <w:rPr>
                <w:noProof/>
              </w:rPr>
            </w:pPr>
            <w:r>
              <w:rPr>
                <w:noProof/>
              </w:rPr>
              <w:t>Тримесечие</w:t>
            </w:r>
          </w:p>
        </w:tc>
        <w:tc>
          <w:tcPr>
            <w:tcW w:w="755" w:type="dxa"/>
            <w:shd w:val="clear" w:color="auto" w:fill="BDD7EE"/>
            <w:vAlign w:val="center"/>
            <w:hideMark/>
          </w:tcPr>
          <w:p w14:paraId="559C709B" w14:textId="77777777" w:rsidR="006054AA" w:rsidRDefault="001F7667">
            <w:pPr>
              <w:pStyle w:val="P68B1DB1-Normal9"/>
              <w:jc w:val="center"/>
              <w:rPr>
                <w:noProof/>
              </w:rPr>
            </w:pPr>
            <w:r>
              <w:rPr>
                <w:noProof/>
              </w:rPr>
              <w:t>Година</w:t>
            </w:r>
          </w:p>
        </w:tc>
        <w:tc>
          <w:tcPr>
            <w:tcW w:w="5046" w:type="dxa"/>
            <w:vMerge/>
            <w:vAlign w:val="center"/>
            <w:hideMark/>
          </w:tcPr>
          <w:p w14:paraId="6D98D561" w14:textId="77777777" w:rsidR="006054AA" w:rsidRDefault="006054AA">
            <w:pPr>
              <w:rPr>
                <w:rFonts w:ascii="Arial Narrow" w:hAnsi="Arial Narrow"/>
                <w:b/>
                <w:noProof/>
                <w:sz w:val="20"/>
              </w:rPr>
            </w:pPr>
          </w:p>
        </w:tc>
      </w:tr>
      <w:tr w:rsidR="006054AA" w14:paraId="5DB69AB9" w14:textId="77777777">
        <w:trPr>
          <w:trHeight w:val="309"/>
          <w:jc w:val="center"/>
        </w:trPr>
        <w:tc>
          <w:tcPr>
            <w:tcW w:w="1648" w:type="dxa"/>
            <w:shd w:val="clear" w:color="auto" w:fill="C6EFCE"/>
            <w:noWrap/>
            <w:vAlign w:val="center"/>
            <w:hideMark/>
          </w:tcPr>
          <w:p w14:paraId="3D48CEFB" w14:textId="08A07B77" w:rsidR="006054AA" w:rsidRDefault="001F7667">
            <w:pPr>
              <w:pStyle w:val="P68B1DB1-Normal11"/>
              <w:spacing w:before="120" w:after="120"/>
              <w:jc w:val="center"/>
              <w:rPr>
                <w:noProof/>
              </w:rPr>
            </w:pPr>
            <w:r>
              <w:rPr>
                <w:noProof/>
              </w:rPr>
              <w:t>M5C2—1</w:t>
            </w:r>
          </w:p>
        </w:tc>
        <w:tc>
          <w:tcPr>
            <w:tcW w:w="1908" w:type="dxa"/>
            <w:shd w:val="clear" w:color="auto" w:fill="C6EFCE"/>
            <w:noWrap/>
            <w:vAlign w:val="center"/>
            <w:hideMark/>
          </w:tcPr>
          <w:p w14:paraId="2D393A97" w14:textId="77777777" w:rsidR="006054AA" w:rsidRDefault="001F7667">
            <w:pPr>
              <w:pStyle w:val="P68B1DB1-Normal11"/>
              <w:jc w:val="center"/>
              <w:rPr>
                <w:noProof/>
              </w:rPr>
            </w:pPr>
            <w:r>
              <w:rPr>
                <w:noProof/>
              </w:rPr>
              <w:t>Реформа 1 — Рамков закон за хората с увреждания</w:t>
            </w:r>
          </w:p>
        </w:tc>
        <w:tc>
          <w:tcPr>
            <w:tcW w:w="1322" w:type="dxa"/>
            <w:shd w:val="clear" w:color="auto" w:fill="C6EFCE"/>
            <w:noWrap/>
            <w:vAlign w:val="center"/>
            <w:hideMark/>
          </w:tcPr>
          <w:p w14:paraId="078990AB" w14:textId="77777777" w:rsidR="006054AA" w:rsidRDefault="001F7667">
            <w:pPr>
              <w:pStyle w:val="P68B1DB1-Normal11"/>
              <w:jc w:val="center"/>
              <w:rPr>
                <w:noProof/>
              </w:rPr>
            </w:pPr>
            <w:r>
              <w:rPr>
                <w:noProof/>
              </w:rPr>
              <w:t>Ключов етап</w:t>
            </w:r>
          </w:p>
        </w:tc>
        <w:tc>
          <w:tcPr>
            <w:tcW w:w="1395" w:type="dxa"/>
            <w:shd w:val="clear" w:color="auto" w:fill="C6EFCE"/>
            <w:noWrap/>
            <w:vAlign w:val="center"/>
            <w:hideMark/>
          </w:tcPr>
          <w:p w14:paraId="437FB37B" w14:textId="77777777" w:rsidR="006054AA" w:rsidRDefault="001F7667">
            <w:pPr>
              <w:pStyle w:val="P68B1DB1-Normal11"/>
              <w:jc w:val="center"/>
              <w:rPr>
                <w:noProof/>
              </w:rPr>
            </w:pPr>
            <w:r>
              <w:rPr>
                <w:noProof/>
              </w:rPr>
              <w:t>Влизане в сила на Рамковия закон за укрепване на автономността на хората с увреждания.</w:t>
            </w:r>
          </w:p>
        </w:tc>
        <w:tc>
          <w:tcPr>
            <w:tcW w:w="1476" w:type="dxa"/>
            <w:shd w:val="clear" w:color="auto" w:fill="C6EFCE"/>
            <w:noWrap/>
            <w:vAlign w:val="center"/>
            <w:hideMark/>
          </w:tcPr>
          <w:p w14:paraId="15155AD7" w14:textId="77777777" w:rsidR="006054AA" w:rsidRDefault="001F7667">
            <w:pPr>
              <w:pStyle w:val="P68B1DB1-Normal11"/>
              <w:jc w:val="center"/>
              <w:rPr>
                <w:rFonts w:eastAsia="Calibri"/>
                <w:noProof/>
              </w:rPr>
            </w:pPr>
            <w:r>
              <w:rPr>
                <w:noProof/>
              </w:rPr>
              <w:t>Законова разпоредба, указваща влизането в сила на Рамковия закон</w:t>
            </w:r>
          </w:p>
        </w:tc>
        <w:tc>
          <w:tcPr>
            <w:tcW w:w="1474" w:type="dxa"/>
            <w:shd w:val="clear" w:color="auto" w:fill="C6EFCE"/>
            <w:noWrap/>
            <w:vAlign w:val="center"/>
            <w:hideMark/>
          </w:tcPr>
          <w:p w14:paraId="6F4AA5D2" w14:textId="77777777" w:rsidR="006054AA" w:rsidRDefault="001F7667">
            <w:pPr>
              <w:pStyle w:val="P68B1DB1-Normal11"/>
              <w:jc w:val="center"/>
              <w:rPr>
                <w:rFonts w:eastAsia="Calibri"/>
                <w:noProof/>
              </w:rPr>
            </w:pPr>
            <w:r>
              <w:rPr>
                <w:noProof/>
              </w:rPr>
              <w:t>НЯМА</w:t>
            </w:r>
          </w:p>
        </w:tc>
        <w:tc>
          <w:tcPr>
            <w:tcW w:w="1092" w:type="dxa"/>
            <w:shd w:val="clear" w:color="auto" w:fill="C6EFCE"/>
            <w:noWrap/>
            <w:vAlign w:val="center"/>
            <w:hideMark/>
          </w:tcPr>
          <w:p w14:paraId="1DC86094" w14:textId="77777777" w:rsidR="006054AA" w:rsidRDefault="001F7667">
            <w:pPr>
              <w:pStyle w:val="P68B1DB1-Normal11"/>
              <w:jc w:val="center"/>
              <w:rPr>
                <w:noProof/>
              </w:rPr>
            </w:pPr>
            <w:r>
              <w:rPr>
                <w:noProof/>
              </w:rPr>
              <w:t>НЯМА</w:t>
            </w:r>
          </w:p>
        </w:tc>
        <w:tc>
          <w:tcPr>
            <w:tcW w:w="775" w:type="dxa"/>
            <w:shd w:val="clear" w:color="auto" w:fill="C6EFCE"/>
            <w:noWrap/>
            <w:vAlign w:val="center"/>
            <w:hideMark/>
          </w:tcPr>
          <w:p w14:paraId="2B2DC7D6" w14:textId="77777777" w:rsidR="006054AA" w:rsidRDefault="001F7667">
            <w:pPr>
              <w:pStyle w:val="P68B1DB1-Normal11"/>
              <w:jc w:val="center"/>
              <w:rPr>
                <w:rFonts w:eastAsia="Calibri"/>
                <w:noProof/>
              </w:rPr>
            </w:pPr>
            <w:r>
              <w:rPr>
                <w:noProof/>
              </w:rPr>
              <w:t>НЯМА</w:t>
            </w:r>
          </w:p>
        </w:tc>
        <w:tc>
          <w:tcPr>
            <w:tcW w:w="1078" w:type="dxa"/>
            <w:shd w:val="clear" w:color="auto" w:fill="C6EFCE"/>
            <w:noWrap/>
            <w:vAlign w:val="center"/>
            <w:hideMark/>
          </w:tcPr>
          <w:p w14:paraId="16582DD1" w14:textId="77777777" w:rsidR="006054AA" w:rsidRDefault="001F7667">
            <w:pPr>
              <w:pStyle w:val="P68B1DB1-Normal11"/>
              <w:jc w:val="center"/>
              <w:rPr>
                <w:rFonts w:eastAsia="Calibri"/>
                <w:noProof/>
              </w:rPr>
            </w:pPr>
            <w:r>
              <w:rPr>
                <w:noProof/>
              </w:rPr>
              <w:t>Т4 Г.</w:t>
            </w:r>
          </w:p>
        </w:tc>
        <w:tc>
          <w:tcPr>
            <w:tcW w:w="755" w:type="dxa"/>
            <w:shd w:val="clear" w:color="auto" w:fill="C6EFCE"/>
            <w:noWrap/>
            <w:vAlign w:val="center"/>
            <w:hideMark/>
          </w:tcPr>
          <w:p w14:paraId="4FE272EE" w14:textId="77777777" w:rsidR="006054AA" w:rsidRDefault="001F7667">
            <w:pPr>
              <w:pStyle w:val="P68B1DB1-Normal11"/>
              <w:jc w:val="center"/>
              <w:rPr>
                <w:noProof/>
              </w:rPr>
            </w:pPr>
            <w:r>
              <w:rPr>
                <w:noProof/>
              </w:rPr>
              <w:t>2021</w:t>
            </w:r>
          </w:p>
        </w:tc>
        <w:tc>
          <w:tcPr>
            <w:tcW w:w="5046" w:type="dxa"/>
            <w:shd w:val="clear" w:color="auto" w:fill="C6EFCE"/>
            <w:noWrap/>
            <w:vAlign w:val="center"/>
            <w:hideMark/>
          </w:tcPr>
          <w:p w14:paraId="3D6003A8" w14:textId="77777777" w:rsidR="006054AA" w:rsidRDefault="001F7667">
            <w:pPr>
              <w:pStyle w:val="P68B1DB1-Normal11"/>
              <w:rPr>
                <w:noProof/>
              </w:rPr>
            </w:pPr>
            <w:r>
              <w:rPr>
                <w:noProof/>
              </w:rPr>
              <w:t>Рамковият закон, който се състои от закон за делегирането, укрепва автономността на хората с увреждания в съответствие с принципите на КПХУ на ООН и Европейската стратегия за правата на хората с увреждания за периода 2021—2030 г., която включва най-малко: и) цялостно определяне и подобряване на предлагането на социални услуги за хората с увреждания, заедно с насърчаване на деинституционализацията и независимия живот, ii) опростяване на процедурите за достъп до здравни и социални услуги и iii) преразглеждане на процедурите за оценка на състоянието на уврежданията с цел многоизмерна оценка на състоянието на всеки човек.</w:t>
            </w:r>
          </w:p>
          <w:p w14:paraId="27790CCA" w14:textId="77777777" w:rsidR="006054AA" w:rsidRDefault="001F7667">
            <w:pPr>
              <w:pStyle w:val="P68B1DB1-Normal11"/>
              <w:rPr>
                <w:rFonts w:eastAsia="Calibri"/>
                <w:noProof/>
              </w:rPr>
            </w:pPr>
            <w:r>
              <w:rPr>
                <w:noProof/>
              </w:rPr>
              <w:t>Хората с увреждания са тези, определени в съответствие с принципите на КПХУ на ООН в Закон № 104/1992. В Италия процесът на оценяване е от компетентността на регионите и лицето се оценява от местните здравни служби или от Националния институт за социално подпомагане.</w:t>
            </w:r>
          </w:p>
          <w:p w14:paraId="69EC632B" w14:textId="77777777" w:rsidR="006054AA" w:rsidRDefault="001F7667">
            <w:pPr>
              <w:pStyle w:val="P68B1DB1-Normal11"/>
              <w:rPr>
                <w:rFonts w:eastAsia="Calibri"/>
                <w:noProof/>
              </w:rPr>
            </w:pPr>
            <w:r>
              <w:rPr>
                <w:noProof/>
              </w:rPr>
              <w:t>Законът се предлага от министъра на уврежданията за одобрение от Министерския съвет съгласно определената пътна карта.</w:t>
            </w:r>
          </w:p>
          <w:p w14:paraId="2CA554E5" w14:textId="77777777" w:rsidR="006054AA" w:rsidRDefault="001F7667">
            <w:pPr>
              <w:pStyle w:val="P68B1DB1-Normal11"/>
              <w:rPr>
                <w:rFonts w:eastAsia="Calibri"/>
                <w:noProof/>
              </w:rPr>
            </w:pPr>
            <w:r>
              <w:rPr>
                <w:noProof/>
              </w:rPr>
              <w:t>Приемането на Рамковия закон следва да бъде последвано от реорганизация на местните социални услуги, определяне на стандарти за качество и предоставяне на ИКТ платформа за подобряване и повишаване на ефективността на услугите.</w:t>
            </w:r>
          </w:p>
        </w:tc>
      </w:tr>
      <w:tr w:rsidR="006054AA" w14:paraId="489D483B" w14:textId="77777777">
        <w:trPr>
          <w:trHeight w:val="309"/>
          <w:jc w:val="center"/>
        </w:trPr>
        <w:tc>
          <w:tcPr>
            <w:tcW w:w="1648" w:type="dxa"/>
            <w:shd w:val="clear" w:color="auto" w:fill="C6EFCE"/>
            <w:noWrap/>
            <w:vAlign w:val="center"/>
            <w:hideMark/>
          </w:tcPr>
          <w:p w14:paraId="4BEAC9C9" w14:textId="4E64B79E" w:rsidR="006054AA" w:rsidRDefault="001F7667">
            <w:pPr>
              <w:pStyle w:val="P68B1DB1-Normal11"/>
              <w:spacing w:before="120" w:after="120"/>
              <w:jc w:val="center"/>
              <w:rPr>
                <w:noProof/>
              </w:rPr>
            </w:pPr>
            <w:r>
              <w:rPr>
                <w:noProof/>
              </w:rPr>
              <w:t>M5C2—2</w:t>
            </w:r>
          </w:p>
        </w:tc>
        <w:tc>
          <w:tcPr>
            <w:tcW w:w="1908" w:type="dxa"/>
            <w:shd w:val="clear" w:color="auto" w:fill="C6EFCE"/>
            <w:noWrap/>
            <w:vAlign w:val="center"/>
            <w:hideMark/>
          </w:tcPr>
          <w:p w14:paraId="094BFFCF" w14:textId="77777777" w:rsidR="006054AA" w:rsidRDefault="001F7667">
            <w:pPr>
              <w:pStyle w:val="P68B1DB1-Normal11"/>
              <w:jc w:val="center"/>
              <w:rPr>
                <w:noProof/>
              </w:rPr>
            </w:pPr>
            <w:r>
              <w:rPr>
                <w:noProof/>
              </w:rPr>
              <w:t>Реформа 1 — Рамков закон за хората с увреждания</w:t>
            </w:r>
          </w:p>
        </w:tc>
        <w:tc>
          <w:tcPr>
            <w:tcW w:w="1322" w:type="dxa"/>
            <w:shd w:val="clear" w:color="auto" w:fill="C6EFCE"/>
            <w:noWrap/>
            <w:vAlign w:val="center"/>
            <w:hideMark/>
          </w:tcPr>
          <w:p w14:paraId="43A16F3B" w14:textId="77777777" w:rsidR="006054AA" w:rsidRDefault="001F7667">
            <w:pPr>
              <w:pStyle w:val="P68B1DB1-Normal11"/>
              <w:jc w:val="center"/>
              <w:rPr>
                <w:rFonts w:eastAsia="Calibri"/>
                <w:noProof/>
              </w:rPr>
            </w:pPr>
            <w:r>
              <w:rPr>
                <w:noProof/>
              </w:rPr>
              <w:t>Ключов етап</w:t>
            </w:r>
          </w:p>
        </w:tc>
        <w:tc>
          <w:tcPr>
            <w:tcW w:w="1395" w:type="dxa"/>
            <w:shd w:val="clear" w:color="auto" w:fill="C6EFCE"/>
            <w:noWrap/>
            <w:vAlign w:val="center"/>
            <w:hideMark/>
          </w:tcPr>
          <w:p w14:paraId="23350BC4" w14:textId="77777777" w:rsidR="006054AA" w:rsidRDefault="001F7667">
            <w:pPr>
              <w:pStyle w:val="P68B1DB1-Normal11"/>
              <w:jc w:val="center"/>
              <w:rPr>
                <w:noProof/>
              </w:rPr>
            </w:pPr>
            <w:r>
              <w:rPr>
                <w:noProof/>
              </w:rPr>
              <w:t>Влизане в сила на Рамковия закон и приемане от правителството на законодателните постановления, с които се доразвиват разпоредбите на Рамковия закон за укрепване на автономността на хората с увреждания</w:t>
            </w:r>
          </w:p>
        </w:tc>
        <w:tc>
          <w:tcPr>
            <w:tcW w:w="1476" w:type="dxa"/>
            <w:shd w:val="clear" w:color="auto" w:fill="C6EFCE"/>
            <w:noWrap/>
            <w:vAlign w:val="center"/>
            <w:hideMark/>
          </w:tcPr>
          <w:p w14:paraId="4511362B" w14:textId="77777777" w:rsidR="006054AA" w:rsidRDefault="001F7667">
            <w:pPr>
              <w:pStyle w:val="P68B1DB1-Normal11"/>
              <w:jc w:val="center"/>
              <w:rPr>
                <w:rFonts w:eastAsia="Calibri"/>
                <w:noProof/>
              </w:rPr>
            </w:pPr>
            <w:r>
              <w:rPr>
                <w:noProof/>
              </w:rPr>
              <w:t>Законови разпоредби, указващи влизането в сила на законодателните укази</w:t>
            </w:r>
          </w:p>
        </w:tc>
        <w:tc>
          <w:tcPr>
            <w:tcW w:w="1474" w:type="dxa"/>
            <w:shd w:val="clear" w:color="auto" w:fill="C6EFCE"/>
            <w:noWrap/>
            <w:vAlign w:val="center"/>
            <w:hideMark/>
          </w:tcPr>
          <w:p w14:paraId="4057F2E7" w14:textId="77777777" w:rsidR="006054AA" w:rsidRDefault="001F7667">
            <w:pPr>
              <w:pStyle w:val="P68B1DB1-Normal11"/>
              <w:jc w:val="center"/>
              <w:rPr>
                <w:noProof/>
              </w:rPr>
            </w:pPr>
            <w:r>
              <w:rPr>
                <w:noProof/>
              </w:rPr>
              <w:t>НЯМА</w:t>
            </w:r>
          </w:p>
        </w:tc>
        <w:tc>
          <w:tcPr>
            <w:tcW w:w="1092" w:type="dxa"/>
            <w:shd w:val="clear" w:color="auto" w:fill="C6EFCE"/>
            <w:noWrap/>
            <w:vAlign w:val="center"/>
            <w:hideMark/>
          </w:tcPr>
          <w:p w14:paraId="090E553F" w14:textId="77777777" w:rsidR="006054AA" w:rsidRDefault="001F7667">
            <w:pPr>
              <w:pStyle w:val="P68B1DB1-Normal11"/>
              <w:jc w:val="center"/>
              <w:rPr>
                <w:rFonts w:eastAsia="Calibri"/>
                <w:noProof/>
              </w:rPr>
            </w:pPr>
            <w:r>
              <w:rPr>
                <w:noProof/>
              </w:rPr>
              <w:t>НЯМА</w:t>
            </w:r>
          </w:p>
        </w:tc>
        <w:tc>
          <w:tcPr>
            <w:tcW w:w="775" w:type="dxa"/>
            <w:shd w:val="clear" w:color="auto" w:fill="C6EFCE"/>
            <w:noWrap/>
            <w:vAlign w:val="center"/>
            <w:hideMark/>
          </w:tcPr>
          <w:p w14:paraId="05E916C0" w14:textId="77777777" w:rsidR="006054AA" w:rsidRDefault="001F7667">
            <w:pPr>
              <w:pStyle w:val="P68B1DB1-Normal11"/>
              <w:jc w:val="center"/>
              <w:rPr>
                <w:rFonts w:eastAsia="Calibri"/>
                <w:noProof/>
              </w:rPr>
            </w:pPr>
            <w:r>
              <w:rPr>
                <w:noProof/>
              </w:rPr>
              <w:t>НЯМА</w:t>
            </w:r>
          </w:p>
        </w:tc>
        <w:tc>
          <w:tcPr>
            <w:tcW w:w="1078" w:type="dxa"/>
            <w:shd w:val="clear" w:color="auto" w:fill="C6EFCE"/>
            <w:noWrap/>
            <w:vAlign w:val="center"/>
            <w:hideMark/>
          </w:tcPr>
          <w:p w14:paraId="5A1A7474" w14:textId="77777777" w:rsidR="006054AA" w:rsidRDefault="001F7667">
            <w:pPr>
              <w:pStyle w:val="P68B1DB1-Normal11"/>
              <w:jc w:val="center"/>
              <w:rPr>
                <w:noProof/>
              </w:rPr>
            </w:pPr>
            <w:r>
              <w:rPr>
                <w:noProof/>
              </w:rPr>
              <w:t>Т2 Г.</w:t>
            </w:r>
          </w:p>
        </w:tc>
        <w:tc>
          <w:tcPr>
            <w:tcW w:w="755" w:type="dxa"/>
            <w:shd w:val="clear" w:color="auto" w:fill="C6EFCE"/>
            <w:noWrap/>
            <w:vAlign w:val="center"/>
            <w:hideMark/>
          </w:tcPr>
          <w:p w14:paraId="43F26287" w14:textId="77777777" w:rsidR="006054AA" w:rsidRDefault="001F7667">
            <w:pPr>
              <w:pStyle w:val="P68B1DB1-Normal11"/>
              <w:jc w:val="center"/>
              <w:rPr>
                <w:rFonts w:eastAsia="Calibri"/>
                <w:noProof/>
              </w:rPr>
            </w:pPr>
            <w:r>
              <w:rPr>
                <w:noProof/>
              </w:rPr>
              <w:t>2024</w:t>
            </w:r>
          </w:p>
        </w:tc>
        <w:tc>
          <w:tcPr>
            <w:tcW w:w="5046" w:type="dxa"/>
            <w:shd w:val="clear" w:color="auto" w:fill="C6EFCE"/>
            <w:noWrap/>
            <w:vAlign w:val="center"/>
            <w:hideMark/>
          </w:tcPr>
          <w:p w14:paraId="44BAAD75" w14:textId="77777777" w:rsidR="006054AA" w:rsidRDefault="001F7667">
            <w:pPr>
              <w:pStyle w:val="P68B1DB1-Normal11"/>
              <w:rPr>
                <w:rFonts w:eastAsia="Calibri"/>
                <w:noProof/>
              </w:rPr>
            </w:pPr>
            <w:r>
              <w:rPr>
                <w:noProof/>
              </w:rPr>
              <w:t>В законодателните постановления се разработват разпоредбите на Рамковия закон за укрепване на автономността на хората с увреждания. В закона се определят най-малко разпоредби за (I) укрепване на предлагането на социални услуги, (II) опростяване на достъпа до социални и здравни услуги, (III) реформи на оценките на уврежданията, (IV) насърчаване на проекти за независим живот, (V) насърчаване на работата на експертни екипи, които могат да подпомагат хората с увреждания с многостранни потребности.</w:t>
            </w:r>
          </w:p>
        </w:tc>
      </w:tr>
      <w:tr w:rsidR="006054AA" w14:paraId="6EAFF7B7" w14:textId="77777777">
        <w:trPr>
          <w:trHeight w:val="309"/>
          <w:jc w:val="center"/>
        </w:trPr>
        <w:tc>
          <w:tcPr>
            <w:tcW w:w="1648" w:type="dxa"/>
            <w:shd w:val="clear" w:color="auto" w:fill="C6EFCE"/>
            <w:noWrap/>
            <w:vAlign w:val="center"/>
            <w:hideMark/>
          </w:tcPr>
          <w:p w14:paraId="040F422A" w14:textId="33238835" w:rsidR="006054AA" w:rsidRDefault="001F7667">
            <w:pPr>
              <w:pStyle w:val="P68B1DB1-Normal11"/>
              <w:spacing w:before="120" w:after="120"/>
              <w:jc w:val="center"/>
              <w:rPr>
                <w:noProof/>
              </w:rPr>
            </w:pPr>
            <w:r>
              <w:rPr>
                <w:noProof/>
              </w:rPr>
              <w:t>M5C2—3</w:t>
            </w:r>
          </w:p>
        </w:tc>
        <w:tc>
          <w:tcPr>
            <w:tcW w:w="1908" w:type="dxa"/>
            <w:shd w:val="clear" w:color="auto" w:fill="C6EFCE"/>
            <w:noWrap/>
            <w:vAlign w:val="center"/>
            <w:hideMark/>
          </w:tcPr>
          <w:p w14:paraId="586A0732" w14:textId="37B4E1D3" w:rsidR="006054AA" w:rsidRDefault="001F7667">
            <w:pPr>
              <w:pStyle w:val="P68B1DB1-Normal11"/>
              <w:jc w:val="center"/>
              <w:rPr>
                <w:noProof/>
              </w:rPr>
            </w:pPr>
            <w:r>
              <w:rPr>
                <w:noProof/>
              </w:rPr>
              <w:t>Реформа 2 — Реформа за възрастните хора, които не са самодостатъчни</w:t>
            </w:r>
          </w:p>
        </w:tc>
        <w:tc>
          <w:tcPr>
            <w:tcW w:w="1322" w:type="dxa"/>
            <w:shd w:val="clear" w:color="auto" w:fill="C6EFCE"/>
            <w:noWrap/>
            <w:vAlign w:val="center"/>
            <w:hideMark/>
          </w:tcPr>
          <w:p w14:paraId="76A2DD01" w14:textId="77777777" w:rsidR="006054AA" w:rsidRDefault="001F7667">
            <w:pPr>
              <w:pStyle w:val="P68B1DB1-Normal11"/>
              <w:jc w:val="center"/>
              <w:rPr>
                <w:noProof/>
              </w:rPr>
            </w:pPr>
            <w:r>
              <w:rPr>
                <w:noProof/>
              </w:rPr>
              <w:t>Ключов етап</w:t>
            </w:r>
          </w:p>
        </w:tc>
        <w:tc>
          <w:tcPr>
            <w:tcW w:w="1395" w:type="dxa"/>
            <w:shd w:val="clear" w:color="auto" w:fill="C6EFCE"/>
            <w:noWrap/>
            <w:vAlign w:val="center"/>
            <w:hideMark/>
          </w:tcPr>
          <w:p w14:paraId="61057961" w14:textId="77777777" w:rsidR="006054AA" w:rsidRDefault="001F7667">
            <w:pPr>
              <w:pStyle w:val="P68B1DB1-Normal11"/>
              <w:jc w:val="center"/>
              <w:rPr>
                <w:noProof/>
              </w:rPr>
            </w:pPr>
            <w:r>
              <w:rPr>
                <w:noProof/>
              </w:rPr>
              <w:t>Влизане в сила на рамков закон, който засилва действията в полза на възрастните хора, които не са самодостатъчни</w:t>
            </w:r>
          </w:p>
        </w:tc>
        <w:tc>
          <w:tcPr>
            <w:tcW w:w="1476" w:type="dxa"/>
            <w:shd w:val="clear" w:color="auto" w:fill="C6EFCE"/>
            <w:noWrap/>
            <w:vAlign w:val="center"/>
            <w:hideMark/>
          </w:tcPr>
          <w:p w14:paraId="2A0E6E8F" w14:textId="77777777" w:rsidR="006054AA" w:rsidRDefault="001F7667">
            <w:pPr>
              <w:pStyle w:val="P68B1DB1-Normal19"/>
              <w:jc w:val="center"/>
              <w:rPr>
                <w:noProof/>
                <w:color w:val="006100"/>
              </w:rPr>
            </w:pPr>
            <w:r>
              <w:rPr>
                <w:noProof/>
                <w:color w:val="006100"/>
              </w:rPr>
              <w:t xml:space="preserve">Разпоредби в закона, указващи влизането в сила на Рамковия закон,който засилва действията в полза на възрастните хора, които не са </w:t>
            </w:r>
            <w:r>
              <w:rPr>
                <w:noProof/>
              </w:rPr>
              <w:t xml:space="preserve"> самодостатъчни</w:t>
            </w:r>
          </w:p>
        </w:tc>
        <w:tc>
          <w:tcPr>
            <w:tcW w:w="1474" w:type="dxa"/>
            <w:shd w:val="clear" w:color="auto" w:fill="C6EFCE"/>
            <w:noWrap/>
            <w:vAlign w:val="center"/>
            <w:hideMark/>
          </w:tcPr>
          <w:p w14:paraId="06B42225" w14:textId="77777777" w:rsidR="006054AA" w:rsidRDefault="001F7667">
            <w:pPr>
              <w:pStyle w:val="P68B1DB1-Normal11"/>
              <w:jc w:val="center"/>
              <w:rPr>
                <w:noProof/>
              </w:rPr>
            </w:pPr>
            <w:r>
              <w:rPr>
                <w:noProof/>
              </w:rPr>
              <w:t>НЯМА</w:t>
            </w:r>
          </w:p>
        </w:tc>
        <w:tc>
          <w:tcPr>
            <w:tcW w:w="1092" w:type="dxa"/>
            <w:shd w:val="clear" w:color="auto" w:fill="C6EFCE"/>
            <w:noWrap/>
            <w:vAlign w:val="center"/>
            <w:hideMark/>
          </w:tcPr>
          <w:p w14:paraId="478E8FC7" w14:textId="77777777" w:rsidR="006054AA" w:rsidRDefault="001F7667">
            <w:pPr>
              <w:pStyle w:val="P68B1DB1-Normal11"/>
              <w:jc w:val="center"/>
              <w:rPr>
                <w:rFonts w:eastAsia="Calibri"/>
                <w:noProof/>
              </w:rPr>
            </w:pPr>
            <w:r>
              <w:rPr>
                <w:noProof/>
              </w:rPr>
              <w:t>НЯМА</w:t>
            </w:r>
          </w:p>
        </w:tc>
        <w:tc>
          <w:tcPr>
            <w:tcW w:w="775" w:type="dxa"/>
            <w:shd w:val="clear" w:color="auto" w:fill="C6EFCE"/>
            <w:noWrap/>
            <w:vAlign w:val="center"/>
            <w:hideMark/>
          </w:tcPr>
          <w:p w14:paraId="432E90D2" w14:textId="77777777" w:rsidR="006054AA" w:rsidRDefault="001F7667">
            <w:pPr>
              <w:pStyle w:val="P68B1DB1-Normal11"/>
              <w:jc w:val="center"/>
              <w:rPr>
                <w:rFonts w:eastAsia="Calibri"/>
                <w:noProof/>
              </w:rPr>
            </w:pPr>
            <w:r>
              <w:rPr>
                <w:noProof/>
              </w:rPr>
              <w:t>НЯМА</w:t>
            </w:r>
          </w:p>
        </w:tc>
        <w:tc>
          <w:tcPr>
            <w:tcW w:w="1078" w:type="dxa"/>
            <w:shd w:val="clear" w:color="auto" w:fill="C6EFCE"/>
            <w:noWrap/>
            <w:vAlign w:val="center"/>
            <w:hideMark/>
          </w:tcPr>
          <w:p w14:paraId="6C76A5B9" w14:textId="77777777" w:rsidR="006054AA" w:rsidRDefault="001F7667">
            <w:pPr>
              <w:pStyle w:val="P68B1DB1-Normal11"/>
              <w:jc w:val="center"/>
              <w:rPr>
                <w:noProof/>
              </w:rPr>
            </w:pPr>
            <w:r>
              <w:rPr>
                <w:noProof/>
              </w:rPr>
              <w:t>Т1 Г.</w:t>
            </w:r>
          </w:p>
        </w:tc>
        <w:tc>
          <w:tcPr>
            <w:tcW w:w="755" w:type="dxa"/>
            <w:shd w:val="clear" w:color="auto" w:fill="C6EFCE"/>
            <w:noWrap/>
            <w:vAlign w:val="center"/>
            <w:hideMark/>
          </w:tcPr>
          <w:p w14:paraId="1EC09774" w14:textId="77777777" w:rsidR="006054AA" w:rsidRDefault="001F7667">
            <w:pPr>
              <w:pStyle w:val="P68B1DB1-Normal11"/>
              <w:jc w:val="center"/>
              <w:rPr>
                <w:rFonts w:eastAsia="Calibri"/>
                <w:noProof/>
              </w:rPr>
            </w:pPr>
            <w:r>
              <w:rPr>
                <w:noProof/>
              </w:rPr>
              <w:t>2023</w:t>
            </w:r>
          </w:p>
        </w:tc>
        <w:tc>
          <w:tcPr>
            <w:tcW w:w="5046" w:type="dxa"/>
            <w:shd w:val="clear" w:color="auto" w:fill="C6EFCE"/>
            <w:noWrap/>
            <w:vAlign w:val="center"/>
            <w:hideMark/>
          </w:tcPr>
          <w:p w14:paraId="5D7F10AF" w14:textId="77777777" w:rsidR="006054AA" w:rsidRDefault="001F7667">
            <w:pPr>
              <w:pStyle w:val="P68B1DB1-Normal11"/>
              <w:rPr>
                <w:noProof/>
              </w:rPr>
            </w:pPr>
            <w:r>
              <w:rPr>
                <w:noProof/>
              </w:rPr>
              <w:t>Предложеният от правителството рамков закон засилва действията в полза на възрастните хора, които не са самодостатъчни. Законът опростява и предоставя единни звена за контакт за социални и здравни услуги, преразглежда процедурите за оценка на състоянието на недостатъчно самодостатъчно възрастно лице и увеличава набора от социални и здравни услуги, които могат да се предоставят у дома. В закона се определят и необходимите финансови ресурси.</w:t>
            </w:r>
          </w:p>
        </w:tc>
      </w:tr>
      <w:tr w:rsidR="006054AA" w14:paraId="2D812A08" w14:textId="77777777">
        <w:trPr>
          <w:trHeight w:val="309"/>
          <w:jc w:val="center"/>
        </w:trPr>
        <w:tc>
          <w:tcPr>
            <w:tcW w:w="1648" w:type="dxa"/>
            <w:shd w:val="clear" w:color="auto" w:fill="C6EFCE"/>
            <w:noWrap/>
            <w:vAlign w:val="center"/>
            <w:hideMark/>
          </w:tcPr>
          <w:p w14:paraId="6FBF2821" w14:textId="77777777" w:rsidR="006054AA" w:rsidRDefault="001F7667">
            <w:pPr>
              <w:pStyle w:val="P68B1DB1-Normal11"/>
              <w:jc w:val="center"/>
              <w:rPr>
                <w:rFonts w:eastAsia="Calibri"/>
                <w:noProof/>
              </w:rPr>
            </w:pPr>
            <w:r>
              <w:rPr>
                <w:noProof/>
              </w:rPr>
              <w:t>M5C2—4</w:t>
            </w:r>
          </w:p>
        </w:tc>
        <w:tc>
          <w:tcPr>
            <w:tcW w:w="1908" w:type="dxa"/>
            <w:shd w:val="clear" w:color="auto" w:fill="C6EFCE"/>
            <w:noWrap/>
            <w:vAlign w:val="center"/>
            <w:hideMark/>
          </w:tcPr>
          <w:p w14:paraId="1373758C" w14:textId="77777777" w:rsidR="006054AA" w:rsidRDefault="001F7667">
            <w:pPr>
              <w:pStyle w:val="P68B1DB1-Normal11"/>
              <w:jc w:val="center"/>
              <w:rPr>
                <w:noProof/>
              </w:rPr>
            </w:pPr>
            <w:r>
              <w:rPr>
                <w:noProof/>
              </w:rPr>
              <w:t>Реформа 2 — Реформа за възрастните хора, които не са самодостатъчни</w:t>
            </w:r>
          </w:p>
        </w:tc>
        <w:tc>
          <w:tcPr>
            <w:tcW w:w="1322" w:type="dxa"/>
            <w:shd w:val="clear" w:color="auto" w:fill="C6EFCE"/>
            <w:noWrap/>
            <w:vAlign w:val="center"/>
            <w:hideMark/>
          </w:tcPr>
          <w:p w14:paraId="4F714391" w14:textId="77777777" w:rsidR="006054AA" w:rsidRDefault="001F7667">
            <w:pPr>
              <w:pStyle w:val="P68B1DB1-Normal11"/>
              <w:jc w:val="center"/>
              <w:rPr>
                <w:rFonts w:eastAsia="Calibri"/>
                <w:noProof/>
              </w:rPr>
            </w:pPr>
            <w:r>
              <w:rPr>
                <w:noProof/>
              </w:rPr>
              <w:t>Ключов етап</w:t>
            </w:r>
          </w:p>
        </w:tc>
        <w:tc>
          <w:tcPr>
            <w:tcW w:w="1395" w:type="dxa"/>
            <w:shd w:val="clear" w:color="auto" w:fill="C6EFCE"/>
            <w:noWrap/>
            <w:vAlign w:val="center"/>
            <w:hideMark/>
          </w:tcPr>
          <w:p w14:paraId="4739E4FF" w14:textId="77777777" w:rsidR="006054AA" w:rsidRDefault="001F7667">
            <w:pPr>
              <w:pStyle w:val="P68B1DB1-Normal11"/>
              <w:jc w:val="center"/>
              <w:rPr>
                <w:noProof/>
              </w:rPr>
            </w:pPr>
            <w:r>
              <w:rPr>
                <w:noProof/>
              </w:rPr>
              <w:t>Влизане в сила на законодателните постановления, с които се доразвиват разпоредбите на Рамковия закон за засилване на действията в полза на възрастните хора, които не са самодостатъчни</w:t>
            </w:r>
          </w:p>
        </w:tc>
        <w:tc>
          <w:tcPr>
            <w:tcW w:w="1476" w:type="dxa"/>
            <w:shd w:val="clear" w:color="auto" w:fill="C6EFCE"/>
            <w:noWrap/>
            <w:vAlign w:val="center"/>
            <w:hideMark/>
          </w:tcPr>
          <w:p w14:paraId="1312E3E1" w14:textId="77777777" w:rsidR="006054AA" w:rsidRDefault="001F7667">
            <w:pPr>
              <w:pStyle w:val="P68B1DB1-Normal11"/>
              <w:jc w:val="center"/>
              <w:rPr>
                <w:noProof/>
              </w:rPr>
            </w:pPr>
            <w:r>
              <w:rPr>
                <w:noProof/>
              </w:rPr>
              <w:t>Законови разпоредби, указващи влизането в сила на законодателните укази</w:t>
            </w:r>
          </w:p>
        </w:tc>
        <w:tc>
          <w:tcPr>
            <w:tcW w:w="1474" w:type="dxa"/>
            <w:shd w:val="clear" w:color="auto" w:fill="C6EFCE"/>
            <w:noWrap/>
            <w:vAlign w:val="center"/>
            <w:hideMark/>
          </w:tcPr>
          <w:p w14:paraId="56BCEF07" w14:textId="77777777" w:rsidR="006054AA" w:rsidRDefault="001F7667">
            <w:pPr>
              <w:pStyle w:val="P68B1DB1-Normal11"/>
              <w:jc w:val="center"/>
              <w:rPr>
                <w:rFonts w:eastAsia="Calibri"/>
                <w:noProof/>
              </w:rPr>
            </w:pPr>
            <w:r>
              <w:rPr>
                <w:noProof/>
              </w:rPr>
              <w:t>НЯМА</w:t>
            </w:r>
          </w:p>
        </w:tc>
        <w:tc>
          <w:tcPr>
            <w:tcW w:w="1092" w:type="dxa"/>
            <w:shd w:val="clear" w:color="auto" w:fill="C6EFCE"/>
            <w:noWrap/>
            <w:vAlign w:val="center"/>
            <w:hideMark/>
          </w:tcPr>
          <w:p w14:paraId="292AB38A" w14:textId="77777777" w:rsidR="006054AA" w:rsidRDefault="001F7667">
            <w:pPr>
              <w:pStyle w:val="P68B1DB1-Normal11"/>
              <w:jc w:val="center"/>
              <w:rPr>
                <w:rFonts w:eastAsia="Calibri"/>
                <w:noProof/>
              </w:rPr>
            </w:pPr>
            <w:r>
              <w:rPr>
                <w:noProof/>
              </w:rPr>
              <w:t>НЯМА</w:t>
            </w:r>
          </w:p>
        </w:tc>
        <w:tc>
          <w:tcPr>
            <w:tcW w:w="775" w:type="dxa"/>
            <w:shd w:val="clear" w:color="auto" w:fill="C6EFCE"/>
            <w:noWrap/>
            <w:vAlign w:val="center"/>
            <w:hideMark/>
          </w:tcPr>
          <w:p w14:paraId="6636805C" w14:textId="77777777" w:rsidR="006054AA" w:rsidRDefault="001F7667">
            <w:pPr>
              <w:pStyle w:val="P68B1DB1-Normal11"/>
              <w:jc w:val="center"/>
              <w:rPr>
                <w:rFonts w:eastAsia="Calibri"/>
                <w:noProof/>
              </w:rPr>
            </w:pPr>
            <w:r>
              <w:rPr>
                <w:noProof/>
              </w:rPr>
              <w:t>НЯМА</w:t>
            </w:r>
          </w:p>
        </w:tc>
        <w:tc>
          <w:tcPr>
            <w:tcW w:w="1078" w:type="dxa"/>
            <w:shd w:val="clear" w:color="auto" w:fill="C6EFCE"/>
            <w:noWrap/>
            <w:vAlign w:val="center"/>
            <w:hideMark/>
          </w:tcPr>
          <w:p w14:paraId="53E73159" w14:textId="77777777" w:rsidR="006054AA" w:rsidRDefault="001F7667">
            <w:pPr>
              <w:pStyle w:val="P68B1DB1-Normal11"/>
              <w:jc w:val="center"/>
              <w:rPr>
                <w:noProof/>
              </w:rPr>
            </w:pPr>
            <w:r>
              <w:rPr>
                <w:noProof/>
              </w:rPr>
              <w:t>Т1 Г.</w:t>
            </w:r>
          </w:p>
        </w:tc>
        <w:tc>
          <w:tcPr>
            <w:tcW w:w="755" w:type="dxa"/>
            <w:shd w:val="clear" w:color="auto" w:fill="C6EFCE"/>
            <w:noWrap/>
            <w:vAlign w:val="center"/>
            <w:hideMark/>
          </w:tcPr>
          <w:p w14:paraId="675CFAB2" w14:textId="77777777" w:rsidR="006054AA" w:rsidRDefault="001F7667">
            <w:pPr>
              <w:pStyle w:val="P68B1DB1-Normal11"/>
              <w:jc w:val="center"/>
              <w:rPr>
                <w:noProof/>
              </w:rPr>
            </w:pPr>
            <w:r>
              <w:rPr>
                <w:noProof/>
              </w:rPr>
              <w:t>2024</w:t>
            </w:r>
          </w:p>
        </w:tc>
        <w:tc>
          <w:tcPr>
            <w:tcW w:w="5046" w:type="dxa"/>
            <w:shd w:val="clear" w:color="auto" w:fill="C6EFCE"/>
            <w:noWrap/>
            <w:vAlign w:val="center"/>
            <w:hideMark/>
          </w:tcPr>
          <w:p w14:paraId="750A76EC" w14:textId="77777777" w:rsidR="006054AA" w:rsidRDefault="001F7667">
            <w:pPr>
              <w:pStyle w:val="P68B1DB1-Normal11"/>
              <w:rPr>
                <w:noProof/>
              </w:rPr>
            </w:pPr>
            <w:r>
              <w:rPr>
                <w:noProof/>
              </w:rPr>
              <w:t>Законодателните постановления конкретизират разпоредбите, предвидени в Рамковия закон, за да се засилят действията в полза на възрастните хора, които не са самодостатъчни, като се прилагат различните мерки.</w:t>
            </w:r>
          </w:p>
        </w:tc>
      </w:tr>
      <w:tr w:rsidR="006054AA" w14:paraId="3244C784" w14:textId="77777777">
        <w:trPr>
          <w:trHeight w:val="309"/>
          <w:jc w:val="center"/>
        </w:trPr>
        <w:tc>
          <w:tcPr>
            <w:tcW w:w="1648" w:type="dxa"/>
            <w:shd w:val="clear" w:color="auto" w:fill="C6EFCE"/>
            <w:noWrap/>
            <w:vAlign w:val="center"/>
            <w:hideMark/>
          </w:tcPr>
          <w:p w14:paraId="4F3636C5" w14:textId="77777777" w:rsidR="006054AA" w:rsidRDefault="001F7667">
            <w:pPr>
              <w:pStyle w:val="P68B1DB1-Normal11"/>
              <w:jc w:val="center"/>
              <w:rPr>
                <w:noProof/>
              </w:rPr>
            </w:pPr>
            <w:r>
              <w:rPr>
                <w:noProof/>
              </w:rPr>
              <w:t>M5C2—5</w:t>
            </w:r>
          </w:p>
        </w:tc>
        <w:tc>
          <w:tcPr>
            <w:tcW w:w="1908" w:type="dxa"/>
            <w:shd w:val="clear" w:color="auto" w:fill="C6EFCE"/>
            <w:noWrap/>
            <w:vAlign w:val="center"/>
            <w:hideMark/>
          </w:tcPr>
          <w:p w14:paraId="6DDFF071" w14:textId="77777777" w:rsidR="006054AA" w:rsidRDefault="001F7667">
            <w:pPr>
              <w:pStyle w:val="P68B1DB1-Normal11"/>
              <w:jc w:val="center"/>
              <w:rPr>
                <w:noProof/>
              </w:rPr>
            </w:pPr>
            <w:r>
              <w:rPr>
                <w:noProof/>
              </w:rPr>
              <w:t>Инвестиция 1 — Подкрепа за уязвимите лица и предотвратяване на институционализацията</w:t>
            </w:r>
          </w:p>
        </w:tc>
        <w:tc>
          <w:tcPr>
            <w:tcW w:w="1322" w:type="dxa"/>
            <w:shd w:val="clear" w:color="auto" w:fill="C6EFCE"/>
            <w:noWrap/>
            <w:vAlign w:val="center"/>
            <w:hideMark/>
          </w:tcPr>
          <w:p w14:paraId="431806D4" w14:textId="77777777" w:rsidR="006054AA" w:rsidRDefault="001F7667">
            <w:pPr>
              <w:pStyle w:val="P68B1DB1-Normal11"/>
              <w:jc w:val="center"/>
              <w:rPr>
                <w:noProof/>
              </w:rPr>
            </w:pPr>
            <w:r>
              <w:rPr>
                <w:noProof/>
              </w:rPr>
              <w:t>Ключов етап</w:t>
            </w:r>
          </w:p>
        </w:tc>
        <w:tc>
          <w:tcPr>
            <w:tcW w:w="1395" w:type="dxa"/>
            <w:shd w:val="clear" w:color="auto" w:fill="C6EFCE"/>
            <w:noWrap/>
            <w:vAlign w:val="center"/>
            <w:hideMark/>
          </w:tcPr>
          <w:p w14:paraId="0BCABC86" w14:textId="77777777" w:rsidR="006054AA" w:rsidRDefault="001F7667">
            <w:pPr>
              <w:pStyle w:val="P68B1DB1-Normal11"/>
              <w:jc w:val="center"/>
              <w:rPr>
                <w:noProof/>
              </w:rPr>
            </w:pPr>
            <w:r>
              <w:rPr>
                <w:noProof/>
              </w:rPr>
              <w:t>Влизане в сила на оперативния план</w:t>
            </w:r>
          </w:p>
        </w:tc>
        <w:tc>
          <w:tcPr>
            <w:tcW w:w="1476" w:type="dxa"/>
            <w:shd w:val="clear" w:color="auto" w:fill="C6EFCE"/>
            <w:noWrap/>
            <w:vAlign w:val="center"/>
            <w:hideMark/>
          </w:tcPr>
          <w:p w14:paraId="7BAF1B6C" w14:textId="77777777" w:rsidR="006054AA" w:rsidRDefault="001F7667">
            <w:pPr>
              <w:pStyle w:val="P68B1DB1-Normal11"/>
              <w:jc w:val="center"/>
              <w:rPr>
                <w:noProof/>
              </w:rPr>
            </w:pPr>
            <w:r>
              <w:rPr>
                <w:noProof/>
              </w:rPr>
              <w:t>Разпоредби в закона, указващи влизането в сила на оперативния план за интервенциите</w:t>
            </w:r>
          </w:p>
        </w:tc>
        <w:tc>
          <w:tcPr>
            <w:tcW w:w="1474" w:type="dxa"/>
            <w:shd w:val="clear" w:color="auto" w:fill="C6EFCE"/>
            <w:noWrap/>
            <w:vAlign w:val="center"/>
            <w:hideMark/>
          </w:tcPr>
          <w:p w14:paraId="07BBE7AA" w14:textId="77777777" w:rsidR="006054AA" w:rsidRDefault="001F7667">
            <w:pPr>
              <w:pStyle w:val="P68B1DB1-Normal11"/>
              <w:jc w:val="center"/>
              <w:rPr>
                <w:rFonts w:eastAsia="Calibri"/>
                <w:noProof/>
              </w:rPr>
            </w:pPr>
            <w:r>
              <w:rPr>
                <w:noProof/>
              </w:rPr>
              <w:t>НЯМА</w:t>
            </w:r>
          </w:p>
        </w:tc>
        <w:tc>
          <w:tcPr>
            <w:tcW w:w="1092" w:type="dxa"/>
            <w:shd w:val="clear" w:color="auto" w:fill="C6EFCE"/>
            <w:noWrap/>
            <w:vAlign w:val="center"/>
            <w:hideMark/>
          </w:tcPr>
          <w:p w14:paraId="4EB307C0" w14:textId="77777777" w:rsidR="006054AA" w:rsidRDefault="001F7667">
            <w:pPr>
              <w:pStyle w:val="P68B1DB1-Normal11"/>
              <w:jc w:val="center"/>
              <w:rPr>
                <w:rFonts w:eastAsia="Calibri"/>
                <w:noProof/>
              </w:rPr>
            </w:pPr>
            <w:r>
              <w:rPr>
                <w:noProof/>
              </w:rPr>
              <w:t>НЯМА</w:t>
            </w:r>
          </w:p>
        </w:tc>
        <w:tc>
          <w:tcPr>
            <w:tcW w:w="775" w:type="dxa"/>
            <w:shd w:val="clear" w:color="auto" w:fill="C6EFCE"/>
            <w:noWrap/>
            <w:vAlign w:val="center"/>
            <w:hideMark/>
          </w:tcPr>
          <w:p w14:paraId="453D23EC" w14:textId="77777777" w:rsidR="006054AA" w:rsidRDefault="001F7667">
            <w:pPr>
              <w:pStyle w:val="P68B1DB1-Normal11"/>
              <w:jc w:val="center"/>
              <w:rPr>
                <w:rFonts w:eastAsia="Calibri"/>
                <w:noProof/>
              </w:rPr>
            </w:pPr>
            <w:r>
              <w:rPr>
                <w:noProof/>
              </w:rPr>
              <w:t>НЯМА</w:t>
            </w:r>
          </w:p>
        </w:tc>
        <w:tc>
          <w:tcPr>
            <w:tcW w:w="1078" w:type="dxa"/>
            <w:shd w:val="clear" w:color="auto" w:fill="C6EFCE"/>
            <w:noWrap/>
            <w:vAlign w:val="center"/>
            <w:hideMark/>
          </w:tcPr>
          <w:p w14:paraId="5597E009" w14:textId="77777777" w:rsidR="006054AA" w:rsidRDefault="001F7667">
            <w:pPr>
              <w:pStyle w:val="P68B1DB1-Normal11"/>
              <w:jc w:val="center"/>
              <w:rPr>
                <w:rFonts w:eastAsia="Calibri"/>
                <w:noProof/>
              </w:rPr>
            </w:pPr>
            <w:r>
              <w:rPr>
                <w:noProof/>
              </w:rPr>
              <w:t>Т4 Г.</w:t>
            </w:r>
          </w:p>
        </w:tc>
        <w:tc>
          <w:tcPr>
            <w:tcW w:w="755" w:type="dxa"/>
            <w:shd w:val="clear" w:color="auto" w:fill="C6EFCE"/>
            <w:noWrap/>
            <w:vAlign w:val="center"/>
            <w:hideMark/>
          </w:tcPr>
          <w:p w14:paraId="3E7AA82A" w14:textId="77777777" w:rsidR="006054AA" w:rsidRDefault="001F7667">
            <w:pPr>
              <w:pStyle w:val="P68B1DB1-Normal11"/>
              <w:jc w:val="center"/>
              <w:rPr>
                <w:rFonts w:eastAsia="Calibri"/>
                <w:noProof/>
              </w:rPr>
            </w:pPr>
            <w:r>
              <w:rPr>
                <w:noProof/>
              </w:rPr>
              <w:t>2021</w:t>
            </w:r>
          </w:p>
        </w:tc>
        <w:tc>
          <w:tcPr>
            <w:tcW w:w="5046" w:type="dxa"/>
            <w:shd w:val="clear" w:color="auto" w:fill="C6EFCE"/>
            <w:noWrap/>
            <w:vAlign w:val="center"/>
            <w:hideMark/>
          </w:tcPr>
          <w:p w14:paraId="02922682" w14:textId="77777777" w:rsidR="006054AA" w:rsidRDefault="001F7667">
            <w:pPr>
              <w:pStyle w:val="P68B1DB1-Normal11"/>
              <w:rPr>
                <w:noProof/>
              </w:rPr>
            </w:pPr>
            <w:r>
              <w:rPr>
                <w:noProof/>
              </w:rPr>
              <w:t>В оперативния план се определят изискванията за проектите, които могат да бъдат представени от местни структури и които се отнасят до четири измерения: I) подкрепа за родителите на деца на възраст от 0 до 17 години, ii) подкрепа за самостоятелността на възрастните хора, iii) домашни услуги за възрастни хора и iv) подкрепа за социалните работници.</w:t>
            </w:r>
          </w:p>
          <w:p w14:paraId="3BDBF523" w14:textId="77777777" w:rsidR="006054AA" w:rsidRDefault="006054AA">
            <w:pPr>
              <w:rPr>
                <w:rFonts w:ascii="Arial Narrow" w:eastAsia="Calibri" w:hAnsi="Arial Narrow"/>
                <w:noProof/>
                <w:color w:val="006100"/>
                <w:sz w:val="20"/>
              </w:rPr>
            </w:pPr>
          </w:p>
          <w:p w14:paraId="00580422" w14:textId="77777777" w:rsidR="006054AA" w:rsidRDefault="001F7667">
            <w:pPr>
              <w:pStyle w:val="P68B1DB1-Normal11"/>
              <w:rPr>
                <w:noProof/>
              </w:rPr>
            </w:pPr>
            <w:r>
              <w:rPr>
                <w:noProof/>
              </w:rPr>
              <w:t>Действието „Подкрепа за родители“ се състои най-малко в предоставяне на подкрепа на семействата получатели в продължение на най-малко 18 месеца с i) предварителна оценка на семейната среда и положението на децата, ii) оценка на ситуацията, извършена от мултидисциплинарен екип от квалифицирани специалисти, и iii) предоставяне на поне една от следните услуги: домашни услуги, участие в подкрепа на групи за родители и деца; сътрудничество между училища, семейства и социални услуги и/или общи услуги за полагане на грижи в семейството.</w:t>
            </w:r>
          </w:p>
          <w:p w14:paraId="4BA32A3F" w14:textId="77777777" w:rsidR="006054AA" w:rsidRDefault="001F7667">
            <w:pPr>
              <w:pStyle w:val="P68B1DB1-Normal11"/>
              <w:rPr>
                <w:rFonts w:eastAsia="Calibri"/>
                <w:noProof/>
              </w:rPr>
            </w:pPr>
            <w:r>
              <w:rPr>
                <w:noProof/>
              </w:rPr>
              <w:t>Действието „самостоятелност на възрастните хора“ се състои най-малко в преобразуване на домовете за възрастни хора в групи автономни апартаменти, оборудвани с всички необходими съоръжения и услуги, включително автоматизация на дома, телемедицина и дистанционно наблюдение.</w:t>
            </w:r>
          </w:p>
          <w:p w14:paraId="4D989EEF" w14:textId="77777777" w:rsidR="006054AA" w:rsidRDefault="001F7667">
            <w:pPr>
              <w:pStyle w:val="P68B1DB1-Normal11"/>
              <w:rPr>
                <w:rFonts w:eastAsia="Calibri"/>
                <w:noProof/>
              </w:rPr>
            </w:pPr>
            <w:r>
              <w:rPr>
                <w:noProof/>
              </w:rPr>
              <w:t>Действието „Услуги по домовете за възрастни хора“ има за цел да осигури специално обучение на специалисти за домашни услуги за възрастни хора.</w:t>
            </w:r>
          </w:p>
          <w:p w14:paraId="73161C33" w14:textId="77777777" w:rsidR="006054AA" w:rsidRDefault="001F7667">
            <w:pPr>
              <w:pStyle w:val="P68B1DB1-Normal11"/>
              <w:rPr>
                <w:rFonts w:eastAsia="Calibri"/>
                <w:noProof/>
              </w:rPr>
            </w:pPr>
            <w:r>
              <w:rPr>
                <w:noProof/>
              </w:rPr>
              <w:t>Действието „подкрепа за социалните работници“ се състои в подкрепа на социалните оператори и засилване на техния професионализъм и споделена компетентност, главно чрез въвеждане на инструменти за споделяне на компетентности и предоставяне на услуги за надзор на операторите в подкрепа на работата на операторите.</w:t>
            </w:r>
          </w:p>
        </w:tc>
      </w:tr>
      <w:tr w:rsidR="006054AA" w14:paraId="6CB376E6" w14:textId="77777777">
        <w:trPr>
          <w:trHeight w:val="309"/>
          <w:jc w:val="center"/>
        </w:trPr>
        <w:tc>
          <w:tcPr>
            <w:tcW w:w="1648" w:type="dxa"/>
            <w:shd w:val="clear" w:color="auto" w:fill="C6EFCE"/>
            <w:noWrap/>
            <w:vAlign w:val="center"/>
            <w:hideMark/>
          </w:tcPr>
          <w:p w14:paraId="02A69E27" w14:textId="10E12C17" w:rsidR="006054AA" w:rsidRDefault="001F7667">
            <w:pPr>
              <w:pStyle w:val="P68B1DB1-Normal11"/>
              <w:spacing w:before="120"/>
              <w:jc w:val="center"/>
              <w:rPr>
                <w:rFonts w:eastAsia="Calibri"/>
                <w:noProof/>
              </w:rPr>
            </w:pPr>
            <w:r>
              <w:rPr>
                <w:noProof/>
              </w:rPr>
              <w:t>M5C2—6</w:t>
            </w:r>
          </w:p>
        </w:tc>
        <w:tc>
          <w:tcPr>
            <w:tcW w:w="1908" w:type="dxa"/>
            <w:shd w:val="clear" w:color="auto" w:fill="C6EFCE"/>
            <w:noWrap/>
            <w:vAlign w:val="center"/>
            <w:hideMark/>
          </w:tcPr>
          <w:p w14:paraId="4D0DDE50" w14:textId="77777777" w:rsidR="006054AA" w:rsidRDefault="001F7667">
            <w:pPr>
              <w:pStyle w:val="P68B1DB1-Normal11"/>
              <w:spacing w:before="120" w:after="120"/>
              <w:jc w:val="center"/>
              <w:rPr>
                <w:noProof/>
              </w:rPr>
            </w:pPr>
            <w:r>
              <w:rPr>
                <w:noProof/>
              </w:rPr>
              <w:t>Инвестиция 1 — Подкрепа за уязвимите лица и предотвратяване на институционализацията</w:t>
            </w:r>
          </w:p>
        </w:tc>
        <w:tc>
          <w:tcPr>
            <w:tcW w:w="1322" w:type="dxa"/>
            <w:shd w:val="clear" w:color="auto" w:fill="C6EFCE"/>
            <w:noWrap/>
            <w:vAlign w:val="center"/>
            <w:hideMark/>
          </w:tcPr>
          <w:p w14:paraId="281679FC" w14:textId="77777777" w:rsidR="006054AA" w:rsidRDefault="001F7667">
            <w:pPr>
              <w:pStyle w:val="P68B1DB1-Normal11"/>
              <w:spacing w:before="120" w:after="120"/>
              <w:jc w:val="center"/>
              <w:rPr>
                <w:rFonts w:eastAsia="Calibri"/>
                <w:noProof/>
              </w:rPr>
            </w:pPr>
            <w:r>
              <w:rPr>
                <w:noProof/>
              </w:rPr>
              <w:t>Целеви</w:t>
            </w:r>
          </w:p>
        </w:tc>
        <w:tc>
          <w:tcPr>
            <w:tcW w:w="1395" w:type="dxa"/>
            <w:shd w:val="clear" w:color="auto" w:fill="C6EFCE"/>
            <w:noWrap/>
            <w:vAlign w:val="center"/>
            <w:hideMark/>
          </w:tcPr>
          <w:p w14:paraId="015277A4" w14:textId="77777777" w:rsidR="006054AA" w:rsidRDefault="001F7667">
            <w:pPr>
              <w:pStyle w:val="P68B1DB1-Normal11"/>
              <w:spacing w:before="120" w:after="120"/>
              <w:jc w:val="center"/>
              <w:rPr>
                <w:rFonts w:eastAsia="Calibri"/>
                <w:noProof/>
              </w:rPr>
            </w:pPr>
            <w:r>
              <w:rPr>
                <w:noProof/>
              </w:rPr>
              <w:t>Социалните райони постигат поне един от следните резултати: I) подкрепа за родителите, ii) самостоятелност на възрастните хора, iii) домашни услуги за възрастни хора или iv) облагодетелстване на социалните работници с цел предотвратяване на професионалното изчерпване</w:t>
            </w:r>
          </w:p>
        </w:tc>
        <w:tc>
          <w:tcPr>
            <w:tcW w:w="1476" w:type="dxa"/>
            <w:shd w:val="clear" w:color="auto" w:fill="C6EFCE"/>
            <w:noWrap/>
            <w:vAlign w:val="center"/>
            <w:hideMark/>
          </w:tcPr>
          <w:p w14:paraId="53C47FCE" w14:textId="77777777" w:rsidR="006054AA" w:rsidRDefault="001F7667">
            <w:pPr>
              <w:pStyle w:val="P68B1DB1-Normal11"/>
              <w:spacing w:before="120" w:after="120"/>
              <w:jc w:val="center"/>
              <w:rPr>
                <w:rFonts w:eastAsia="Calibri"/>
                <w:noProof/>
              </w:rPr>
            </w:pPr>
            <w:r>
              <w:rPr>
                <w:noProof/>
              </w:rPr>
              <w:t>НЯМА</w:t>
            </w:r>
          </w:p>
        </w:tc>
        <w:tc>
          <w:tcPr>
            <w:tcW w:w="1474" w:type="dxa"/>
            <w:shd w:val="clear" w:color="auto" w:fill="C6EFCE"/>
            <w:noWrap/>
            <w:vAlign w:val="center"/>
            <w:hideMark/>
          </w:tcPr>
          <w:p w14:paraId="1154A29D" w14:textId="0E146BFA" w:rsidR="006054AA" w:rsidRDefault="001F7667">
            <w:pPr>
              <w:pStyle w:val="P68B1DB1-Normal11"/>
              <w:spacing w:before="120" w:after="120"/>
              <w:jc w:val="center"/>
              <w:rPr>
                <w:rFonts w:eastAsia="Calibri"/>
                <w:noProof/>
              </w:rPr>
            </w:pPr>
            <w:r>
              <w:rPr>
                <w:noProof/>
              </w:rPr>
              <w:t>Проценти</w:t>
            </w:r>
          </w:p>
        </w:tc>
        <w:tc>
          <w:tcPr>
            <w:tcW w:w="1092" w:type="dxa"/>
            <w:shd w:val="clear" w:color="auto" w:fill="C6EFCE"/>
            <w:noWrap/>
            <w:vAlign w:val="center"/>
            <w:hideMark/>
          </w:tcPr>
          <w:p w14:paraId="76EF1C00" w14:textId="77777777" w:rsidR="006054AA" w:rsidRDefault="001F7667">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4E122A54" w14:textId="77777777" w:rsidR="006054AA" w:rsidRDefault="001F7667">
            <w:pPr>
              <w:pStyle w:val="P68B1DB1-Normal11"/>
              <w:spacing w:before="120" w:after="120"/>
              <w:jc w:val="center"/>
              <w:rPr>
                <w:rFonts w:eastAsia="Calibri"/>
                <w:noProof/>
              </w:rPr>
            </w:pPr>
            <w:r>
              <w:rPr>
                <w:noProof/>
              </w:rPr>
              <w:t>85</w:t>
            </w:r>
          </w:p>
        </w:tc>
        <w:tc>
          <w:tcPr>
            <w:tcW w:w="1078" w:type="dxa"/>
            <w:shd w:val="clear" w:color="auto" w:fill="C6EFCE"/>
            <w:noWrap/>
            <w:vAlign w:val="center"/>
            <w:hideMark/>
          </w:tcPr>
          <w:p w14:paraId="29EEBBF2" w14:textId="77777777" w:rsidR="006054AA" w:rsidRDefault="001F7667">
            <w:pPr>
              <w:pStyle w:val="P68B1DB1-Normal11"/>
              <w:spacing w:before="120" w:after="120"/>
              <w:jc w:val="center"/>
              <w:rPr>
                <w:rFonts w:eastAsia="Calibri"/>
                <w:noProof/>
              </w:rPr>
            </w:pPr>
            <w:r>
              <w:rPr>
                <w:noProof/>
              </w:rPr>
              <w:t>Т1 Г.</w:t>
            </w:r>
          </w:p>
        </w:tc>
        <w:tc>
          <w:tcPr>
            <w:tcW w:w="755" w:type="dxa"/>
            <w:shd w:val="clear" w:color="auto" w:fill="C6EFCE"/>
            <w:noWrap/>
            <w:vAlign w:val="center"/>
            <w:hideMark/>
          </w:tcPr>
          <w:p w14:paraId="46AD0E2D" w14:textId="77777777" w:rsidR="006054AA" w:rsidRDefault="001F7667">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7805B753" w14:textId="77777777" w:rsidR="006054AA" w:rsidRDefault="001F7667">
            <w:pPr>
              <w:pStyle w:val="P68B1DB1-Normal11"/>
              <w:spacing w:before="120" w:after="120"/>
              <w:rPr>
                <w:rFonts w:eastAsia="Calibri"/>
                <w:noProof/>
              </w:rPr>
            </w:pPr>
            <w:r>
              <w:rPr>
                <w:noProof/>
              </w:rPr>
              <w:t>Най-малко 85 % от социалните райони постигат поне един от следните резултати: I) подкрепа за родителите на деца на възраст от 0 до 17 години, ii) самостоятелност на възрастните хора, iii) домашни услуги за възрастни хора или iv) облагодетелстване на социалните работници с цел предотвратяване на професионалното изчерпване.</w:t>
            </w:r>
          </w:p>
          <w:p w14:paraId="0E56E956" w14:textId="77777777" w:rsidR="006054AA" w:rsidRDefault="001F7667">
            <w:pPr>
              <w:pStyle w:val="P68B1DB1-Normal11"/>
              <w:spacing w:before="120" w:after="120"/>
              <w:rPr>
                <w:rFonts w:eastAsia="Calibri"/>
                <w:noProof/>
              </w:rPr>
            </w:pPr>
            <w:r>
              <w:rPr>
                <w:noProof/>
              </w:rPr>
              <w:t>85 % от италианските социални области участват в проекта.</w:t>
            </w:r>
          </w:p>
          <w:p w14:paraId="37423739" w14:textId="77777777" w:rsidR="006054AA" w:rsidRDefault="001F7667">
            <w:pPr>
              <w:pStyle w:val="P68B1DB1-Normal11"/>
              <w:spacing w:before="120" w:after="120"/>
              <w:rPr>
                <w:rFonts w:eastAsia="Calibri"/>
                <w:noProof/>
              </w:rPr>
            </w:pPr>
            <w:r>
              <w:rPr>
                <w:noProof/>
              </w:rPr>
              <w:t>Действията, предвидени по четирите измерения и съответните изисквания, са тези, определени в оперативния план, за активното приобщаване на уязвимите групи от населението, чието положение се влоши в резултат на извънредната епидемиологична ситуация във връзка с COVID-19.</w:t>
            </w:r>
          </w:p>
          <w:p w14:paraId="024D5B47" w14:textId="35B0E227" w:rsidR="006054AA" w:rsidRDefault="001F7667">
            <w:pPr>
              <w:pStyle w:val="P68B1DB1-Normal11"/>
              <w:spacing w:before="120" w:after="120"/>
              <w:rPr>
                <w:rFonts w:eastAsia="Calibri"/>
                <w:noProof/>
              </w:rPr>
            </w:pPr>
            <w:r>
              <w:rPr>
                <w:noProof/>
              </w:rPr>
              <w:t>Действието обхваща цялата национална територия. Очаква се да участват всички социални квартали, като стратегията е тези проекти да отворят пътя за стабилизиране на услугите чрез официално признаване на основно равнище на социално подпомагане, което да се предоставя на цялата територия.</w:t>
            </w:r>
          </w:p>
        </w:tc>
      </w:tr>
      <w:tr w:rsidR="006054AA" w14:paraId="51111E47" w14:textId="77777777">
        <w:trPr>
          <w:trHeight w:val="309"/>
          <w:jc w:val="center"/>
        </w:trPr>
        <w:tc>
          <w:tcPr>
            <w:tcW w:w="1648" w:type="dxa"/>
            <w:shd w:val="clear" w:color="auto" w:fill="C6EFCE"/>
            <w:noWrap/>
            <w:vAlign w:val="center"/>
            <w:hideMark/>
          </w:tcPr>
          <w:p w14:paraId="3BE55A08" w14:textId="77777777" w:rsidR="006054AA" w:rsidRDefault="001F7667">
            <w:pPr>
              <w:pStyle w:val="P68B1DB1-Normal11"/>
              <w:spacing w:before="120"/>
              <w:jc w:val="center"/>
              <w:rPr>
                <w:rFonts w:eastAsia="Calibri"/>
                <w:noProof/>
              </w:rPr>
            </w:pPr>
            <w:r>
              <w:rPr>
                <w:noProof/>
              </w:rPr>
              <w:t>M5C2—7</w:t>
            </w:r>
          </w:p>
        </w:tc>
        <w:tc>
          <w:tcPr>
            <w:tcW w:w="1908" w:type="dxa"/>
            <w:shd w:val="clear" w:color="auto" w:fill="C6EFCE"/>
            <w:noWrap/>
            <w:vAlign w:val="center"/>
            <w:hideMark/>
          </w:tcPr>
          <w:p w14:paraId="04160822" w14:textId="5FA5D401" w:rsidR="006054AA" w:rsidRDefault="001F7667">
            <w:pPr>
              <w:pStyle w:val="P68B1DB1-Normal11"/>
              <w:spacing w:before="120"/>
              <w:jc w:val="center"/>
              <w:rPr>
                <w:rFonts w:eastAsia="Calibri"/>
                <w:noProof/>
              </w:rPr>
            </w:pPr>
            <w:r>
              <w:rPr>
                <w:noProof/>
              </w:rPr>
              <w:t>Инвестиция 2 — Самостоятелни модели за хората с увреждания</w:t>
            </w:r>
          </w:p>
        </w:tc>
        <w:tc>
          <w:tcPr>
            <w:tcW w:w="1322" w:type="dxa"/>
            <w:shd w:val="clear" w:color="auto" w:fill="C6EFCE"/>
            <w:noWrap/>
            <w:vAlign w:val="center"/>
            <w:hideMark/>
          </w:tcPr>
          <w:p w14:paraId="5C42BA45" w14:textId="77777777" w:rsidR="006054AA" w:rsidRDefault="001F7667">
            <w:pPr>
              <w:pStyle w:val="P68B1DB1-Normal11"/>
              <w:spacing w:before="120" w:after="120"/>
              <w:jc w:val="center"/>
              <w:rPr>
                <w:rFonts w:eastAsia="Calibri"/>
                <w:noProof/>
              </w:rPr>
            </w:pPr>
            <w:r>
              <w:rPr>
                <w:noProof/>
              </w:rPr>
              <w:t>Целеви</w:t>
            </w:r>
          </w:p>
        </w:tc>
        <w:tc>
          <w:tcPr>
            <w:tcW w:w="1395" w:type="dxa"/>
            <w:shd w:val="clear" w:color="auto" w:fill="C6EFCE"/>
            <w:noWrap/>
            <w:vAlign w:val="center"/>
            <w:hideMark/>
          </w:tcPr>
          <w:p w14:paraId="06F0D292" w14:textId="77777777" w:rsidR="006054AA" w:rsidRDefault="001F7667">
            <w:pPr>
              <w:pStyle w:val="P68B1DB1-Normal11"/>
              <w:spacing w:before="120" w:after="120"/>
              <w:jc w:val="center"/>
              <w:rPr>
                <w:rFonts w:eastAsia="Calibri"/>
                <w:noProof/>
              </w:rPr>
            </w:pPr>
            <w:r>
              <w:rPr>
                <w:noProof/>
              </w:rPr>
              <w:t>Социалните квартали са осъществили поне един проект във връзка с обновяването на жилищни помещения и/или предоставянето на ИКТ устройства на хора с увреждания, придружен от обучение по цифрови умения</w:t>
            </w:r>
          </w:p>
        </w:tc>
        <w:tc>
          <w:tcPr>
            <w:tcW w:w="1476" w:type="dxa"/>
            <w:shd w:val="clear" w:color="auto" w:fill="C6EFCE"/>
            <w:noWrap/>
            <w:vAlign w:val="center"/>
            <w:hideMark/>
          </w:tcPr>
          <w:p w14:paraId="5FCAD4EC" w14:textId="77777777" w:rsidR="006054AA" w:rsidRDefault="001F7667">
            <w:pPr>
              <w:pStyle w:val="P68B1DB1-Normal11"/>
              <w:spacing w:before="120" w:after="120"/>
              <w:jc w:val="center"/>
              <w:rPr>
                <w:rFonts w:eastAsia="Calibri"/>
                <w:noProof/>
              </w:rPr>
            </w:pPr>
            <w:r>
              <w:rPr>
                <w:noProof/>
              </w:rPr>
              <w:t>НЯМА</w:t>
            </w:r>
          </w:p>
        </w:tc>
        <w:tc>
          <w:tcPr>
            <w:tcW w:w="1474" w:type="dxa"/>
            <w:shd w:val="clear" w:color="auto" w:fill="C6EFCE"/>
            <w:noWrap/>
            <w:vAlign w:val="center"/>
            <w:hideMark/>
          </w:tcPr>
          <w:p w14:paraId="0357502F" w14:textId="77777777" w:rsidR="006054AA" w:rsidRDefault="001F7667">
            <w:pPr>
              <w:pStyle w:val="P68B1DB1-Normal11"/>
              <w:spacing w:before="120" w:after="120"/>
              <w:jc w:val="center"/>
              <w:rPr>
                <w:rFonts w:eastAsia="Calibri"/>
                <w:noProof/>
              </w:rPr>
            </w:pPr>
            <w:r>
              <w:rPr>
                <w:noProof/>
              </w:rPr>
              <w:t>Брой</w:t>
            </w:r>
          </w:p>
        </w:tc>
        <w:tc>
          <w:tcPr>
            <w:tcW w:w="1092" w:type="dxa"/>
            <w:shd w:val="clear" w:color="auto" w:fill="C6EFCE"/>
            <w:noWrap/>
            <w:vAlign w:val="center"/>
            <w:hideMark/>
          </w:tcPr>
          <w:p w14:paraId="47ABC482" w14:textId="77777777" w:rsidR="006054AA" w:rsidRDefault="001F7667">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239E9A3A" w14:textId="77777777" w:rsidR="006054AA" w:rsidRDefault="001F7667">
            <w:pPr>
              <w:pStyle w:val="P68B1DB1-Normal11"/>
              <w:spacing w:before="120" w:after="120"/>
              <w:jc w:val="center"/>
              <w:rPr>
                <w:rFonts w:eastAsia="Calibri"/>
                <w:noProof/>
              </w:rPr>
            </w:pPr>
            <w:r>
              <w:rPr>
                <w:noProof/>
              </w:rPr>
              <w:t>500</w:t>
            </w:r>
          </w:p>
        </w:tc>
        <w:tc>
          <w:tcPr>
            <w:tcW w:w="1078" w:type="dxa"/>
            <w:shd w:val="clear" w:color="auto" w:fill="C6EFCE"/>
            <w:noWrap/>
            <w:vAlign w:val="center"/>
            <w:hideMark/>
          </w:tcPr>
          <w:p w14:paraId="168F653C" w14:textId="77777777" w:rsidR="006054AA" w:rsidRDefault="001F7667">
            <w:pPr>
              <w:pStyle w:val="P68B1DB1-Normal11"/>
              <w:spacing w:before="120" w:after="120"/>
              <w:jc w:val="center"/>
              <w:rPr>
                <w:rFonts w:eastAsia="Calibri"/>
                <w:noProof/>
              </w:rPr>
            </w:pPr>
            <w:r>
              <w:rPr>
                <w:noProof/>
              </w:rPr>
              <w:t>Т4 Г.</w:t>
            </w:r>
          </w:p>
        </w:tc>
        <w:tc>
          <w:tcPr>
            <w:tcW w:w="755" w:type="dxa"/>
            <w:shd w:val="clear" w:color="auto" w:fill="C6EFCE"/>
            <w:noWrap/>
            <w:vAlign w:val="center"/>
            <w:hideMark/>
          </w:tcPr>
          <w:p w14:paraId="162B7130" w14:textId="77777777" w:rsidR="006054AA" w:rsidRDefault="001F7667">
            <w:pPr>
              <w:pStyle w:val="P68B1DB1-Normal11"/>
              <w:spacing w:before="120" w:after="120"/>
              <w:jc w:val="center"/>
              <w:rPr>
                <w:rFonts w:eastAsia="Calibri"/>
                <w:noProof/>
              </w:rPr>
            </w:pPr>
            <w:r>
              <w:rPr>
                <w:noProof/>
              </w:rPr>
              <w:t>2022</w:t>
            </w:r>
          </w:p>
        </w:tc>
        <w:tc>
          <w:tcPr>
            <w:tcW w:w="5046" w:type="dxa"/>
            <w:shd w:val="clear" w:color="auto" w:fill="C6EFCE"/>
            <w:noWrap/>
            <w:vAlign w:val="center"/>
            <w:hideMark/>
          </w:tcPr>
          <w:p w14:paraId="1BA1EF5E" w14:textId="77777777" w:rsidR="006054AA" w:rsidRDefault="001F7667">
            <w:pPr>
              <w:pStyle w:val="P68B1DB1-Normal11"/>
              <w:spacing w:before="120" w:after="120"/>
              <w:rPr>
                <w:rFonts w:eastAsia="Calibri"/>
                <w:noProof/>
              </w:rPr>
            </w:pPr>
            <w:r>
              <w:rPr>
                <w:noProof/>
              </w:rPr>
              <w:t xml:space="preserve">Най-малко 500 проекта във връзка с обновяването на жилищни помещения и/или предоставянето на ИКТ устройства на хора с увреждания, придружени от обучение по цифрови умения, се изпълняват от социални райони. </w:t>
            </w:r>
          </w:p>
          <w:p w14:paraId="2E68B414" w14:textId="77777777" w:rsidR="006054AA" w:rsidRDefault="001F7667">
            <w:pPr>
              <w:pStyle w:val="P68B1DB1-Normal11"/>
              <w:spacing w:before="120" w:after="120"/>
              <w:rPr>
                <w:rFonts w:eastAsia="Calibri"/>
                <w:noProof/>
              </w:rPr>
            </w:pPr>
            <w:r>
              <w:rPr>
                <w:noProof/>
              </w:rPr>
              <w:t>Задоволителното изпълнение на целта зависи и от задоволителното изпълнение на вторична цел: най-малко 500 социални района са изпълнили поне един проект във връзка с обновяването на жилищни помещения и/или предоставянето на ИКТ устройства на хора с увреждания, придружен от обучение по цифрови умения.</w:t>
            </w:r>
          </w:p>
          <w:p w14:paraId="01D12F52" w14:textId="77777777" w:rsidR="006054AA" w:rsidRDefault="001F7667">
            <w:pPr>
              <w:pStyle w:val="P68B1DB1-Normal11"/>
              <w:spacing w:before="120" w:after="120"/>
              <w:rPr>
                <w:rFonts w:eastAsia="Calibri"/>
                <w:noProof/>
              </w:rPr>
            </w:pPr>
            <w:r>
              <w:rPr>
                <w:noProof/>
              </w:rPr>
              <w:t>Изпълнение на поне един проект от най-малко 500 социални квартала, които са участвали в несъстезателната процедура.</w:t>
            </w:r>
          </w:p>
        </w:tc>
      </w:tr>
      <w:tr w:rsidR="006054AA" w14:paraId="2EB13AC9" w14:textId="77777777">
        <w:trPr>
          <w:trHeight w:val="309"/>
          <w:jc w:val="center"/>
        </w:trPr>
        <w:tc>
          <w:tcPr>
            <w:tcW w:w="1648" w:type="dxa"/>
            <w:shd w:val="clear" w:color="auto" w:fill="C6EFCE"/>
            <w:noWrap/>
            <w:vAlign w:val="center"/>
            <w:hideMark/>
          </w:tcPr>
          <w:p w14:paraId="1967F6D3" w14:textId="32749780" w:rsidR="006054AA" w:rsidRDefault="001F7667">
            <w:pPr>
              <w:pStyle w:val="P68B1DB1-Normal11"/>
              <w:spacing w:before="120"/>
              <w:jc w:val="center"/>
              <w:rPr>
                <w:rFonts w:eastAsia="Calibri"/>
                <w:noProof/>
              </w:rPr>
            </w:pPr>
            <w:r>
              <w:rPr>
                <w:noProof/>
              </w:rPr>
              <w:t>M5C2—8</w:t>
            </w:r>
          </w:p>
        </w:tc>
        <w:tc>
          <w:tcPr>
            <w:tcW w:w="1908" w:type="dxa"/>
            <w:shd w:val="clear" w:color="auto" w:fill="C6EFCE"/>
            <w:noWrap/>
            <w:vAlign w:val="center"/>
            <w:hideMark/>
          </w:tcPr>
          <w:p w14:paraId="4474BB25" w14:textId="77777777" w:rsidR="006054AA" w:rsidRDefault="001F7667">
            <w:pPr>
              <w:pStyle w:val="P68B1DB1-Normal11"/>
              <w:spacing w:before="120" w:after="120"/>
              <w:jc w:val="center"/>
              <w:rPr>
                <w:rFonts w:eastAsia="Calibri"/>
                <w:noProof/>
              </w:rPr>
            </w:pPr>
            <w:r>
              <w:rPr>
                <w:noProof/>
              </w:rPr>
              <w:t>Инвестиция 2 — Самостоятелни модели за хората с увреждания</w:t>
            </w:r>
          </w:p>
        </w:tc>
        <w:tc>
          <w:tcPr>
            <w:tcW w:w="1322" w:type="dxa"/>
            <w:shd w:val="clear" w:color="auto" w:fill="C6EFCE"/>
            <w:noWrap/>
            <w:vAlign w:val="center"/>
            <w:hideMark/>
          </w:tcPr>
          <w:p w14:paraId="4D3C40A6" w14:textId="77777777" w:rsidR="006054AA" w:rsidRDefault="001F7667">
            <w:pPr>
              <w:pStyle w:val="P68B1DB1-Normal11"/>
              <w:spacing w:before="120" w:after="120"/>
              <w:jc w:val="center"/>
              <w:rPr>
                <w:rFonts w:eastAsia="Calibri"/>
                <w:noProof/>
              </w:rPr>
            </w:pPr>
            <w:r>
              <w:rPr>
                <w:noProof/>
              </w:rPr>
              <w:t>Целеви</w:t>
            </w:r>
          </w:p>
        </w:tc>
        <w:tc>
          <w:tcPr>
            <w:tcW w:w="1395" w:type="dxa"/>
            <w:shd w:val="clear" w:color="auto" w:fill="C6EFCE"/>
            <w:noWrap/>
            <w:vAlign w:val="center"/>
            <w:hideMark/>
          </w:tcPr>
          <w:p w14:paraId="1B8901B7" w14:textId="77777777" w:rsidR="006054AA" w:rsidRDefault="001F7667">
            <w:pPr>
              <w:pStyle w:val="P68B1DB1-Normal11"/>
              <w:spacing w:before="120" w:after="120"/>
              <w:jc w:val="center"/>
              <w:rPr>
                <w:rFonts w:eastAsia="Calibri"/>
                <w:noProof/>
              </w:rPr>
            </w:pPr>
            <w:r>
              <w:rPr>
                <w:noProof/>
              </w:rPr>
              <w:t>Хората с увреждания получиха ремонт на домашното пространство и/или предоставяне на ИКТ устройства. Услугите се придружават от обучение по цифрови умения.</w:t>
            </w:r>
          </w:p>
        </w:tc>
        <w:tc>
          <w:tcPr>
            <w:tcW w:w="1476" w:type="dxa"/>
            <w:shd w:val="clear" w:color="auto" w:fill="C6EFCE"/>
            <w:noWrap/>
            <w:vAlign w:val="center"/>
            <w:hideMark/>
          </w:tcPr>
          <w:p w14:paraId="7213820C" w14:textId="77777777" w:rsidR="006054AA" w:rsidRDefault="001F7667">
            <w:pPr>
              <w:pStyle w:val="P68B1DB1-Normal11"/>
              <w:spacing w:before="120" w:after="120"/>
              <w:jc w:val="center"/>
              <w:rPr>
                <w:rFonts w:eastAsia="Calibri"/>
                <w:noProof/>
              </w:rPr>
            </w:pPr>
            <w:r>
              <w:rPr>
                <w:noProof/>
              </w:rPr>
              <w:t>НЯМА</w:t>
            </w:r>
          </w:p>
        </w:tc>
        <w:tc>
          <w:tcPr>
            <w:tcW w:w="1474" w:type="dxa"/>
            <w:shd w:val="clear" w:color="auto" w:fill="C6EFCE"/>
            <w:noWrap/>
            <w:vAlign w:val="center"/>
            <w:hideMark/>
          </w:tcPr>
          <w:p w14:paraId="71710BE1" w14:textId="77777777" w:rsidR="006054AA" w:rsidRDefault="001F7667">
            <w:pPr>
              <w:pStyle w:val="P68B1DB1-Normal11"/>
              <w:spacing w:before="120" w:after="120"/>
              <w:jc w:val="center"/>
              <w:rPr>
                <w:rFonts w:eastAsia="Calibri"/>
                <w:noProof/>
              </w:rPr>
            </w:pPr>
            <w:r>
              <w:rPr>
                <w:noProof/>
              </w:rPr>
              <w:t>Брой</w:t>
            </w:r>
          </w:p>
        </w:tc>
        <w:tc>
          <w:tcPr>
            <w:tcW w:w="1092" w:type="dxa"/>
            <w:shd w:val="clear" w:color="auto" w:fill="C6EFCE"/>
            <w:noWrap/>
            <w:vAlign w:val="center"/>
            <w:hideMark/>
          </w:tcPr>
          <w:p w14:paraId="18E1AAF4" w14:textId="63A412B9" w:rsidR="006054AA" w:rsidRDefault="001F7667">
            <w:pPr>
              <w:pStyle w:val="P68B1DB1-Normal11"/>
              <w:spacing w:before="120" w:after="120"/>
              <w:jc w:val="center"/>
              <w:rPr>
                <w:rFonts w:eastAsia="Calibri"/>
                <w:noProof/>
              </w:rPr>
            </w:pPr>
            <w:r>
              <w:rPr>
                <w:noProof/>
              </w:rPr>
              <w:t>1 000</w:t>
            </w:r>
          </w:p>
        </w:tc>
        <w:tc>
          <w:tcPr>
            <w:tcW w:w="775" w:type="dxa"/>
            <w:shd w:val="clear" w:color="auto" w:fill="C6EFCE"/>
            <w:noWrap/>
            <w:vAlign w:val="center"/>
            <w:hideMark/>
          </w:tcPr>
          <w:p w14:paraId="246821FE" w14:textId="4BD68EB8" w:rsidR="006054AA" w:rsidRDefault="001F7667">
            <w:pPr>
              <w:pStyle w:val="P68B1DB1-Normal11"/>
              <w:spacing w:before="120" w:after="120"/>
              <w:jc w:val="center"/>
              <w:rPr>
                <w:rFonts w:eastAsia="Calibri"/>
                <w:noProof/>
              </w:rPr>
            </w:pPr>
            <w:r>
              <w:rPr>
                <w:noProof/>
              </w:rPr>
              <w:t>5 000</w:t>
            </w:r>
          </w:p>
        </w:tc>
        <w:tc>
          <w:tcPr>
            <w:tcW w:w="1078" w:type="dxa"/>
            <w:shd w:val="clear" w:color="auto" w:fill="C6EFCE"/>
            <w:noWrap/>
            <w:vAlign w:val="center"/>
            <w:hideMark/>
          </w:tcPr>
          <w:p w14:paraId="49ECCE76" w14:textId="77777777" w:rsidR="006054AA" w:rsidRDefault="001F7667">
            <w:pPr>
              <w:pStyle w:val="P68B1DB1-Normal11"/>
              <w:spacing w:before="120" w:after="120"/>
              <w:jc w:val="center"/>
              <w:rPr>
                <w:rFonts w:eastAsia="Calibri"/>
                <w:noProof/>
              </w:rPr>
            </w:pPr>
            <w:r>
              <w:rPr>
                <w:noProof/>
              </w:rPr>
              <w:t>Т1 Г.</w:t>
            </w:r>
          </w:p>
        </w:tc>
        <w:tc>
          <w:tcPr>
            <w:tcW w:w="755" w:type="dxa"/>
            <w:shd w:val="clear" w:color="auto" w:fill="C6EFCE"/>
            <w:noWrap/>
            <w:vAlign w:val="center"/>
            <w:hideMark/>
          </w:tcPr>
          <w:p w14:paraId="1CB95FC2" w14:textId="77777777" w:rsidR="006054AA" w:rsidRDefault="001F7667">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0E9B559E" w14:textId="524B0A4C" w:rsidR="006054AA" w:rsidRDefault="001F7667">
            <w:pPr>
              <w:pStyle w:val="P68B1DB1-Normal11"/>
              <w:spacing w:before="120" w:after="120"/>
              <w:rPr>
                <w:rFonts w:eastAsia="Calibri"/>
                <w:noProof/>
              </w:rPr>
            </w:pPr>
            <w:r>
              <w:rPr>
                <w:noProof/>
              </w:rPr>
              <w:t>Най-малко 5 000 души с увреждания са получили ремонт на домашно пространство и/или осигуряване на ИКТ устройства. Услугите се придружават от обучение по цифрови умения.</w:t>
            </w:r>
          </w:p>
          <w:p w14:paraId="78305474" w14:textId="6C2F69A7" w:rsidR="006054AA" w:rsidRDefault="001F7667">
            <w:pPr>
              <w:pStyle w:val="P68B1DB1-Normal11"/>
              <w:spacing w:before="120" w:after="120"/>
              <w:rPr>
                <w:rFonts w:eastAsia="Calibri"/>
                <w:noProof/>
              </w:rPr>
            </w:pPr>
            <w:r>
              <w:rPr>
                <w:noProof/>
              </w:rPr>
              <w:t>Обхващане на най-малко 5 000 души (1 000 съществуващи плюс 4 000 нови) с увреждания като получатели на интервенциите, извършени от ТП.</w:t>
            </w:r>
          </w:p>
          <w:p w14:paraId="7124DFF9" w14:textId="77777777" w:rsidR="006054AA" w:rsidRDefault="001F7667">
            <w:pPr>
              <w:pStyle w:val="P68B1DB1-Normal11"/>
              <w:spacing w:before="120" w:after="120"/>
              <w:rPr>
                <w:rFonts w:eastAsia="Calibri"/>
                <w:noProof/>
              </w:rPr>
            </w:pPr>
            <w:r>
              <w:rPr>
                <w:noProof/>
              </w:rPr>
              <w:t>Определението за хора с увреждания (въз основа на ICF) е посочено в националния план за хората с увреждания от 2019 г. Насоки за проекта за автономност на хората с увреждания вече са разработени в резултат на предишни проекти. Одобряването на специален закон № 112/2016 и създаването на специален национален фонд за дейността обхващат цялата национална територия. Всички социални квартали трябва да бъдат привлечени за участие, като стратегията е тези проекти да отворят пътя за стабилизиране на услугите чрез официално признаване на основно равнище на социално подпомагане, което да се предоставя на цялата територия.</w:t>
            </w:r>
          </w:p>
        </w:tc>
      </w:tr>
      <w:tr w:rsidR="006054AA" w14:paraId="724EC830" w14:textId="77777777">
        <w:trPr>
          <w:trHeight w:val="309"/>
          <w:jc w:val="center"/>
        </w:trPr>
        <w:tc>
          <w:tcPr>
            <w:tcW w:w="1648" w:type="dxa"/>
            <w:shd w:val="clear" w:color="auto" w:fill="C6EFCE"/>
            <w:noWrap/>
            <w:vAlign w:val="center"/>
            <w:hideMark/>
          </w:tcPr>
          <w:p w14:paraId="1E9B8DBD" w14:textId="120B912F" w:rsidR="006054AA" w:rsidRDefault="001F7667">
            <w:pPr>
              <w:pStyle w:val="P68B1DB1-Normal11"/>
              <w:spacing w:before="120"/>
              <w:jc w:val="center"/>
              <w:rPr>
                <w:rFonts w:eastAsia="Calibri"/>
                <w:noProof/>
              </w:rPr>
            </w:pPr>
            <w:r>
              <w:rPr>
                <w:noProof/>
              </w:rPr>
              <w:t>M5C2—9</w:t>
            </w:r>
          </w:p>
        </w:tc>
        <w:tc>
          <w:tcPr>
            <w:tcW w:w="1908" w:type="dxa"/>
            <w:shd w:val="clear" w:color="auto" w:fill="C6EFCE"/>
            <w:noWrap/>
            <w:vAlign w:val="center"/>
            <w:hideMark/>
          </w:tcPr>
          <w:p w14:paraId="50994C79" w14:textId="77777777" w:rsidR="006054AA" w:rsidRDefault="001F7667">
            <w:pPr>
              <w:pStyle w:val="P68B1DB1-Normal11"/>
              <w:spacing w:before="120" w:after="120"/>
              <w:jc w:val="center"/>
              <w:rPr>
                <w:rFonts w:eastAsia="Calibri"/>
                <w:noProof/>
              </w:rPr>
            </w:pPr>
            <w:r>
              <w:rPr>
                <w:noProof/>
              </w:rPr>
              <w:t>Инвестиция 3 — Жилищни първи и пощенски станции</w:t>
            </w:r>
          </w:p>
        </w:tc>
        <w:tc>
          <w:tcPr>
            <w:tcW w:w="1322" w:type="dxa"/>
            <w:shd w:val="clear" w:color="auto" w:fill="C6EFCE"/>
            <w:noWrap/>
            <w:vAlign w:val="center"/>
            <w:hideMark/>
          </w:tcPr>
          <w:p w14:paraId="24179C5E" w14:textId="77777777" w:rsidR="006054AA" w:rsidRDefault="001F7667">
            <w:pPr>
              <w:pStyle w:val="P68B1DB1-Normal11"/>
              <w:spacing w:before="120" w:after="120"/>
              <w:jc w:val="center"/>
              <w:rPr>
                <w:rFonts w:eastAsia="Calibri"/>
                <w:noProof/>
              </w:rPr>
            </w:pPr>
            <w:r>
              <w:rPr>
                <w:noProof/>
              </w:rPr>
              <w:t>Ключов етап</w:t>
            </w:r>
          </w:p>
        </w:tc>
        <w:tc>
          <w:tcPr>
            <w:tcW w:w="1395" w:type="dxa"/>
            <w:shd w:val="clear" w:color="auto" w:fill="C6EFCE"/>
            <w:noWrap/>
            <w:vAlign w:val="center"/>
            <w:hideMark/>
          </w:tcPr>
          <w:p w14:paraId="38D696E5" w14:textId="77777777" w:rsidR="006054AA" w:rsidRDefault="001F7667">
            <w:pPr>
              <w:pStyle w:val="P68B1DB1-Normal11"/>
              <w:spacing w:before="120" w:after="120"/>
              <w:jc w:val="center"/>
              <w:rPr>
                <w:rFonts w:eastAsia="Calibri"/>
                <w:noProof/>
              </w:rPr>
            </w:pPr>
            <w:r>
              <w:rPr>
                <w:noProof/>
              </w:rPr>
              <w:t>Влизане в сила на оперативния план по отношение на проекти за жилищно настаняване на първа и пощенска станция, определяне на изискванията за проекти, които могат да бъдат представяни от местните органи, и отправяне на покана за представяне на предложения</w:t>
            </w:r>
          </w:p>
        </w:tc>
        <w:tc>
          <w:tcPr>
            <w:tcW w:w="1476" w:type="dxa"/>
            <w:shd w:val="clear" w:color="auto" w:fill="C6EFCE"/>
            <w:noWrap/>
            <w:vAlign w:val="center"/>
            <w:hideMark/>
          </w:tcPr>
          <w:p w14:paraId="1B679361" w14:textId="77777777" w:rsidR="006054AA" w:rsidRDefault="001F7667">
            <w:pPr>
              <w:pStyle w:val="P68B1DB1-Normal11"/>
              <w:spacing w:before="120" w:after="120"/>
              <w:jc w:val="center"/>
              <w:rPr>
                <w:rFonts w:eastAsia="Calibri"/>
                <w:noProof/>
              </w:rPr>
            </w:pPr>
            <w:r>
              <w:rPr>
                <w:noProof/>
              </w:rPr>
              <w:t>Разпоредби в закона, указващи влизането в сила на оперативния план за интервенциите</w:t>
            </w:r>
          </w:p>
        </w:tc>
        <w:tc>
          <w:tcPr>
            <w:tcW w:w="1474" w:type="dxa"/>
            <w:shd w:val="clear" w:color="auto" w:fill="C6EFCE"/>
            <w:noWrap/>
            <w:vAlign w:val="center"/>
            <w:hideMark/>
          </w:tcPr>
          <w:p w14:paraId="6F8DAEF3" w14:textId="77777777" w:rsidR="006054AA" w:rsidRDefault="001F7667">
            <w:pPr>
              <w:pStyle w:val="P68B1DB1-Normal11"/>
              <w:spacing w:before="120" w:after="120"/>
              <w:jc w:val="center"/>
              <w:rPr>
                <w:rFonts w:eastAsia="Calibri"/>
                <w:noProof/>
              </w:rPr>
            </w:pPr>
            <w:r>
              <w:rPr>
                <w:noProof/>
              </w:rPr>
              <w:t>НЯМА</w:t>
            </w:r>
          </w:p>
        </w:tc>
        <w:tc>
          <w:tcPr>
            <w:tcW w:w="1092" w:type="dxa"/>
            <w:shd w:val="clear" w:color="auto" w:fill="C6EFCE"/>
            <w:noWrap/>
            <w:vAlign w:val="center"/>
            <w:hideMark/>
          </w:tcPr>
          <w:p w14:paraId="297DA1C1" w14:textId="77777777" w:rsidR="006054AA" w:rsidRDefault="001F7667">
            <w:pPr>
              <w:pStyle w:val="P68B1DB1-Normal11"/>
              <w:spacing w:before="120" w:after="120"/>
              <w:jc w:val="center"/>
              <w:rPr>
                <w:rFonts w:eastAsia="Calibri"/>
                <w:noProof/>
              </w:rPr>
            </w:pPr>
            <w:r>
              <w:rPr>
                <w:noProof/>
              </w:rPr>
              <w:t>НЯМА</w:t>
            </w:r>
          </w:p>
        </w:tc>
        <w:tc>
          <w:tcPr>
            <w:tcW w:w="775" w:type="dxa"/>
            <w:shd w:val="clear" w:color="auto" w:fill="C6EFCE"/>
            <w:noWrap/>
            <w:vAlign w:val="center"/>
            <w:hideMark/>
          </w:tcPr>
          <w:p w14:paraId="53B33E28" w14:textId="77777777" w:rsidR="006054AA" w:rsidRDefault="001F7667">
            <w:pPr>
              <w:pStyle w:val="P68B1DB1-Normal11"/>
              <w:spacing w:before="120" w:after="120"/>
              <w:jc w:val="center"/>
              <w:rPr>
                <w:rFonts w:eastAsia="Calibri"/>
                <w:noProof/>
              </w:rPr>
            </w:pPr>
            <w:r>
              <w:rPr>
                <w:noProof/>
              </w:rPr>
              <w:t>НЯМА</w:t>
            </w:r>
          </w:p>
        </w:tc>
        <w:tc>
          <w:tcPr>
            <w:tcW w:w="1078" w:type="dxa"/>
            <w:shd w:val="clear" w:color="auto" w:fill="C6EFCE"/>
            <w:noWrap/>
            <w:vAlign w:val="center"/>
            <w:hideMark/>
          </w:tcPr>
          <w:p w14:paraId="1E646497" w14:textId="77777777" w:rsidR="006054AA" w:rsidRDefault="001F7667">
            <w:pPr>
              <w:pStyle w:val="P68B1DB1-Normal11"/>
              <w:spacing w:before="120" w:after="120"/>
              <w:jc w:val="center"/>
              <w:rPr>
                <w:rFonts w:eastAsia="Calibri"/>
                <w:noProof/>
              </w:rPr>
            </w:pPr>
            <w:r>
              <w:rPr>
                <w:noProof/>
              </w:rPr>
              <w:t>Т1 Г.</w:t>
            </w:r>
          </w:p>
        </w:tc>
        <w:tc>
          <w:tcPr>
            <w:tcW w:w="755" w:type="dxa"/>
            <w:shd w:val="clear" w:color="auto" w:fill="C6EFCE"/>
            <w:noWrap/>
            <w:vAlign w:val="center"/>
            <w:hideMark/>
          </w:tcPr>
          <w:p w14:paraId="0C73C974" w14:textId="77777777" w:rsidR="006054AA" w:rsidRDefault="001F7667">
            <w:pPr>
              <w:pStyle w:val="P68B1DB1-Normal11"/>
              <w:spacing w:before="120" w:after="120"/>
              <w:jc w:val="center"/>
              <w:rPr>
                <w:rFonts w:eastAsia="Calibri"/>
                <w:noProof/>
              </w:rPr>
            </w:pPr>
            <w:r>
              <w:rPr>
                <w:noProof/>
              </w:rPr>
              <w:t>2022</w:t>
            </w:r>
          </w:p>
        </w:tc>
        <w:tc>
          <w:tcPr>
            <w:tcW w:w="5046" w:type="dxa"/>
            <w:shd w:val="clear" w:color="auto" w:fill="C6EFCE"/>
            <w:noWrap/>
            <w:vAlign w:val="center"/>
            <w:hideMark/>
          </w:tcPr>
          <w:p w14:paraId="51041D63" w14:textId="77777777" w:rsidR="006054AA" w:rsidRDefault="001F7667">
            <w:pPr>
              <w:pStyle w:val="P68B1DB1-Normal11"/>
              <w:spacing w:before="120" w:after="120"/>
              <w:rPr>
                <w:rFonts w:eastAsia="Calibri"/>
                <w:noProof/>
              </w:rPr>
            </w:pPr>
            <w:r>
              <w:rPr>
                <w:noProof/>
              </w:rPr>
              <w:t>В оперативния план по отношение на проектите за жилищно настаняване на първо място и пощенски станции се определят изискванията за проектите, които могат да бъдат представени от местните органи, и се отправя покана за представяне на предложения.</w:t>
            </w:r>
          </w:p>
          <w:p w14:paraId="25E84C4A" w14:textId="77777777" w:rsidR="006054AA" w:rsidRDefault="001F7667">
            <w:pPr>
              <w:pStyle w:val="P68B1DB1-Normal11"/>
              <w:spacing w:before="120" w:after="120"/>
              <w:rPr>
                <w:rFonts w:eastAsia="Calibri"/>
                <w:noProof/>
              </w:rPr>
            </w:pPr>
            <w:r>
              <w:rPr>
                <w:noProof/>
              </w:rPr>
              <w:t>В проектите „Жилище преди всичко“ се предвижда местните структури да предоставят апартаменти за отделни лица, малки групи или семейства до 24 месеца, за предпочитане чрез обновяване на сгради и обновяване на държавна собственост. Това се допълва от програми за развитие и автономност.</w:t>
            </w:r>
          </w:p>
          <w:p w14:paraId="5BC366E2" w14:textId="77777777" w:rsidR="006054AA" w:rsidRDefault="001F7667">
            <w:pPr>
              <w:pStyle w:val="P68B1DB1-Normal11"/>
              <w:spacing w:before="120" w:after="120"/>
              <w:rPr>
                <w:rFonts w:eastAsia="Calibri"/>
                <w:noProof/>
              </w:rPr>
            </w:pPr>
            <w:r>
              <w:rPr>
                <w:noProof/>
              </w:rPr>
              <w:t>Проектите за пощенски станции предвиждат развитието на центрове за обслужване и приобщаване на бездомни хора. Това се допълва от програми за намиране на работа в сътрудничество с центровете по заетостта.</w:t>
            </w:r>
          </w:p>
        </w:tc>
      </w:tr>
      <w:tr w:rsidR="006054AA" w14:paraId="4B9D7946" w14:textId="77777777">
        <w:trPr>
          <w:trHeight w:val="309"/>
          <w:jc w:val="center"/>
        </w:trPr>
        <w:tc>
          <w:tcPr>
            <w:tcW w:w="1648" w:type="dxa"/>
            <w:shd w:val="clear" w:color="auto" w:fill="C6EFCE"/>
            <w:noWrap/>
            <w:vAlign w:val="center"/>
            <w:hideMark/>
          </w:tcPr>
          <w:p w14:paraId="0DE04CD2" w14:textId="525818FB" w:rsidR="006054AA" w:rsidRDefault="001F7667">
            <w:pPr>
              <w:pStyle w:val="P68B1DB1-Normal11"/>
              <w:spacing w:before="120"/>
              <w:jc w:val="center"/>
              <w:rPr>
                <w:rFonts w:eastAsia="Calibri"/>
                <w:noProof/>
              </w:rPr>
            </w:pPr>
            <w:r>
              <w:rPr>
                <w:noProof/>
              </w:rPr>
              <w:t>M5C2—10</w:t>
            </w:r>
          </w:p>
        </w:tc>
        <w:tc>
          <w:tcPr>
            <w:tcW w:w="1908" w:type="dxa"/>
            <w:shd w:val="clear" w:color="auto" w:fill="C6EFCE"/>
            <w:noWrap/>
            <w:vAlign w:val="center"/>
            <w:hideMark/>
          </w:tcPr>
          <w:p w14:paraId="70EFC763" w14:textId="77777777" w:rsidR="006054AA" w:rsidRDefault="001F7667">
            <w:pPr>
              <w:pStyle w:val="P68B1DB1-Normal11"/>
              <w:spacing w:before="120" w:after="120"/>
              <w:jc w:val="center"/>
              <w:rPr>
                <w:rFonts w:eastAsia="Calibri"/>
                <w:noProof/>
              </w:rPr>
            </w:pPr>
            <w:r>
              <w:rPr>
                <w:noProof/>
              </w:rPr>
              <w:t>Инвестиция 3 — Жилищни първи и пощенски станции</w:t>
            </w:r>
          </w:p>
        </w:tc>
        <w:tc>
          <w:tcPr>
            <w:tcW w:w="1322" w:type="dxa"/>
            <w:shd w:val="clear" w:color="auto" w:fill="C6EFCE"/>
            <w:noWrap/>
            <w:vAlign w:val="center"/>
            <w:hideMark/>
          </w:tcPr>
          <w:p w14:paraId="39C11C86" w14:textId="77777777" w:rsidR="006054AA" w:rsidRDefault="001F7667">
            <w:pPr>
              <w:pStyle w:val="P68B1DB1-Normal11"/>
              <w:spacing w:before="120" w:after="120"/>
              <w:jc w:val="center"/>
              <w:rPr>
                <w:rFonts w:eastAsia="Calibri"/>
                <w:noProof/>
              </w:rPr>
            </w:pPr>
            <w:r>
              <w:rPr>
                <w:noProof/>
              </w:rPr>
              <w:t>Целеви</w:t>
            </w:r>
          </w:p>
        </w:tc>
        <w:tc>
          <w:tcPr>
            <w:tcW w:w="1395" w:type="dxa"/>
            <w:shd w:val="clear" w:color="auto" w:fill="C6EFCE"/>
            <w:noWrap/>
            <w:vAlign w:val="center"/>
            <w:hideMark/>
          </w:tcPr>
          <w:p w14:paraId="40700863" w14:textId="77777777" w:rsidR="006054AA" w:rsidRDefault="001F7667">
            <w:pPr>
              <w:pStyle w:val="P68B1DB1-Normal11"/>
              <w:spacing w:before="120" w:after="120"/>
              <w:jc w:val="center"/>
              <w:rPr>
                <w:rFonts w:eastAsia="Calibri"/>
                <w:noProof/>
              </w:rPr>
            </w:pPr>
            <w:r>
              <w:rPr>
                <w:noProof/>
              </w:rPr>
              <w:t>Хората, живеещи в тежки материални лишения, поемат отговорност за проекти „Жилище преди всичко“ в продължение на най-малко шест месеца и пощенски станции</w:t>
            </w:r>
          </w:p>
        </w:tc>
        <w:tc>
          <w:tcPr>
            <w:tcW w:w="1476" w:type="dxa"/>
            <w:shd w:val="clear" w:color="auto" w:fill="C6EFCE"/>
            <w:noWrap/>
            <w:vAlign w:val="center"/>
            <w:hideMark/>
          </w:tcPr>
          <w:p w14:paraId="24FE9149" w14:textId="77777777" w:rsidR="006054AA" w:rsidRDefault="001F7667">
            <w:pPr>
              <w:pStyle w:val="P68B1DB1-Normal11"/>
              <w:spacing w:before="120" w:after="120"/>
              <w:jc w:val="center"/>
              <w:rPr>
                <w:rFonts w:eastAsia="Calibri"/>
                <w:noProof/>
              </w:rPr>
            </w:pPr>
            <w:r>
              <w:rPr>
                <w:noProof/>
              </w:rPr>
              <w:t>НЯМА</w:t>
            </w:r>
          </w:p>
        </w:tc>
        <w:tc>
          <w:tcPr>
            <w:tcW w:w="1474" w:type="dxa"/>
            <w:shd w:val="clear" w:color="auto" w:fill="C6EFCE"/>
            <w:noWrap/>
            <w:vAlign w:val="center"/>
            <w:hideMark/>
          </w:tcPr>
          <w:p w14:paraId="551876C2" w14:textId="77777777" w:rsidR="006054AA" w:rsidRDefault="001F7667">
            <w:pPr>
              <w:pStyle w:val="P68B1DB1-Normal11"/>
              <w:spacing w:before="120" w:after="120"/>
              <w:jc w:val="center"/>
              <w:rPr>
                <w:rFonts w:eastAsia="Calibri"/>
                <w:noProof/>
              </w:rPr>
            </w:pPr>
            <w:r>
              <w:rPr>
                <w:noProof/>
              </w:rPr>
              <w:t>Брой</w:t>
            </w:r>
          </w:p>
        </w:tc>
        <w:tc>
          <w:tcPr>
            <w:tcW w:w="1092" w:type="dxa"/>
            <w:shd w:val="clear" w:color="auto" w:fill="C6EFCE"/>
            <w:noWrap/>
            <w:vAlign w:val="center"/>
            <w:hideMark/>
          </w:tcPr>
          <w:p w14:paraId="2690D721" w14:textId="77777777" w:rsidR="006054AA" w:rsidRDefault="001F7667">
            <w:pPr>
              <w:pStyle w:val="P68B1DB1-Normal11"/>
              <w:spacing w:before="120" w:after="120"/>
              <w:jc w:val="center"/>
              <w:rPr>
                <w:rFonts w:eastAsia="Calibri"/>
                <w:noProof/>
              </w:rPr>
            </w:pPr>
            <w:r>
              <w:rPr>
                <w:noProof/>
              </w:rPr>
              <w:t>0</w:t>
            </w:r>
          </w:p>
        </w:tc>
        <w:tc>
          <w:tcPr>
            <w:tcW w:w="775" w:type="dxa"/>
            <w:shd w:val="clear" w:color="auto" w:fill="C6EFCE"/>
            <w:noWrap/>
            <w:vAlign w:val="center"/>
            <w:hideMark/>
          </w:tcPr>
          <w:p w14:paraId="1D99E0FC" w14:textId="5ACFD6FD" w:rsidR="006054AA" w:rsidRDefault="001F7667">
            <w:pPr>
              <w:pStyle w:val="P68B1DB1-Normal11"/>
              <w:spacing w:before="120" w:after="120"/>
              <w:jc w:val="center"/>
              <w:rPr>
                <w:rFonts w:eastAsia="Calibri"/>
                <w:noProof/>
              </w:rPr>
            </w:pPr>
            <w:r>
              <w:rPr>
                <w:noProof/>
              </w:rPr>
              <w:t>25 000</w:t>
            </w:r>
          </w:p>
        </w:tc>
        <w:tc>
          <w:tcPr>
            <w:tcW w:w="1078" w:type="dxa"/>
            <w:shd w:val="clear" w:color="auto" w:fill="C6EFCE"/>
            <w:noWrap/>
            <w:vAlign w:val="center"/>
            <w:hideMark/>
          </w:tcPr>
          <w:p w14:paraId="3358EEC7" w14:textId="77777777" w:rsidR="006054AA" w:rsidRDefault="001F7667">
            <w:pPr>
              <w:pStyle w:val="P68B1DB1-Normal11"/>
              <w:spacing w:before="120" w:after="120"/>
              <w:jc w:val="center"/>
              <w:rPr>
                <w:rFonts w:eastAsia="Calibri"/>
                <w:noProof/>
              </w:rPr>
            </w:pPr>
            <w:r>
              <w:rPr>
                <w:noProof/>
              </w:rPr>
              <w:t>Т1 Г.</w:t>
            </w:r>
          </w:p>
        </w:tc>
        <w:tc>
          <w:tcPr>
            <w:tcW w:w="755" w:type="dxa"/>
            <w:shd w:val="clear" w:color="auto" w:fill="C6EFCE"/>
            <w:noWrap/>
            <w:vAlign w:val="center"/>
            <w:hideMark/>
          </w:tcPr>
          <w:p w14:paraId="75CD09DA" w14:textId="77777777" w:rsidR="006054AA" w:rsidRDefault="001F7667">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55FFEDED" w14:textId="5BF912F4" w:rsidR="006054AA" w:rsidRDefault="001F7667">
            <w:pPr>
              <w:pStyle w:val="P68B1DB1-Normal11"/>
              <w:spacing w:before="120" w:after="120"/>
              <w:rPr>
                <w:rFonts w:eastAsia="Calibri"/>
                <w:noProof/>
              </w:rPr>
            </w:pPr>
            <w:r>
              <w:rPr>
                <w:noProof/>
              </w:rPr>
              <w:t>Полагане на грижи за най-малко 25 000 души, живеещи в тежки материални лишения, като получатели на интервенции за настаняване на първо място и пощи.</w:t>
            </w:r>
          </w:p>
          <w:p w14:paraId="56576F25" w14:textId="68FF9463" w:rsidR="006054AA" w:rsidRDefault="001F7667">
            <w:pPr>
              <w:pStyle w:val="P68B1DB1-Normal11"/>
              <w:spacing w:before="120" w:after="120"/>
              <w:rPr>
                <w:rFonts w:eastAsia="Calibri"/>
                <w:noProof/>
              </w:rPr>
            </w:pPr>
            <w:r>
              <w:rPr>
                <w:noProof/>
              </w:rPr>
              <w:t>Задоволителното изпълнение на целта зависи и от задоволителното изпълнение на вторична цел: най-малко 3 000 души се настаняват временно в продължение на най-малко 6 месеца по проектите „Жилище преди всичко“ и най-малко 22 000 души се възползват от услугите, предлагани по проектите за пощенски станции, осъществявани от социалния квартал.</w:t>
            </w:r>
          </w:p>
          <w:p w14:paraId="734FB44E" w14:textId="77777777" w:rsidR="006054AA" w:rsidRDefault="001F7667">
            <w:pPr>
              <w:pStyle w:val="P68B1DB1-Normal11"/>
              <w:spacing w:before="120" w:after="120"/>
              <w:rPr>
                <w:rFonts w:eastAsia="Calibri"/>
                <w:noProof/>
              </w:rPr>
            </w:pPr>
            <w:r>
              <w:rPr>
                <w:noProof/>
              </w:rPr>
              <w:t>Хората в условия на тежки лишения се определят, както следва: вж. Linee di indirizzo per il contrasto alla grave emarginazione in Italia, одобрен от Conferenza Unificata il 11.5.2015 и член 5 от Годишния указ относно Фонда за бедността от 2018 г., където (член 5) за тази цел те са идентифицирани като а) живеещи на улицата или в несигурен подслон; използване на общежития; са настанени в общежития за нуждаещите се; г) излизат от структури (включително затвор) и нямат място за живеене.</w:t>
            </w:r>
          </w:p>
          <w:p w14:paraId="53C51AAE" w14:textId="77777777" w:rsidR="006054AA" w:rsidRDefault="001F7667">
            <w:pPr>
              <w:pStyle w:val="P68B1DB1-Normal11"/>
              <w:spacing w:before="120" w:after="120"/>
              <w:rPr>
                <w:rFonts w:eastAsia="Calibri"/>
                <w:noProof/>
              </w:rPr>
            </w:pPr>
            <w:r>
              <w:rPr>
                <w:noProof/>
              </w:rPr>
              <w:t>Действието обхваща цялата национална територия, но областите, в които бездомността и крайната бедност са по-неотложни (метрополните райони, но също така някои селски райони с голям брой сезонни работници, много от които чужденци) са привилегировани.</w:t>
            </w:r>
          </w:p>
        </w:tc>
      </w:tr>
    </w:tbl>
    <w:p w14:paraId="73425A21" w14:textId="77777777" w:rsidR="006054AA" w:rsidRDefault="006054AA">
      <w:pPr>
        <w:spacing w:before="120" w:after="120"/>
        <w:ind w:left="709"/>
        <w:jc w:val="both"/>
        <w:rPr>
          <w:noProof/>
        </w:rPr>
      </w:pPr>
    </w:p>
    <w:p w14:paraId="53888CD0" w14:textId="77777777" w:rsidR="006054AA" w:rsidRDefault="006054AA">
      <w:pPr>
        <w:spacing w:before="120" w:after="120"/>
        <w:ind w:left="709"/>
        <w:jc w:val="both"/>
        <w:rPr>
          <w:noProof/>
        </w:rPr>
      </w:pPr>
    </w:p>
    <w:p w14:paraId="388EE5E6" w14:textId="77777777" w:rsidR="006054AA" w:rsidRDefault="006054AA">
      <w:pPr>
        <w:spacing w:before="120" w:after="120"/>
        <w:ind w:left="709"/>
        <w:jc w:val="both"/>
        <w:rPr>
          <w:noProof/>
        </w:rPr>
      </w:pPr>
    </w:p>
    <w:p w14:paraId="5D167654" w14:textId="77777777" w:rsidR="006054AA" w:rsidRDefault="006054AA">
      <w:pPr>
        <w:framePr w:w="19845" w:wrap="auto" w:hAnchor="text"/>
        <w:spacing w:before="120" w:after="120"/>
        <w:ind w:left="709"/>
        <w:jc w:val="both"/>
        <w:rPr>
          <w:noProof/>
        </w:rPr>
        <w:sectPr w:rsidR="006054AA" w:rsidSect="000D3774">
          <w:headerReference w:type="even" r:id="rId308"/>
          <w:headerReference w:type="default" r:id="rId309"/>
          <w:footerReference w:type="even" r:id="rId310"/>
          <w:footerReference w:type="default" r:id="rId311"/>
          <w:headerReference w:type="first" r:id="rId312"/>
          <w:footerReference w:type="first" r:id="rId313"/>
          <w:pgSz w:w="19051" w:h="11907" w:orient="landscape" w:code="9"/>
          <w:pgMar w:top="720" w:right="720" w:bottom="426" w:left="720" w:header="709" w:footer="709" w:gutter="0"/>
          <w:cols w:space="720"/>
          <w:docGrid w:linePitch="360"/>
        </w:sectPr>
      </w:pPr>
    </w:p>
    <w:p w14:paraId="41C6632F" w14:textId="77777777" w:rsidR="006054AA" w:rsidRDefault="001F7667">
      <w:pPr>
        <w:pStyle w:val="Heading3"/>
        <w:numPr>
          <w:ilvl w:val="2"/>
          <w:numId w:val="0"/>
        </w:numPr>
        <w:ind w:left="850" w:hanging="850"/>
        <w:rPr>
          <w:b/>
          <w:i w:val="0"/>
          <w:noProof/>
          <w:color w:val="4F81BD" w:themeColor="accent1"/>
          <w:u w:val="single"/>
        </w:rPr>
      </w:pPr>
      <w:r>
        <w:rPr>
          <w:b/>
          <w:i w:val="0"/>
          <w:noProof/>
          <w:u w:val="single"/>
        </w:rPr>
        <w:t xml:space="preserve">M.3. </w:t>
      </w:r>
      <w:r>
        <w:rPr>
          <w:noProof/>
        </w:rPr>
        <w:tab/>
      </w:r>
      <w:r>
        <w:rPr>
          <w:b/>
          <w:i w:val="0"/>
          <w:noProof/>
          <w:u w:val="single"/>
        </w:rPr>
        <w:t>Описание на реформите и инвестициите за заема</w:t>
      </w:r>
    </w:p>
    <w:p w14:paraId="5FBD3EED" w14:textId="77777777" w:rsidR="006054AA" w:rsidRDefault="001F7667">
      <w:pPr>
        <w:pStyle w:val="P68B1DB1-Normal2"/>
        <w:spacing w:before="120" w:after="120"/>
        <w:jc w:val="both"/>
        <w:rPr>
          <w:noProof/>
          <w:u w:val="single"/>
        </w:rPr>
      </w:pPr>
      <w:r>
        <w:rPr>
          <w:noProof/>
        </w:rPr>
        <w:t>Инвестиция 4 — Инвестиции в проекти за обновяване на градската среда, насочени към намаляване на ситуациите на маргинализация и социално влошаване</w:t>
      </w:r>
    </w:p>
    <w:p w14:paraId="7A23F3D1" w14:textId="45D7765C" w:rsidR="006054AA" w:rsidRDefault="001F7667">
      <w:pPr>
        <w:spacing w:before="120" w:after="120"/>
        <w:jc w:val="both"/>
        <w:rPr>
          <w:rFonts w:eastAsia="Calibri"/>
          <w:noProof/>
        </w:rPr>
      </w:pPr>
      <w:r>
        <w:rPr>
          <w:noProof/>
        </w:rPr>
        <w:t xml:space="preserve">Целта на тази мярка е на общините да се предоставят безвъзмездни средства за инвестиции в обновяването на градската среда, да се намали маргинализацията и влошаването на социалната сфера, както и да се подобри социалният и екологичният контекст на градските центрове при пълно зачитане на принципа за ненанасяне на значителни вреди. Мярката има за цел да подкрепи повторното използване и повторното функциониране на обществени зони и съществуващи публични строителни структури за цели от обществен интерес, както и да подобри градската среда чрез саниране на обществени сгради, като се обърне специално внимание на развитието на социални, културни, образователни и дидактически услуги, включително спортни дейности. </w:t>
      </w:r>
    </w:p>
    <w:p w14:paraId="504DA471" w14:textId="5EC99154" w:rsidR="006054AA" w:rsidRDefault="001F7667">
      <w:pPr>
        <w:spacing w:before="120" w:after="120"/>
        <w:jc w:val="both"/>
        <w:rPr>
          <w:rFonts w:eastAsia="Calibri"/>
          <w:noProof/>
        </w:rPr>
      </w:pPr>
      <w:r>
        <w:rPr>
          <w:noProof/>
        </w:rPr>
        <w:t>Мярката не нанася значителни вреди на екологичните цели по смисъла на член 17 от Регламент (ЕС) 2020/852, като се вземат предвид описанието на мярката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Тя включва газови кондензационни котли, които не са допустими за интервенциите по тази мярка.</w:t>
      </w:r>
    </w:p>
    <w:p w14:paraId="1CFC5A05" w14:textId="77777777" w:rsidR="006054AA" w:rsidRDefault="001F7667">
      <w:pPr>
        <w:pStyle w:val="P68B1DB1-Normal2"/>
        <w:spacing w:before="120" w:after="120"/>
        <w:jc w:val="both"/>
        <w:rPr>
          <w:rFonts w:eastAsia="Calibri"/>
          <w:noProof/>
        </w:rPr>
      </w:pPr>
      <w:r>
        <w:rPr>
          <w:noProof/>
        </w:rPr>
        <w:t>Инвестиция 5 — Планове за градска интеграция (общи проекти и преодоляване на незаконните селища за борба с трудовата експлоатация в селското стопанство)</w:t>
      </w:r>
    </w:p>
    <w:p w14:paraId="181623A6" w14:textId="4AA32F57" w:rsidR="006054AA" w:rsidRDefault="001F7667">
      <w:pPr>
        <w:spacing w:before="120" w:after="120"/>
        <w:jc w:val="both"/>
        <w:rPr>
          <w:rFonts w:eastAsiaTheme="minorEastAsia"/>
          <w:noProof/>
        </w:rPr>
      </w:pPr>
      <w:r>
        <w:rPr>
          <w:noProof/>
        </w:rPr>
        <w:t>Целта на тази мярка е да се възстановят, съживят и подобрят големите деградирали градски райони, като се обърне специално внимание на създаването на нови услуги за хората и преквалификацията на достъпността и интермодалните инфраструктури, което ще позволи превръщането на уязвимите територии в интелигентни и устойчиви градове. Тази инвестиция включва две интервенции: I) подкрепа за общи проекти за изпълнение и изпълнение на интегрирани градски планове, като поддръжка и повторно използване на обществени площи и сгради, възстановяване и валоризация на недостатъчно използвани или неизползвани градски райони и др. (II) специфични проекти за преодоляване на незаконните селища в селското стопанство. Местните администрации се подпомагат при създаването на планове за действие за преодоляване на незаконните селища и за осигуряване на решения за достойно жилищно настаняване за работниците в селскостопанския сектор. Освен това в рамките на тази инвестиция се създава тематичен фонд (Фонд на фондовете) в сътрудничество с ЕИБ, насочен към подпомагане на частните интервенции в инициативи за обновяване на градската среда. Този фонд се използва за подкрепа на климатичния и цифровия преход на градските райони.</w:t>
      </w:r>
    </w:p>
    <w:p w14:paraId="246242C4" w14:textId="2E744A00" w:rsidR="006054AA" w:rsidRDefault="001F7667">
      <w:pPr>
        <w:spacing w:before="120" w:after="120"/>
        <w:jc w:val="both"/>
        <w:rPr>
          <w:rFonts w:eastAsia="Calibri"/>
          <w:noProof/>
        </w:rPr>
      </w:pPr>
      <w:r>
        <w:rPr>
          <w:noProof/>
        </w:rPr>
        <w:t>Мярката не нанася значителни вреди на екологичните цели по смисъла на член 17 от Регламент (ЕС) 2020/852, като се вземат предвид описанието на мярката и стъпките за смекчаване, определени в плана за възстановяване и устойчивост в съответствие с техническите насоки съгласно принципа за ненанасяне на значителни вреди (2021/C58/01). Тя включва газови кондензационни котли, които не са допустими за интервенциите по тази мярка.</w:t>
      </w:r>
    </w:p>
    <w:p w14:paraId="1400A99B" w14:textId="77777777" w:rsidR="006054AA" w:rsidRDefault="001F7667">
      <w:pPr>
        <w:pStyle w:val="P68B1DB1-Normal2"/>
        <w:spacing w:before="120" w:after="120"/>
        <w:jc w:val="both"/>
        <w:rPr>
          <w:rFonts w:eastAsia="Calibri"/>
          <w:noProof/>
        </w:rPr>
      </w:pPr>
      <w:r>
        <w:rPr>
          <w:noProof/>
        </w:rPr>
        <w:t>Инвестиция 6 — Иновативен план за качество на жилищата</w:t>
      </w:r>
    </w:p>
    <w:p w14:paraId="78776BCF" w14:textId="77777777" w:rsidR="006054AA" w:rsidRDefault="001F7667">
      <w:pPr>
        <w:spacing w:before="120" w:after="120"/>
        <w:jc w:val="both"/>
        <w:rPr>
          <w:rFonts w:eastAsiaTheme="minorEastAsia"/>
          <w:noProof/>
        </w:rPr>
      </w:pPr>
      <w:r>
        <w:rPr>
          <w:noProof/>
        </w:rPr>
        <w:t xml:space="preserve">Целта на тази мярка е да се изградят нови жилища за обществено жилищно настаняване и да се изградят наново увредени райони, като се постави акцент главно върху екологосъобразните иновации и устойчивостта. Инвестицията предоставя подкрепа за: I) реорганизиране, реорганизиране и увеличаване на предлагането на обществени жилища; II) възстановяване на зони, пространства и обществени и частни имоти; III) подобряване на достъпността и безопасността на градските райони и предоставянето на услуги; Разработване на основани на участието и иновативни модели на управление в подкрепа на социалното и градското благосъстояние. </w:t>
      </w:r>
    </w:p>
    <w:p w14:paraId="1478192D" w14:textId="77777777" w:rsidR="006054AA" w:rsidRDefault="001F7667">
      <w:pPr>
        <w:pStyle w:val="P68B1DB1-Normal2"/>
        <w:spacing w:before="120" w:after="120"/>
        <w:jc w:val="both"/>
        <w:rPr>
          <w:rFonts w:eastAsia="Calibri"/>
          <w:noProof/>
        </w:rPr>
      </w:pPr>
      <w:r>
        <w:rPr>
          <w:noProof/>
        </w:rPr>
        <w:t>Инвестиция 7 — Спорт и социално приобщаване</w:t>
      </w:r>
    </w:p>
    <w:p w14:paraId="47A87FD6" w14:textId="5DF483B6" w:rsidR="006054AA" w:rsidRDefault="001F7667">
      <w:pPr>
        <w:spacing w:before="120" w:after="120"/>
        <w:jc w:val="both"/>
        <w:rPr>
          <w:rFonts w:eastAsia="Calibri"/>
          <w:noProof/>
        </w:rPr>
      </w:pPr>
      <w:r>
        <w:rPr>
          <w:noProof/>
        </w:rPr>
        <w:t xml:space="preserve">Целта на тази мярка е да се възстановят градските райони с акцент върху спортните съоръжения, за да се насърчи социалното приобщаване и интеграция, особено в най-необлагодетелстваните райони в Италия. Финансираните проекти подкрепят: I) изграждане и обновяване на спортни съоръжения, разположени в необлагодетелствани райони на страната, включително метрополните предградия; II) разпространение на спортно оборудване за необлагодетелстваните райони; III) завършване и адаптиране на съществуващи спортни съоръжения, като например: функционално възстановяване, преструктуриране, извънредна поддръжка, премахване на архитектурните бариери и енергийна ефективност). </w:t>
      </w:r>
    </w:p>
    <w:p w14:paraId="263D2177" w14:textId="77777777" w:rsidR="006054AA" w:rsidRDefault="001F7667">
      <w:pPr>
        <w:pStyle w:val="Heading3"/>
        <w:numPr>
          <w:ilvl w:val="2"/>
          <w:numId w:val="0"/>
        </w:numPr>
        <w:ind w:left="850" w:hanging="850"/>
        <w:rPr>
          <w:b/>
          <w:i w:val="0"/>
          <w:noProof/>
          <w:u w:val="single"/>
        </w:rPr>
      </w:pPr>
      <w:r>
        <w:rPr>
          <w:b/>
          <w:i w:val="0"/>
          <w:noProof/>
          <w:u w:val="single"/>
        </w:rPr>
        <w:t xml:space="preserve">M.4. </w:t>
      </w:r>
      <w:r>
        <w:rPr>
          <w:noProof/>
        </w:rPr>
        <w:tab/>
      </w:r>
      <w:r>
        <w:rPr>
          <w:b/>
          <w:i w:val="0"/>
          <w:noProof/>
          <w:u w:val="single"/>
        </w:rPr>
        <w:t>Ключови етапи, цели, показатели и график за мониторинг и изпълнение на заема</w:t>
      </w:r>
    </w:p>
    <w:p w14:paraId="12399B37" w14:textId="77777777" w:rsidR="006054AA" w:rsidRDefault="001F7667">
      <w:pPr>
        <w:pStyle w:val="P68B1DB1-Normal34"/>
        <w:spacing w:before="120" w:after="120"/>
        <w:ind w:left="709"/>
        <w:jc w:val="both"/>
        <w:rPr>
          <w:noProof/>
        </w:rPr>
      </w:pPr>
      <w:r>
        <w:rPr>
          <w:noProof/>
        </w:rPr>
        <w:t xml:space="preserve"> </w:t>
      </w:r>
    </w:p>
    <w:p w14:paraId="47043D4F" w14:textId="77777777" w:rsidR="006054AA" w:rsidRDefault="006054AA">
      <w:pPr>
        <w:spacing w:before="120" w:after="120"/>
        <w:ind w:left="709"/>
        <w:contextualSpacing/>
        <w:jc w:val="both"/>
        <w:rPr>
          <w:noProof/>
        </w:rPr>
        <w:sectPr w:rsidR="006054AA" w:rsidSect="000D3774">
          <w:headerReference w:type="even" r:id="rId314"/>
          <w:headerReference w:type="default" r:id="rId315"/>
          <w:footerReference w:type="even" r:id="rId316"/>
          <w:footerReference w:type="default" r:id="rId317"/>
          <w:headerReference w:type="first" r:id="rId318"/>
          <w:footerReference w:type="first" r:id="rId319"/>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766"/>
        <w:gridCol w:w="1242"/>
        <w:gridCol w:w="1752"/>
        <w:gridCol w:w="1753"/>
        <w:gridCol w:w="1658"/>
        <w:gridCol w:w="1091"/>
        <w:gridCol w:w="1325"/>
        <w:gridCol w:w="1200"/>
        <w:gridCol w:w="811"/>
        <w:gridCol w:w="3794"/>
      </w:tblGrid>
      <w:tr w:rsidR="006054AA" w14:paraId="009C2F92" w14:textId="77777777">
        <w:trPr>
          <w:trHeight w:val="1190"/>
          <w:tblHeader/>
          <w:jc w:val="center"/>
        </w:trPr>
        <w:tc>
          <w:tcPr>
            <w:tcW w:w="384" w:type="pct"/>
            <w:vMerge w:val="restart"/>
            <w:shd w:val="clear" w:color="auto" w:fill="BDD7EE"/>
            <w:vAlign w:val="center"/>
            <w:hideMark/>
          </w:tcPr>
          <w:p w14:paraId="047F2A55" w14:textId="77777777" w:rsidR="006054AA" w:rsidRDefault="001F7667">
            <w:pPr>
              <w:pStyle w:val="P68B1DB1-Normal33"/>
              <w:jc w:val="center"/>
              <w:rPr>
                <w:noProof/>
              </w:rPr>
            </w:pPr>
            <w:r>
              <w:rPr>
                <w:noProof/>
              </w:rPr>
              <w:t>Пореден номер</w:t>
            </w:r>
          </w:p>
        </w:tc>
        <w:tc>
          <w:tcPr>
            <w:tcW w:w="509" w:type="pct"/>
            <w:vMerge w:val="restart"/>
            <w:shd w:val="clear" w:color="auto" w:fill="BDD7EE"/>
            <w:vAlign w:val="center"/>
            <w:hideMark/>
          </w:tcPr>
          <w:p w14:paraId="1D87BD5F" w14:textId="77777777" w:rsidR="006054AA" w:rsidRDefault="001F7667">
            <w:pPr>
              <w:pStyle w:val="P68B1DB1-Normal33"/>
              <w:jc w:val="center"/>
              <w:rPr>
                <w:noProof/>
              </w:rPr>
            </w:pPr>
            <w:r>
              <w:rPr>
                <w:noProof/>
              </w:rPr>
              <w:t>Свързана мярка (реформа или инвестиции)</w:t>
            </w:r>
          </w:p>
        </w:tc>
        <w:tc>
          <w:tcPr>
            <w:tcW w:w="361" w:type="pct"/>
            <w:vMerge w:val="restart"/>
            <w:shd w:val="clear" w:color="auto" w:fill="BDD7EE"/>
            <w:vAlign w:val="center"/>
            <w:hideMark/>
          </w:tcPr>
          <w:p w14:paraId="7B78ABB7" w14:textId="77777777" w:rsidR="006054AA" w:rsidRDefault="001F7667">
            <w:pPr>
              <w:pStyle w:val="P68B1DB1-Normal33"/>
              <w:jc w:val="center"/>
              <w:rPr>
                <w:noProof/>
              </w:rPr>
            </w:pPr>
            <w:r>
              <w:rPr>
                <w:noProof/>
              </w:rPr>
              <w:t>Ключов етап/Цел</w:t>
            </w:r>
          </w:p>
        </w:tc>
        <w:tc>
          <w:tcPr>
            <w:tcW w:w="505" w:type="pct"/>
            <w:vMerge w:val="restart"/>
            <w:shd w:val="clear" w:color="auto" w:fill="BDD7EE"/>
            <w:vAlign w:val="center"/>
            <w:hideMark/>
          </w:tcPr>
          <w:p w14:paraId="5F609340" w14:textId="77777777" w:rsidR="006054AA" w:rsidRDefault="001F7667">
            <w:pPr>
              <w:pStyle w:val="P68B1DB1-Normal33"/>
              <w:jc w:val="center"/>
              <w:rPr>
                <w:noProof/>
              </w:rPr>
            </w:pPr>
            <w:r>
              <w:rPr>
                <w:noProof/>
              </w:rPr>
              <w:t>Име</w:t>
            </w:r>
          </w:p>
        </w:tc>
        <w:tc>
          <w:tcPr>
            <w:tcW w:w="505" w:type="pct"/>
            <w:vMerge w:val="restart"/>
            <w:shd w:val="clear" w:color="auto" w:fill="BDD7EE"/>
            <w:vAlign w:val="center"/>
            <w:hideMark/>
          </w:tcPr>
          <w:p w14:paraId="16FDDD30" w14:textId="77777777" w:rsidR="006054AA" w:rsidRDefault="001F7667">
            <w:pPr>
              <w:pStyle w:val="P68B1DB1-Normal35"/>
              <w:jc w:val="center"/>
              <w:rPr>
                <w:b/>
                <w:noProof/>
              </w:rPr>
            </w:pPr>
            <w:r>
              <w:rPr>
                <w:b/>
                <w:noProof/>
              </w:rPr>
              <w:t xml:space="preserve">Качествени показатели </w:t>
            </w:r>
            <w:r>
              <w:rPr>
                <w:noProof/>
              </w:rPr>
              <w:t xml:space="preserve"> </w:t>
            </w:r>
            <w:r>
              <w:rPr>
                <w:b/>
                <w:noProof/>
              </w:rPr>
              <w:t>(за ключовите етапи)</w:t>
            </w:r>
          </w:p>
        </w:tc>
        <w:tc>
          <w:tcPr>
            <w:tcW w:w="1180" w:type="pct"/>
            <w:gridSpan w:val="3"/>
            <w:shd w:val="clear" w:color="auto" w:fill="BDD7EE"/>
            <w:vAlign w:val="center"/>
            <w:hideMark/>
          </w:tcPr>
          <w:p w14:paraId="241B333C" w14:textId="77777777" w:rsidR="006054AA" w:rsidRDefault="001F7667">
            <w:pPr>
              <w:pStyle w:val="P68B1DB1-Normal35"/>
              <w:jc w:val="center"/>
              <w:rPr>
                <w:b/>
                <w:noProof/>
              </w:rPr>
            </w:pPr>
            <w:r>
              <w:rPr>
                <w:b/>
                <w:noProof/>
              </w:rPr>
              <w:t xml:space="preserve">Количествени показатели </w:t>
            </w:r>
            <w:r>
              <w:rPr>
                <w:noProof/>
              </w:rPr>
              <w:t xml:space="preserve"> </w:t>
            </w:r>
            <w:r>
              <w:rPr>
                <w:b/>
                <w:noProof/>
              </w:rPr>
              <w:t>(за целите)</w:t>
            </w:r>
          </w:p>
        </w:tc>
        <w:tc>
          <w:tcPr>
            <w:tcW w:w="475" w:type="pct"/>
            <w:gridSpan w:val="2"/>
            <w:shd w:val="clear" w:color="auto" w:fill="BDD7EE"/>
            <w:vAlign w:val="center"/>
            <w:hideMark/>
          </w:tcPr>
          <w:p w14:paraId="4289527F" w14:textId="77777777" w:rsidR="006054AA" w:rsidRDefault="001F7667">
            <w:pPr>
              <w:pStyle w:val="P68B1DB1-Normal33"/>
              <w:jc w:val="center"/>
              <w:rPr>
                <w:noProof/>
              </w:rPr>
            </w:pPr>
            <w:r>
              <w:rPr>
                <w:noProof/>
              </w:rPr>
              <w:t>Примерен график за приключване</w:t>
            </w:r>
          </w:p>
        </w:tc>
        <w:tc>
          <w:tcPr>
            <w:tcW w:w="1081" w:type="pct"/>
            <w:vMerge w:val="restart"/>
            <w:shd w:val="clear" w:color="auto" w:fill="BDD7EE"/>
            <w:vAlign w:val="center"/>
            <w:hideMark/>
          </w:tcPr>
          <w:p w14:paraId="292EB9D7" w14:textId="6C7B00FE" w:rsidR="006054AA" w:rsidRDefault="001F7667">
            <w:pPr>
              <w:pStyle w:val="P68B1DB1-Normal33"/>
              <w:jc w:val="center"/>
              <w:rPr>
                <w:noProof/>
              </w:rPr>
            </w:pPr>
            <w:r>
              <w:rPr>
                <w:noProof/>
              </w:rPr>
              <w:t>Описание на всеки ключов етап и цел</w:t>
            </w:r>
          </w:p>
        </w:tc>
      </w:tr>
      <w:tr w:rsidR="006054AA" w14:paraId="1C2DF2E4" w14:textId="77777777">
        <w:trPr>
          <w:trHeight w:val="610"/>
          <w:jc w:val="center"/>
        </w:trPr>
        <w:tc>
          <w:tcPr>
            <w:tcW w:w="384" w:type="pct"/>
            <w:vMerge/>
            <w:vAlign w:val="center"/>
            <w:hideMark/>
          </w:tcPr>
          <w:p w14:paraId="02D9ABF1" w14:textId="77777777" w:rsidR="006054AA" w:rsidRDefault="006054AA">
            <w:pPr>
              <w:jc w:val="center"/>
              <w:rPr>
                <w:rFonts w:ascii="Arial Narrow" w:hAnsi="Arial Narrow"/>
                <w:b/>
                <w:noProof/>
                <w:color w:val="000000"/>
                <w:sz w:val="20"/>
              </w:rPr>
            </w:pPr>
          </w:p>
        </w:tc>
        <w:tc>
          <w:tcPr>
            <w:tcW w:w="509" w:type="pct"/>
            <w:vMerge/>
            <w:vAlign w:val="center"/>
            <w:hideMark/>
          </w:tcPr>
          <w:p w14:paraId="73A5DCFE" w14:textId="77777777" w:rsidR="006054AA" w:rsidRDefault="006054AA">
            <w:pPr>
              <w:jc w:val="center"/>
              <w:rPr>
                <w:rFonts w:ascii="Arial Narrow" w:hAnsi="Arial Narrow"/>
                <w:b/>
                <w:noProof/>
                <w:color w:val="000000"/>
                <w:sz w:val="20"/>
              </w:rPr>
            </w:pPr>
          </w:p>
        </w:tc>
        <w:tc>
          <w:tcPr>
            <w:tcW w:w="361" w:type="pct"/>
            <w:vMerge/>
            <w:vAlign w:val="center"/>
            <w:hideMark/>
          </w:tcPr>
          <w:p w14:paraId="3D1BFA90" w14:textId="77777777" w:rsidR="006054AA" w:rsidRDefault="006054AA">
            <w:pPr>
              <w:jc w:val="center"/>
              <w:rPr>
                <w:rFonts w:ascii="Arial Narrow" w:hAnsi="Arial Narrow"/>
                <w:b/>
                <w:noProof/>
                <w:color w:val="000000"/>
                <w:sz w:val="20"/>
              </w:rPr>
            </w:pPr>
          </w:p>
        </w:tc>
        <w:tc>
          <w:tcPr>
            <w:tcW w:w="505" w:type="pct"/>
            <w:vMerge/>
            <w:vAlign w:val="center"/>
            <w:hideMark/>
          </w:tcPr>
          <w:p w14:paraId="75684265" w14:textId="77777777" w:rsidR="006054AA" w:rsidRDefault="006054AA">
            <w:pPr>
              <w:jc w:val="center"/>
              <w:rPr>
                <w:rFonts w:ascii="Arial Narrow" w:hAnsi="Arial Narrow"/>
                <w:b/>
                <w:noProof/>
                <w:color w:val="000000"/>
                <w:sz w:val="20"/>
              </w:rPr>
            </w:pPr>
          </w:p>
        </w:tc>
        <w:tc>
          <w:tcPr>
            <w:tcW w:w="505" w:type="pct"/>
            <w:vMerge/>
            <w:vAlign w:val="center"/>
            <w:hideMark/>
          </w:tcPr>
          <w:p w14:paraId="3BC825F6" w14:textId="77777777" w:rsidR="006054AA" w:rsidRDefault="006054AA">
            <w:pPr>
              <w:jc w:val="center"/>
              <w:rPr>
                <w:rFonts w:ascii="Arial Narrow" w:hAnsi="Arial Narrow"/>
                <w:b/>
                <w:noProof/>
                <w:color w:val="000000"/>
                <w:sz w:val="20"/>
              </w:rPr>
            </w:pPr>
          </w:p>
        </w:tc>
        <w:tc>
          <w:tcPr>
            <w:tcW w:w="478" w:type="pct"/>
            <w:shd w:val="clear" w:color="auto" w:fill="BDD7EE"/>
            <w:vAlign w:val="center"/>
            <w:hideMark/>
          </w:tcPr>
          <w:p w14:paraId="08651F38" w14:textId="77777777" w:rsidR="006054AA" w:rsidRDefault="001F7667">
            <w:pPr>
              <w:pStyle w:val="P68B1DB1-Normal33"/>
              <w:jc w:val="center"/>
              <w:rPr>
                <w:noProof/>
              </w:rPr>
            </w:pPr>
            <w:r>
              <w:rPr>
                <w:noProof/>
              </w:rPr>
              <w:t>Единица мярка</w:t>
            </w:r>
          </w:p>
        </w:tc>
        <w:tc>
          <w:tcPr>
            <w:tcW w:w="318" w:type="pct"/>
            <w:shd w:val="clear" w:color="auto" w:fill="BDD7EE"/>
            <w:vAlign w:val="center"/>
            <w:hideMark/>
          </w:tcPr>
          <w:p w14:paraId="2A6B5A72" w14:textId="77777777" w:rsidR="006054AA" w:rsidRDefault="001F7667">
            <w:pPr>
              <w:pStyle w:val="P68B1DB1-Normal33"/>
              <w:jc w:val="center"/>
              <w:rPr>
                <w:noProof/>
              </w:rPr>
            </w:pPr>
            <w:r>
              <w:rPr>
                <w:noProof/>
              </w:rPr>
              <w:t>Базова линия</w:t>
            </w:r>
          </w:p>
        </w:tc>
        <w:tc>
          <w:tcPr>
            <w:tcW w:w="384" w:type="pct"/>
            <w:shd w:val="clear" w:color="auto" w:fill="BDD7EE"/>
            <w:vAlign w:val="center"/>
            <w:hideMark/>
          </w:tcPr>
          <w:p w14:paraId="73799C9B" w14:textId="77777777" w:rsidR="006054AA" w:rsidRDefault="001F7667">
            <w:pPr>
              <w:pStyle w:val="P68B1DB1-Normal33"/>
              <w:jc w:val="center"/>
              <w:rPr>
                <w:noProof/>
              </w:rPr>
            </w:pPr>
            <w:r>
              <w:rPr>
                <w:noProof/>
              </w:rPr>
              <w:t>Цел</w:t>
            </w:r>
          </w:p>
        </w:tc>
        <w:tc>
          <w:tcPr>
            <w:tcW w:w="275" w:type="pct"/>
            <w:shd w:val="clear" w:color="auto" w:fill="BDD7EE"/>
            <w:vAlign w:val="center"/>
            <w:hideMark/>
          </w:tcPr>
          <w:p w14:paraId="1B79D44E" w14:textId="77777777" w:rsidR="006054AA" w:rsidRDefault="001F7667">
            <w:pPr>
              <w:pStyle w:val="P68B1DB1-Normal33"/>
              <w:jc w:val="center"/>
              <w:rPr>
                <w:noProof/>
              </w:rPr>
            </w:pPr>
            <w:r>
              <w:rPr>
                <w:noProof/>
              </w:rPr>
              <w:t>Тримесечие</w:t>
            </w:r>
          </w:p>
        </w:tc>
        <w:tc>
          <w:tcPr>
            <w:tcW w:w="200" w:type="pct"/>
            <w:shd w:val="clear" w:color="auto" w:fill="BDD7EE"/>
            <w:vAlign w:val="center"/>
            <w:hideMark/>
          </w:tcPr>
          <w:p w14:paraId="2BD280B0" w14:textId="77777777" w:rsidR="006054AA" w:rsidRDefault="001F7667">
            <w:pPr>
              <w:pStyle w:val="P68B1DB1-Normal33"/>
              <w:jc w:val="center"/>
              <w:rPr>
                <w:noProof/>
              </w:rPr>
            </w:pPr>
            <w:r>
              <w:rPr>
                <w:noProof/>
              </w:rPr>
              <w:t>Година</w:t>
            </w:r>
          </w:p>
        </w:tc>
        <w:tc>
          <w:tcPr>
            <w:tcW w:w="1081" w:type="pct"/>
            <w:vMerge/>
            <w:shd w:val="clear" w:color="auto" w:fill="BDD7EE"/>
            <w:vAlign w:val="center"/>
            <w:hideMark/>
          </w:tcPr>
          <w:p w14:paraId="459FBD4C" w14:textId="0CDF16D9" w:rsidR="006054AA" w:rsidRDefault="006054AA">
            <w:pPr>
              <w:rPr>
                <w:rFonts w:ascii="Arial Narrow" w:hAnsi="Arial Narrow"/>
                <w:b/>
                <w:noProof/>
                <w:color w:val="000000"/>
                <w:sz w:val="20"/>
              </w:rPr>
            </w:pPr>
          </w:p>
        </w:tc>
      </w:tr>
      <w:tr w:rsidR="006054AA" w14:paraId="1053F80E" w14:textId="77777777">
        <w:trPr>
          <w:trHeight w:val="20"/>
          <w:jc w:val="center"/>
        </w:trPr>
        <w:tc>
          <w:tcPr>
            <w:tcW w:w="384" w:type="pct"/>
            <w:shd w:val="clear" w:color="auto" w:fill="C6EFCE"/>
            <w:vAlign w:val="center"/>
            <w:hideMark/>
          </w:tcPr>
          <w:p w14:paraId="29CBC5FC" w14:textId="77777777" w:rsidR="006054AA" w:rsidRDefault="001F7667">
            <w:pPr>
              <w:pStyle w:val="P68B1DB1-Normal11"/>
              <w:spacing w:before="120" w:after="120"/>
              <w:jc w:val="center"/>
              <w:rPr>
                <w:rFonts w:eastAsia="Calibri"/>
                <w:noProof/>
              </w:rPr>
            </w:pPr>
            <w:r>
              <w:rPr>
                <w:noProof/>
              </w:rPr>
              <w:t>M5C2—11</w:t>
            </w:r>
          </w:p>
        </w:tc>
        <w:tc>
          <w:tcPr>
            <w:tcW w:w="509" w:type="pct"/>
            <w:shd w:val="clear" w:color="auto" w:fill="C6EFCE"/>
            <w:vAlign w:val="center"/>
            <w:hideMark/>
          </w:tcPr>
          <w:p w14:paraId="09770E05" w14:textId="77777777" w:rsidR="006054AA" w:rsidRDefault="001F7667">
            <w:pPr>
              <w:pStyle w:val="P68B1DB1-Normal11"/>
              <w:spacing w:before="120" w:after="120"/>
              <w:jc w:val="center"/>
              <w:rPr>
                <w:rFonts w:eastAsia="Calibri"/>
                <w:noProof/>
              </w:rPr>
            </w:pPr>
            <w:r>
              <w:rPr>
                <w:noProof/>
              </w:rPr>
              <w:t>Инвестиция 4 — Инвестиции в проекти за обновяване на градската среда, насочени към намаляване на ситуациите на маргинализация и социално влошаване</w:t>
            </w:r>
          </w:p>
        </w:tc>
        <w:tc>
          <w:tcPr>
            <w:tcW w:w="361" w:type="pct"/>
            <w:shd w:val="clear" w:color="auto" w:fill="C6EFCE"/>
            <w:vAlign w:val="center"/>
            <w:hideMark/>
          </w:tcPr>
          <w:p w14:paraId="37619582" w14:textId="77777777" w:rsidR="006054AA" w:rsidRDefault="001F7667">
            <w:pPr>
              <w:pStyle w:val="P68B1DB1-Normal11"/>
              <w:spacing w:before="120" w:after="120"/>
              <w:jc w:val="center"/>
              <w:rPr>
                <w:rFonts w:eastAsia="Calibri"/>
                <w:noProof/>
              </w:rPr>
            </w:pPr>
            <w:r>
              <w:rPr>
                <w:noProof/>
              </w:rPr>
              <w:t>Ключов етап</w:t>
            </w:r>
          </w:p>
        </w:tc>
        <w:tc>
          <w:tcPr>
            <w:tcW w:w="505" w:type="pct"/>
            <w:shd w:val="clear" w:color="auto" w:fill="C6EFCE"/>
            <w:vAlign w:val="center"/>
            <w:hideMark/>
          </w:tcPr>
          <w:p w14:paraId="35B15ED7" w14:textId="77777777" w:rsidR="006054AA" w:rsidRDefault="001F7667">
            <w:pPr>
              <w:pStyle w:val="P68B1DB1-Normal11"/>
              <w:spacing w:before="120" w:after="120"/>
              <w:jc w:val="center"/>
              <w:rPr>
                <w:rFonts w:eastAsia="Calibri"/>
                <w:noProof/>
              </w:rPr>
            </w:pPr>
            <w:r>
              <w:rPr>
                <w:noProof/>
              </w:rPr>
              <w:t>Възлагане на всички обществени поръчки за инвестиции в обновяването на градската среда с цел намаляване на ситуациите на маргинализация и социално влошаване, като проектите са в съответствие с целите на МВУ, включително принципа за ненанасяне на значителни вреди</w:t>
            </w:r>
          </w:p>
        </w:tc>
        <w:tc>
          <w:tcPr>
            <w:tcW w:w="505" w:type="pct"/>
            <w:shd w:val="clear" w:color="auto" w:fill="C6EFCE"/>
            <w:vAlign w:val="center"/>
            <w:hideMark/>
          </w:tcPr>
          <w:p w14:paraId="709023F0" w14:textId="77777777" w:rsidR="006054AA" w:rsidRDefault="001F7667">
            <w:pPr>
              <w:pStyle w:val="P68B1DB1-Normal11"/>
              <w:spacing w:before="120" w:after="120"/>
              <w:jc w:val="center"/>
              <w:rPr>
                <w:rFonts w:eastAsia="Calibri"/>
                <w:noProof/>
              </w:rPr>
            </w:pPr>
            <w:r>
              <w:rPr>
                <w:noProof/>
              </w:rPr>
              <w:t>Уведомяване за всички обществени поръчки за инвестиции във възстановяването на градската среда с цел намаляване на ситуациите на маргинализация и социално влошаване, като проектите са в съответствие с целите на МВУ, включително принципа за ненанасяне на значителни вреди</w:t>
            </w:r>
          </w:p>
        </w:tc>
        <w:tc>
          <w:tcPr>
            <w:tcW w:w="478" w:type="pct"/>
            <w:shd w:val="clear" w:color="auto" w:fill="C6EFCE"/>
            <w:vAlign w:val="center"/>
            <w:hideMark/>
          </w:tcPr>
          <w:p w14:paraId="64BF931D" w14:textId="77777777" w:rsidR="006054AA" w:rsidRDefault="001F7667">
            <w:pPr>
              <w:pStyle w:val="P68B1DB1-Normal11"/>
              <w:spacing w:before="120" w:after="120"/>
              <w:jc w:val="center"/>
              <w:rPr>
                <w:rFonts w:eastAsia="Calibri"/>
                <w:noProof/>
              </w:rPr>
            </w:pPr>
            <w:r>
              <w:rPr>
                <w:noProof/>
              </w:rPr>
              <w:t>НЯМА</w:t>
            </w:r>
          </w:p>
        </w:tc>
        <w:tc>
          <w:tcPr>
            <w:tcW w:w="318" w:type="pct"/>
            <w:shd w:val="clear" w:color="auto" w:fill="C6EFCE"/>
            <w:vAlign w:val="center"/>
            <w:hideMark/>
          </w:tcPr>
          <w:p w14:paraId="247BB327" w14:textId="77777777" w:rsidR="006054AA" w:rsidRDefault="001F7667">
            <w:pPr>
              <w:pStyle w:val="P68B1DB1-Normal11"/>
              <w:spacing w:before="120" w:after="120"/>
              <w:jc w:val="center"/>
              <w:rPr>
                <w:rFonts w:eastAsia="Calibri"/>
                <w:noProof/>
              </w:rPr>
            </w:pPr>
            <w:r>
              <w:rPr>
                <w:noProof/>
              </w:rPr>
              <w:t>НЯМА</w:t>
            </w:r>
          </w:p>
        </w:tc>
        <w:tc>
          <w:tcPr>
            <w:tcW w:w="384" w:type="pct"/>
            <w:shd w:val="clear" w:color="auto" w:fill="C6EFCE"/>
            <w:vAlign w:val="center"/>
            <w:hideMark/>
          </w:tcPr>
          <w:p w14:paraId="38949D0F" w14:textId="77777777" w:rsidR="006054AA" w:rsidRDefault="001F7667">
            <w:pPr>
              <w:pStyle w:val="P68B1DB1-Normal11"/>
              <w:spacing w:before="120" w:after="120"/>
              <w:jc w:val="center"/>
              <w:rPr>
                <w:rFonts w:eastAsia="Calibri"/>
                <w:noProof/>
              </w:rPr>
            </w:pPr>
            <w:r>
              <w:rPr>
                <w:noProof/>
              </w:rPr>
              <w:t>НЯМА</w:t>
            </w:r>
          </w:p>
        </w:tc>
        <w:tc>
          <w:tcPr>
            <w:tcW w:w="275" w:type="pct"/>
            <w:shd w:val="clear" w:color="auto" w:fill="C6EFCE"/>
            <w:vAlign w:val="center"/>
            <w:hideMark/>
          </w:tcPr>
          <w:p w14:paraId="385A23A3" w14:textId="77777777" w:rsidR="006054AA" w:rsidRDefault="001F7667">
            <w:pPr>
              <w:pStyle w:val="P68B1DB1-Normal11"/>
              <w:spacing w:before="120" w:after="120"/>
              <w:jc w:val="center"/>
              <w:rPr>
                <w:rFonts w:eastAsia="Calibri"/>
                <w:noProof/>
              </w:rPr>
            </w:pPr>
            <w:r>
              <w:rPr>
                <w:noProof/>
              </w:rPr>
              <w:t>Т1 Г.</w:t>
            </w:r>
          </w:p>
        </w:tc>
        <w:tc>
          <w:tcPr>
            <w:tcW w:w="200" w:type="pct"/>
            <w:shd w:val="clear" w:color="auto" w:fill="C6EFCE"/>
            <w:vAlign w:val="center"/>
            <w:hideMark/>
          </w:tcPr>
          <w:p w14:paraId="75160039" w14:textId="77777777" w:rsidR="006054AA" w:rsidRDefault="001F7667">
            <w:pPr>
              <w:pStyle w:val="P68B1DB1-Normal11"/>
              <w:spacing w:before="120" w:after="120"/>
              <w:jc w:val="center"/>
              <w:rPr>
                <w:rFonts w:eastAsia="Calibri"/>
                <w:noProof/>
              </w:rPr>
            </w:pPr>
            <w:r>
              <w:rPr>
                <w:noProof/>
              </w:rPr>
              <w:t>2022</w:t>
            </w:r>
          </w:p>
        </w:tc>
        <w:tc>
          <w:tcPr>
            <w:tcW w:w="1081" w:type="pct"/>
            <w:shd w:val="clear" w:color="auto" w:fill="C6EFCE"/>
            <w:vAlign w:val="center"/>
            <w:hideMark/>
          </w:tcPr>
          <w:p w14:paraId="68138D01" w14:textId="6DE4323F" w:rsidR="006054AA" w:rsidRDefault="001F7667">
            <w:pPr>
              <w:pStyle w:val="P68B1DB1-Normal11"/>
              <w:spacing w:before="120" w:after="120"/>
              <w:rPr>
                <w:rFonts w:eastAsia="Calibri"/>
                <w:noProof/>
              </w:rPr>
            </w:pPr>
            <w:r>
              <w:rPr>
                <w:noProof/>
              </w:rPr>
              <w:t>Уведомяване за всички обществени поръчки, възложени на най-малко 300 общини с повече от 15 000 жители, за инвестиции във възстановяването на градската среда с цел намаляване на ситуациите на маргинализация и социално влошаване, като проектите са в съответствие с целите на МВУ, включително принципа за ненанасяне на значителни вреди.</w:t>
            </w:r>
          </w:p>
          <w:p w14:paraId="51155AC5" w14:textId="54522747" w:rsidR="006054AA" w:rsidRDefault="001F7667">
            <w:pPr>
              <w:pStyle w:val="P68B1DB1-Normal11"/>
              <w:spacing w:before="120" w:after="120"/>
              <w:rPr>
                <w:rFonts w:eastAsia="Calibri"/>
                <w:noProof/>
              </w:rPr>
            </w:pPr>
            <w:r>
              <w:rPr>
                <w:noProof/>
              </w:rPr>
              <w:t>Безвъзмездните средства се отпускат на общини с повече от 15 000 жители, които не са столиците на провинциите, нито столиците на провинциите или седалището на метрополния град.</w:t>
            </w:r>
          </w:p>
          <w:p w14:paraId="3B4817A0" w14:textId="77777777" w:rsidR="006054AA" w:rsidRDefault="001F7667">
            <w:pPr>
              <w:pStyle w:val="P68B1DB1-Normal11"/>
              <w:spacing w:before="120" w:after="120"/>
              <w:rPr>
                <w:rFonts w:eastAsia="Calibri"/>
                <w:noProof/>
              </w:rPr>
            </w:pPr>
            <w:r>
              <w:rPr>
                <w:noProof/>
              </w:rPr>
              <w:t>Проектите за градско производство се състоят от поне една от следните интервенции:</w:t>
            </w:r>
          </w:p>
          <w:p w14:paraId="57BF29B8" w14:textId="77777777" w:rsidR="006054AA" w:rsidRDefault="001F7667">
            <w:pPr>
              <w:pStyle w:val="P68B1DB1-ListParagraph13"/>
              <w:numPr>
                <w:ilvl w:val="6"/>
                <w:numId w:val="7"/>
              </w:numPr>
              <w:ind w:left="506" w:hanging="237"/>
              <w:jc w:val="left"/>
              <w:rPr>
                <w:rFonts w:eastAsia="Calibri"/>
                <w:noProof/>
              </w:rPr>
            </w:pPr>
            <w:r>
              <w:rPr>
                <w:noProof/>
              </w:rPr>
              <w:t>Повторно използване и повторно функциониране на обществени зони и съществуващи обществени строителни структури за цели от обществен интерес, включително разрушаване на неправомерни строителни работи, извършвани от частни лица при липса или пълно несъответствие с разрешителното за строеж и разпределението на съответните площи;</w:t>
            </w:r>
          </w:p>
          <w:p w14:paraId="5BB05474" w14:textId="77777777" w:rsidR="006054AA" w:rsidRDefault="001F7667">
            <w:pPr>
              <w:pStyle w:val="P68B1DB1-ListParagraph13"/>
              <w:numPr>
                <w:ilvl w:val="6"/>
                <w:numId w:val="7"/>
              </w:numPr>
              <w:ind w:left="506" w:hanging="237"/>
              <w:jc w:val="left"/>
              <w:rPr>
                <w:rFonts w:eastAsia="Calibri"/>
                <w:noProof/>
              </w:rPr>
            </w:pPr>
            <w:r>
              <w:rPr>
                <w:noProof/>
              </w:rPr>
              <w:t>Подобряване на качеството на градския ландшафт и на социалната и екологичната структура, включително чрез саниране на обществени сгради, като се обръща особено внимание на развитието на социални и културни, образователни и дидактически услуги;</w:t>
            </w:r>
          </w:p>
          <w:p w14:paraId="16A4D377" w14:textId="77777777" w:rsidR="006054AA" w:rsidRDefault="001F7667">
            <w:pPr>
              <w:pStyle w:val="P68B1DB1-ListParagraph13"/>
              <w:numPr>
                <w:ilvl w:val="6"/>
                <w:numId w:val="7"/>
              </w:numPr>
              <w:ind w:left="506" w:hanging="237"/>
              <w:jc w:val="left"/>
              <w:rPr>
                <w:rFonts w:eastAsia="Calibri"/>
                <w:noProof/>
              </w:rPr>
            </w:pPr>
            <w:r>
              <w:rPr>
                <w:noProof/>
              </w:rPr>
              <w:t>Екологични, устойчиви и интелигентни транспортни проекти.</w:t>
            </w:r>
          </w:p>
          <w:p w14:paraId="4C51303B" w14:textId="77777777" w:rsidR="006054AA" w:rsidRDefault="001F7667">
            <w:pPr>
              <w:pStyle w:val="P68B1DB1-Normal11"/>
              <w:spacing w:before="120" w:after="120"/>
              <w:rPr>
                <w:rFonts w:eastAsia="Calibri"/>
                <w:noProof/>
              </w:rPr>
            </w:pPr>
            <w:r>
              <w:rPr>
                <w:noProof/>
              </w:rPr>
              <w:t>Максималните суми за община са следните:</w:t>
            </w:r>
          </w:p>
          <w:p w14:paraId="61B42385" w14:textId="6C574572" w:rsidR="006054AA" w:rsidRDefault="001F7667">
            <w:pPr>
              <w:pStyle w:val="P68B1DB1-Normal11"/>
              <w:spacing w:before="120" w:after="120"/>
              <w:rPr>
                <w:rFonts w:eastAsia="Calibri"/>
                <w:noProof/>
              </w:rPr>
            </w:pPr>
            <w:r>
              <w:rPr>
                <w:noProof/>
              </w:rPr>
              <w:t>5 000 000 EUR за общини с население между 15 000 и 49 999 жители;</w:t>
            </w:r>
          </w:p>
          <w:p w14:paraId="56C38838" w14:textId="1CDCA4CE" w:rsidR="006054AA" w:rsidRDefault="001F7667">
            <w:pPr>
              <w:pStyle w:val="P68B1DB1-Normal11"/>
              <w:spacing w:before="120" w:after="120"/>
              <w:rPr>
                <w:rFonts w:eastAsia="Calibri"/>
                <w:noProof/>
              </w:rPr>
            </w:pPr>
            <w:r>
              <w:rPr>
                <w:noProof/>
              </w:rPr>
              <w:t>10 000 000 EUR за общини с население между 50 000 и 100 000 жители;</w:t>
            </w:r>
          </w:p>
          <w:p w14:paraId="264DC38E" w14:textId="0EC4C96F" w:rsidR="006054AA" w:rsidRDefault="001F7667">
            <w:pPr>
              <w:pStyle w:val="P68B1DB1-Normal11"/>
              <w:spacing w:before="120" w:after="120"/>
              <w:rPr>
                <w:rFonts w:eastAsia="Calibri"/>
                <w:noProof/>
              </w:rPr>
            </w:pPr>
            <w:r>
              <w:rPr>
                <w:noProof/>
              </w:rPr>
              <w:t>20 000 000 EUR за общини с население над 100 000 жители и за общини, които са столици на провинции или метрополни градове.</w:t>
            </w:r>
          </w:p>
        </w:tc>
      </w:tr>
      <w:tr w:rsidR="006054AA" w14:paraId="64F345F1" w14:textId="77777777">
        <w:trPr>
          <w:trHeight w:val="3113"/>
          <w:jc w:val="center"/>
        </w:trPr>
        <w:tc>
          <w:tcPr>
            <w:tcW w:w="384" w:type="pct"/>
            <w:shd w:val="clear" w:color="auto" w:fill="C6EFCE"/>
            <w:vAlign w:val="center"/>
            <w:hideMark/>
          </w:tcPr>
          <w:p w14:paraId="005FDFEC" w14:textId="77777777" w:rsidR="006054AA" w:rsidRDefault="001F7667">
            <w:pPr>
              <w:pStyle w:val="P68B1DB1-Normal11"/>
              <w:jc w:val="center"/>
              <w:rPr>
                <w:noProof/>
              </w:rPr>
            </w:pPr>
            <w:r>
              <w:rPr>
                <w:noProof/>
              </w:rPr>
              <w:t>M5C2—12</w:t>
            </w:r>
          </w:p>
        </w:tc>
        <w:tc>
          <w:tcPr>
            <w:tcW w:w="509" w:type="pct"/>
            <w:shd w:val="clear" w:color="auto" w:fill="C6EFCE"/>
            <w:vAlign w:val="center"/>
            <w:hideMark/>
          </w:tcPr>
          <w:p w14:paraId="791E0200" w14:textId="77777777" w:rsidR="006054AA" w:rsidRDefault="001F7667">
            <w:pPr>
              <w:pStyle w:val="P68B1DB1-Normal11"/>
              <w:jc w:val="center"/>
              <w:rPr>
                <w:noProof/>
              </w:rPr>
            </w:pPr>
            <w:r>
              <w:rPr>
                <w:noProof/>
              </w:rPr>
              <w:t>Инвестиция 4 — Инвестиции в проекти за обновяване на градската среда, насочени към намаляване на ситуациите на маргинализация и социално влошаване</w:t>
            </w:r>
          </w:p>
        </w:tc>
        <w:tc>
          <w:tcPr>
            <w:tcW w:w="361" w:type="pct"/>
            <w:shd w:val="clear" w:color="auto" w:fill="C6EFCE"/>
            <w:vAlign w:val="center"/>
            <w:hideMark/>
          </w:tcPr>
          <w:p w14:paraId="0F3FACB8" w14:textId="77777777" w:rsidR="006054AA" w:rsidRDefault="001F7667">
            <w:pPr>
              <w:pStyle w:val="P68B1DB1-Normal11"/>
              <w:jc w:val="center"/>
              <w:rPr>
                <w:noProof/>
              </w:rPr>
            </w:pPr>
            <w:r>
              <w:rPr>
                <w:noProof/>
              </w:rPr>
              <w:t>Целеви</w:t>
            </w:r>
          </w:p>
        </w:tc>
        <w:tc>
          <w:tcPr>
            <w:tcW w:w="505" w:type="pct"/>
            <w:shd w:val="clear" w:color="auto" w:fill="C6EFCE"/>
            <w:vAlign w:val="center"/>
            <w:hideMark/>
          </w:tcPr>
          <w:p w14:paraId="18D1D44E" w14:textId="631249C9" w:rsidR="006054AA" w:rsidRDefault="001F7667">
            <w:pPr>
              <w:pStyle w:val="P68B1DB1-Normal11"/>
              <w:jc w:val="center"/>
              <w:rPr>
                <w:noProof/>
              </w:rPr>
            </w:pPr>
            <w:r>
              <w:rPr>
                <w:noProof/>
              </w:rPr>
              <w:t>Проекти за интервенции за градско обновление, обхващащи общини</w:t>
            </w:r>
          </w:p>
        </w:tc>
        <w:tc>
          <w:tcPr>
            <w:tcW w:w="505" w:type="pct"/>
            <w:shd w:val="clear" w:color="auto" w:fill="C6EFCE"/>
            <w:vAlign w:val="center"/>
            <w:hideMark/>
          </w:tcPr>
          <w:p w14:paraId="44CA766C" w14:textId="77777777" w:rsidR="006054AA" w:rsidRDefault="001F7667">
            <w:pPr>
              <w:pStyle w:val="P68B1DB1-Normal11"/>
              <w:jc w:val="center"/>
              <w:rPr>
                <w:noProof/>
              </w:rPr>
            </w:pPr>
            <w:r>
              <w:rPr>
                <w:noProof/>
              </w:rPr>
              <w:t>НЯМА</w:t>
            </w:r>
          </w:p>
        </w:tc>
        <w:tc>
          <w:tcPr>
            <w:tcW w:w="478" w:type="pct"/>
            <w:shd w:val="clear" w:color="auto" w:fill="C6EFCE"/>
            <w:vAlign w:val="center"/>
            <w:hideMark/>
          </w:tcPr>
          <w:p w14:paraId="262DEF05" w14:textId="77777777" w:rsidR="006054AA" w:rsidRDefault="001F7667">
            <w:pPr>
              <w:pStyle w:val="P68B1DB1-Normal11"/>
              <w:jc w:val="center"/>
              <w:rPr>
                <w:noProof/>
              </w:rPr>
            </w:pPr>
            <w:r>
              <w:rPr>
                <w:noProof/>
              </w:rPr>
              <w:t>Брой</w:t>
            </w:r>
          </w:p>
        </w:tc>
        <w:tc>
          <w:tcPr>
            <w:tcW w:w="318" w:type="pct"/>
            <w:shd w:val="clear" w:color="auto" w:fill="C6EFCE"/>
            <w:vAlign w:val="center"/>
            <w:hideMark/>
          </w:tcPr>
          <w:p w14:paraId="4B3747DE" w14:textId="77777777" w:rsidR="006054AA" w:rsidRDefault="001F7667">
            <w:pPr>
              <w:pStyle w:val="P68B1DB1-Normal11"/>
              <w:jc w:val="center"/>
              <w:rPr>
                <w:noProof/>
              </w:rPr>
            </w:pPr>
            <w:r>
              <w:rPr>
                <w:noProof/>
              </w:rPr>
              <w:t>0</w:t>
            </w:r>
          </w:p>
        </w:tc>
        <w:tc>
          <w:tcPr>
            <w:tcW w:w="384" w:type="pct"/>
            <w:shd w:val="clear" w:color="auto" w:fill="C6EFCE"/>
            <w:vAlign w:val="center"/>
            <w:hideMark/>
          </w:tcPr>
          <w:p w14:paraId="22CCDA34" w14:textId="0D72CA53" w:rsidR="006054AA" w:rsidRDefault="001F7667">
            <w:pPr>
              <w:pStyle w:val="P68B1DB1-Normal11"/>
              <w:jc w:val="center"/>
              <w:rPr>
                <w:noProof/>
              </w:rPr>
            </w:pPr>
            <w:r>
              <w:rPr>
                <w:noProof/>
              </w:rPr>
              <w:t>1 080</w:t>
            </w:r>
          </w:p>
        </w:tc>
        <w:tc>
          <w:tcPr>
            <w:tcW w:w="275" w:type="pct"/>
            <w:shd w:val="clear" w:color="auto" w:fill="C6EFCE"/>
            <w:vAlign w:val="center"/>
            <w:hideMark/>
          </w:tcPr>
          <w:p w14:paraId="27DBCC77" w14:textId="77777777" w:rsidR="006054AA" w:rsidRDefault="001F7667">
            <w:pPr>
              <w:pStyle w:val="P68B1DB1-Normal11"/>
              <w:jc w:val="center"/>
              <w:rPr>
                <w:noProof/>
              </w:rPr>
            </w:pPr>
            <w:r>
              <w:rPr>
                <w:noProof/>
              </w:rPr>
              <w:t>Т2 Г.</w:t>
            </w:r>
          </w:p>
        </w:tc>
        <w:tc>
          <w:tcPr>
            <w:tcW w:w="200" w:type="pct"/>
            <w:shd w:val="clear" w:color="auto" w:fill="C6EFCE"/>
            <w:vAlign w:val="center"/>
            <w:hideMark/>
          </w:tcPr>
          <w:p w14:paraId="363FC753" w14:textId="77777777" w:rsidR="006054AA" w:rsidRDefault="001F7667">
            <w:pPr>
              <w:pStyle w:val="P68B1DB1-Normal11"/>
              <w:jc w:val="center"/>
              <w:rPr>
                <w:noProof/>
              </w:rPr>
            </w:pPr>
            <w:r>
              <w:rPr>
                <w:noProof/>
              </w:rPr>
              <w:t>2026</w:t>
            </w:r>
          </w:p>
        </w:tc>
        <w:tc>
          <w:tcPr>
            <w:tcW w:w="1081" w:type="pct"/>
            <w:shd w:val="clear" w:color="auto" w:fill="C6EFCE"/>
            <w:vAlign w:val="center"/>
            <w:hideMark/>
          </w:tcPr>
          <w:p w14:paraId="47CE89AD" w14:textId="5E9F5AA1" w:rsidR="006054AA" w:rsidRDefault="001F7667">
            <w:pPr>
              <w:pStyle w:val="P68B1DB1-Normal19"/>
              <w:rPr>
                <w:noProof/>
                <w:color w:val="006100"/>
              </w:rPr>
            </w:pPr>
            <w:r>
              <w:rPr>
                <w:noProof/>
                <w:color w:val="006100"/>
              </w:rPr>
              <w:t>Най-малко 1 080 завършени проекта, изпратени от общини с повече от</w:t>
            </w:r>
            <w:r>
              <w:rPr>
                <w:noProof/>
              </w:rPr>
              <w:t xml:space="preserve"> </w:t>
            </w:r>
            <w:r>
              <w:rPr>
                <w:noProof/>
              </w:rPr>
              <w:br/>
            </w:r>
            <w:r>
              <w:rPr>
                <w:noProof/>
                <w:color w:val="006100"/>
              </w:rPr>
              <w:t>15 000 жители, покриващи най-малко 1 000 000 квадратни метра.</w:t>
            </w:r>
          </w:p>
          <w:p w14:paraId="59849979" w14:textId="77777777" w:rsidR="006054AA" w:rsidRDefault="006054AA">
            <w:pPr>
              <w:rPr>
                <w:rFonts w:ascii="Arial Narrow" w:hAnsi="Arial Narrow"/>
                <w:noProof/>
                <w:color w:val="006100"/>
                <w:sz w:val="20"/>
              </w:rPr>
            </w:pPr>
          </w:p>
          <w:p w14:paraId="4F0098D0" w14:textId="77777777" w:rsidR="006054AA" w:rsidRDefault="001F7667">
            <w:pPr>
              <w:pStyle w:val="P68B1DB1-Normal11"/>
              <w:rPr>
                <w:noProof/>
              </w:rPr>
            </w:pPr>
            <w:r>
              <w:rPr>
                <w:noProof/>
              </w:rPr>
              <w:t>Интервенциите са определените в съответния ориентир за интервенциите за градско възстановяване.</w:t>
            </w:r>
          </w:p>
        </w:tc>
      </w:tr>
      <w:tr w:rsidR="006054AA" w14:paraId="35C02A07" w14:textId="77777777">
        <w:trPr>
          <w:trHeight w:val="4126"/>
          <w:jc w:val="center"/>
        </w:trPr>
        <w:tc>
          <w:tcPr>
            <w:tcW w:w="384" w:type="pct"/>
            <w:shd w:val="clear" w:color="auto" w:fill="C6EFCE"/>
            <w:vAlign w:val="center"/>
            <w:hideMark/>
          </w:tcPr>
          <w:p w14:paraId="63CF1B58" w14:textId="77777777" w:rsidR="006054AA" w:rsidRDefault="001F7667">
            <w:pPr>
              <w:pStyle w:val="P68B1DB1-Normal11"/>
              <w:jc w:val="center"/>
              <w:rPr>
                <w:noProof/>
              </w:rPr>
            </w:pPr>
            <w:r>
              <w:rPr>
                <w:noProof/>
              </w:rPr>
              <w:t>M5C2—13</w:t>
            </w:r>
          </w:p>
        </w:tc>
        <w:tc>
          <w:tcPr>
            <w:tcW w:w="509" w:type="pct"/>
            <w:shd w:val="clear" w:color="auto" w:fill="C6EFCE"/>
            <w:vAlign w:val="center"/>
            <w:hideMark/>
          </w:tcPr>
          <w:p w14:paraId="1B58F548" w14:textId="77777777" w:rsidR="006054AA" w:rsidRDefault="001F7667">
            <w:pPr>
              <w:pStyle w:val="P68B1DB1-Normal11"/>
              <w:jc w:val="center"/>
              <w:rPr>
                <w:noProof/>
              </w:rPr>
            </w:pPr>
            <w:r>
              <w:rPr>
                <w:noProof/>
              </w:rPr>
              <w:t>Инвестиция 5 — Интегрирани градоустройствени планове — общи проекти</w:t>
            </w:r>
          </w:p>
        </w:tc>
        <w:tc>
          <w:tcPr>
            <w:tcW w:w="361" w:type="pct"/>
            <w:shd w:val="clear" w:color="auto" w:fill="C6EFCE"/>
            <w:vAlign w:val="center"/>
            <w:hideMark/>
          </w:tcPr>
          <w:p w14:paraId="3EC69DBA" w14:textId="77777777" w:rsidR="006054AA" w:rsidRDefault="001F7667">
            <w:pPr>
              <w:pStyle w:val="P68B1DB1-Normal11"/>
              <w:jc w:val="center"/>
              <w:rPr>
                <w:noProof/>
              </w:rPr>
            </w:pPr>
            <w:r>
              <w:rPr>
                <w:noProof/>
              </w:rPr>
              <w:t>Ключов етап</w:t>
            </w:r>
          </w:p>
        </w:tc>
        <w:tc>
          <w:tcPr>
            <w:tcW w:w="505" w:type="pct"/>
            <w:shd w:val="clear" w:color="auto" w:fill="C6EFCE"/>
            <w:vAlign w:val="center"/>
            <w:hideMark/>
          </w:tcPr>
          <w:p w14:paraId="649DC8DA" w14:textId="77777777" w:rsidR="006054AA" w:rsidRDefault="001F7667">
            <w:pPr>
              <w:pStyle w:val="P68B1DB1-Normal11"/>
              <w:jc w:val="center"/>
              <w:rPr>
                <w:noProof/>
              </w:rPr>
            </w:pPr>
            <w:r>
              <w:rPr>
                <w:noProof/>
              </w:rPr>
              <w:t>Влизане в сила на инвестиционния план за проекти за обновяване на градската среда в метрополните области</w:t>
            </w:r>
          </w:p>
        </w:tc>
        <w:tc>
          <w:tcPr>
            <w:tcW w:w="505" w:type="pct"/>
            <w:shd w:val="clear" w:color="auto" w:fill="C6EFCE"/>
            <w:vAlign w:val="center"/>
            <w:hideMark/>
          </w:tcPr>
          <w:p w14:paraId="142F3CB3" w14:textId="77777777" w:rsidR="006054AA" w:rsidRDefault="001F7667">
            <w:pPr>
              <w:pStyle w:val="P68B1DB1-Normal11"/>
              <w:jc w:val="center"/>
              <w:rPr>
                <w:noProof/>
              </w:rPr>
            </w:pPr>
            <w:r>
              <w:rPr>
                <w:noProof/>
              </w:rPr>
              <w:t>Законова разпоредба, указваща влизането в сила на Плана за проекти за градско обновление в метрополните области</w:t>
            </w:r>
          </w:p>
        </w:tc>
        <w:tc>
          <w:tcPr>
            <w:tcW w:w="478" w:type="pct"/>
            <w:shd w:val="clear" w:color="auto" w:fill="C6EFCE"/>
            <w:vAlign w:val="center"/>
            <w:hideMark/>
          </w:tcPr>
          <w:p w14:paraId="733848E9" w14:textId="77777777" w:rsidR="006054AA" w:rsidRDefault="001F7667">
            <w:pPr>
              <w:pStyle w:val="P68B1DB1-Normal11"/>
              <w:jc w:val="center"/>
              <w:rPr>
                <w:noProof/>
              </w:rPr>
            </w:pPr>
            <w:r>
              <w:rPr>
                <w:noProof/>
              </w:rPr>
              <w:t>НЯМА</w:t>
            </w:r>
          </w:p>
        </w:tc>
        <w:tc>
          <w:tcPr>
            <w:tcW w:w="318" w:type="pct"/>
            <w:shd w:val="clear" w:color="auto" w:fill="C6EFCE"/>
            <w:vAlign w:val="center"/>
            <w:hideMark/>
          </w:tcPr>
          <w:p w14:paraId="51520117" w14:textId="77777777" w:rsidR="006054AA" w:rsidRDefault="001F7667">
            <w:pPr>
              <w:pStyle w:val="P68B1DB1-Normal11"/>
              <w:jc w:val="center"/>
              <w:rPr>
                <w:noProof/>
              </w:rPr>
            </w:pPr>
            <w:r>
              <w:rPr>
                <w:noProof/>
              </w:rPr>
              <w:t>НЯМА</w:t>
            </w:r>
          </w:p>
        </w:tc>
        <w:tc>
          <w:tcPr>
            <w:tcW w:w="384" w:type="pct"/>
            <w:shd w:val="clear" w:color="auto" w:fill="C6EFCE"/>
            <w:vAlign w:val="center"/>
            <w:hideMark/>
          </w:tcPr>
          <w:p w14:paraId="52009F4E" w14:textId="77777777" w:rsidR="006054AA" w:rsidRDefault="001F7667">
            <w:pPr>
              <w:pStyle w:val="P68B1DB1-Normal11"/>
              <w:jc w:val="center"/>
              <w:rPr>
                <w:noProof/>
              </w:rPr>
            </w:pPr>
            <w:r>
              <w:rPr>
                <w:noProof/>
              </w:rPr>
              <w:t>НЯМА</w:t>
            </w:r>
          </w:p>
        </w:tc>
        <w:tc>
          <w:tcPr>
            <w:tcW w:w="275" w:type="pct"/>
            <w:shd w:val="clear" w:color="auto" w:fill="C6EFCE"/>
            <w:vAlign w:val="center"/>
            <w:hideMark/>
          </w:tcPr>
          <w:p w14:paraId="7CEC45E7" w14:textId="77777777" w:rsidR="006054AA" w:rsidRDefault="001F7667">
            <w:pPr>
              <w:pStyle w:val="P68B1DB1-Normal11"/>
              <w:jc w:val="center"/>
              <w:rPr>
                <w:noProof/>
              </w:rPr>
            </w:pPr>
            <w:r>
              <w:rPr>
                <w:noProof/>
              </w:rPr>
              <w:t>Т4 Г.</w:t>
            </w:r>
          </w:p>
        </w:tc>
        <w:tc>
          <w:tcPr>
            <w:tcW w:w="200" w:type="pct"/>
            <w:shd w:val="clear" w:color="auto" w:fill="C6EFCE"/>
            <w:vAlign w:val="center"/>
            <w:hideMark/>
          </w:tcPr>
          <w:p w14:paraId="0F42B591" w14:textId="77777777" w:rsidR="006054AA" w:rsidRDefault="001F7667">
            <w:pPr>
              <w:pStyle w:val="P68B1DB1-Normal11"/>
              <w:jc w:val="center"/>
              <w:rPr>
                <w:noProof/>
              </w:rPr>
            </w:pPr>
            <w:r>
              <w:rPr>
                <w:noProof/>
              </w:rPr>
              <w:t>2022</w:t>
            </w:r>
          </w:p>
        </w:tc>
        <w:tc>
          <w:tcPr>
            <w:tcW w:w="1081" w:type="pct"/>
            <w:shd w:val="clear" w:color="auto" w:fill="C6EFCE"/>
            <w:vAlign w:val="center"/>
          </w:tcPr>
          <w:p w14:paraId="0D3C3EE4" w14:textId="77777777" w:rsidR="006054AA" w:rsidRDefault="001F7667">
            <w:pPr>
              <w:pStyle w:val="P68B1DB1-Normal11"/>
              <w:rPr>
                <w:noProof/>
              </w:rPr>
            </w:pPr>
            <w:r>
              <w:rPr>
                <w:noProof/>
              </w:rPr>
              <w:t>Инвестиционният план установява набор от критерии в съответствие с целите на МВУ, включително принципа за ненанасяне на значителни вреди. Проектите се отнасят до следните видове интервенции:</w:t>
            </w:r>
          </w:p>
          <w:p w14:paraId="5B4561AE" w14:textId="77777777" w:rsidR="006054AA" w:rsidRDefault="001F7667">
            <w:pPr>
              <w:pStyle w:val="P68B1DB1-Normal11"/>
              <w:rPr>
                <w:noProof/>
              </w:rPr>
            </w:pPr>
            <w:r>
              <w:rPr>
                <w:noProof/>
              </w:rPr>
              <w:t>поддръжка за повторна употреба и повторна експлоатация на обществени зони.</w:t>
            </w:r>
          </w:p>
          <w:p w14:paraId="0FC13A8A" w14:textId="77777777" w:rsidR="006054AA" w:rsidRDefault="001F7667">
            <w:pPr>
              <w:pStyle w:val="P68B1DB1-Normal11"/>
              <w:rPr>
                <w:noProof/>
              </w:rPr>
            </w:pPr>
            <w:r>
              <w:rPr>
                <w:noProof/>
              </w:rPr>
              <w:t>б) Подобряване на качеството на градския декар и на социалната и екологичната структура.</w:t>
            </w:r>
          </w:p>
          <w:p w14:paraId="02EF69F2" w14:textId="77777777" w:rsidR="006054AA" w:rsidRDefault="001F7667">
            <w:pPr>
              <w:pStyle w:val="P68B1DB1-Normal11"/>
              <w:rPr>
                <w:noProof/>
              </w:rPr>
            </w:pPr>
            <w:r>
              <w:rPr>
                <w:noProof/>
              </w:rPr>
              <w:t>подобряване на качеството на околната среда и цифровия профил на градските райони.</w:t>
            </w:r>
          </w:p>
        </w:tc>
      </w:tr>
      <w:tr w:rsidR="006054AA" w14:paraId="12A17A35" w14:textId="77777777">
        <w:trPr>
          <w:trHeight w:val="20"/>
          <w:jc w:val="center"/>
        </w:trPr>
        <w:tc>
          <w:tcPr>
            <w:tcW w:w="384" w:type="pct"/>
            <w:shd w:val="clear" w:color="auto" w:fill="C6EFCE"/>
            <w:vAlign w:val="center"/>
          </w:tcPr>
          <w:p w14:paraId="28192277" w14:textId="77777777" w:rsidR="006054AA" w:rsidRDefault="001F7667">
            <w:pPr>
              <w:pStyle w:val="P68B1DB1-Normal11"/>
              <w:jc w:val="center"/>
              <w:rPr>
                <w:noProof/>
              </w:rPr>
            </w:pPr>
            <w:r>
              <w:rPr>
                <w:noProof/>
              </w:rPr>
              <w:t>M5C2—14</w:t>
            </w:r>
          </w:p>
        </w:tc>
        <w:tc>
          <w:tcPr>
            <w:tcW w:w="509" w:type="pct"/>
            <w:shd w:val="clear" w:color="auto" w:fill="C6EFCE"/>
            <w:vAlign w:val="center"/>
          </w:tcPr>
          <w:p w14:paraId="674C0A7E" w14:textId="77777777" w:rsidR="006054AA" w:rsidRDefault="001F7667">
            <w:pPr>
              <w:pStyle w:val="P68B1DB1-Normal11"/>
              <w:jc w:val="center"/>
              <w:rPr>
                <w:noProof/>
              </w:rPr>
            </w:pPr>
            <w:r>
              <w:rPr>
                <w:noProof/>
              </w:rPr>
              <w:t>Инвестиция 5 — Интегрирани градоустройствени планове — общи проекти</w:t>
            </w:r>
          </w:p>
        </w:tc>
        <w:tc>
          <w:tcPr>
            <w:tcW w:w="361" w:type="pct"/>
            <w:shd w:val="clear" w:color="auto" w:fill="C6EFCE"/>
            <w:vAlign w:val="center"/>
          </w:tcPr>
          <w:p w14:paraId="6B3B66C0" w14:textId="77777777" w:rsidR="006054AA" w:rsidRDefault="001F7667">
            <w:pPr>
              <w:pStyle w:val="P68B1DB1-Normal11"/>
              <w:jc w:val="center"/>
              <w:rPr>
                <w:noProof/>
              </w:rPr>
            </w:pPr>
            <w:r>
              <w:rPr>
                <w:noProof/>
              </w:rPr>
              <w:t>Целеви</w:t>
            </w:r>
          </w:p>
        </w:tc>
        <w:tc>
          <w:tcPr>
            <w:tcW w:w="505" w:type="pct"/>
            <w:shd w:val="clear" w:color="auto" w:fill="C6EFCE"/>
            <w:vAlign w:val="center"/>
          </w:tcPr>
          <w:p w14:paraId="60E1D1ED" w14:textId="7C7C5F74" w:rsidR="006054AA" w:rsidRDefault="001F7667">
            <w:pPr>
              <w:pStyle w:val="P68B1DB1-Normal11"/>
              <w:jc w:val="center"/>
              <w:rPr>
                <w:noProof/>
              </w:rPr>
            </w:pPr>
            <w:r>
              <w:rPr>
                <w:noProof/>
              </w:rPr>
              <w:t>Завършване на проекти за интегрирано планиране в метрополните градове</w:t>
            </w:r>
          </w:p>
        </w:tc>
        <w:tc>
          <w:tcPr>
            <w:tcW w:w="505" w:type="pct"/>
            <w:shd w:val="clear" w:color="auto" w:fill="C6EFCE"/>
            <w:vAlign w:val="center"/>
          </w:tcPr>
          <w:p w14:paraId="523F6CCE" w14:textId="77777777" w:rsidR="006054AA" w:rsidRDefault="001F7667">
            <w:pPr>
              <w:pStyle w:val="P68B1DB1-Normal11"/>
              <w:jc w:val="center"/>
              <w:rPr>
                <w:noProof/>
              </w:rPr>
            </w:pPr>
            <w:r>
              <w:rPr>
                <w:noProof/>
              </w:rPr>
              <w:t>НЯМА</w:t>
            </w:r>
          </w:p>
        </w:tc>
        <w:tc>
          <w:tcPr>
            <w:tcW w:w="478" w:type="pct"/>
            <w:shd w:val="clear" w:color="auto" w:fill="C6EFCE"/>
            <w:vAlign w:val="center"/>
          </w:tcPr>
          <w:p w14:paraId="663DF067" w14:textId="77777777" w:rsidR="006054AA" w:rsidRDefault="001F7667">
            <w:pPr>
              <w:pStyle w:val="P68B1DB1-Normal11"/>
              <w:jc w:val="center"/>
              <w:rPr>
                <w:noProof/>
              </w:rPr>
            </w:pPr>
            <w:r>
              <w:rPr>
                <w:noProof/>
              </w:rPr>
              <w:t xml:space="preserve">Брой </w:t>
            </w:r>
          </w:p>
        </w:tc>
        <w:tc>
          <w:tcPr>
            <w:tcW w:w="318" w:type="pct"/>
            <w:shd w:val="clear" w:color="auto" w:fill="C6EFCE"/>
            <w:vAlign w:val="center"/>
          </w:tcPr>
          <w:p w14:paraId="713C89E3" w14:textId="3A242A38" w:rsidR="006054AA" w:rsidRDefault="001F7667">
            <w:pPr>
              <w:pStyle w:val="P68B1DB1-Normal11"/>
              <w:jc w:val="center"/>
              <w:rPr>
                <w:noProof/>
              </w:rPr>
            </w:pPr>
            <w:r>
              <w:rPr>
                <w:noProof/>
              </w:rPr>
              <w:t>0</w:t>
            </w:r>
          </w:p>
        </w:tc>
        <w:tc>
          <w:tcPr>
            <w:tcW w:w="384" w:type="pct"/>
            <w:shd w:val="clear" w:color="auto" w:fill="C6EFCE"/>
            <w:vAlign w:val="center"/>
          </w:tcPr>
          <w:p w14:paraId="3A82CDF0" w14:textId="5D059E54" w:rsidR="006054AA" w:rsidRDefault="001F7667">
            <w:pPr>
              <w:pStyle w:val="P68B1DB1-Normal11"/>
              <w:jc w:val="center"/>
              <w:rPr>
                <w:noProof/>
              </w:rPr>
            </w:pPr>
            <w:r>
              <w:rPr>
                <w:noProof/>
              </w:rPr>
              <w:t>300</w:t>
            </w:r>
          </w:p>
        </w:tc>
        <w:tc>
          <w:tcPr>
            <w:tcW w:w="275" w:type="pct"/>
            <w:shd w:val="clear" w:color="auto" w:fill="C6EFCE"/>
            <w:vAlign w:val="center"/>
          </w:tcPr>
          <w:p w14:paraId="47234F6C" w14:textId="77777777" w:rsidR="006054AA" w:rsidRDefault="001F7667">
            <w:pPr>
              <w:pStyle w:val="P68B1DB1-Normal11"/>
              <w:jc w:val="center"/>
              <w:rPr>
                <w:noProof/>
              </w:rPr>
            </w:pPr>
            <w:r>
              <w:rPr>
                <w:noProof/>
              </w:rPr>
              <w:t>Т2 Г.</w:t>
            </w:r>
          </w:p>
        </w:tc>
        <w:tc>
          <w:tcPr>
            <w:tcW w:w="200" w:type="pct"/>
            <w:shd w:val="clear" w:color="auto" w:fill="C6EFCE"/>
            <w:vAlign w:val="center"/>
          </w:tcPr>
          <w:p w14:paraId="30AAB6E8" w14:textId="77777777" w:rsidR="006054AA" w:rsidRDefault="001F7667">
            <w:pPr>
              <w:pStyle w:val="P68B1DB1-Normal11"/>
              <w:jc w:val="center"/>
              <w:rPr>
                <w:noProof/>
              </w:rPr>
            </w:pPr>
            <w:r>
              <w:rPr>
                <w:noProof/>
              </w:rPr>
              <w:t>2026</w:t>
            </w:r>
          </w:p>
        </w:tc>
        <w:tc>
          <w:tcPr>
            <w:tcW w:w="1081" w:type="pct"/>
            <w:shd w:val="clear" w:color="auto" w:fill="C6EFCE"/>
            <w:vAlign w:val="center"/>
          </w:tcPr>
          <w:p w14:paraId="20379F80" w14:textId="1D47B969" w:rsidR="006054AA" w:rsidRDefault="001F7667">
            <w:pPr>
              <w:pStyle w:val="P68B1DB1-Normal11"/>
              <w:rPr>
                <w:noProof/>
              </w:rPr>
            </w:pPr>
            <w:r>
              <w:rPr>
                <w:noProof/>
              </w:rPr>
              <w:t>Във всичките 14 метрополни града са завършени най-малко 300 проекта за интегрирано планиране в поне едно от следните три измерения:</w:t>
            </w:r>
          </w:p>
          <w:p w14:paraId="10EEB457" w14:textId="77777777" w:rsidR="006054AA" w:rsidRDefault="001F7667">
            <w:pPr>
              <w:pStyle w:val="P68B1DB1-Normal11"/>
              <w:rPr>
                <w:noProof/>
              </w:rPr>
            </w:pPr>
            <w:r>
              <w:rPr>
                <w:noProof/>
              </w:rPr>
              <w:t xml:space="preserve"> </w:t>
            </w:r>
          </w:p>
          <w:p w14:paraId="308921FB" w14:textId="77777777" w:rsidR="006054AA" w:rsidRDefault="001F7667">
            <w:pPr>
              <w:pStyle w:val="P68B1DB1-Normal11"/>
              <w:rPr>
                <w:noProof/>
              </w:rPr>
            </w:pPr>
            <w:r>
              <w:rPr>
                <w:noProof/>
              </w:rPr>
              <w:t>Поддръжка за повторна употреба и повторна експлоатация на обществени площи и съществуващи структури на обществени сгради;</w:t>
            </w:r>
          </w:p>
          <w:p w14:paraId="17E972C0" w14:textId="77777777" w:rsidR="006054AA" w:rsidRDefault="001F7667">
            <w:pPr>
              <w:pStyle w:val="P68B1DB1-Normal11"/>
              <w:rPr>
                <w:noProof/>
              </w:rPr>
            </w:pPr>
            <w:r>
              <w:rPr>
                <w:noProof/>
              </w:rPr>
              <w:t xml:space="preserve"> </w:t>
            </w:r>
          </w:p>
          <w:p w14:paraId="71E3FE0C" w14:textId="77777777" w:rsidR="006054AA" w:rsidRDefault="001F7667">
            <w:pPr>
              <w:pStyle w:val="P68B1DB1-Normal11"/>
              <w:rPr>
                <w:noProof/>
              </w:rPr>
            </w:pPr>
            <w:r>
              <w:rPr>
                <w:noProof/>
              </w:rPr>
              <w:t>Подобряване на качеството на градския декар и на социалната и екологичната структура, включително чрез обновяване на обществени сгради;</w:t>
            </w:r>
          </w:p>
          <w:p w14:paraId="52960B71" w14:textId="77777777" w:rsidR="006054AA" w:rsidRDefault="001F7667">
            <w:pPr>
              <w:pStyle w:val="P68B1DB1-Normal11"/>
              <w:rPr>
                <w:noProof/>
              </w:rPr>
            </w:pPr>
            <w:r>
              <w:rPr>
                <w:noProof/>
              </w:rPr>
              <w:t xml:space="preserve"> </w:t>
            </w:r>
          </w:p>
          <w:p w14:paraId="6141DC45" w14:textId="77777777" w:rsidR="006054AA" w:rsidRDefault="001F7667">
            <w:pPr>
              <w:pStyle w:val="P68B1DB1-Normal11"/>
              <w:rPr>
                <w:noProof/>
              </w:rPr>
            </w:pPr>
            <w:r>
              <w:rPr>
                <w:noProof/>
              </w:rPr>
              <w:t>Подобряване на качеството на околната среда и цифровия профил на градските райони чрез цялостна подкрепа за цифровите технологии и технологиите с по-ниски емисии</w:t>
            </w:r>
            <w:r>
              <w:rPr>
                <w:noProof/>
                <w:vertAlign w:val="superscript"/>
              </w:rPr>
              <w:t>на</w:t>
            </w:r>
            <w:r>
              <w:rPr>
                <w:noProof/>
              </w:rPr>
              <w:t xml:space="preserve"> CO2.</w:t>
            </w:r>
          </w:p>
          <w:p w14:paraId="36AC2453" w14:textId="77777777" w:rsidR="006054AA" w:rsidRDefault="001F7667">
            <w:pPr>
              <w:pStyle w:val="P68B1DB1-Normal11"/>
              <w:rPr>
                <w:noProof/>
              </w:rPr>
            </w:pPr>
            <w:r>
              <w:rPr>
                <w:noProof/>
              </w:rPr>
              <w:t xml:space="preserve"> </w:t>
            </w:r>
          </w:p>
          <w:p w14:paraId="04FA5527" w14:textId="2819740F" w:rsidR="006054AA" w:rsidRDefault="001F7667">
            <w:pPr>
              <w:pStyle w:val="P68B1DB1-Normal11"/>
              <w:rPr>
                <w:noProof/>
              </w:rPr>
            </w:pPr>
            <w:r>
              <w:rPr>
                <w:noProof/>
              </w:rPr>
              <w:t>Задоволителното изпълнение на целта зависи и от задоволителното изпълнение на вторична цел: завършване на интегрирани действия за планиране на площ от най-малко 3 000 000 квадратни метра от всичките 14 метрополни града.</w:t>
            </w:r>
          </w:p>
        </w:tc>
      </w:tr>
      <w:tr w:rsidR="006054AA" w14:paraId="649BA9AE" w14:textId="77777777">
        <w:trPr>
          <w:trHeight w:val="20"/>
          <w:jc w:val="center"/>
        </w:trPr>
        <w:tc>
          <w:tcPr>
            <w:tcW w:w="384" w:type="pct"/>
            <w:shd w:val="clear" w:color="auto" w:fill="C6EFCE"/>
            <w:vAlign w:val="center"/>
            <w:hideMark/>
          </w:tcPr>
          <w:p w14:paraId="57DA1034" w14:textId="77777777" w:rsidR="006054AA" w:rsidRDefault="001F7667">
            <w:pPr>
              <w:pStyle w:val="P68B1DB1-Normal11"/>
              <w:jc w:val="center"/>
              <w:rPr>
                <w:noProof/>
              </w:rPr>
            </w:pPr>
            <w:r>
              <w:rPr>
                <w:noProof/>
              </w:rPr>
              <w:t>M5C2—15</w:t>
            </w:r>
          </w:p>
        </w:tc>
        <w:tc>
          <w:tcPr>
            <w:tcW w:w="509" w:type="pct"/>
            <w:shd w:val="clear" w:color="auto" w:fill="C6EFCE"/>
            <w:vAlign w:val="center"/>
            <w:hideMark/>
          </w:tcPr>
          <w:p w14:paraId="63AC89A2" w14:textId="77777777" w:rsidR="006054AA" w:rsidRDefault="001F7667">
            <w:pPr>
              <w:pStyle w:val="P68B1DB1-Normal11"/>
              <w:jc w:val="center"/>
              <w:rPr>
                <w:noProof/>
              </w:rPr>
            </w:pPr>
            <w:r>
              <w:rPr>
                <w:noProof/>
              </w:rPr>
              <w:t>Инвестиция 5 — Интегрирани градоустройствени планове — Преодоляване на незаконните селища за борба с трудовата експлоатация в селското стопанство</w:t>
            </w:r>
          </w:p>
        </w:tc>
        <w:tc>
          <w:tcPr>
            <w:tcW w:w="361" w:type="pct"/>
            <w:shd w:val="clear" w:color="auto" w:fill="C6EFCE"/>
            <w:vAlign w:val="center"/>
            <w:hideMark/>
          </w:tcPr>
          <w:p w14:paraId="6D28F785" w14:textId="77777777" w:rsidR="006054AA" w:rsidRDefault="001F7667">
            <w:pPr>
              <w:pStyle w:val="P68B1DB1-Normal11"/>
              <w:jc w:val="center"/>
              <w:rPr>
                <w:noProof/>
              </w:rPr>
            </w:pPr>
            <w:r>
              <w:rPr>
                <w:noProof/>
              </w:rPr>
              <w:t>Ключов етап</w:t>
            </w:r>
          </w:p>
        </w:tc>
        <w:tc>
          <w:tcPr>
            <w:tcW w:w="505" w:type="pct"/>
            <w:shd w:val="clear" w:color="auto" w:fill="C6EFCE"/>
            <w:vAlign w:val="center"/>
            <w:hideMark/>
          </w:tcPr>
          <w:p w14:paraId="57ACAA31" w14:textId="77777777" w:rsidR="006054AA" w:rsidRDefault="001F7667">
            <w:pPr>
              <w:pStyle w:val="P68B1DB1-Normal11"/>
              <w:jc w:val="center"/>
              <w:rPr>
                <w:noProof/>
              </w:rPr>
            </w:pPr>
            <w:r>
              <w:rPr>
                <w:noProof/>
              </w:rPr>
              <w:t>Влизането в сила на министерското постановление, с което се определя картографирането на незаконните селища, се приема от „Tavolo di contrasto allo sfruttamento lavorativo in agricoltura“, а министерското постановление за разпределяне на ресурсите се приема</w:t>
            </w:r>
          </w:p>
        </w:tc>
        <w:tc>
          <w:tcPr>
            <w:tcW w:w="505" w:type="pct"/>
            <w:shd w:val="clear" w:color="auto" w:fill="C6EFCE"/>
            <w:vAlign w:val="center"/>
            <w:hideMark/>
          </w:tcPr>
          <w:p w14:paraId="160A03D4" w14:textId="77777777" w:rsidR="006054AA" w:rsidRDefault="001F7667">
            <w:pPr>
              <w:pStyle w:val="P68B1DB1-Normal11"/>
              <w:jc w:val="center"/>
              <w:rPr>
                <w:noProof/>
              </w:rPr>
            </w:pPr>
            <w:r>
              <w:rPr>
                <w:noProof/>
              </w:rPr>
              <w:t>Законова разпоредба, указваща влизането в сила на министерското постановление</w:t>
            </w:r>
          </w:p>
        </w:tc>
        <w:tc>
          <w:tcPr>
            <w:tcW w:w="478" w:type="pct"/>
            <w:shd w:val="clear" w:color="auto" w:fill="C6EFCE"/>
            <w:vAlign w:val="center"/>
            <w:hideMark/>
          </w:tcPr>
          <w:p w14:paraId="19419051" w14:textId="77777777" w:rsidR="006054AA" w:rsidRDefault="001F7667">
            <w:pPr>
              <w:pStyle w:val="P68B1DB1-Normal11"/>
              <w:jc w:val="center"/>
              <w:rPr>
                <w:noProof/>
              </w:rPr>
            </w:pPr>
            <w:r>
              <w:rPr>
                <w:noProof/>
              </w:rPr>
              <w:t>НЯМА</w:t>
            </w:r>
          </w:p>
        </w:tc>
        <w:tc>
          <w:tcPr>
            <w:tcW w:w="318" w:type="pct"/>
            <w:shd w:val="clear" w:color="auto" w:fill="C6EFCE"/>
            <w:vAlign w:val="center"/>
            <w:hideMark/>
          </w:tcPr>
          <w:p w14:paraId="034A4507" w14:textId="77777777" w:rsidR="006054AA" w:rsidRDefault="001F7667">
            <w:pPr>
              <w:pStyle w:val="P68B1DB1-Normal11"/>
              <w:jc w:val="center"/>
              <w:rPr>
                <w:noProof/>
              </w:rPr>
            </w:pPr>
            <w:r>
              <w:rPr>
                <w:noProof/>
              </w:rPr>
              <w:t>НЯМА</w:t>
            </w:r>
          </w:p>
        </w:tc>
        <w:tc>
          <w:tcPr>
            <w:tcW w:w="384" w:type="pct"/>
            <w:shd w:val="clear" w:color="auto" w:fill="C6EFCE"/>
            <w:vAlign w:val="center"/>
            <w:hideMark/>
          </w:tcPr>
          <w:p w14:paraId="5346C99A" w14:textId="77777777" w:rsidR="006054AA" w:rsidRDefault="001F7667">
            <w:pPr>
              <w:pStyle w:val="P68B1DB1-Normal11"/>
              <w:jc w:val="center"/>
              <w:rPr>
                <w:noProof/>
              </w:rPr>
            </w:pPr>
            <w:r>
              <w:rPr>
                <w:noProof/>
              </w:rPr>
              <w:t>НЯМА</w:t>
            </w:r>
          </w:p>
        </w:tc>
        <w:tc>
          <w:tcPr>
            <w:tcW w:w="275" w:type="pct"/>
            <w:shd w:val="clear" w:color="auto" w:fill="C6EFCE"/>
            <w:vAlign w:val="center"/>
            <w:hideMark/>
          </w:tcPr>
          <w:p w14:paraId="5DB0EB4B" w14:textId="77777777" w:rsidR="006054AA" w:rsidRDefault="001F7667">
            <w:pPr>
              <w:pStyle w:val="P68B1DB1-Normal11"/>
              <w:jc w:val="center"/>
              <w:rPr>
                <w:noProof/>
              </w:rPr>
            </w:pPr>
            <w:r>
              <w:rPr>
                <w:noProof/>
              </w:rPr>
              <w:t>Т1 Г.</w:t>
            </w:r>
          </w:p>
        </w:tc>
        <w:tc>
          <w:tcPr>
            <w:tcW w:w="200" w:type="pct"/>
            <w:shd w:val="clear" w:color="auto" w:fill="C6EFCE"/>
            <w:vAlign w:val="center"/>
            <w:hideMark/>
          </w:tcPr>
          <w:p w14:paraId="673F7EA0" w14:textId="77777777" w:rsidR="006054AA" w:rsidRDefault="001F7667">
            <w:pPr>
              <w:pStyle w:val="P68B1DB1-Normal11"/>
              <w:jc w:val="center"/>
              <w:rPr>
                <w:noProof/>
              </w:rPr>
            </w:pPr>
            <w:r>
              <w:rPr>
                <w:noProof/>
              </w:rPr>
              <w:t>2022</w:t>
            </w:r>
          </w:p>
        </w:tc>
        <w:tc>
          <w:tcPr>
            <w:tcW w:w="1081" w:type="pct"/>
            <w:shd w:val="clear" w:color="auto" w:fill="C6EFCE"/>
            <w:vAlign w:val="center"/>
            <w:hideMark/>
          </w:tcPr>
          <w:p w14:paraId="09E9ACED" w14:textId="77777777" w:rsidR="006054AA" w:rsidRDefault="001F7667">
            <w:pPr>
              <w:pStyle w:val="P68B1DB1-Normal11"/>
              <w:rPr>
                <w:noProof/>
              </w:rPr>
            </w:pPr>
            <w:r>
              <w:rPr>
                <w:noProof/>
              </w:rPr>
              <w:t>Министерското постановление разпределя ресурсите въз основа на картографирането на незаконните селища, реализирани от „Tavolo di contrasto allo sfruttamento lavorativo in agricoltura“. Определя се стандарт за временни и дългосрочни решения за жилищно настаняване.</w:t>
            </w:r>
          </w:p>
        </w:tc>
      </w:tr>
      <w:tr w:rsidR="006054AA" w14:paraId="148AECC9" w14:textId="77777777">
        <w:trPr>
          <w:trHeight w:val="3046"/>
          <w:jc w:val="center"/>
        </w:trPr>
        <w:tc>
          <w:tcPr>
            <w:tcW w:w="384" w:type="pct"/>
            <w:shd w:val="clear" w:color="auto" w:fill="C6EFCE"/>
            <w:vAlign w:val="center"/>
            <w:hideMark/>
          </w:tcPr>
          <w:p w14:paraId="42C97125" w14:textId="77777777" w:rsidR="006054AA" w:rsidRDefault="001F7667">
            <w:pPr>
              <w:pStyle w:val="P68B1DB1-Normal11"/>
              <w:jc w:val="center"/>
              <w:rPr>
                <w:noProof/>
              </w:rPr>
            </w:pPr>
            <w:r>
              <w:rPr>
                <w:noProof/>
              </w:rPr>
              <w:t>M5C2—16</w:t>
            </w:r>
          </w:p>
        </w:tc>
        <w:tc>
          <w:tcPr>
            <w:tcW w:w="509" w:type="pct"/>
            <w:shd w:val="clear" w:color="auto" w:fill="C6EFCE"/>
            <w:vAlign w:val="center"/>
            <w:hideMark/>
          </w:tcPr>
          <w:p w14:paraId="450678B9" w14:textId="77777777" w:rsidR="006054AA" w:rsidRDefault="001F7667">
            <w:pPr>
              <w:pStyle w:val="P68B1DB1-Normal11"/>
              <w:jc w:val="center"/>
              <w:rPr>
                <w:noProof/>
              </w:rPr>
            </w:pPr>
            <w:r>
              <w:rPr>
                <w:noProof/>
              </w:rPr>
              <w:t>Инвестиция 5 — Интегрирани градоустройствени планове — Преодоляване на незаконните селища за борба с трудовата експлоатация в селското стопанство</w:t>
            </w:r>
          </w:p>
        </w:tc>
        <w:tc>
          <w:tcPr>
            <w:tcW w:w="361" w:type="pct"/>
            <w:shd w:val="clear" w:color="auto" w:fill="C6EFCE"/>
            <w:vAlign w:val="center"/>
            <w:hideMark/>
          </w:tcPr>
          <w:p w14:paraId="24523AB5" w14:textId="77777777" w:rsidR="006054AA" w:rsidRDefault="001F7667">
            <w:pPr>
              <w:pStyle w:val="P68B1DB1-Normal11"/>
              <w:jc w:val="center"/>
              <w:rPr>
                <w:noProof/>
              </w:rPr>
            </w:pPr>
            <w:r>
              <w:rPr>
                <w:noProof/>
              </w:rPr>
              <w:t>Целеви</w:t>
            </w:r>
          </w:p>
        </w:tc>
        <w:tc>
          <w:tcPr>
            <w:tcW w:w="505" w:type="pct"/>
            <w:shd w:val="clear" w:color="auto" w:fill="C6EFCE"/>
            <w:vAlign w:val="center"/>
            <w:hideMark/>
          </w:tcPr>
          <w:p w14:paraId="01A30202" w14:textId="77777777" w:rsidR="006054AA" w:rsidRDefault="001F7667">
            <w:pPr>
              <w:pStyle w:val="P68B1DB1-Normal11"/>
              <w:jc w:val="center"/>
              <w:rPr>
                <w:noProof/>
              </w:rPr>
            </w:pPr>
            <w:r>
              <w:rPr>
                <w:noProof/>
              </w:rPr>
              <w:t>Дейностите по проекта са завършени в областите, определени като незаконни селища в местните планове</w:t>
            </w:r>
          </w:p>
        </w:tc>
        <w:tc>
          <w:tcPr>
            <w:tcW w:w="505" w:type="pct"/>
            <w:shd w:val="clear" w:color="auto" w:fill="C6EFCE"/>
            <w:vAlign w:val="center"/>
            <w:hideMark/>
          </w:tcPr>
          <w:p w14:paraId="6590A871" w14:textId="77777777" w:rsidR="006054AA" w:rsidRDefault="001F7667">
            <w:pPr>
              <w:pStyle w:val="P68B1DB1-Normal11"/>
              <w:jc w:val="center"/>
              <w:rPr>
                <w:noProof/>
              </w:rPr>
            </w:pPr>
            <w:r>
              <w:rPr>
                <w:noProof/>
              </w:rPr>
              <w:t>НЯМА</w:t>
            </w:r>
          </w:p>
        </w:tc>
        <w:tc>
          <w:tcPr>
            <w:tcW w:w="478" w:type="pct"/>
            <w:shd w:val="clear" w:color="auto" w:fill="C6EFCE"/>
            <w:vAlign w:val="center"/>
            <w:hideMark/>
          </w:tcPr>
          <w:p w14:paraId="799AED36" w14:textId="77777777" w:rsidR="006054AA" w:rsidRDefault="001F7667">
            <w:pPr>
              <w:pStyle w:val="P68B1DB1-Normal11"/>
              <w:jc w:val="center"/>
              <w:rPr>
                <w:noProof/>
              </w:rPr>
            </w:pPr>
            <w:r>
              <w:rPr>
                <w:noProof/>
              </w:rPr>
              <w:t>Проценти</w:t>
            </w:r>
          </w:p>
        </w:tc>
        <w:tc>
          <w:tcPr>
            <w:tcW w:w="318" w:type="pct"/>
            <w:shd w:val="clear" w:color="auto" w:fill="C6EFCE"/>
            <w:vAlign w:val="center"/>
            <w:hideMark/>
          </w:tcPr>
          <w:p w14:paraId="478B2714" w14:textId="77777777" w:rsidR="006054AA" w:rsidRDefault="001F7667">
            <w:pPr>
              <w:pStyle w:val="P68B1DB1-Normal11"/>
              <w:jc w:val="center"/>
              <w:rPr>
                <w:noProof/>
              </w:rPr>
            </w:pPr>
            <w:r>
              <w:rPr>
                <w:noProof/>
              </w:rPr>
              <w:t>0</w:t>
            </w:r>
          </w:p>
        </w:tc>
        <w:tc>
          <w:tcPr>
            <w:tcW w:w="384" w:type="pct"/>
            <w:shd w:val="clear" w:color="auto" w:fill="C6EFCE"/>
            <w:vAlign w:val="center"/>
            <w:hideMark/>
          </w:tcPr>
          <w:p w14:paraId="40670AD9" w14:textId="77777777" w:rsidR="006054AA" w:rsidRDefault="001F7667">
            <w:pPr>
              <w:pStyle w:val="P68B1DB1-Normal11"/>
              <w:jc w:val="center"/>
              <w:rPr>
                <w:noProof/>
              </w:rPr>
            </w:pPr>
            <w:r>
              <w:rPr>
                <w:noProof/>
              </w:rPr>
              <w:t>90</w:t>
            </w:r>
          </w:p>
        </w:tc>
        <w:tc>
          <w:tcPr>
            <w:tcW w:w="275" w:type="pct"/>
            <w:shd w:val="clear" w:color="auto" w:fill="C6EFCE"/>
            <w:vAlign w:val="center"/>
            <w:hideMark/>
          </w:tcPr>
          <w:p w14:paraId="4C1805D7" w14:textId="77777777" w:rsidR="006054AA" w:rsidRDefault="001F7667">
            <w:pPr>
              <w:pStyle w:val="P68B1DB1-Normal11"/>
              <w:jc w:val="center"/>
              <w:rPr>
                <w:noProof/>
              </w:rPr>
            </w:pPr>
            <w:r>
              <w:rPr>
                <w:noProof/>
              </w:rPr>
              <w:t>Т1 Г.</w:t>
            </w:r>
          </w:p>
        </w:tc>
        <w:tc>
          <w:tcPr>
            <w:tcW w:w="200" w:type="pct"/>
            <w:shd w:val="clear" w:color="auto" w:fill="C6EFCE"/>
            <w:vAlign w:val="center"/>
            <w:hideMark/>
          </w:tcPr>
          <w:p w14:paraId="50A4EF3B" w14:textId="77777777" w:rsidR="006054AA" w:rsidRDefault="001F7667">
            <w:pPr>
              <w:pStyle w:val="P68B1DB1-Normal11"/>
              <w:jc w:val="center"/>
              <w:rPr>
                <w:noProof/>
              </w:rPr>
            </w:pPr>
            <w:r>
              <w:rPr>
                <w:noProof/>
              </w:rPr>
              <w:t>2025</w:t>
            </w:r>
          </w:p>
        </w:tc>
        <w:tc>
          <w:tcPr>
            <w:tcW w:w="1081" w:type="pct"/>
            <w:shd w:val="clear" w:color="auto" w:fill="C6EFCE"/>
            <w:vAlign w:val="center"/>
            <w:hideMark/>
          </w:tcPr>
          <w:p w14:paraId="627A9A60" w14:textId="77777777" w:rsidR="006054AA" w:rsidRDefault="001F7667">
            <w:pPr>
              <w:pStyle w:val="P68B1DB1-Normal11"/>
              <w:rPr>
                <w:rFonts w:eastAsia="Calibri"/>
                <w:noProof/>
              </w:rPr>
            </w:pPr>
            <w:r>
              <w:rPr>
                <w:noProof/>
              </w:rPr>
              <w:t>Дейностите по проекта са завършени в най-малко 90 % от районите, определени като незаконни селища в местните планове.</w:t>
            </w:r>
          </w:p>
          <w:p w14:paraId="14813CF4" w14:textId="77777777" w:rsidR="006054AA" w:rsidRDefault="006054AA">
            <w:pPr>
              <w:rPr>
                <w:rFonts w:ascii="Arial Narrow" w:hAnsi="Arial Narrow"/>
                <w:noProof/>
                <w:color w:val="006100"/>
                <w:sz w:val="20"/>
              </w:rPr>
            </w:pPr>
          </w:p>
          <w:p w14:paraId="3D0C1B95" w14:textId="77777777" w:rsidR="006054AA" w:rsidRDefault="001F7667">
            <w:pPr>
              <w:pStyle w:val="P68B1DB1-Normal11"/>
              <w:rPr>
                <w:noProof/>
              </w:rPr>
            </w:pPr>
            <w:r>
              <w:rPr>
                <w:noProof/>
              </w:rPr>
              <w:t>След разпределянето на ресурсите съответната администрация предоставя „план за действие на местно равнище“ за всяко установено незаконно заселване.</w:t>
            </w:r>
          </w:p>
        </w:tc>
      </w:tr>
      <w:tr w:rsidR="006054AA" w14:paraId="4927ED30" w14:textId="77777777">
        <w:trPr>
          <w:trHeight w:val="20"/>
          <w:jc w:val="center"/>
        </w:trPr>
        <w:tc>
          <w:tcPr>
            <w:tcW w:w="384" w:type="pct"/>
            <w:shd w:val="clear" w:color="auto" w:fill="C6EFCE"/>
            <w:vAlign w:val="center"/>
            <w:hideMark/>
          </w:tcPr>
          <w:p w14:paraId="30AAA3B4" w14:textId="77777777" w:rsidR="006054AA" w:rsidRDefault="001F7667">
            <w:pPr>
              <w:pStyle w:val="P68B1DB1-Normal11"/>
              <w:jc w:val="center"/>
              <w:rPr>
                <w:noProof/>
              </w:rPr>
            </w:pPr>
            <w:r>
              <w:rPr>
                <w:noProof/>
              </w:rPr>
              <w:t>M5C2—17</w:t>
            </w:r>
          </w:p>
        </w:tc>
        <w:tc>
          <w:tcPr>
            <w:tcW w:w="509" w:type="pct"/>
            <w:shd w:val="clear" w:color="auto" w:fill="C6EFCE"/>
            <w:vAlign w:val="center"/>
            <w:hideMark/>
          </w:tcPr>
          <w:p w14:paraId="1D56EB36" w14:textId="77777777" w:rsidR="006054AA" w:rsidRDefault="001F7667">
            <w:pPr>
              <w:pStyle w:val="P68B1DB1-Normal11"/>
              <w:jc w:val="center"/>
              <w:rPr>
                <w:noProof/>
              </w:rPr>
            </w:pPr>
            <w:r>
              <w:rPr>
                <w:noProof/>
              </w:rPr>
              <w:t>Инвестиция 5 — Интегрирани планове за градско развитие — Фонд на ЕИБ</w:t>
            </w:r>
          </w:p>
        </w:tc>
        <w:tc>
          <w:tcPr>
            <w:tcW w:w="361" w:type="pct"/>
            <w:shd w:val="clear" w:color="auto" w:fill="C6EFCE"/>
            <w:vAlign w:val="center"/>
            <w:hideMark/>
          </w:tcPr>
          <w:p w14:paraId="2A8A40A6" w14:textId="77777777" w:rsidR="006054AA" w:rsidRDefault="001F7667">
            <w:pPr>
              <w:pStyle w:val="P68B1DB1-Normal11"/>
              <w:jc w:val="center"/>
              <w:rPr>
                <w:noProof/>
              </w:rPr>
            </w:pPr>
            <w:r>
              <w:rPr>
                <w:noProof/>
              </w:rPr>
              <w:t>Ключов етап</w:t>
            </w:r>
          </w:p>
        </w:tc>
        <w:tc>
          <w:tcPr>
            <w:tcW w:w="505" w:type="pct"/>
            <w:shd w:val="clear" w:color="auto" w:fill="C6EFCE"/>
            <w:vAlign w:val="center"/>
            <w:hideMark/>
          </w:tcPr>
          <w:p w14:paraId="14DEE577" w14:textId="77777777" w:rsidR="006054AA" w:rsidRDefault="001F7667">
            <w:pPr>
              <w:pStyle w:val="P68B1DB1-Normal11"/>
              <w:jc w:val="center"/>
              <w:rPr>
                <w:noProof/>
              </w:rPr>
            </w:pPr>
            <w:r>
              <w:rPr>
                <w:noProof/>
              </w:rPr>
              <w:t>Инвестиционната стратегия на Фонда се одобрява от Министерството на финансите (МОФ)</w:t>
            </w:r>
          </w:p>
        </w:tc>
        <w:tc>
          <w:tcPr>
            <w:tcW w:w="505" w:type="pct"/>
            <w:shd w:val="clear" w:color="auto" w:fill="C6EFCE"/>
            <w:vAlign w:val="center"/>
            <w:hideMark/>
          </w:tcPr>
          <w:p w14:paraId="4615D2CF" w14:textId="77777777" w:rsidR="006054AA" w:rsidRDefault="001F7667">
            <w:pPr>
              <w:pStyle w:val="P68B1DB1-Normal11"/>
              <w:jc w:val="center"/>
              <w:rPr>
                <w:noProof/>
              </w:rPr>
            </w:pPr>
            <w:r>
              <w:rPr>
                <w:noProof/>
              </w:rPr>
              <w:t>Инвестиционната стратегия на Фонда се одобрява от Министерството на финансите</w:t>
            </w:r>
          </w:p>
        </w:tc>
        <w:tc>
          <w:tcPr>
            <w:tcW w:w="478" w:type="pct"/>
            <w:shd w:val="clear" w:color="auto" w:fill="C6EFCE"/>
            <w:vAlign w:val="center"/>
            <w:hideMark/>
          </w:tcPr>
          <w:p w14:paraId="4E451B1A" w14:textId="77777777" w:rsidR="006054AA" w:rsidRDefault="001F7667">
            <w:pPr>
              <w:pStyle w:val="P68B1DB1-Normal11"/>
              <w:jc w:val="center"/>
              <w:rPr>
                <w:noProof/>
              </w:rPr>
            </w:pPr>
            <w:r>
              <w:rPr>
                <w:noProof/>
              </w:rPr>
              <w:t>НЯМА</w:t>
            </w:r>
          </w:p>
        </w:tc>
        <w:tc>
          <w:tcPr>
            <w:tcW w:w="318" w:type="pct"/>
            <w:shd w:val="clear" w:color="auto" w:fill="C6EFCE"/>
            <w:vAlign w:val="center"/>
            <w:hideMark/>
          </w:tcPr>
          <w:p w14:paraId="4C2D8E5C" w14:textId="77777777" w:rsidR="006054AA" w:rsidRDefault="001F7667">
            <w:pPr>
              <w:pStyle w:val="P68B1DB1-Normal11"/>
              <w:jc w:val="center"/>
              <w:rPr>
                <w:noProof/>
              </w:rPr>
            </w:pPr>
            <w:r>
              <w:rPr>
                <w:noProof/>
              </w:rPr>
              <w:t>НЯМА</w:t>
            </w:r>
          </w:p>
        </w:tc>
        <w:tc>
          <w:tcPr>
            <w:tcW w:w="384" w:type="pct"/>
            <w:shd w:val="clear" w:color="auto" w:fill="C6EFCE"/>
            <w:vAlign w:val="center"/>
            <w:hideMark/>
          </w:tcPr>
          <w:p w14:paraId="0ABB3811" w14:textId="77777777" w:rsidR="006054AA" w:rsidRDefault="001F7667">
            <w:pPr>
              <w:pStyle w:val="P68B1DB1-Normal11"/>
              <w:jc w:val="center"/>
              <w:rPr>
                <w:noProof/>
              </w:rPr>
            </w:pPr>
            <w:r>
              <w:rPr>
                <w:noProof/>
              </w:rPr>
              <w:t>НЯМА</w:t>
            </w:r>
          </w:p>
        </w:tc>
        <w:tc>
          <w:tcPr>
            <w:tcW w:w="275" w:type="pct"/>
            <w:shd w:val="clear" w:color="auto" w:fill="C6EFCE"/>
            <w:vAlign w:val="center"/>
            <w:hideMark/>
          </w:tcPr>
          <w:p w14:paraId="4B629315" w14:textId="77777777" w:rsidR="006054AA" w:rsidRDefault="001F7667">
            <w:pPr>
              <w:pStyle w:val="P68B1DB1-Normal11"/>
              <w:jc w:val="center"/>
              <w:rPr>
                <w:noProof/>
              </w:rPr>
            </w:pPr>
            <w:r>
              <w:rPr>
                <w:noProof/>
              </w:rPr>
              <w:t>Т3 Г.</w:t>
            </w:r>
          </w:p>
        </w:tc>
        <w:tc>
          <w:tcPr>
            <w:tcW w:w="200" w:type="pct"/>
            <w:shd w:val="clear" w:color="auto" w:fill="C6EFCE"/>
            <w:vAlign w:val="center"/>
            <w:hideMark/>
          </w:tcPr>
          <w:p w14:paraId="1FB15B3B" w14:textId="77777777" w:rsidR="006054AA" w:rsidRDefault="001F7667">
            <w:pPr>
              <w:pStyle w:val="P68B1DB1-Normal11"/>
              <w:jc w:val="center"/>
              <w:rPr>
                <w:noProof/>
              </w:rPr>
            </w:pPr>
            <w:r>
              <w:rPr>
                <w:noProof/>
              </w:rPr>
              <w:t>2022</w:t>
            </w:r>
          </w:p>
        </w:tc>
        <w:tc>
          <w:tcPr>
            <w:tcW w:w="1081" w:type="pct"/>
            <w:shd w:val="clear" w:color="auto" w:fill="C6EFCE"/>
            <w:vAlign w:val="center"/>
            <w:hideMark/>
          </w:tcPr>
          <w:p w14:paraId="7205AEA9" w14:textId="73863B7D" w:rsidR="006054AA" w:rsidRDefault="001F7667">
            <w:pPr>
              <w:pStyle w:val="P68B1DB1-Normal11"/>
              <w:rPr>
                <w:rFonts w:eastAsia="Calibri"/>
                <w:noProof/>
              </w:rPr>
            </w:pPr>
            <w:r>
              <w:rPr>
                <w:noProof/>
              </w:rPr>
              <w:t>Инвестиционната стратегия на Фонда определя като минимум: I) естеството и обхвата на подкрепяните инвестиции, които насърчават проекти за устойчиво градско възстановяване и развитие и са в съответствие с целите на МВУ, включително във връзка със спазването на принципа за ненанасяне на значителни вреди, както е допълнително уточнено в насоките на Комисията от 12 февруари 2021 г., ii) подкрепяните операции, iii) целевите бенефициери, които са частни организатори на финансово устойчиви проекти, за които публичната подкрепа е оправдана от пазарна неефективност или рисков профил, и критериите за допустимост, iv) критериите за допустимост на финансовите бенефициери и техния подбор чрез открита покана; V) включването на специален бюджетен ред за решения за достойно жилищно настаняване за работниците в селскостопанския и промишления сектор и vi) разпоредби за реинвестиране на потенциалните обратни постъпления за същите цели на политиката, също и след 2026 г.</w:t>
            </w:r>
          </w:p>
          <w:p w14:paraId="5F0A8D7E" w14:textId="77777777" w:rsidR="006054AA" w:rsidRDefault="006054AA">
            <w:pPr>
              <w:rPr>
                <w:rFonts w:ascii="Arial Narrow" w:eastAsia="Calibri" w:hAnsi="Arial Narrow"/>
                <w:noProof/>
                <w:color w:val="006100"/>
                <w:sz w:val="20"/>
              </w:rPr>
            </w:pPr>
          </w:p>
          <w:p w14:paraId="32E2FD9B" w14:textId="77777777" w:rsidR="006054AA" w:rsidRDefault="001F7667">
            <w:pPr>
              <w:pStyle w:val="P68B1DB1-Normal11"/>
              <w:rPr>
                <w:noProof/>
              </w:rPr>
            </w:pPr>
            <w:r>
              <w:rPr>
                <w:noProof/>
              </w:rPr>
              <w:t>Договорното споразумение с упълномощения субект, изискващо изискване, изисква използването на насоките за принципа за ненанасяне на значителни вреди.</w:t>
            </w:r>
          </w:p>
        </w:tc>
      </w:tr>
      <w:tr w:rsidR="006054AA" w14:paraId="717502E7" w14:textId="77777777">
        <w:trPr>
          <w:trHeight w:val="20"/>
          <w:jc w:val="center"/>
        </w:trPr>
        <w:tc>
          <w:tcPr>
            <w:tcW w:w="384" w:type="pct"/>
            <w:shd w:val="clear" w:color="auto" w:fill="C6EFCE"/>
            <w:vAlign w:val="center"/>
          </w:tcPr>
          <w:p w14:paraId="1BC32807" w14:textId="77777777" w:rsidR="006054AA" w:rsidRDefault="001F7667">
            <w:pPr>
              <w:pStyle w:val="P68B1DB1-Normal11"/>
              <w:jc w:val="center"/>
              <w:rPr>
                <w:noProof/>
              </w:rPr>
            </w:pPr>
            <w:r>
              <w:rPr>
                <w:noProof/>
              </w:rPr>
              <w:t>M5C2—18</w:t>
            </w:r>
          </w:p>
        </w:tc>
        <w:tc>
          <w:tcPr>
            <w:tcW w:w="509" w:type="pct"/>
            <w:shd w:val="clear" w:color="auto" w:fill="C6EFCE"/>
            <w:vAlign w:val="center"/>
          </w:tcPr>
          <w:p w14:paraId="28E34300" w14:textId="77777777" w:rsidR="006054AA" w:rsidRDefault="001F7667">
            <w:pPr>
              <w:pStyle w:val="P68B1DB1-Normal11"/>
              <w:jc w:val="center"/>
              <w:rPr>
                <w:rFonts w:eastAsia="Calibri"/>
                <w:noProof/>
              </w:rPr>
            </w:pPr>
            <w:r>
              <w:rPr>
                <w:noProof/>
              </w:rPr>
              <w:t>Инвестиция 5 — Интегрирани планове за градско развитие — Фонд на ЕИБ</w:t>
            </w:r>
          </w:p>
        </w:tc>
        <w:tc>
          <w:tcPr>
            <w:tcW w:w="361" w:type="pct"/>
            <w:shd w:val="clear" w:color="auto" w:fill="C6EFCE"/>
            <w:vAlign w:val="center"/>
          </w:tcPr>
          <w:p w14:paraId="318E2227" w14:textId="77777777" w:rsidR="006054AA" w:rsidRDefault="001F7667">
            <w:pPr>
              <w:pStyle w:val="P68B1DB1-Normal11"/>
              <w:jc w:val="center"/>
              <w:rPr>
                <w:rFonts w:eastAsia="Calibri"/>
                <w:noProof/>
              </w:rPr>
            </w:pPr>
            <w:r>
              <w:rPr>
                <w:noProof/>
              </w:rPr>
              <w:t>Целеви</w:t>
            </w:r>
          </w:p>
        </w:tc>
        <w:tc>
          <w:tcPr>
            <w:tcW w:w="505" w:type="pct"/>
            <w:shd w:val="clear" w:color="auto" w:fill="C6EFCE"/>
            <w:vAlign w:val="center"/>
          </w:tcPr>
          <w:p w14:paraId="34C11320" w14:textId="77777777" w:rsidR="006054AA" w:rsidRDefault="001F7667">
            <w:pPr>
              <w:pStyle w:val="P68B1DB1-Normal11"/>
              <w:jc w:val="center"/>
              <w:rPr>
                <w:rFonts w:eastAsia="Calibri"/>
                <w:noProof/>
              </w:rPr>
            </w:pPr>
            <w:r>
              <w:rPr>
                <w:noProof/>
              </w:rPr>
              <w:t>Парична стойност на приноса към тематичния фонд и подкрепа за градски проекти</w:t>
            </w:r>
          </w:p>
        </w:tc>
        <w:tc>
          <w:tcPr>
            <w:tcW w:w="505" w:type="pct"/>
            <w:shd w:val="clear" w:color="auto" w:fill="C6EFCE"/>
            <w:vAlign w:val="center"/>
          </w:tcPr>
          <w:p w14:paraId="6E078E1C" w14:textId="77777777" w:rsidR="006054AA" w:rsidRDefault="001F7667">
            <w:pPr>
              <w:pStyle w:val="P68B1DB1-Normal11"/>
              <w:jc w:val="center"/>
              <w:rPr>
                <w:noProof/>
              </w:rPr>
            </w:pPr>
            <w:r>
              <w:rPr>
                <w:noProof/>
              </w:rPr>
              <w:t>НЯМА</w:t>
            </w:r>
          </w:p>
        </w:tc>
        <w:tc>
          <w:tcPr>
            <w:tcW w:w="478" w:type="pct"/>
            <w:shd w:val="clear" w:color="auto" w:fill="C6EFCE"/>
            <w:vAlign w:val="center"/>
          </w:tcPr>
          <w:p w14:paraId="32E3C00F" w14:textId="77777777" w:rsidR="006054AA" w:rsidRDefault="001F7667">
            <w:pPr>
              <w:pStyle w:val="P68B1DB1-Normal11"/>
              <w:jc w:val="center"/>
              <w:rPr>
                <w:rFonts w:eastAsia="Calibri"/>
                <w:noProof/>
              </w:rPr>
            </w:pPr>
            <w:r>
              <w:rPr>
                <w:noProof/>
              </w:rPr>
              <w:t>ЕВРО</w:t>
            </w:r>
          </w:p>
        </w:tc>
        <w:tc>
          <w:tcPr>
            <w:tcW w:w="318" w:type="pct"/>
            <w:shd w:val="clear" w:color="auto" w:fill="C6EFCE"/>
            <w:vAlign w:val="center"/>
          </w:tcPr>
          <w:p w14:paraId="664BCAE6" w14:textId="77777777" w:rsidR="006054AA" w:rsidRDefault="001F7667">
            <w:pPr>
              <w:pStyle w:val="P68B1DB1-Normal11"/>
              <w:jc w:val="center"/>
              <w:rPr>
                <w:rFonts w:eastAsia="Calibri"/>
                <w:noProof/>
              </w:rPr>
            </w:pPr>
            <w:r>
              <w:rPr>
                <w:noProof/>
              </w:rPr>
              <w:t>0</w:t>
            </w:r>
          </w:p>
        </w:tc>
        <w:tc>
          <w:tcPr>
            <w:tcW w:w="384" w:type="pct"/>
            <w:shd w:val="clear" w:color="auto" w:fill="C6EFCE"/>
            <w:vAlign w:val="center"/>
          </w:tcPr>
          <w:p w14:paraId="04B3D664" w14:textId="76EFBA2E" w:rsidR="006054AA" w:rsidRDefault="001F7667">
            <w:pPr>
              <w:pStyle w:val="P68B1DB1-Normal11"/>
              <w:jc w:val="center"/>
              <w:rPr>
                <w:rFonts w:eastAsia="Calibri"/>
                <w:noProof/>
              </w:rPr>
            </w:pPr>
            <w:r>
              <w:rPr>
                <w:noProof/>
              </w:rPr>
              <w:t>545 000 000</w:t>
            </w:r>
          </w:p>
        </w:tc>
        <w:tc>
          <w:tcPr>
            <w:tcW w:w="275" w:type="pct"/>
            <w:shd w:val="clear" w:color="auto" w:fill="C6EFCE"/>
            <w:vAlign w:val="center"/>
          </w:tcPr>
          <w:p w14:paraId="02345EF9" w14:textId="77777777" w:rsidR="006054AA" w:rsidRDefault="001F7667">
            <w:pPr>
              <w:pStyle w:val="P68B1DB1-Normal11"/>
              <w:jc w:val="center"/>
              <w:rPr>
                <w:rFonts w:eastAsia="Calibri"/>
                <w:noProof/>
              </w:rPr>
            </w:pPr>
            <w:r>
              <w:rPr>
                <w:noProof/>
              </w:rPr>
              <w:t>Т2 Г.</w:t>
            </w:r>
          </w:p>
        </w:tc>
        <w:tc>
          <w:tcPr>
            <w:tcW w:w="200" w:type="pct"/>
            <w:shd w:val="clear" w:color="auto" w:fill="C6EFCE"/>
            <w:vAlign w:val="center"/>
          </w:tcPr>
          <w:p w14:paraId="2E2C231E" w14:textId="77777777" w:rsidR="006054AA" w:rsidRDefault="001F7667">
            <w:pPr>
              <w:pStyle w:val="P68B1DB1-Normal11"/>
              <w:jc w:val="center"/>
              <w:rPr>
                <w:rFonts w:eastAsia="Calibri"/>
                <w:noProof/>
              </w:rPr>
            </w:pPr>
            <w:r>
              <w:rPr>
                <w:noProof/>
              </w:rPr>
              <w:t>2026</w:t>
            </w:r>
          </w:p>
        </w:tc>
        <w:tc>
          <w:tcPr>
            <w:tcW w:w="1081" w:type="pct"/>
            <w:shd w:val="clear" w:color="auto" w:fill="C6EFCE"/>
            <w:vAlign w:val="center"/>
          </w:tcPr>
          <w:p w14:paraId="6E4BF344" w14:textId="6F50A0FB" w:rsidR="006054AA" w:rsidRDefault="001F7667">
            <w:pPr>
              <w:pStyle w:val="P68B1DB1-Normal11"/>
              <w:rPr>
                <w:rFonts w:eastAsia="Calibri"/>
                <w:noProof/>
              </w:rPr>
            </w:pPr>
            <w:r>
              <w:rPr>
                <w:noProof/>
              </w:rPr>
              <w:t>Най-малко 545 000 000 EUR са внесени в тематичния фонд.</w:t>
            </w:r>
          </w:p>
          <w:p w14:paraId="72C05F7A" w14:textId="77777777" w:rsidR="006054AA" w:rsidRDefault="006054AA">
            <w:pPr>
              <w:rPr>
                <w:rFonts w:ascii="Arial Narrow" w:hAnsi="Arial Narrow"/>
                <w:noProof/>
                <w:color w:val="006100"/>
                <w:sz w:val="20"/>
              </w:rPr>
            </w:pPr>
          </w:p>
          <w:p w14:paraId="591BBB30" w14:textId="77777777" w:rsidR="006054AA" w:rsidRDefault="001F7667">
            <w:pPr>
              <w:pStyle w:val="P68B1DB1-Normal11"/>
              <w:rPr>
                <w:rFonts w:eastAsia="Calibri"/>
                <w:noProof/>
              </w:rPr>
            </w:pPr>
            <w:r>
              <w:rPr>
                <w:noProof/>
              </w:rPr>
              <w:t>Задоволителното изпълнение на целта зависи и от задоволителното изпълнение на вторична цел: подкрепа за най-малко 10 градски проекта.</w:t>
            </w:r>
          </w:p>
          <w:p w14:paraId="17E9019F" w14:textId="77777777" w:rsidR="006054AA" w:rsidRDefault="006054AA">
            <w:pPr>
              <w:rPr>
                <w:rFonts w:ascii="Arial Narrow" w:hAnsi="Arial Narrow"/>
                <w:noProof/>
                <w:color w:val="006100"/>
                <w:sz w:val="20"/>
              </w:rPr>
            </w:pPr>
          </w:p>
          <w:p w14:paraId="60EFFACA" w14:textId="295E15DA" w:rsidR="006054AA" w:rsidRDefault="001F7667">
            <w:pPr>
              <w:pStyle w:val="P68B1DB1-Normal11"/>
              <w:rPr>
                <w:rFonts w:eastAsia="Calibri"/>
                <w:noProof/>
              </w:rPr>
            </w:pPr>
            <w:r>
              <w:rPr>
                <w:noProof/>
              </w:rPr>
              <w:t>Одобряване от Инвестиционния съвет на Фонда (част от който е Министерството на финансите) на проекти на стойност най-малко 545 000 000 EUR и одобрение от Инвестиционния съвет на Фонда (към който принадлежи Министерството на финансите) на най-малко 10 проекта.</w:t>
            </w:r>
          </w:p>
        </w:tc>
      </w:tr>
      <w:tr w:rsidR="006054AA" w14:paraId="26366407" w14:textId="77777777">
        <w:trPr>
          <w:trHeight w:val="1291"/>
          <w:jc w:val="center"/>
        </w:trPr>
        <w:tc>
          <w:tcPr>
            <w:tcW w:w="384" w:type="pct"/>
            <w:shd w:val="clear" w:color="auto" w:fill="C6EFCE"/>
            <w:vAlign w:val="center"/>
            <w:hideMark/>
          </w:tcPr>
          <w:p w14:paraId="30FD4ADC" w14:textId="77777777" w:rsidR="006054AA" w:rsidRDefault="001F7667">
            <w:pPr>
              <w:pStyle w:val="P68B1DB1-Normal11"/>
              <w:jc w:val="center"/>
              <w:rPr>
                <w:noProof/>
              </w:rPr>
            </w:pPr>
            <w:r>
              <w:rPr>
                <w:noProof/>
              </w:rPr>
              <w:t>M5C2—19</w:t>
            </w:r>
          </w:p>
        </w:tc>
        <w:tc>
          <w:tcPr>
            <w:tcW w:w="509" w:type="pct"/>
            <w:shd w:val="clear" w:color="auto" w:fill="C6EFCE"/>
            <w:vAlign w:val="center"/>
            <w:hideMark/>
          </w:tcPr>
          <w:p w14:paraId="002DA5FA" w14:textId="77777777" w:rsidR="006054AA" w:rsidRDefault="001F7667">
            <w:pPr>
              <w:pStyle w:val="P68B1DB1-Normal11"/>
              <w:jc w:val="center"/>
              <w:rPr>
                <w:noProof/>
              </w:rPr>
            </w:pPr>
            <w:r>
              <w:rPr>
                <w:noProof/>
              </w:rPr>
              <w:t>Инвестиция 6 — Програма за иновации за качество на жилищата</w:t>
            </w:r>
          </w:p>
        </w:tc>
        <w:tc>
          <w:tcPr>
            <w:tcW w:w="361" w:type="pct"/>
            <w:shd w:val="clear" w:color="auto" w:fill="C6EFCE"/>
            <w:vAlign w:val="center"/>
            <w:hideMark/>
          </w:tcPr>
          <w:p w14:paraId="7245294E" w14:textId="77777777" w:rsidR="006054AA" w:rsidRDefault="001F7667">
            <w:pPr>
              <w:pStyle w:val="P68B1DB1-Normal11"/>
              <w:jc w:val="center"/>
              <w:rPr>
                <w:noProof/>
              </w:rPr>
            </w:pPr>
            <w:r>
              <w:rPr>
                <w:noProof/>
              </w:rPr>
              <w:t>Ключов етап</w:t>
            </w:r>
          </w:p>
        </w:tc>
        <w:tc>
          <w:tcPr>
            <w:tcW w:w="505" w:type="pct"/>
            <w:shd w:val="clear" w:color="auto" w:fill="C6EFCE"/>
            <w:vAlign w:val="center"/>
            <w:hideMark/>
          </w:tcPr>
          <w:p w14:paraId="624E8C19" w14:textId="77777777" w:rsidR="006054AA" w:rsidRDefault="001F7667">
            <w:pPr>
              <w:pStyle w:val="P68B1DB1-Normal11"/>
              <w:jc w:val="center"/>
              <w:rPr>
                <w:noProof/>
              </w:rPr>
            </w:pPr>
            <w:r>
              <w:rPr>
                <w:noProof/>
              </w:rPr>
              <w:t>Региони и автономни провинции (включително общини и/или метрополни градове, разположени на тези територии) са подписали споразуменията за преустройство и увеличаване на социалните жилища</w:t>
            </w:r>
          </w:p>
        </w:tc>
        <w:tc>
          <w:tcPr>
            <w:tcW w:w="505" w:type="pct"/>
            <w:shd w:val="clear" w:color="auto" w:fill="C6EFCE"/>
            <w:vAlign w:val="center"/>
            <w:hideMark/>
          </w:tcPr>
          <w:p w14:paraId="7A617F8F" w14:textId="77777777" w:rsidR="006054AA" w:rsidRDefault="001F7667">
            <w:pPr>
              <w:pStyle w:val="P68B1DB1-Normal11"/>
              <w:jc w:val="center"/>
              <w:rPr>
                <w:noProof/>
              </w:rPr>
            </w:pPr>
            <w:r>
              <w:rPr>
                <w:noProof/>
              </w:rPr>
              <w:t>Подписани са споразумения с местните власти</w:t>
            </w:r>
          </w:p>
        </w:tc>
        <w:tc>
          <w:tcPr>
            <w:tcW w:w="478" w:type="pct"/>
            <w:shd w:val="clear" w:color="auto" w:fill="C6EFCE"/>
            <w:vAlign w:val="center"/>
            <w:hideMark/>
          </w:tcPr>
          <w:p w14:paraId="0967810C" w14:textId="77777777" w:rsidR="006054AA" w:rsidRDefault="001F7667">
            <w:pPr>
              <w:pStyle w:val="P68B1DB1-Normal11"/>
              <w:jc w:val="center"/>
              <w:rPr>
                <w:noProof/>
              </w:rPr>
            </w:pPr>
            <w:r>
              <w:rPr>
                <w:noProof/>
              </w:rPr>
              <w:t>НЯМА</w:t>
            </w:r>
          </w:p>
        </w:tc>
        <w:tc>
          <w:tcPr>
            <w:tcW w:w="318" w:type="pct"/>
            <w:shd w:val="clear" w:color="auto" w:fill="C6EFCE"/>
            <w:vAlign w:val="center"/>
            <w:hideMark/>
          </w:tcPr>
          <w:p w14:paraId="62CE52A5" w14:textId="77777777" w:rsidR="006054AA" w:rsidRDefault="001F7667">
            <w:pPr>
              <w:pStyle w:val="P68B1DB1-Normal11"/>
              <w:jc w:val="center"/>
              <w:rPr>
                <w:noProof/>
              </w:rPr>
            </w:pPr>
            <w:r>
              <w:rPr>
                <w:noProof/>
              </w:rPr>
              <w:t>НЯМА</w:t>
            </w:r>
          </w:p>
        </w:tc>
        <w:tc>
          <w:tcPr>
            <w:tcW w:w="384" w:type="pct"/>
            <w:shd w:val="clear" w:color="auto" w:fill="C6EFCE"/>
            <w:vAlign w:val="center"/>
            <w:hideMark/>
          </w:tcPr>
          <w:p w14:paraId="20456101" w14:textId="77777777" w:rsidR="006054AA" w:rsidRDefault="001F7667">
            <w:pPr>
              <w:pStyle w:val="P68B1DB1-Normal11"/>
              <w:jc w:val="center"/>
              <w:rPr>
                <w:noProof/>
              </w:rPr>
            </w:pPr>
            <w:r>
              <w:rPr>
                <w:noProof/>
              </w:rPr>
              <w:t>НЯМА</w:t>
            </w:r>
          </w:p>
        </w:tc>
        <w:tc>
          <w:tcPr>
            <w:tcW w:w="275" w:type="pct"/>
            <w:shd w:val="clear" w:color="auto" w:fill="C6EFCE"/>
            <w:vAlign w:val="center"/>
            <w:hideMark/>
          </w:tcPr>
          <w:p w14:paraId="20A72DC5" w14:textId="77777777" w:rsidR="006054AA" w:rsidRDefault="001F7667">
            <w:pPr>
              <w:pStyle w:val="P68B1DB1-Normal11"/>
              <w:jc w:val="center"/>
              <w:rPr>
                <w:noProof/>
              </w:rPr>
            </w:pPr>
            <w:r>
              <w:rPr>
                <w:noProof/>
              </w:rPr>
              <w:t>Т1 Г.</w:t>
            </w:r>
          </w:p>
        </w:tc>
        <w:tc>
          <w:tcPr>
            <w:tcW w:w="200" w:type="pct"/>
            <w:shd w:val="clear" w:color="auto" w:fill="C6EFCE"/>
            <w:vAlign w:val="center"/>
            <w:hideMark/>
          </w:tcPr>
          <w:p w14:paraId="4893A034" w14:textId="77777777" w:rsidR="006054AA" w:rsidRDefault="001F7667">
            <w:pPr>
              <w:pStyle w:val="P68B1DB1-Normal11"/>
              <w:jc w:val="center"/>
              <w:rPr>
                <w:noProof/>
              </w:rPr>
            </w:pPr>
            <w:r>
              <w:rPr>
                <w:noProof/>
              </w:rPr>
              <w:t>2022</w:t>
            </w:r>
          </w:p>
        </w:tc>
        <w:tc>
          <w:tcPr>
            <w:tcW w:w="1081" w:type="pct"/>
            <w:shd w:val="clear" w:color="auto" w:fill="C6EFCE"/>
            <w:vAlign w:val="center"/>
            <w:hideMark/>
          </w:tcPr>
          <w:p w14:paraId="6275C939" w14:textId="77777777" w:rsidR="006054AA" w:rsidRDefault="001F7667">
            <w:pPr>
              <w:pStyle w:val="P68B1DB1-Normal11"/>
              <w:rPr>
                <w:noProof/>
              </w:rPr>
            </w:pPr>
            <w:r>
              <w:rPr>
                <w:noProof/>
              </w:rPr>
              <w:t>Най-малко 15 региона и автономни провинции (включително общини и/или метрополни градове, разположени на тези територии) са подписали споразуменията за преустройство и увеличаване на социалните жилища.</w:t>
            </w:r>
          </w:p>
          <w:p w14:paraId="5BB583D8" w14:textId="77777777" w:rsidR="006054AA" w:rsidRDefault="001F7667">
            <w:pPr>
              <w:pStyle w:val="P68B1DB1-Normal11"/>
              <w:rPr>
                <w:noProof/>
              </w:rPr>
            </w:pPr>
            <w:r>
              <w:rPr>
                <w:noProof/>
              </w:rPr>
              <w:t xml:space="preserve"> </w:t>
            </w:r>
          </w:p>
          <w:p w14:paraId="5D8FE423" w14:textId="77777777" w:rsidR="006054AA" w:rsidRDefault="001F7667">
            <w:pPr>
              <w:pStyle w:val="P68B1DB1-Normal11"/>
              <w:rPr>
                <w:rFonts w:eastAsia="Calibri"/>
                <w:noProof/>
              </w:rPr>
            </w:pPr>
            <w:r>
              <w:rPr>
                <w:noProof/>
              </w:rPr>
              <w:t>Споразумения, подписани с най-малко 15 региона и автономни провинции, участващи в проекти. </w:t>
            </w:r>
          </w:p>
          <w:p w14:paraId="742FF76A" w14:textId="77777777" w:rsidR="006054AA" w:rsidRDefault="006054AA">
            <w:pPr>
              <w:rPr>
                <w:rFonts w:ascii="Arial Narrow" w:eastAsia="Calibri" w:hAnsi="Arial Narrow"/>
                <w:noProof/>
                <w:color w:val="006100"/>
                <w:sz w:val="20"/>
              </w:rPr>
            </w:pPr>
          </w:p>
          <w:p w14:paraId="6F33A281" w14:textId="77777777" w:rsidR="006054AA" w:rsidRDefault="001F7667">
            <w:pPr>
              <w:pStyle w:val="P68B1DB1-Normal11"/>
              <w:rPr>
                <w:rFonts w:eastAsia="Calibri"/>
                <w:noProof/>
              </w:rPr>
            </w:pPr>
            <w:r>
              <w:rPr>
                <w:noProof/>
              </w:rPr>
              <w:t>Сграда: нови жилища за обществено жилищно настаняване с цел:</w:t>
            </w:r>
          </w:p>
          <w:p w14:paraId="2AEE1897" w14:textId="77777777" w:rsidR="006054AA" w:rsidRDefault="006054AA">
            <w:pPr>
              <w:rPr>
                <w:rFonts w:ascii="Arial Narrow" w:eastAsia="Calibri" w:hAnsi="Arial Narrow"/>
                <w:noProof/>
                <w:color w:val="006100"/>
                <w:sz w:val="20"/>
              </w:rPr>
            </w:pPr>
          </w:p>
          <w:p w14:paraId="2BEA197E" w14:textId="77777777" w:rsidR="006054AA" w:rsidRDefault="001F7667">
            <w:pPr>
              <w:pStyle w:val="P68B1DB1-Normal11"/>
              <w:rPr>
                <w:noProof/>
              </w:rPr>
            </w:pPr>
            <w:r>
              <w:rPr>
                <w:noProof/>
              </w:rPr>
              <w:t>реорганизиране, реорганизиране и увеличаване на активите, предназначени за обществени жилища;</w:t>
            </w:r>
          </w:p>
          <w:p w14:paraId="24BF0D85" w14:textId="77777777" w:rsidR="006054AA" w:rsidRDefault="001F7667">
            <w:pPr>
              <w:pStyle w:val="P68B1DB1-Normal11"/>
              <w:rPr>
                <w:noProof/>
              </w:rPr>
            </w:pPr>
            <w:r>
              <w:rPr>
                <w:noProof/>
              </w:rPr>
              <w:t>да се възстановят зоните, пространствата и обществените и частните имоти също и чрез възстановяване на градската и социално-икономическата структура;</w:t>
            </w:r>
          </w:p>
          <w:p w14:paraId="1BAD8E4D" w14:textId="77777777" w:rsidR="006054AA" w:rsidRDefault="001F7667">
            <w:pPr>
              <w:pStyle w:val="P68B1DB1-Normal11"/>
              <w:rPr>
                <w:noProof/>
              </w:rPr>
            </w:pPr>
            <w:r>
              <w:rPr>
                <w:noProof/>
              </w:rPr>
              <w:t>подобряване на достъпността и безопасността на градските райони и предоставянето на услуги и местни градски инфраструктури;</w:t>
            </w:r>
          </w:p>
          <w:p w14:paraId="1509A799" w14:textId="77777777" w:rsidR="006054AA" w:rsidRDefault="001F7667">
            <w:pPr>
              <w:pStyle w:val="P68B1DB1-Normal11"/>
              <w:rPr>
                <w:noProof/>
              </w:rPr>
            </w:pPr>
            <w:r>
              <w:rPr>
                <w:noProof/>
              </w:rPr>
              <w:t>възстановяване на вече изградени зони и пространства, повишаване на качеството на околната среда и подобряване на устойчивостта спрямо изменението на климата и чрез операции с въздействие върху уплътняването на градовете;</w:t>
            </w:r>
          </w:p>
          <w:p w14:paraId="03C6732F" w14:textId="00D69554" w:rsidR="006054AA" w:rsidRDefault="001F7667">
            <w:pPr>
              <w:pStyle w:val="P68B1DB1-Normal11"/>
              <w:rPr>
                <w:rFonts w:eastAsia="Calibri"/>
                <w:noProof/>
              </w:rPr>
            </w:pPr>
            <w:r>
              <w:rPr>
                <w:noProof/>
              </w:rPr>
              <w:t>— идентифициране и използване на иновативни модели и инструменти за управление и приобщаване, социално и градско благосъстояние, както и процеси на участие.</w:t>
            </w:r>
          </w:p>
          <w:p w14:paraId="6F3D8579" w14:textId="77777777" w:rsidR="006054AA" w:rsidRDefault="001F7667">
            <w:pPr>
              <w:pStyle w:val="P68B1DB1-Normal11"/>
              <w:rPr>
                <w:noProof/>
              </w:rPr>
            </w:pPr>
            <w:r>
              <w:rPr>
                <w:noProof/>
              </w:rPr>
              <w:t>Подпомаганите жилищни единици и обществени пространства са предназначени да се възползват от дейностите, описани в съответния ключов етап.</w:t>
            </w:r>
          </w:p>
        </w:tc>
      </w:tr>
      <w:tr w:rsidR="006054AA" w14:paraId="360892D4" w14:textId="77777777">
        <w:trPr>
          <w:trHeight w:val="20"/>
          <w:jc w:val="center"/>
        </w:trPr>
        <w:tc>
          <w:tcPr>
            <w:tcW w:w="384" w:type="pct"/>
            <w:shd w:val="clear" w:color="auto" w:fill="C6EFCE"/>
            <w:vAlign w:val="center"/>
            <w:hideMark/>
          </w:tcPr>
          <w:p w14:paraId="0FA817C5" w14:textId="77777777" w:rsidR="006054AA" w:rsidRDefault="001F7667">
            <w:pPr>
              <w:pStyle w:val="P68B1DB1-Normal11"/>
              <w:jc w:val="center"/>
              <w:rPr>
                <w:noProof/>
              </w:rPr>
            </w:pPr>
            <w:r>
              <w:rPr>
                <w:noProof/>
              </w:rPr>
              <w:t>M5C2—20</w:t>
            </w:r>
          </w:p>
        </w:tc>
        <w:tc>
          <w:tcPr>
            <w:tcW w:w="509" w:type="pct"/>
            <w:shd w:val="clear" w:color="auto" w:fill="C6EFCE"/>
            <w:vAlign w:val="center"/>
            <w:hideMark/>
          </w:tcPr>
          <w:p w14:paraId="3EA48F06" w14:textId="77777777" w:rsidR="006054AA" w:rsidRDefault="001F7667">
            <w:pPr>
              <w:pStyle w:val="P68B1DB1-Normal11"/>
              <w:jc w:val="center"/>
              <w:rPr>
                <w:noProof/>
              </w:rPr>
            </w:pPr>
            <w:r>
              <w:rPr>
                <w:noProof/>
              </w:rPr>
              <w:t>Инвестиция 6 — Програма за иновации за качество на жилищата</w:t>
            </w:r>
          </w:p>
        </w:tc>
        <w:tc>
          <w:tcPr>
            <w:tcW w:w="361" w:type="pct"/>
            <w:shd w:val="clear" w:color="auto" w:fill="C6EFCE"/>
            <w:vAlign w:val="center"/>
            <w:hideMark/>
          </w:tcPr>
          <w:p w14:paraId="4A0FA455" w14:textId="77777777" w:rsidR="006054AA" w:rsidRDefault="001F7667">
            <w:pPr>
              <w:pStyle w:val="P68B1DB1-Normal11"/>
              <w:jc w:val="center"/>
              <w:rPr>
                <w:noProof/>
              </w:rPr>
            </w:pPr>
            <w:r>
              <w:rPr>
                <w:noProof/>
              </w:rPr>
              <w:t>Целеви</w:t>
            </w:r>
          </w:p>
        </w:tc>
        <w:tc>
          <w:tcPr>
            <w:tcW w:w="505" w:type="pct"/>
            <w:shd w:val="clear" w:color="auto" w:fill="C6EFCE"/>
            <w:vAlign w:val="center"/>
            <w:hideMark/>
          </w:tcPr>
          <w:p w14:paraId="552031D6" w14:textId="77777777" w:rsidR="006054AA" w:rsidRDefault="001F7667">
            <w:pPr>
              <w:pStyle w:val="P68B1DB1-Normal11"/>
              <w:jc w:val="center"/>
              <w:rPr>
                <w:noProof/>
              </w:rPr>
            </w:pPr>
            <w:r>
              <w:rPr>
                <w:noProof/>
              </w:rPr>
              <w:t>Брой на подпомогнатите жилищни единици (по отношение както на строителството, така и на рехабилитацията) и квадратни метри на подпомаганите обществени пространства</w:t>
            </w:r>
          </w:p>
        </w:tc>
        <w:tc>
          <w:tcPr>
            <w:tcW w:w="505" w:type="pct"/>
            <w:shd w:val="clear" w:color="auto" w:fill="C6EFCE"/>
            <w:vAlign w:val="center"/>
            <w:hideMark/>
          </w:tcPr>
          <w:p w14:paraId="4F24BA3B" w14:textId="77777777" w:rsidR="006054AA" w:rsidRDefault="001F7667">
            <w:pPr>
              <w:pStyle w:val="P68B1DB1-Normal11"/>
              <w:jc w:val="center"/>
              <w:rPr>
                <w:noProof/>
              </w:rPr>
            </w:pPr>
            <w:r>
              <w:rPr>
                <w:noProof/>
              </w:rPr>
              <w:t>НЯМА</w:t>
            </w:r>
          </w:p>
        </w:tc>
        <w:tc>
          <w:tcPr>
            <w:tcW w:w="478" w:type="pct"/>
            <w:shd w:val="clear" w:color="auto" w:fill="C6EFCE"/>
            <w:vAlign w:val="center"/>
            <w:hideMark/>
          </w:tcPr>
          <w:p w14:paraId="4F093AF4" w14:textId="77777777" w:rsidR="006054AA" w:rsidRDefault="001F7667">
            <w:pPr>
              <w:pStyle w:val="P68B1DB1-Normal11"/>
              <w:jc w:val="center"/>
              <w:rPr>
                <w:noProof/>
              </w:rPr>
            </w:pPr>
            <w:r>
              <w:rPr>
                <w:noProof/>
              </w:rPr>
              <w:t>Брой</w:t>
            </w:r>
          </w:p>
        </w:tc>
        <w:tc>
          <w:tcPr>
            <w:tcW w:w="318" w:type="pct"/>
            <w:shd w:val="clear" w:color="auto" w:fill="C6EFCE"/>
            <w:vAlign w:val="center"/>
            <w:hideMark/>
          </w:tcPr>
          <w:p w14:paraId="30279475" w14:textId="77777777" w:rsidR="006054AA" w:rsidRDefault="001F7667">
            <w:pPr>
              <w:pStyle w:val="P68B1DB1-Normal11"/>
              <w:jc w:val="center"/>
              <w:rPr>
                <w:noProof/>
              </w:rPr>
            </w:pPr>
            <w:r>
              <w:rPr>
                <w:noProof/>
              </w:rPr>
              <w:t>0</w:t>
            </w:r>
          </w:p>
        </w:tc>
        <w:tc>
          <w:tcPr>
            <w:tcW w:w="384" w:type="pct"/>
            <w:shd w:val="clear" w:color="auto" w:fill="C6EFCE"/>
            <w:vAlign w:val="center"/>
            <w:hideMark/>
          </w:tcPr>
          <w:p w14:paraId="797722F8" w14:textId="544280A5" w:rsidR="006054AA" w:rsidRDefault="001F7667">
            <w:pPr>
              <w:pStyle w:val="P68B1DB1-Normal11"/>
              <w:jc w:val="center"/>
              <w:rPr>
                <w:noProof/>
              </w:rPr>
            </w:pPr>
            <w:r>
              <w:rPr>
                <w:noProof/>
              </w:rPr>
              <w:t>10 000</w:t>
            </w:r>
          </w:p>
        </w:tc>
        <w:tc>
          <w:tcPr>
            <w:tcW w:w="275" w:type="pct"/>
            <w:shd w:val="clear" w:color="auto" w:fill="C6EFCE"/>
            <w:vAlign w:val="center"/>
            <w:hideMark/>
          </w:tcPr>
          <w:p w14:paraId="6A857575" w14:textId="77777777" w:rsidR="006054AA" w:rsidRDefault="001F7667">
            <w:pPr>
              <w:pStyle w:val="P68B1DB1-Normal11"/>
              <w:jc w:val="center"/>
              <w:rPr>
                <w:noProof/>
              </w:rPr>
            </w:pPr>
            <w:r>
              <w:rPr>
                <w:noProof/>
              </w:rPr>
              <w:t>Т1 Г.</w:t>
            </w:r>
          </w:p>
        </w:tc>
        <w:tc>
          <w:tcPr>
            <w:tcW w:w="200" w:type="pct"/>
            <w:shd w:val="clear" w:color="auto" w:fill="C6EFCE"/>
            <w:vAlign w:val="center"/>
            <w:hideMark/>
          </w:tcPr>
          <w:p w14:paraId="1CF802F7" w14:textId="77777777" w:rsidR="006054AA" w:rsidRDefault="001F7667">
            <w:pPr>
              <w:pStyle w:val="P68B1DB1-Normal11"/>
              <w:rPr>
                <w:noProof/>
              </w:rPr>
            </w:pPr>
            <w:r>
              <w:rPr>
                <w:noProof/>
              </w:rPr>
              <w:t>2026</w:t>
            </w:r>
          </w:p>
        </w:tc>
        <w:tc>
          <w:tcPr>
            <w:tcW w:w="1081" w:type="pct"/>
            <w:shd w:val="clear" w:color="auto" w:fill="C6EFCE"/>
            <w:vAlign w:val="center"/>
            <w:hideMark/>
          </w:tcPr>
          <w:p w14:paraId="71968210" w14:textId="3AEE8B0F" w:rsidR="006054AA" w:rsidRDefault="001F7667">
            <w:pPr>
              <w:pStyle w:val="P68B1DB1-Normal11"/>
              <w:rPr>
                <w:noProof/>
              </w:rPr>
            </w:pPr>
            <w:r>
              <w:rPr>
                <w:noProof/>
              </w:rPr>
              <w:t>Подкрепа за поне 10 000 подпомогнати жилищни единици (както по отношение на строителството, така и по отношение на рехабилитацията). Задоволителното изпълнение на целта зависи и от задоволителното изпълнение на вторична цел, която обхваща най-малко 800 000 квадратни метра обществени пространства.</w:t>
            </w:r>
          </w:p>
        </w:tc>
      </w:tr>
      <w:tr w:rsidR="006054AA" w14:paraId="0D32E2A1" w14:textId="77777777">
        <w:trPr>
          <w:trHeight w:val="6917"/>
          <w:jc w:val="center"/>
        </w:trPr>
        <w:tc>
          <w:tcPr>
            <w:tcW w:w="384" w:type="pct"/>
            <w:shd w:val="clear" w:color="auto" w:fill="C6EFCE"/>
            <w:vAlign w:val="center"/>
            <w:hideMark/>
          </w:tcPr>
          <w:p w14:paraId="01F5A1F7" w14:textId="77777777" w:rsidR="006054AA" w:rsidRDefault="001F7667">
            <w:pPr>
              <w:pStyle w:val="P68B1DB1-Normal11"/>
              <w:jc w:val="center"/>
              <w:rPr>
                <w:noProof/>
              </w:rPr>
            </w:pPr>
            <w:r>
              <w:rPr>
                <w:noProof/>
              </w:rPr>
              <w:t>M5C2—21</w:t>
            </w:r>
          </w:p>
        </w:tc>
        <w:tc>
          <w:tcPr>
            <w:tcW w:w="509" w:type="pct"/>
            <w:shd w:val="clear" w:color="auto" w:fill="C6EFCE"/>
            <w:vAlign w:val="center"/>
            <w:hideMark/>
          </w:tcPr>
          <w:p w14:paraId="47533721" w14:textId="77777777" w:rsidR="006054AA" w:rsidRDefault="001F7667">
            <w:pPr>
              <w:pStyle w:val="P68B1DB1-Normal11"/>
              <w:jc w:val="center"/>
              <w:rPr>
                <w:noProof/>
              </w:rPr>
            </w:pPr>
            <w:r>
              <w:rPr>
                <w:noProof/>
              </w:rPr>
              <w:t>Инвестиция 7 — Проектът „Спорт и социално приобщаване“</w:t>
            </w:r>
          </w:p>
        </w:tc>
        <w:tc>
          <w:tcPr>
            <w:tcW w:w="361" w:type="pct"/>
            <w:shd w:val="clear" w:color="auto" w:fill="C6EFCE"/>
            <w:vAlign w:val="center"/>
            <w:hideMark/>
          </w:tcPr>
          <w:p w14:paraId="5E76C1E2" w14:textId="77777777" w:rsidR="006054AA" w:rsidRDefault="001F7667">
            <w:pPr>
              <w:pStyle w:val="P68B1DB1-Normal11"/>
              <w:jc w:val="center"/>
              <w:rPr>
                <w:noProof/>
              </w:rPr>
            </w:pPr>
            <w:r>
              <w:rPr>
                <w:noProof/>
              </w:rPr>
              <w:t>Ключов етап</w:t>
            </w:r>
          </w:p>
        </w:tc>
        <w:tc>
          <w:tcPr>
            <w:tcW w:w="505" w:type="pct"/>
            <w:shd w:val="clear" w:color="auto" w:fill="C6EFCE"/>
            <w:vAlign w:val="center"/>
            <w:hideMark/>
          </w:tcPr>
          <w:p w14:paraId="0CF8E43B" w14:textId="77777777" w:rsidR="006054AA" w:rsidRDefault="001F7667">
            <w:pPr>
              <w:pStyle w:val="P68B1DB1-Normal11"/>
              <w:jc w:val="center"/>
              <w:rPr>
                <w:noProof/>
              </w:rPr>
            </w:pPr>
            <w:r>
              <w:rPr>
                <w:noProof/>
              </w:rPr>
              <w:t>Възлагане на всички обществени поръчки за проекти в областта на спорта и социалното приобщаване след публична покана за представяне на предложения</w:t>
            </w:r>
          </w:p>
        </w:tc>
        <w:tc>
          <w:tcPr>
            <w:tcW w:w="505" w:type="pct"/>
            <w:shd w:val="clear" w:color="auto" w:fill="C6EFCE"/>
            <w:vAlign w:val="center"/>
            <w:hideMark/>
          </w:tcPr>
          <w:p w14:paraId="435858D7" w14:textId="77777777" w:rsidR="006054AA" w:rsidRDefault="001F7667">
            <w:pPr>
              <w:pStyle w:val="P68B1DB1-Normal11"/>
              <w:jc w:val="center"/>
              <w:rPr>
                <w:noProof/>
              </w:rPr>
            </w:pPr>
            <w:r>
              <w:rPr>
                <w:noProof/>
              </w:rPr>
              <w:t>Уведомление за възлагането на всички обществени поръчки за проекти в областта на спорта и социалното приобщаване</w:t>
            </w:r>
          </w:p>
        </w:tc>
        <w:tc>
          <w:tcPr>
            <w:tcW w:w="478" w:type="pct"/>
            <w:shd w:val="clear" w:color="auto" w:fill="C6EFCE"/>
            <w:vAlign w:val="center"/>
            <w:hideMark/>
          </w:tcPr>
          <w:p w14:paraId="2F550CCB" w14:textId="77777777" w:rsidR="006054AA" w:rsidRDefault="001F7667">
            <w:pPr>
              <w:pStyle w:val="P68B1DB1-Normal11"/>
              <w:jc w:val="center"/>
              <w:rPr>
                <w:noProof/>
              </w:rPr>
            </w:pPr>
            <w:r>
              <w:rPr>
                <w:noProof/>
              </w:rPr>
              <w:t>НЯМА</w:t>
            </w:r>
          </w:p>
        </w:tc>
        <w:tc>
          <w:tcPr>
            <w:tcW w:w="318" w:type="pct"/>
            <w:shd w:val="clear" w:color="auto" w:fill="C6EFCE"/>
            <w:vAlign w:val="center"/>
            <w:hideMark/>
          </w:tcPr>
          <w:p w14:paraId="6CD895AB" w14:textId="77777777" w:rsidR="006054AA" w:rsidRDefault="001F7667">
            <w:pPr>
              <w:pStyle w:val="P68B1DB1-Normal11"/>
              <w:jc w:val="center"/>
              <w:rPr>
                <w:noProof/>
              </w:rPr>
            </w:pPr>
            <w:r>
              <w:rPr>
                <w:noProof/>
              </w:rPr>
              <w:t>НЯМА</w:t>
            </w:r>
          </w:p>
        </w:tc>
        <w:tc>
          <w:tcPr>
            <w:tcW w:w="384" w:type="pct"/>
            <w:shd w:val="clear" w:color="auto" w:fill="C6EFCE"/>
            <w:vAlign w:val="center"/>
            <w:hideMark/>
          </w:tcPr>
          <w:p w14:paraId="4BF2BDBA" w14:textId="77777777" w:rsidR="006054AA" w:rsidRDefault="001F7667">
            <w:pPr>
              <w:pStyle w:val="P68B1DB1-Normal11"/>
              <w:jc w:val="center"/>
              <w:rPr>
                <w:noProof/>
              </w:rPr>
            </w:pPr>
            <w:r>
              <w:rPr>
                <w:noProof/>
              </w:rPr>
              <w:t>НЯМА</w:t>
            </w:r>
          </w:p>
        </w:tc>
        <w:tc>
          <w:tcPr>
            <w:tcW w:w="275" w:type="pct"/>
            <w:shd w:val="clear" w:color="auto" w:fill="C6EFCE"/>
            <w:vAlign w:val="center"/>
            <w:hideMark/>
          </w:tcPr>
          <w:p w14:paraId="3A65651B" w14:textId="77777777" w:rsidR="006054AA" w:rsidRDefault="001F7667">
            <w:pPr>
              <w:pStyle w:val="P68B1DB1-Normal11"/>
              <w:jc w:val="center"/>
              <w:rPr>
                <w:noProof/>
              </w:rPr>
            </w:pPr>
            <w:r>
              <w:rPr>
                <w:noProof/>
              </w:rPr>
              <w:t>Т1 Г.</w:t>
            </w:r>
          </w:p>
        </w:tc>
        <w:tc>
          <w:tcPr>
            <w:tcW w:w="200" w:type="pct"/>
            <w:shd w:val="clear" w:color="auto" w:fill="C6EFCE"/>
            <w:vAlign w:val="center"/>
            <w:hideMark/>
          </w:tcPr>
          <w:p w14:paraId="5EE4A329" w14:textId="77777777" w:rsidR="006054AA" w:rsidRDefault="001F7667">
            <w:pPr>
              <w:pStyle w:val="P68B1DB1-Normal11"/>
              <w:jc w:val="center"/>
              <w:rPr>
                <w:noProof/>
              </w:rPr>
            </w:pPr>
            <w:r>
              <w:rPr>
                <w:noProof/>
              </w:rPr>
              <w:t>2023</w:t>
            </w:r>
          </w:p>
        </w:tc>
        <w:tc>
          <w:tcPr>
            <w:tcW w:w="1081" w:type="pct"/>
            <w:shd w:val="clear" w:color="auto" w:fill="C6EFCE"/>
            <w:vAlign w:val="center"/>
            <w:hideMark/>
          </w:tcPr>
          <w:p w14:paraId="04543A62" w14:textId="77777777" w:rsidR="006054AA" w:rsidRDefault="001F7667">
            <w:pPr>
              <w:pStyle w:val="P68B1DB1-Normal11"/>
              <w:rPr>
                <w:rFonts w:eastAsia="Calibri"/>
                <w:noProof/>
              </w:rPr>
            </w:pPr>
            <w:r>
              <w:rPr>
                <w:noProof/>
              </w:rPr>
              <w:t>Уведомление за възлагане на обществени поръчки, което се състои от поне един от следните елементи:</w:t>
            </w:r>
          </w:p>
          <w:p w14:paraId="2E5076F4" w14:textId="77777777" w:rsidR="006054AA" w:rsidRDefault="006054AA">
            <w:pPr>
              <w:rPr>
                <w:rFonts w:ascii="Arial Narrow" w:hAnsi="Arial Narrow"/>
                <w:noProof/>
                <w:color w:val="006100"/>
                <w:sz w:val="20"/>
              </w:rPr>
            </w:pPr>
          </w:p>
          <w:p w14:paraId="5FF02EB4" w14:textId="77777777" w:rsidR="006054AA" w:rsidRDefault="001F7667">
            <w:pPr>
              <w:pStyle w:val="P68B1DB1-Normal11"/>
              <w:rPr>
                <w:noProof/>
              </w:rPr>
            </w:pPr>
            <w:r>
              <w:rPr>
                <w:noProof/>
              </w:rPr>
              <w:t>1. изграждане на нови спортни съоръжения, разположени в необлагодетелстваните райони на страната;</w:t>
            </w:r>
          </w:p>
          <w:p w14:paraId="1C3C94D9" w14:textId="77777777" w:rsidR="006054AA" w:rsidRDefault="001F7667">
            <w:pPr>
              <w:pStyle w:val="P68B1DB1-Normal11"/>
              <w:rPr>
                <w:noProof/>
              </w:rPr>
            </w:pPr>
            <w:r>
              <w:rPr>
                <w:noProof/>
              </w:rPr>
              <w:t>2. предоставяне на спортно оборудване, включително прилагане на технологии в спорта);</w:t>
            </w:r>
          </w:p>
          <w:p w14:paraId="5B26FA0F" w14:textId="1832F17B" w:rsidR="006054AA" w:rsidRDefault="001F7667">
            <w:pPr>
              <w:pStyle w:val="P68B1DB1-Normal11"/>
              <w:rPr>
                <w:rFonts w:eastAsia="Calibri"/>
                <w:noProof/>
              </w:rPr>
            </w:pPr>
            <w:r>
              <w:rPr>
                <w:noProof/>
              </w:rPr>
              <w:t>3. преквалификация и адаптиране на съществуващите спортни съоръжения (например: премахване на архитектурните бариери, енергийната ефективност и др.).</w:t>
            </w:r>
          </w:p>
          <w:p w14:paraId="0153F841" w14:textId="77777777" w:rsidR="006054AA" w:rsidRDefault="006054AA">
            <w:pPr>
              <w:rPr>
                <w:rFonts w:ascii="Arial Narrow" w:hAnsi="Arial Narrow"/>
                <w:noProof/>
                <w:color w:val="006100"/>
                <w:sz w:val="20"/>
              </w:rPr>
            </w:pPr>
          </w:p>
          <w:p w14:paraId="0D67912F" w14:textId="77777777" w:rsidR="006054AA" w:rsidRDefault="001F7667">
            <w:pPr>
              <w:pStyle w:val="P68B1DB1-Normal11"/>
              <w:rPr>
                <w:noProof/>
              </w:rPr>
            </w:pPr>
            <w:r>
              <w:rPr>
                <w:noProof/>
              </w:rPr>
              <w:t>Проектът има за цел да гарантира обновяването на градските райони чрез съсредоточаване върху спортните съоръжения, за да се насърчи социалното приобщаване и интеграция, особено в най-необлагодетелстваните райони в Италия.</w:t>
            </w:r>
          </w:p>
          <w:p w14:paraId="59397B0F" w14:textId="77777777" w:rsidR="006054AA" w:rsidRDefault="001F7667">
            <w:pPr>
              <w:pStyle w:val="P68B1DB1-Normal11"/>
              <w:rPr>
                <w:noProof/>
              </w:rPr>
            </w:pPr>
            <w:r>
              <w:rPr>
                <w:noProof/>
              </w:rPr>
              <w:t>Критериите за подбор гарантират, че най-малко 50 % от инвестицията ще бъде разпределена за нови конструкции, които отговарят на съответните изисквания на бележка под линия 5 от приложение VI към Регламент (ЕС) 2021/241.</w:t>
            </w:r>
          </w:p>
        </w:tc>
      </w:tr>
      <w:tr w:rsidR="006054AA" w14:paraId="09693609" w14:textId="77777777">
        <w:trPr>
          <w:trHeight w:val="20"/>
          <w:jc w:val="center"/>
        </w:trPr>
        <w:tc>
          <w:tcPr>
            <w:tcW w:w="384" w:type="pct"/>
            <w:shd w:val="clear" w:color="auto" w:fill="C6EFCE"/>
            <w:vAlign w:val="center"/>
            <w:hideMark/>
          </w:tcPr>
          <w:p w14:paraId="742CF322" w14:textId="77777777" w:rsidR="006054AA" w:rsidRDefault="001F7667">
            <w:pPr>
              <w:pStyle w:val="P68B1DB1-Normal11"/>
              <w:jc w:val="center"/>
              <w:rPr>
                <w:noProof/>
              </w:rPr>
            </w:pPr>
            <w:r>
              <w:rPr>
                <w:noProof/>
              </w:rPr>
              <w:t>M5C2—22</w:t>
            </w:r>
          </w:p>
        </w:tc>
        <w:tc>
          <w:tcPr>
            <w:tcW w:w="509" w:type="pct"/>
            <w:shd w:val="clear" w:color="auto" w:fill="C6EFCE"/>
            <w:vAlign w:val="center"/>
            <w:hideMark/>
          </w:tcPr>
          <w:p w14:paraId="7B78457A" w14:textId="77777777" w:rsidR="006054AA" w:rsidRDefault="001F7667">
            <w:pPr>
              <w:pStyle w:val="P68B1DB1-Normal11"/>
              <w:jc w:val="center"/>
              <w:rPr>
                <w:noProof/>
              </w:rPr>
            </w:pPr>
            <w:r>
              <w:rPr>
                <w:noProof/>
              </w:rPr>
              <w:t>Инвестиция 7 — Проектът „Спорт и социално приобщаване“</w:t>
            </w:r>
          </w:p>
        </w:tc>
        <w:tc>
          <w:tcPr>
            <w:tcW w:w="361" w:type="pct"/>
            <w:shd w:val="clear" w:color="auto" w:fill="C6EFCE"/>
            <w:vAlign w:val="center"/>
            <w:hideMark/>
          </w:tcPr>
          <w:p w14:paraId="500E4956" w14:textId="77777777" w:rsidR="006054AA" w:rsidRDefault="001F7667">
            <w:pPr>
              <w:pStyle w:val="P68B1DB1-Normal11"/>
              <w:jc w:val="center"/>
              <w:rPr>
                <w:noProof/>
              </w:rPr>
            </w:pPr>
            <w:r>
              <w:rPr>
                <w:noProof/>
              </w:rPr>
              <w:t>Целеви</w:t>
            </w:r>
          </w:p>
        </w:tc>
        <w:tc>
          <w:tcPr>
            <w:tcW w:w="505" w:type="pct"/>
            <w:shd w:val="clear" w:color="auto" w:fill="C6EFCE"/>
            <w:vAlign w:val="center"/>
            <w:hideMark/>
          </w:tcPr>
          <w:p w14:paraId="4F20575C" w14:textId="77777777" w:rsidR="006054AA" w:rsidRDefault="001F7667">
            <w:pPr>
              <w:pStyle w:val="P68B1DB1-Normal11"/>
              <w:jc w:val="center"/>
              <w:rPr>
                <w:noProof/>
              </w:rPr>
            </w:pPr>
            <w:r>
              <w:rPr>
                <w:noProof/>
              </w:rPr>
              <w:t>Интервенции, свързани с договорите за спортни съоръжения</w:t>
            </w:r>
          </w:p>
        </w:tc>
        <w:tc>
          <w:tcPr>
            <w:tcW w:w="505" w:type="pct"/>
            <w:shd w:val="clear" w:color="auto" w:fill="C6EFCE"/>
            <w:vAlign w:val="center"/>
            <w:hideMark/>
          </w:tcPr>
          <w:p w14:paraId="26C44C93" w14:textId="77777777" w:rsidR="006054AA" w:rsidRDefault="001F7667">
            <w:pPr>
              <w:pStyle w:val="P68B1DB1-Normal11"/>
              <w:jc w:val="center"/>
              <w:rPr>
                <w:noProof/>
              </w:rPr>
            </w:pPr>
            <w:r>
              <w:rPr>
                <w:noProof/>
              </w:rPr>
              <w:t>НЯМА</w:t>
            </w:r>
          </w:p>
        </w:tc>
        <w:tc>
          <w:tcPr>
            <w:tcW w:w="478" w:type="pct"/>
            <w:shd w:val="clear" w:color="auto" w:fill="C6EFCE"/>
            <w:vAlign w:val="center"/>
            <w:hideMark/>
          </w:tcPr>
          <w:p w14:paraId="53BA694F" w14:textId="77777777" w:rsidR="006054AA" w:rsidRDefault="001F7667">
            <w:pPr>
              <w:pStyle w:val="P68B1DB1-Normal11"/>
              <w:jc w:val="center"/>
              <w:rPr>
                <w:noProof/>
              </w:rPr>
            </w:pPr>
            <w:r>
              <w:rPr>
                <w:noProof/>
              </w:rPr>
              <w:t>Брой</w:t>
            </w:r>
          </w:p>
        </w:tc>
        <w:tc>
          <w:tcPr>
            <w:tcW w:w="318" w:type="pct"/>
            <w:shd w:val="clear" w:color="auto" w:fill="C6EFCE"/>
            <w:vAlign w:val="center"/>
            <w:hideMark/>
          </w:tcPr>
          <w:p w14:paraId="3166E799" w14:textId="77777777" w:rsidR="006054AA" w:rsidRDefault="001F7667">
            <w:pPr>
              <w:pStyle w:val="P68B1DB1-Normal11"/>
              <w:jc w:val="center"/>
              <w:rPr>
                <w:noProof/>
              </w:rPr>
            </w:pPr>
            <w:r>
              <w:rPr>
                <w:noProof/>
              </w:rPr>
              <w:t>0</w:t>
            </w:r>
          </w:p>
        </w:tc>
        <w:tc>
          <w:tcPr>
            <w:tcW w:w="384" w:type="pct"/>
            <w:shd w:val="clear" w:color="auto" w:fill="C6EFCE"/>
            <w:vAlign w:val="center"/>
            <w:hideMark/>
          </w:tcPr>
          <w:p w14:paraId="53CFA1A3" w14:textId="77777777" w:rsidR="006054AA" w:rsidRDefault="001F7667">
            <w:pPr>
              <w:pStyle w:val="P68B1DB1-Normal11"/>
              <w:jc w:val="center"/>
              <w:rPr>
                <w:noProof/>
              </w:rPr>
            </w:pPr>
            <w:r>
              <w:rPr>
                <w:noProof/>
              </w:rPr>
              <w:t>100</w:t>
            </w:r>
          </w:p>
        </w:tc>
        <w:tc>
          <w:tcPr>
            <w:tcW w:w="275" w:type="pct"/>
            <w:shd w:val="clear" w:color="auto" w:fill="C6EFCE"/>
            <w:vAlign w:val="center"/>
            <w:hideMark/>
          </w:tcPr>
          <w:p w14:paraId="5F78C7E0" w14:textId="77777777" w:rsidR="006054AA" w:rsidRDefault="001F7667">
            <w:pPr>
              <w:pStyle w:val="P68B1DB1-Normal11"/>
              <w:jc w:val="center"/>
              <w:rPr>
                <w:noProof/>
              </w:rPr>
            </w:pPr>
            <w:r>
              <w:rPr>
                <w:noProof/>
              </w:rPr>
              <w:t>Т2 Г.</w:t>
            </w:r>
          </w:p>
        </w:tc>
        <w:tc>
          <w:tcPr>
            <w:tcW w:w="200" w:type="pct"/>
            <w:shd w:val="clear" w:color="auto" w:fill="C6EFCE"/>
            <w:vAlign w:val="center"/>
            <w:hideMark/>
          </w:tcPr>
          <w:p w14:paraId="3798B82A" w14:textId="77777777" w:rsidR="006054AA" w:rsidRDefault="001F7667">
            <w:pPr>
              <w:pStyle w:val="P68B1DB1-Normal11"/>
              <w:jc w:val="center"/>
              <w:rPr>
                <w:noProof/>
              </w:rPr>
            </w:pPr>
            <w:r>
              <w:rPr>
                <w:noProof/>
              </w:rPr>
              <w:t>2026</w:t>
            </w:r>
          </w:p>
        </w:tc>
        <w:tc>
          <w:tcPr>
            <w:tcW w:w="1081" w:type="pct"/>
            <w:shd w:val="clear" w:color="auto" w:fill="C6EFCE"/>
            <w:vAlign w:val="center"/>
            <w:hideMark/>
          </w:tcPr>
          <w:p w14:paraId="78DDEA49" w14:textId="77777777" w:rsidR="006054AA" w:rsidRDefault="001F7667">
            <w:pPr>
              <w:pStyle w:val="P68B1DB1-Normal11"/>
              <w:rPr>
                <w:rFonts w:eastAsia="Calibri"/>
                <w:noProof/>
              </w:rPr>
            </w:pPr>
            <w:r>
              <w:rPr>
                <w:noProof/>
              </w:rPr>
              <w:t>Най-малко 100 интервенции, свързани с договорите за спортни съоръжения.</w:t>
            </w:r>
          </w:p>
          <w:p w14:paraId="7471FA36" w14:textId="77777777" w:rsidR="006054AA" w:rsidRDefault="006054AA">
            <w:pPr>
              <w:rPr>
                <w:rFonts w:ascii="Arial Narrow" w:hAnsi="Arial Narrow"/>
                <w:noProof/>
                <w:color w:val="006100"/>
                <w:sz w:val="20"/>
              </w:rPr>
            </w:pPr>
          </w:p>
          <w:p w14:paraId="5398E805" w14:textId="4550B3C0" w:rsidR="006054AA" w:rsidRDefault="001F7667">
            <w:pPr>
              <w:pStyle w:val="P68B1DB1-Normal11"/>
              <w:rPr>
                <w:rFonts w:eastAsia="Calibri"/>
                <w:noProof/>
              </w:rPr>
            </w:pPr>
            <w:r>
              <w:rPr>
                <w:noProof/>
              </w:rPr>
              <w:t>Задоволителното изпълнение на целта зависи и от задоволителното изпълнение на вторична цел: извършените интервенции обхващат площ от най-малко 200 000 квадратни метра.</w:t>
            </w:r>
          </w:p>
          <w:p w14:paraId="2C09F224" w14:textId="77777777" w:rsidR="006054AA" w:rsidRDefault="006054AA">
            <w:pPr>
              <w:rPr>
                <w:rFonts w:ascii="Arial Narrow" w:hAnsi="Arial Narrow"/>
                <w:noProof/>
                <w:color w:val="006100"/>
                <w:sz w:val="20"/>
              </w:rPr>
            </w:pPr>
          </w:p>
          <w:p w14:paraId="149B1F41" w14:textId="77777777" w:rsidR="006054AA" w:rsidRDefault="001F7667">
            <w:pPr>
              <w:pStyle w:val="P68B1DB1-Normal11"/>
              <w:rPr>
                <w:rFonts w:eastAsia="Calibri"/>
                <w:noProof/>
              </w:rPr>
            </w:pPr>
            <w:r>
              <w:rPr>
                <w:noProof/>
              </w:rPr>
              <w:t>Проектът разглежда въпросите на обновяването на градската среда в съответствие с принципите на устойчивост и издръжливост, като се съсредоточава върху спортните съоръжения, за да се насърчи социалното приобщаване и интеграция, особено в най-необлагодетелстваните райони на Италия.</w:t>
            </w:r>
          </w:p>
          <w:p w14:paraId="1E0AC1BA" w14:textId="77777777" w:rsidR="006054AA" w:rsidRDefault="006054AA">
            <w:pPr>
              <w:rPr>
                <w:rFonts w:ascii="Arial Narrow" w:eastAsia="Calibri" w:hAnsi="Arial Narrow"/>
                <w:noProof/>
                <w:color w:val="006100"/>
                <w:sz w:val="20"/>
              </w:rPr>
            </w:pPr>
          </w:p>
          <w:p w14:paraId="1DB6D07E" w14:textId="77777777" w:rsidR="006054AA" w:rsidRDefault="001F7667">
            <w:pPr>
              <w:pStyle w:val="P68B1DB1-Normal19"/>
              <w:rPr>
                <w:noProof/>
                <w:color w:val="006100"/>
              </w:rPr>
            </w:pPr>
            <w:r>
              <w:rPr>
                <w:noProof/>
                <w:color w:val="006100"/>
              </w:rPr>
              <w:t>Най-малко 50 % от инвестицията трябва да бъде предназначена за нови конструкции, които отговарят на съответните изисквания на бележка под линия 5 от приложение VI към Регламент (ЕС) 2021/241.</w:t>
            </w:r>
            <w:r>
              <w:rPr>
                <w:noProof/>
                <w:color w:val="000000"/>
              </w:rPr>
              <w:t xml:space="preserve"> </w:t>
            </w:r>
          </w:p>
        </w:tc>
      </w:tr>
    </w:tbl>
    <w:p w14:paraId="244ABCF4" w14:textId="77777777" w:rsidR="006054AA" w:rsidRDefault="006054AA">
      <w:pPr>
        <w:keepNext/>
        <w:tabs>
          <w:tab w:val="left" w:pos="4252"/>
        </w:tabs>
        <w:spacing w:before="720"/>
        <w:jc w:val="both"/>
        <w:rPr>
          <w:i/>
          <w:noProof/>
        </w:rPr>
        <w:sectPr w:rsidR="006054AA" w:rsidSect="000D3774">
          <w:headerReference w:type="even" r:id="rId320"/>
          <w:headerReference w:type="default" r:id="rId321"/>
          <w:footerReference w:type="even" r:id="rId322"/>
          <w:footerReference w:type="default" r:id="rId323"/>
          <w:headerReference w:type="first" r:id="rId324"/>
          <w:footerReference w:type="first" r:id="rId325"/>
          <w:pgSz w:w="20160" w:h="12240" w:orient="landscape"/>
          <w:pgMar w:top="1440" w:right="1440" w:bottom="1440" w:left="1440" w:header="709" w:footer="709" w:gutter="0"/>
          <w:cols w:space="720"/>
          <w:docGrid w:linePitch="360"/>
        </w:sectPr>
      </w:pPr>
    </w:p>
    <w:p w14:paraId="1CB4C944" w14:textId="6CC4F79C" w:rsidR="006054AA" w:rsidRDefault="001F7667">
      <w:pPr>
        <w:pStyle w:val="Heading2"/>
        <w:numPr>
          <w:ilvl w:val="0"/>
          <w:numId w:val="0"/>
        </w:numPr>
        <w:ind w:left="850" w:hanging="850"/>
        <w:rPr>
          <w:noProof/>
        </w:rPr>
      </w:pPr>
      <w:r>
        <w:rPr>
          <w:noProof/>
          <w:lang w:val="bg-BG"/>
        </w:rPr>
        <w:t>Н</w:t>
      </w:r>
      <w:r>
        <w:rPr>
          <w:noProof/>
        </w:rPr>
        <w:t>. МИСИЯ 5 КОМПОНЕНТ 3: Специални интервенции за териториално сближаване</w:t>
      </w:r>
    </w:p>
    <w:p w14:paraId="5433FD1F" w14:textId="168CD809" w:rsidR="006054AA" w:rsidRDefault="001F7667">
      <w:pPr>
        <w:tabs>
          <w:tab w:val="left" w:pos="1134"/>
        </w:tabs>
        <w:spacing w:before="120" w:after="120"/>
        <w:jc w:val="both"/>
        <w:rPr>
          <w:rFonts w:eastAsia="Calibri"/>
          <w:noProof/>
        </w:rPr>
      </w:pPr>
      <w:r>
        <w:rPr>
          <w:noProof/>
        </w:rPr>
        <w:t xml:space="preserve">Този компонент на плана за възстановяване и устойчивост включва две области на намеса: план за устойчивост на вътрешните, периферните и планинските райони; II) Проекти за развитието на Юга, включително инвестиции за справяне с образователната бедност, за консолидиране на селските аптеки като местни здравни услуги, увеличаване на активите, конфискувани от организираната престъпност, и инфраструктурни инвестиции в специални икономически зони.  Тези мерки са насочени към преодоляване на териториалното разделение в три области: демографски данни и услуги; развитие на уменията; инвестиции. </w:t>
      </w:r>
    </w:p>
    <w:p w14:paraId="69826267" w14:textId="74D9C93D" w:rsidR="006054AA" w:rsidRDefault="001F7667">
      <w:pPr>
        <w:tabs>
          <w:tab w:val="left" w:pos="1134"/>
        </w:tabs>
        <w:spacing w:before="120" w:after="120"/>
        <w:jc w:val="both"/>
        <w:rPr>
          <w:rFonts w:eastAsia="Calibri"/>
          <w:noProof/>
        </w:rPr>
      </w:pPr>
      <w:r>
        <w:rPr>
          <w:noProof/>
        </w:rPr>
        <w:t xml:space="preserve">Инвестициите и реформите по този компонент допринасят за изпълнението на специфичните за всяка държава препоръки, отправени към Италия през 2019 г. и 2020 г., относно необходимостта от „съсредоточаване на свързаната с инвестициите икономическа политика върху научните изследвания и иновациите и качеството на инфраструктурата, като се вземат предвид регионалните различия“ (специфична за държавата препоръка 2019.3); </w:t>
      </w:r>
      <w:r>
        <w:rPr>
          <w:rStyle w:val="normaltextrun"/>
          <w:rFonts w:hAnsi="Calibri"/>
          <w:noProof/>
          <w:shd w:val="clear" w:color="auto" w:fill="FFFFFF"/>
        </w:rPr>
        <w:t>„подобряване</w:t>
      </w:r>
      <w:r>
        <w:rPr>
          <w:rStyle w:val="normaltextrun"/>
          <w:rFonts w:hAnsi="Calibri"/>
          <w:noProof/>
          <w:shd w:val="clear" w:color="auto" w:fill="FFFFFF"/>
        </w:rPr>
        <w:t xml:space="preserve"> </w:t>
      </w:r>
      <w:r>
        <w:rPr>
          <w:rStyle w:val="normaltextrun"/>
          <w:rFonts w:hAnsi="Calibri"/>
          <w:noProof/>
          <w:shd w:val="clear" w:color="auto" w:fill="FFFFFF"/>
        </w:rPr>
        <w:t>на</w:t>
      </w:r>
      <w:r>
        <w:rPr>
          <w:rStyle w:val="normaltextrun"/>
          <w:rFonts w:hAnsi="Calibri"/>
          <w:noProof/>
          <w:shd w:val="clear" w:color="auto" w:fill="FFFFFF"/>
        </w:rPr>
        <w:t xml:space="preserve"> </w:t>
      </w:r>
      <w:r>
        <w:rPr>
          <w:rStyle w:val="normaltextrun"/>
          <w:rFonts w:hAnsi="Calibri"/>
          <w:noProof/>
          <w:shd w:val="clear" w:color="auto" w:fill="FFFFFF"/>
        </w:rPr>
        <w:t>образователните</w:t>
      </w:r>
      <w:r>
        <w:rPr>
          <w:rStyle w:val="normaltextrun"/>
          <w:rFonts w:hAnsi="Calibri"/>
          <w:noProof/>
          <w:shd w:val="clear" w:color="auto" w:fill="FFFFFF"/>
        </w:rPr>
        <w:t xml:space="preserve"> </w:t>
      </w:r>
      <w:r>
        <w:rPr>
          <w:rStyle w:val="normaltextrun"/>
          <w:rFonts w:hAnsi="Calibri"/>
          <w:noProof/>
          <w:shd w:val="clear" w:color="auto" w:fill="FFFFFF"/>
        </w:rPr>
        <w:t>резултати“</w:t>
      </w:r>
      <w:r>
        <w:rPr>
          <w:rStyle w:val="normaltextrun"/>
          <w:rFonts w:hAnsi="Calibri"/>
          <w:noProof/>
          <w:shd w:val="clear" w:color="auto" w:fill="FFFFFF"/>
        </w:rPr>
        <w:t xml:space="preserve"> (</w:t>
      </w:r>
      <w:r>
        <w:rPr>
          <w:rStyle w:val="normaltextrun"/>
          <w:rFonts w:hAnsi="Calibri"/>
          <w:noProof/>
          <w:shd w:val="clear" w:color="auto" w:fill="FFFFFF"/>
        </w:rPr>
        <w:t>специфична</w:t>
      </w:r>
      <w:r>
        <w:rPr>
          <w:rStyle w:val="normaltextrun"/>
          <w:rFonts w:hAnsi="Calibri"/>
          <w:noProof/>
          <w:shd w:val="clear" w:color="auto" w:fill="FFFFFF"/>
        </w:rPr>
        <w:t xml:space="preserve"> </w:t>
      </w:r>
      <w:r>
        <w:rPr>
          <w:rStyle w:val="normaltextrun"/>
          <w:rFonts w:hAnsi="Calibri"/>
          <w:noProof/>
          <w:shd w:val="clear" w:color="auto" w:fill="FFFFFF"/>
        </w:rPr>
        <w:t>за</w:t>
      </w:r>
      <w:r>
        <w:rPr>
          <w:rStyle w:val="normaltextrun"/>
          <w:rFonts w:hAnsi="Calibri"/>
          <w:noProof/>
          <w:shd w:val="clear" w:color="auto" w:fill="FFFFFF"/>
        </w:rPr>
        <w:t xml:space="preserve"> </w:t>
      </w:r>
      <w:r>
        <w:rPr>
          <w:rStyle w:val="normaltextrun"/>
          <w:rFonts w:hAnsi="Calibri"/>
          <w:noProof/>
          <w:shd w:val="clear" w:color="auto" w:fill="FFFFFF"/>
        </w:rPr>
        <w:t>държавата</w:t>
      </w:r>
      <w:r>
        <w:rPr>
          <w:rStyle w:val="normaltextrun"/>
          <w:rFonts w:hAnsi="Calibri"/>
          <w:noProof/>
          <w:shd w:val="clear" w:color="auto" w:fill="FFFFFF"/>
        </w:rPr>
        <w:t xml:space="preserve"> </w:t>
      </w:r>
      <w:r>
        <w:rPr>
          <w:rStyle w:val="normaltextrun"/>
          <w:rFonts w:hAnsi="Calibri"/>
          <w:noProof/>
          <w:shd w:val="clear" w:color="auto" w:fill="FFFFFF"/>
        </w:rPr>
        <w:t>препоръка</w:t>
      </w:r>
      <w:r>
        <w:rPr>
          <w:rStyle w:val="normaltextrun"/>
          <w:rFonts w:hAnsi="Calibri"/>
          <w:noProof/>
          <w:shd w:val="clear" w:color="auto" w:fill="FFFFFF"/>
        </w:rPr>
        <w:t xml:space="preserve"> 2019.2);</w:t>
      </w:r>
      <w:r>
        <w:rPr>
          <w:rStyle w:val="normaltextrun"/>
          <w:rFonts w:hAnsi="Calibri"/>
          <w:noProof/>
          <w:shd w:val="clear" w:color="auto" w:fill="FFFFFF"/>
        </w:rPr>
        <w:t> „Укрепване</w:t>
      </w:r>
      <w:r>
        <w:rPr>
          <w:rStyle w:val="normaltextrun"/>
          <w:rFonts w:hAnsi="Calibri"/>
          <w:noProof/>
          <w:shd w:val="clear" w:color="auto" w:fill="FFFFFF"/>
        </w:rPr>
        <w:t xml:space="preserve"> </w:t>
      </w:r>
      <w:r>
        <w:rPr>
          <w:rStyle w:val="normaltextrun"/>
          <w:rFonts w:hAnsi="Calibri"/>
          <w:noProof/>
          <w:shd w:val="clear" w:color="auto" w:fill="FFFFFF"/>
        </w:rPr>
        <w:t>на</w:t>
      </w:r>
      <w:r>
        <w:rPr>
          <w:rStyle w:val="normaltextrun"/>
          <w:rFonts w:hAnsi="Calibri"/>
          <w:noProof/>
          <w:shd w:val="clear" w:color="auto" w:fill="FFFFFF"/>
        </w:rPr>
        <w:t xml:space="preserve"> </w:t>
      </w:r>
      <w:r>
        <w:rPr>
          <w:rStyle w:val="normaltextrun"/>
          <w:rFonts w:hAnsi="Calibri"/>
          <w:noProof/>
          <w:shd w:val="clear" w:color="auto" w:fill="FFFFFF"/>
        </w:rPr>
        <w:t>устойчивостта</w:t>
      </w:r>
      <w:r>
        <w:rPr>
          <w:rStyle w:val="normaltextrun"/>
          <w:rFonts w:hAnsi="Calibri"/>
          <w:noProof/>
          <w:shd w:val="clear" w:color="auto" w:fill="FFFFFF"/>
        </w:rPr>
        <w:t xml:space="preserve"> </w:t>
      </w:r>
      <w:r>
        <w:rPr>
          <w:rStyle w:val="normaltextrun"/>
          <w:rFonts w:hAnsi="Calibri"/>
          <w:noProof/>
          <w:shd w:val="clear" w:color="auto" w:fill="FFFFFF"/>
        </w:rPr>
        <w:t>и</w:t>
      </w:r>
      <w:r>
        <w:rPr>
          <w:rStyle w:val="normaltextrun"/>
          <w:rFonts w:hAnsi="Calibri"/>
          <w:noProof/>
          <w:shd w:val="clear" w:color="auto" w:fill="FFFFFF"/>
        </w:rPr>
        <w:t xml:space="preserve"> </w:t>
      </w:r>
      <w:r>
        <w:rPr>
          <w:rStyle w:val="normaltextrun"/>
          <w:rFonts w:hAnsi="Calibri"/>
          <w:noProof/>
          <w:shd w:val="clear" w:color="auto" w:fill="FFFFFF"/>
        </w:rPr>
        <w:t>капацитета</w:t>
      </w:r>
      <w:r>
        <w:rPr>
          <w:rStyle w:val="normaltextrun"/>
          <w:rFonts w:hAnsi="Calibri"/>
          <w:noProof/>
          <w:shd w:val="clear" w:color="auto" w:fill="FFFFFF"/>
        </w:rPr>
        <w:t xml:space="preserve"> </w:t>
      </w:r>
      <w:r>
        <w:rPr>
          <w:rStyle w:val="normaltextrun"/>
          <w:rFonts w:hAnsi="Calibri"/>
          <w:noProof/>
          <w:shd w:val="clear" w:color="auto" w:fill="FFFFFF"/>
        </w:rPr>
        <w:t>на</w:t>
      </w:r>
      <w:r>
        <w:rPr>
          <w:rStyle w:val="normaltextrun"/>
          <w:rFonts w:hAnsi="Calibri"/>
          <w:noProof/>
          <w:shd w:val="clear" w:color="auto" w:fill="FFFFFF"/>
        </w:rPr>
        <w:t xml:space="preserve"> </w:t>
      </w:r>
      <w:r>
        <w:rPr>
          <w:rStyle w:val="normaltextrun"/>
          <w:rFonts w:hAnsi="Calibri"/>
          <w:noProof/>
          <w:shd w:val="clear" w:color="auto" w:fill="FFFFFF"/>
        </w:rPr>
        <w:t>здравната</w:t>
      </w:r>
      <w:r>
        <w:rPr>
          <w:rStyle w:val="normaltextrun"/>
          <w:rFonts w:hAnsi="Calibri"/>
          <w:noProof/>
          <w:shd w:val="clear" w:color="auto" w:fill="FFFFFF"/>
        </w:rPr>
        <w:t xml:space="preserve"> </w:t>
      </w:r>
      <w:r>
        <w:rPr>
          <w:rStyle w:val="normaltextrun"/>
          <w:rFonts w:hAnsi="Calibri"/>
          <w:noProof/>
          <w:shd w:val="clear" w:color="auto" w:fill="FFFFFF"/>
        </w:rPr>
        <w:t>система</w:t>
      </w:r>
      <w:r>
        <w:rPr>
          <w:rStyle w:val="normaltextrun"/>
          <w:rFonts w:ascii="Calibri" w:hAnsi="Calibri"/>
          <w:noProof/>
          <w:shd w:val="clear" w:color="auto" w:fill="FFFFFF"/>
        </w:rPr>
        <w:t xml:space="preserve"> [...]</w:t>
      </w:r>
      <w:r>
        <w:rPr>
          <w:rStyle w:val="normaltextrun"/>
          <w:noProof/>
          <w:shd w:val="clear" w:color="auto" w:fill="FFFFFF"/>
        </w:rPr>
        <w:t>“ (специфична за държавата препоръка 2020.1)</w:t>
      </w:r>
      <w:r>
        <w:rPr>
          <w:rStyle w:val="normaltextrun"/>
          <w:rFonts w:ascii="Calibri" w:hAnsi="Calibri"/>
          <w:noProof/>
          <w:shd w:val="clear" w:color="auto" w:fill="FFFFFF"/>
        </w:rPr>
        <w:t>; </w:t>
      </w:r>
      <w:r>
        <w:rPr>
          <w:rStyle w:val="normaltextrun"/>
          <w:noProof/>
          <w:shd w:val="clear" w:color="auto" w:fill="FFFFFF"/>
        </w:rPr>
        <w:t>„осигуряване на адекватна [...] и достъп до социална закрила“ (специфична за държавата препоръка 2020.2)</w:t>
      </w:r>
      <w:r>
        <w:rPr>
          <w:rStyle w:val="normaltextrun"/>
          <w:rFonts w:ascii="Calibri" w:hAnsi="Calibri"/>
          <w:noProof/>
          <w:shd w:val="clear" w:color="auto" w:fill="FFFFFF"/>
        </w:rPr>
        <w:t xml:space="preserve">. </w:t>
      </w:r>
    </w:p>
    <w:p w14:paraId="4A0608F2" w14:textId="77777777" w:rsidR="006054AA" w:rsidRDefault="006054AA">
      <w:pPr>
        <w:spacing w:before="120" w:after="120"/>
        <w:jc w:val="both"/>
        <w:rPr>
          <w:noProof/>
        </w:rPr>
      </w:pPr>
    </w:p>
    <w:p w14:paraId="64920B98"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Н.1. </w:t>
      </w:r>
      <w:r>
        <w:rPr>
          <w:noProof/>
        </w:rPr>
        <w:tab/>
      </w:r>
      <w:r>
        <w:rPr>
          <w:b/>
          <w:i w:val="0"/>
          <w:noProof/>
          <w:u w:val="single"/>
        </w:rPr>
        <w:t>Описание на реформите и инвестициите за безвъзмездна финансова подкрепа</w:t>
      </w:r>
    </w:p>
    <w:p w14:paraId="442DD1E1" w14:textId="77777777" w:rsidR="006054AA" w:rsidRDefault="001F7667">
      <w:pPr>
        <w:pStyle w:val="P68B1DB1-Normal2"/>
        <w:spacing w:before="120" w:after="120"/>
        <w:jc w:val="both"/>
        <w:rPr>
          <w:noProof/>
        </w:rPr>
      </w:pPr>
      <w:r>
        <w:rPr>
          <w:noProof/>
        </w:rPr>
        <w:t>Инвестиция 1. Вътрешни зони — 1. Подобряване на социалните услуги и инфраструктури на общността</w:t>
      </w:r>
    </w:p>
    <w:p w14:paraId="2CD99030" w14:textId="77777777" w:rsidR="006054AA" w:rsidRDefault="001F7667">
      <w:pPr>
        <w:spacing w:before="120" w:after="120"/>
        <w:jc w:val="both"/>
        <w:rPr>
          <w:noProof/>
        </w:rPr>
      </w:pPr>
      <w:r>
        <w:rPr>
          <w:noProof/>
        </w:rPr>
        <w:t xml:space="preserve">Интервенцията има за цел справяне с проблемите на социалното изключване и маргинализацията чрез засилване на предоставянето на услуги чрез увеличаване на средствата за обществени услуги, предоставяни от местните органи (механизмът за предоставяне се състои в предоставяне на безвъзмездни средства на общините). Финансираните проекти могат да се отнасят до: услуги за домашни грижи за възрастни хора; медицински сестри и акушерки от общността; укрепване на малките болници (тези без първа помощ) или някои основни услуги (напр. рентгенология, кардиология, гинекология) и амбулаторните центрове; инфраструктури за спасяване на хеликоптери; укрепване на центровете за хора с увреждания; консултантски центрове, културни услуги, спортни услуги и прием на мигранти. Интервенцията предвижда или създаването на нови услуги и инфраструктури, или подобряването на съществуващите чрез увеличаване на броя на получателите или на качеството на доставките. </w:t>
      </w:r>
    </w:p>
    <w:p w14:paraId="317D470C" w14:textId="77777777" w:rsidR="006054AA" w:rsidRDefault="001F7667">
      <w:pPr>
        <w:spacing w:before="120" w:after="120"/>
        <w:jc w:val="both"/>
        <w:rPr>
          <w:noProof/>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w:t>
      </w:r>
      <w:r>
        <w:rPr>
          <w:noProof/>
          <w:color w:val="FF0000"/>
        </w:rPr>
        <w:t xml:space="preserve"> </w:t>
      </w:r>
      <w:r>
        <w:rPr>
          <w:noProof/>
        </w:rPr>
        <w:t>I) дейности, свързани с изкопаеми горива, включително използване надолу по веригата</w:t>
      </w:r>
      <w:r>
        <w:rPr>
          <w:rStyle w:val="FootnoteReference"/>
          <w:noProof/>
        </w:rPr>
        <w:footnoteReference w:id="115"/>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116"/>
      </w:r>
      <w:r>
        <w:rPr>
          <w:noProof/>
        </w:rPr>
        <w:t>; III) дейности, свързани с депа за отпадъци, инсинератори</w:t>
      </w:r>
      <w:r>
        <w:rPr>
          <w:rStyle w:val="FootnoteReference"/>
          <w:noProof/>
        </w:rPr>
        <w:footnoteReference w:id="117"/>
      </w:r>
      <w:r>
        <w:rPr>
          <w:noProof/>
        </w:rPr>
        <w:t xml:space="preserve"> и инсталации за механично-биологично третиране</w:t>
      </w:r>
      <w:r>
        <w:rPr>
          <w:rStyle w:val="FootnoteReference"/>
          <w:noProof/>
        </w:rPr>
        <w:footnoteReference w:id="118"/>
      </w:r>
      <w:r>
        <w:rPr>
          <w:noProof/>
        </w:rPr>
        <w:t>; и iv) дейности, при които дългосрочното обезвреждане на отпадъци може да причини вреда на околната среда. Освен това в заданието се изисква да могат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689D069D" w14:textId="77777777" w:rsidR="006054AA" w:rsidRDefault="006054AA">
      <w:pPr>
        <w:spacing w:before="120" w:after="120"/>
        <w:jc w:val="both"/>
        <w:rPr>
          <w:b/>
          <w:noProof/>
        </w:rPr>
      </w:pPr>
    </w:p>
    <w:p w14:paraId="6C59F423" w14:textId="5E9931A9" w:rsidR="006054AA" w:rsidRDefault="001F7667">
      <w:pPr>
        <w:pStyle w:val="P68B1DB1-Normal2"/>
        <w:spacing w:before="120" w:after="120"/>
        <w:jc w:val="both"/>
        <w:rPr>
          <w:noProof/>
        </w:rPr>
      </w:pPr>
      <w:r>
        <w:rPr>
          <w:noProof/>
        </w:rPr>
        <w:t xml:space="preserve">Инвестиция 2: Здравни заведения за териториално сближаване </w:t>
      </w:r>
    </w:p>
    <w:p w14:paraId="51F7E53D" w14:textId="77777777" w:rsidR="006054AA" w:rsidRDefault="001F7667">
      <w:pPr>
        <w:spacing w:before="120" w:after="120"/>
        <w:jc w:val="both"/>
        <w:rPr>
          <w:noProof/>
        </w:rPr>
      </w:pPr>
      <w:r>
        <w:rPr>
          <w:noProof/>
        </w:rPr>
        <w:t xml:space="preserve">Интервенцията има за цел да консолидира селските аптеки като местни здравни услуги (селските аптеки са определени въз основа на решение L., 27 март 1968 г., № 221. Тази мярка предоставя незабавна подкрепа на аптеките в селските райони, които по време на извънредната ситуация с COVID-19 са били основна отправна точка за местното население. Като укрепват ролята си в осигуряването на здравни заведения, аптеките могат да продължат да бъдат основен елемент от живота на общността, като предоставят здравни грижи възможно най-близо до гражданите. По-конкретно, очаква се тези аптеки да засилят ролята си чрез: I) участие в интегрираната услуга за домашна помощ; II) предоставяне на услуги от второ ниво в съответствие с диагностици-терапевтичните пътеки, предвидени за специфични патологии; III) отпускане на лекарства, които пациентът е принуден да вземе в болницата; IV) наблюдение на пациента с помощта на електронното здравно досие и фармацевтичното досие. </w:t>
      </w:r>
    </w:p>
    <w:p w14:paraId="5CA2F3A7" w14:textId="77777777" w:rsidR="006054AA" w:rsidRDefault="006054AA">
      <w:pPr>
        <w:spacing w:before="120" w:after="120"/>
        <w:jc w:val="both"/>
        <w:rPr>
          <w:b/>
          <w:noProof/>
        </w:rPr>
      </w:pPr>
    </w:p>
    <w:p w14:paraId="241455B0" w14:textId="77777777" w:rsidR="006054AA" w:rsidRDefault="001F7667">
      <w:pPr>
        <w:pStyle w:val="P68B1DB1-Normal2"/>
        <w:spacing w:before="120" w:after="120"/>
        <w:jc w:val="both"/>
        <w:rPr>
          <w:noProof/>
        </w:rPr>
      </w:pPr>
      <w:r>
        <w:rPr>
          <w:noProof/>
        </w:rPr>
        <w:t>Инвестиция 3: Структурирани социално-образователни интервенции за борба с образователната бедност в южната част на страната в подкрепа на третия сектор</w:t>
      </w:r>
    </w:p>
    <w:p w14:paraId="3B2810D0" w14:textId="77777777" w:rsidR="006054AA" w:rsidRDefault="001F7667">
      <w:pPr>
        <w:spacing w:before="120" w:after="120"/>
        <w:jc w:val="both"/>
        <w:rPr>
          <w:noProof/>
        </w:rPr>
      </w:pPr>
      <w:r>
        <w:rPr>
          <w:noProof/>
        </w:rPr>
        <w:t xml:space="preserve">Мярката има за цел да насърчи третия сектор в южните региони (Абруцо, Базиликата, Кампания, Калабрия, Молизе, Пулия, Сардиния и Сицилия) и да предостави социално-образователни услуги на малолетните и непълнолетните лица във връзка с разпоредбите на Споразумението за партньорство за програмния период 2021—2027 г. на европейските политики на сближаване. </w:t>
      </w:r>
    </w:p>
    <w:p w14:paraId="0B19DE2C" w14:textId="77777777" w:rsidR="006054AA" w:rsidRDefault="001F7667">
      <w:pPr>
        <w:spacing w:before="120" w:after="120"/>
        <w:jc w:val="both"/>
        <w:rPr>
          <w:noProof/>
        </w:rPr>
      </w:pPr>
      <w:r>
        <w:rPr>
          <w:noProof/>
        </w:rPr>
        <w:t>Социално-образователните интервенции за борба с образователната бедност и подкрепа на третия сектор се очаква да бъдат осъществени в една от следните области:</w:t>
      </w:r>
    </w:p>
    <w:p w14:paraId="7A6CF2F5" w14:textId="77777777" w:rsidR="006054AA" w:rsidRDefault="001F7667">
      <w:pPr>
        <w:pStyle w:val="ListParagraph"/>
        <w:numPr>
          <w:ilvl w:val="0"/>
          <w:numId w:val="48"/>
        </w:numPr>
        <w:ind w:left="360"/>
        <w:rPr>
          <w:noProof/>
        </w:rPr>
      </w:pPr>
      <w:r>
        <w:rPr>
          <w:noProof/>
        </w:rPr>
        <w:t xml:space="preserve"> Интервенции за деца на възраст от нула до шест години, насочени към подобряване на условията за достъп до услуги в детските градини и детските градини и към подпомагане на родителството;</w:t>
      </w:r>
    </w:p>
    <w:p w14:paraId="40B18AF4" w14:textId="77777777" w:rsidR="006054AA" w:rsidRDefault="001F7667">
      <w:pPr>
        <w:pStyle w:val="ListParagraph"/>
        <w:numPr>
          <w:ilvl w:val="0"/>
          <w:numId w:val="48"/>
        </w:numPr>
        <w:ind w:left="360"/>
        <w:rPr>
          <w:noProof/>
        </w:rPr>
      </w:pPr>
      <w:r>
        <w:rPr>
          <w:noProof/>
        </w:rPr>
        <w:t xml:space="preserve">Интервенции за деца на възраст от пет до десет години, насочени към гарантиране на ефективни възможности за образование и ранно предотвратяване на отпадането от училище, тормоза и други явления на бедствието; </w:t>
      </w:r>
    </w:p>
    <w:p w14:paraId="762C867B" w14:textId="77777777" w:rsidR="006054AA" w:rsidRDefault="001F7667">
      <w:pPr>
        <w:pStyle w:val="ListParagraph"/>
        <w:numPr>
          <w:ilvl w:val="0"/>
          <w:numId w:val="48"/>
        </w:numPr>
        <w:ind w:left="360"/>
        <w:rPr>
          <w:noProof/>
        </w:rPr>
      </w:pPr>
      <w:r>
        <w:rPr>
          <w:noProof/>
        </w:rPr>
        <w:t>Интервенции за деца на възраст между 11 и 17 години, които имат за цел подобряване на предлагането на образование и предотвратяване на явлението преждевременно напускане на училище.</w:t>
      </w:r>
    </w:p>
    <w:p w14:paraId="253026B4" w14:textId="77777777" w:rsidR="006054AA" w:rsidRDefault="001F7667">
      <w:pPr>
        <w:spacing w:before="120" w:after="120"/>
        <w:jc w:val="both"/>
        <w:rPr>
          <w:noProof/>
        </w:rPr>
      </w:pPr>
      <w:r>
        <w:rPr>
          <w:noProof/>
        </w:rPr>
        <w:t>Интервенциите гарантират следните ключови елементи на офертата:</w:t>
      </w:r>
    </w:p>
    <w:p w14:paraId="43499158" w14:textId="71CE32F1" w:rsidR="006054AA" w:rsidRDefault="001F7667">
      <w:pPr>
        <w:pStyle w:val="ListParagraph"/>
        <w:numPr>
          <w:ilvl w:val="0"/>
          <w:numId w:val="48"/>
        </w:numPr>
        <w:ind w:left="360"/>
        <w:rPr>
          <w:noProof/>
        </w:rPr>
      </w:pPr>
      <w:r>
        <w:rPr>
          <w:noProof/>
        </w:rPr>
        <w:t>Публичните обявления възлизат на най-малко 50</w:t>
      </w:r>
      <w:r>
        <w:rPr>
          <w:rFonts w:ascii="Arial Narrow" w:hAnsi="Arial Narrow"/>
          <w:noProof/>
          <w:color w:val="006100"/>
          <w:sz w:val="20"/>
        </w:rPr>
        <w:t xml:space="preserve"> </w:t>
      </w:r>
      <w:r>
        <w:rPr>
          <w:noProof/>
        </w:rPr>
        <w:t>000</w:t>
      </w:r>
      <w:r>
        <w:rPr>
          <w:rFonts w:ascii="Arial Narrow" w:hAnsi="Arial Narrow"/>
          <w:noProof/>
          <w:color w:val="006100"/>
          <w:sz w:val="20"/>
        </w:rPr>
        <w:t xml:space="preserve"> </w:t>
      </w:r>
      <w:r>
        <w:rPr>
          <w:noProof/>
        </w:rPr>
        <w:t xml:space="preserve">000 EUR за всяко от тях. </w:t>
      </w:r>
    </w:p>
    <w:p w14:paraId="06EF2195" w14:textId="6B480491" w:rsidR="006054AA" w:rsidRDefault="001F7667">
      <w:pPr>
        <w:pStyle w:val="ListParagraph"/>
        <w:numPr>
          <w:ilvl w:val="0"/>
          <w:numId w:val="48"/>
        </w:numPr>
        <w:ind w:left="360"/>
        <w:rPr>
          <w:noProof/>
        </w:rPr>
      </w:pPr>
      <w:r>
        <w:rPr>
          <w:noProof/>
        </w:rPr>
        <w:t>Проектите от третия сектор са с продължителност най-малко една година и до две години.</w:t>
      </w:r>
    </w:p>
    <w:p w14:paraId="7E6BFC23" w14:textId="6598CAE8" w:rsidR="006054AA" w:rsidRDefault="006054AA">
      <w:pPr>
        <w:rPr>
          <w:noProof/>
        </w:rPr>
      </w:pPr>
    </w:p>
    <w:p w14:paraId="730C9644" w14:textId="2FC46B26" w:rsidR="006054AA" w:rsidRDefault="006054AA">
      <w:pPr>
        <w:rPr>
          <w:noProof/>
        </w:rPr>
      </w:pPr>
    </w:p>
    <w:p w14:paraId="7F003281" w14:textId="77777777" w:rsidR="006054AA" w:rsidRDefault="001F7667">
      <w:pPr>
        <w:pStyle w:val="Heading3"/>
        <w:numPr>
          <w:ilvl w:val="0"/>
          <w:numId w:val="0"/>
        </w:numPr>
        <w:ind w:left="850" w:hanging="850"/>
        <w:rPr>
          <w:b/>
          <w:i w:val="0"/>
          <w:noProof/>
        </w:rPr>
      </w:pPr>
      <w:r>
        <w:rPr>
          <w:b/>
          <w:i w:val="0"/>
          <w:noProof/>
        </w:rPr>
        <w:t xml:space="preserve">Н.2. </w:t>
      </w:r>
      <w:r>
        <w:rPr>
          <w:noProof/>
        </w:rPr>
        <w:tab/>
      </w:r>
      <w:r>
        <w:rPr>
          <w:b/>
          <w:i w:val="0"/>
          <w:noProof/>
        </w:rPr>
        <w:t>Ключови етапи, цели, показатели и график за мониторинг и изпълнение на безвъзмездната финансова подкрепа</w:t>
      </w:r>
    </w:p>
    <w:p w14:paraId="459E8E5A" w14:textId="77777777" w:rsidR="006054AA" w:rsidRDefault="006054AA">
      <w:pPr>
        <w:spacing w:before="120" w:after="120"/>
        <w:ind w:left="709"/>
        <w:jc w:val="both"/>
        <w:rPr>
          <w:noProof/>
        </w:rPr>
        <w:sectPr w:rsidR="006054AA">
          <w:headerReference w:type="even" r:id="rId326"/>
          <w:headerReference w:type="default" r:id="rId327"/>
          <w:footerReference w:type="even" r:id="rId328"/>
          <w:footerReference w:type="default" r:id="rId329"/>
          <w:headerReference w:type="first" r:id="rId330"/>
          <w:footerReference w:type="first" r:id="rId331"/>
          <w:pgSz w:w="11907" w:h="16839"/>
          <w:pgMar w:top="1440" w:right="1440" w:bottom="1440" w:left="1440" w:header="567" w:footer="567" w:gutter="0"/>
          <w:cols w:space="720"/>
          <w:docGrid w:linePitch="360"/>
        </w:sectPr>
      </w:pPr>
    </w:p>
    <w:tbl>
      <w:tblPr>
        <w:tblW w:w="157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772"/>
        <w:gridCol w:w="1412"/>
        <w:gridCol w:w="1559"/>
        <w:gridCol w:w="1560"/>
        <w:gridCol w:w="1134"/>
        <w:gridCol w:w="1134"/>
        <w:gridCol w:w="992"/>
        <w:gridCol w:w="1200"/>
        <w:gridCol w:w="812"/>
        <w:gridCol w:w="3271"/>
      </w:tblGrid>
      <w:tr w:rsidR="006054AA" w14:paraId="751CCF10" w14:textId="77777777">
        <w:trPr>
          <w:trHeight w:val="927"/>
          <w:tblHeader/>
        </w:trPr>
        <w:tc>
          <w:tcPr>
            <w:tcW w:w="1207" w:type="dxa"/>
            <w:vMerge w:val="restart"/>
            <w:shd w:val="clear" w:color="auto" w:fill="BDD7EE"/>
            <w:vAlign w:val="center"/>
            <w:hideMark/>
          </w:tcPr>
          <w:p w14:paraId="6EC7E68A" w14:textId="77777777" w:rsidR="006054AA" w:rsidRDefault="001F7667">
            <w:pPr>
              <w:pStyle w:val="P68B1DB1-Normal9"/>
              <w:jc w:val="center"/>
              <w:rPr>
                <w:noProof/>
              </w:rPr>
            </w:pPr>
            <w:r>
              <w:rPr>
                <w:noProof/>
              </w:rPr>
              <w:t>Пореден номер</w:t>
            </w:r>
          </w:p>
        </w:tc>
        <w:tc>
          <w:tcPr>
            <w:tcW w:w="1772" w:type="dxa"/>
            <w:vMerge w:val="restart"/>
            <w:shd w:val="clear" w:color="auto" w:fill="BDD7EE"/>
            <w:vAlign w:val="center"/>
            <w:hideMark/>
          </w:tcPr>
          <w:p w14:paraId="05E41FCB" w14:textId="77777777" w:rsidR="006054AA" w:rsidRDefault="001F7667">
            <w:pPr>
              <w:pStyle w:val="P68B1DB1-Normal9"/>
              <w:jc w:val="center"/>
              <w:rPr>
                <w:noProof/>
              </w:rPr>
            </w:pPr>
            <w:r>
              <w:rPr>
                <w:noProof/>
              </w:rPr>
              <w:t>Свързана мярка (реформа или инвестиции)</w:t>
            </w:r>
          </w:p>
        </w:tc>
        <w:tc>
          <w:tcPr>
            <w:tcW w:w="1412" w:type="dxa"/>
            <w:vMerge w:val="restart"/>
            <w:shd w:val="clear" w:color="auto" w:fill="BDD7EE"/>
            <w:vAlign w:val="center"/>
            <w:hideMark/>
          </w:tcPr>
          <w:p w14:paraId="1BA45257" w14:textId="77777777" w:rsidR="006054AA" w:rsidRDefault="001F7667">
            <w:pPr>
              <w:pStyle w:val="P68B1DB1-Normal9"/>
              <w:jc w:val="center"/>
              <w:rPr>
                <w:noProof/>
              </w:rPr>
            </w:pPr>
            <w:r>
              <w:rPr>
                <w:noProof/>
              </w:rPr>
              <w:t>Ключов етап/Цел</w:t>
            </w:r>
          </w:p>
        </w:tc>
        <w:tc>
          <w:tcPr>
            <w:tcW w:w="1559" w:type="dxa"/>
            <w:vMerge w:val="restart"/>
            <w:shd w:val="clear" w:color="auto" w:fill="BDD7EE"/>
            <w:vAlign w:val="center"/>
            <w:hideMark/>
          </w:tcPr>
          <w:p w14:paraId="09F791CD" w14:textId="77777777" w:rsidR="006054AA" w:rsidRDefault="001F7667">
            <w:pPr>
              <w:pStyle w:val="P68B1DB1-Normal9"/>
              <w:jc w:val="center"/>
              <w:rPr>
                <w:noProof/>
              </w:rPr>
            </w:pPr>
            <w:r>
              <w:rPr>
                <w:noProof/>
              </w:rPr>
              <w:t>Име</w:t>
            </w:r>
          </w:p>
        </w:tc>
        <w:tc>
          <w:tcPr>
            <w:tcW w:w="1560" w:type="dxa"/>
            <w:vMerge w:val="restart"/>
            <w:shd w:val="clear" w:color="auto" w:fill="BDD7EE"/>
            <w:vAlign w:val="center"/>
            <w:hideMark/>
          </w:tcPr>
          <w:p w14:paraId="79A10FCE" w14:textId="77777777" w:rsidR="006054AA" w:rsidRDefault="001F7667">
            <w:pPr>
              <w:pStyle w:val="P68B1DB1-Normal19"/>
              <w:jc w:val="center"/>
              <w:rPr>
                <w:b/>
                <w:noProof/>
              </w:rPr>
            </w:pPr>
            <w:r>
              <w:rPr>
                <w:b/>
                <w:noProof/>
              </w:rPr>
              <w:t>Качествени индикатори</w:t>
            </w:r>
            <w:r>
              <w:rPr>
                <w:noProof/>
              </w:rPr>
              <w:t xml:space="preserve"> </w:t>
            </w:r>
            <w:r>
              <w:rPr>
                <w:noProof/>
              </w:rPr>
              <w:br/>
            </w:r>
            <w:r>
              <w:rPr>
                <w:b/>
                <w:noProof/>
              </w:rPr>
              <w:t>(за ключовите етапи)</w:t>
            </w:r>
          </w:p>
        </w:tc>
        <w:tc>
          <w:tcPr>
            <w:tcW w:w="3260" w:type="dxa"/>
            <w:gridSpan w:val="3"/>
            <w:shd w:val="clear" w:color="auto" w:fill="BDD7EE"/>
            <w:vAlign w:val="center"/>
            <w:hideMark/>
          </w:tcPr>
          <w:p w14:paraId="32E843BA" w14:textId="77777777" w:rsidR="006054AA" w:rsidRDefault="001F7667">
            <w:pPr>
              <w:pStyle w:val="P68B1DB1-Normal19"/>
              <w:jc w:val="center"/>
              <w:rPr>
                <w:b/>
                <w:noProof/>
              </w:rPr>
            </w:pPr>
            <w:r>
              <w:rPr>
                <w:b/>
                <w:noProof/>
              </w:rPr>
              <w:t>Количествени индикатори</w:t>
            </w:r>
            <w:r>
              <w:rPr>
                <w:noProof/>
              </w:rPr>
              <w:t xml:space="preserve"> </w:t>
            </w:r>
            <w:r>
              <w:rPr>
                <w:noProof/>
              </w:rPr>
              <w:br/>
            </w:r>
            <w:r>
              <w:rPr>
                <w:b/>
                <w:noProof/>
              </w:rPr>
              <w:t>(за целите)</w:t>
            </w:r>
          </w:p>
        </w:tc>
        <w:tc>
          <w:tcPr>
            <w:tcW w:w="1728" w:type="dxa"/>
            <w:gridSpan w:val="2"/>
            <w:shd w:val="clear" w:color="auto" w:fill="BDD7EE"/>
            <w:vAlign w:val="center"/>
            <w:hideMark/>
          </w:tcPr>
          <w:p w14:paraId="137B1402" w14:textId="77777777" w:rsidR="006054AA" w:rsidRDefault="001F7667">
            <w:pPr>
              <w:pStyle w:val="P68B1DB1-Normal9"/>
              <w:jc w:val="center"/>
              <w:rPr>
                <w:noProof/>
              </w:rPr>
            </w:pPr>
            <w:r>
              <w:rPr>
                <w:noProof/>
              </w:rPr>
              <w:t>Примерен график за приключване</w:t>
            </w:r>
          </w:p>
        </w:tc>
        <w:tc>
          <w:tcPr>
            <w:tcW w:w="3271" w:type="dxa"/>
            <w:vMerge w:val="restart"/>
            <w:shd w:val="clear" w:color="auto" w:fill="BDD7EE"/>
            <w:vAlign w:val="center"/>
            <w:hideMark/>
          </w:tcPr>
          <w:p w14:paraId="73BB579B" w14:textId="77777777" w:rsidR="006054AA" w:rsidRDefault="001F7667">
            <w:pPr>
              <w:pStyle w:val="P68B1DB1-Normal9"/>
              <w:jc w:val="center"/>
              <w:rPr>
                <w:noProof/>
              </w:rPr>
            </w:pPr>
            <w:r>
              <w:rPr>
                <w:noProof/>
              </w:rPr>
              <w:t>Описание на всеки ключов етап и цел</w:t>
            </w:r>
          </w:p>
        </w:tc>
      </w:tr>
      <w:tr w:rsidR="006054AA" w14:paraId="16AE7983" w14:textId="77777777">
        <w:trPr>
          <w:trHeight w:val="1013"/>
        </w:trPr>
        <w:tc>
          <w:tcPr>
            <w:tcW w:w="1207" w:type="dxa"/>
            <w:vMerge/>
            <w:vAlign w:val="center"/>
            <w:hideMark/>
          </w:tcPr>
          <w:p w14:paraId="6D409F75" w14:textId="77777777" w:rsidR="006054AA" w:rsidRDefault="006054AA">
            <w:pPr>
              <w:jc w:val="center"/>
              <w:rPr>
                <w:rFonts w:ascii="Arial Narrow" w:hAnsi="Arial Narrow"/>
                <w:b/>
                <w:noProof/>
                <w:sz w:val="20"/>
              </w:rPr>
            </w:pPr>
          </w:p>
        </w:tc>
        <w:tc>
          <w:tcPr>
            <w:tcW w:w="1772" w:type="dxa"/>
            <w:vMerge/>
            <w:vAlign w:val="center"/>
            <w:hideMark/>
          </w:tcPr>
          <w:p w14:paraId="63323513" w14:textId="77777777" w:rsidR="006054AA" w:rsidRDefault="006054AA">
            <w:pPr>
              <w:jc w:val="center"/>
              <w:rPr>
                <w:rFonts w:ascii="Arial Narrow" w:hAnsi="Arial Narrow"/>
                <w:b/>
                <w:noProof/>
                <w:sz w:val="20"/>
              </w:rPr>
            </w:pPr>
          </w:p>
        </w:tc>
        <w:tc>
          <w:tcPr>
            <w:tcW w:w="1412" w:type="dxa"/>
            <w:vMerge/>
            <w:vAlign w:val="center"/>
            <w:hideMark/>
          </w:tcPr>
          <w:p w14:paraId="182B178F" w14:textId="77777777" w:rsidR="006054AA" w:rsidRDefault="006054AA">
            <w:pPr>
              <w:jc w:val="center"/>
              <w:rPr>
                <w:rFonts w:ascii="Arial Narrow" w:hAnsi="Arial Narrow"/>
                <w:b/>
                <w:noProof/>
                <w:sz w:val="20"/>
              </w:rPr>
            </w:pPr>
          </w:p>
        </w:tc>
        <w:tc>
          <w:tcPr>
            <w:tcW w:w="1559" w:type="dxa"/>
            <w:vMerge/>
            <w:vAlign w:val="center"/>
            <w:hideMark/>
          </w:tcPr>
          <w:p w14:paraId="483393E1" w14:textId="77777777" w:rsidR="006054AA" w:rsidRDefault="006054AA">
            <w:pPr>
              <w:jc w:val="center"/>
              <w:rPr>
                <w:rFonts w:ascii="Arial Narrow" w:hAnsi="Arial Narrow"/>
                <w:b/>
                <w:noProof/>
                <w:sz w:val="20"/>
              </w:rPr>
            </w:pPr>
          </w:p>
        </w:tc>
        <w:tc>
          <w:tcPr>
            <w:tcW w:w="1560" w:type="dxa"/>
            <w:vMerge/>
            <w:vAlign w:val="center"/>
            <w:hideMark/>
          </w:tcPr>
          <w:p w14:paraId="7DBCEAC9" w14:textId="77777777" w:rsidR="006054AA" w:rsidRDefault="006054AA">
            <w:pPr>
              <w:jc w:val="center"/>
              <w:rPr>
                <w:rFonts w:ascii="Arial Narrow" w:hAnsi="Arial Narrow"/>
                <w:b/>
                <w:noProof/>
                <w:sz w:val="20"/>
              </w:rPr>
            </w:pPr>
          </w:p>
        </w:tc>
        <w:tc>
          <w:tcPr>
            <w:tcW w:w="1134" w:type="dxa"/>
            <w:shd w:val="clear" w:color="auto" w:fill="BDD7EE"/>
            <w:vAlign w:val="center"/>
            <w:hideMark/>
          </w:tcPr>
          <w:p w14:paraId="53882F3C" w14:textId="77777777" w:rsidR="006054AA" w:rsidRDefault="001F7667">
            <w:pPr>
              <w:pStyle w:val="P68B1DB1-Normal9"/>
              <w:jc w:val="center"/>
              <w:rPr>
                <w:noProof/>
              </w:rPr>
            </w:pPr>
            <w:r>
              <w:rPr>
                <w:noProof/>
              </w:rPr>
              <w:t>Единица мярка</w:t>
            </w:r>
          </w:p>
        </w:tc>
        <w:tc>
          <w:tcPr>
            <w:tcW w:w="1134" w:type="dxa"/>
            <w:shd w:val="clear" w:color="auto" w:fill="BDD7EE"/>
            <w:vAlign w:val="center"/>
            <w:hideMark/>
          </w:tcPr>
          <w:p w14:paraId="2A88E159" w14:textId="77777777" w:rsidR="006054AA" w:rsidRDefault="001F7667">
            <w:pPr>
              <w:pStyle w:val="P68B1DB1-Normal9"/>
              <w:jc w:val="center"/>
              <w:rPr>
                <w:noProof/>
              </w:rPr>
            </w:pPr>
            <w:r>
              <w:rPr>
                <w:noProof/>
              </w:rPr>
              <w:t>Базова линия</w:t>
            </w:r>
          </w:p>
        </w:tc>
        <w:tc>
          <w:tcPr>
            <w:tcW w:w="992" w:type="dxa"/>
            <w:shd w:val="clear" w:color="auto" w:fill="BDD7EE"/>
            <w:vAlign w:val="center"/>
            <w:hideMark/>
          </w:tcPr>
          <w:p w14:paraId="6039D0EC" w14:textId="77777777" w:rsidR="006054AA" w:rsidRDefault="001F7667">
            <w:pPr>
              <w:pStyle w:val="P68B1DB1-Normal9"/>
              <w:jc w:val="center"/>
              <w:rPr>
                <w:noProof/>
              </w:rPr>
            </w:pPr>
            <w:r>
              <w:rPr>
                <w:noProof/>
              </w:rPr>
              <w:t>Цел</w:t>
            </w:r>
          </w:p>
        </w:tc>
        <w:tc>
          <w:tcPr>
            <w:tcW w:w="916" w:type="dxa"/>
            <w:shd w:val="clear" w:color="auto" w:fill="BDD7EE"/>
            <w:vAlign w:val="center"/>
            <w:hideMark/>
          </w:tcPr>
          <w:p w14:paraId="2510D36A" w14:textId="77777777" w:rsidR="006054AA" w:rsidRDefault="001F7667">
            <w:pPr>
              <w:pStyle w:val="P68B1DB1-Normal9"/>
              <w:jc w:val="center"/>
              <w:rPr>
                <w:noProof/>
              </w:rPr>
            </w:pPr>
            <w:r>
              <w:rPr>
                <w:noProof/>
              </w:rPr>
              <w:t>Тримесечие</w:t>
            </w:r>
          </w:p>
        </w:tc>
        <w:tc>
          <w:tcPr>
            <w:tcW w:w="812" w:type="dxa"/>
            <w:shd w:val="clear" w:color="auto" w:fill="BDD7EE"/>
            <w:vAlign w:val="center"/>
            <w:hideMark/>
          </w:tcPr>
          <w:p w14:paraId="118B4FA5" w14:textId="77777777" w:rsidR="006054AA" w:rsidRDefault="001F7667">
            <w:pPr>
              <w:pStyle w:val="P68B1DB1-Normal9"/>
              <w:jc w:val="center"/>
              <w:rPr>
                <w:noProof/>
              </w:rPr>
            </w:pPr>
            <w:r>
              <w:rPr>
                <w:noProof/>
              </w:rPr>
              <w:t>Година</w:t>
            </w:r>
          </w:p>
        </w:tc>
        <w:tc>
          <w:tcPr>
            <w:tcW w:w="3271" w:type="dxa"/>
            <w:vMerge/>
            <w:vAlign w:val="center"/>
            <w:hideMark/>
          </w:tcPr>
          <w:p w14:paraId="287B2105" w14:textId="77777777" w:rsidR="006054AA" w:rsidRDefault="006054AA">
            <w:pPr>
              <w:jc w:val="center"/>
              <w:rPr>
                <w:rFonts w:ascii="Arial Narrow" w:hAnsi="Arial Narrow"/>
                <w:b/>
                <w:noProof/>
                <w:sz w:val="20"/>
              </w:rPr>
            </w:pPr>
          </w:p>
        </w:tc>
      </w:tr>
      <w:tr w:rsidR="006054AA" w14:paraId="2EB57450" w14:textId="77777777">
        <w:trPr>
          <w:trHeight w:val="309"/>
        </w:trPr>
        <w:tc>
          <w:tcPr>
            <w:tcW w:w="1207" w:type="dxa"/>
            <w:shd w:val="clear" w:color="auto" w:fill="C6EFCE"/>
            <w:noWrap/>
            <w:vAlign w:val="center"/>
            <w:hideMark/>
          </w:tcPr>
          <w:p w14:paraId="3E784F03" w14:textId="77777777" w:rsidR="006054AA" w:rsidRDefault="001F7667">
            <w:pPr>
              <w:pStyle w:val="P68B1DB1-Normal11"/>
              <w:jc w:val="center"/>
              <w:rPr>
                <w:noProof/>
              </w:rPr>
            </w:pPr>
            <w:r>
              <w:rPr>
                <w:noProof/>
              </w:rPr>
              <w:t>M5C3—1</w:t>
            </w:r>
          </w:p>
        </w:tc>
        <w:tc>
          <w:tcPr>
            <w:tcW w:w="1772" w:type="dxa"/>
            <w:shd w:val="clear" w:color="auto" w:fill="C6EFCE"/>
            <w:noWrap/>
            <w:vAlign w:val="center"/>
            <w:hideMark/>
          </w:tcPr>
          <w:p w14:paraId="287BF750" w14:textId="77777777" w:rsidR="006054AA" w:rsidRDefault="001F7667">
            <w:pPr>
              <w:pStyle w:val="P68B1DB1-Normal11"/>
              <w:jc w:val="center"/>
              <w:rPr>
                <w:noProof/>
              </w:rPr>
            </w:pPr>
            <w:r>
              <w:rPr>
                <w:noProof/>
              </w:rPr>
              <w:t>Инвестиция 1.1.1: Вътрешно укрепване на социалните услуги и инфраструктури на общността</w:t>
            </w:r>
          </w:p>
        </w:tc>
        <w:tc>
          <w:tcPr>
            <w:tcW w:w="1412" w:type="dxa"/>
            <w:shd w:val="clear" w:color="auto" w:fill="C6EFCE"/>
            <w:noWrap/>
            <w:vAlign w:val="center"/>
            <w:hideMark/>
          </w:tcPr>
          <w:p w14:paraId="36CB8E02" w14:textId="77777777" w:rsidR="006054AA" w:rsidRDefault="001F7667">
            <w:pPr>
              <w:pStyle w:val="P68B1DB1-Normal11"/>
              <w:jc w:val="center"/>
              <w:rPr>
                <w:noProof/>
              </w:rPr>
            </w:pPr>
            <w:r>
              <w:rPr>
                <w:noProof/>
              </w:rPr>
              <w:t>Ключов етап</w:t>
            </w:r>
          </w:p>
        </w:tc>
        <w:tc>
          <w:tcPr>
            <w:tcW w:w="1559" w:type="dxa"/>
            <w:shd w:val="clear" w:color="auto" w:fill="C6EFCE"/>
            <w:noWrap/>
            <w:vAlign w:val="center"/>
            <w:hideMark/>
          </w:tcPr>
          <w:p w14:paraId="3A13A351" w14:textId="0CD975B4" w:rsidR="006054AA" w:rsidRDefault="001F7667">
            <w:pPr>
              <w:pStyle w:val="P68B1DB1-Normal11"/>
              <w:jc w:val="center"/>
              <w:rPr>
                <w:noProof/>
              </w:rPr>
            </w:pPr>
            <w:r>
              <w:rPr>
                <w:noProof/>
              </w:rPr>
              <w:t>Възлагане на обществена поръчка за интервенции за подобряване на социалните услуги и инфраструктури във вътрешните райони и за подпомагане на аптеки в общини с по-малко от 3 000 жители</w:t>
            </w:r>
          </w:p>
        </w:tc>
        <w:tc>
          <w:tcPr>
            <w:tcW w:w="1560" w:type="dxa"/>
            <w:shd w:val="clear" w:color="auto" w:fill="C6EFCE"/>
            <w:noWrap/>
            <w:vAlign w:val="center"/>
            <w:hideMark/>
          </w:tcPr>
          <w:p w14:paraId="1E6D23EF" w14:textId="77777777" w:rsidR="006054AA" w:rsidRDefault="001F7667">
            <w:pPr>
              <w:pStyle w:val="P68B1DB1-Normal11"/>
              <w:jc w:val="center"/>
              <w:rPr>
                <w:noProof/>
              </w:rPr>
            </w:pPr>
            <w:r>
              <w:rPr>
                <w:noProof/>
              </w:rPr>
              <w:t>Уведомяване за възлагането на всички обществени поръчки за интервенциите</w:t>
            </w:r>
          </w:p>
        </w:tc>
        <w:tc>
          <w:tcPr>
            <w:tcW w:w="1134" w:type="dxa"/>
            <w:shd w:val="clear" w:color="auto" w:fill="C6EFCE"/>
            <w:noWrap/>
            <w:vAlign w:val="center"/>
            <w:hideMark/>
          </w:tcPr>
          <w:p w14:paraId="5C084291" w14:textId="77777777"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43EE9E1A" w14:textId="77777777" w:rsidR="006054AA" w:rsidRDefault="001F7667">
            <w:pPr>
              <w:pStyle w:val="P68B1DB1-Normal11"/>
              <w:jc w:val="center"/>
              <w:rPr>
                <w:noProof/>
              </w:rPr>
            </w:pPr>
            <w:r>
              <w:rPr>
                <w:noProof/>
              </w:rPr>
              <w:t>НЯМА</w:t>
            </w:r>
          </w:p>
        </w:tc>
        <w:tc>
          <w:tcPr>
            <w:tcW w:w="992" w:type="dxa"/>
            <w:shd w:val="clear" w:color="auto" w:fill="C6EFCE"/>
            <w:noWrap/>
            <w:vAlign w:val="center"/>
            <w:hideMark/>
          </w:tcPr>
          <w:p w14:paraId="343414BA" w14:textId="77777777" w:rsidR="006054AA" w:rsidRDefault="001F7667">
            <w:pPr>
              <w:pStyle w:val="P68B1DB1-Normal11"/>
              <w:jc w:val="center"/>
              <w:rPr>
                <w:noProof/>
              </w:rPr>
            </w:pPr>
            <w:r>
              <w:rPr>
                <w:noProof/>
              </w:rPr>
              <w:t>НЯМА</w:t>
            </w:r>
          </w:p>
        </w:tc>
        <w:tc>
          <w:tcPr>
            <w:tcW w:w="916" w:type="dxa"/>
            <w:shd w:val="clear" w:color="auto" w:fill="C6EFCE"/>
            <w:noWrap/>
            <w:vAlign w:val="center"/>
            <w:hideMark/>
          </w:tcPr>
          <w:p w14:paraId="4D0BEFC6" w14:textId="77777777" w:rsidR="006054AA" w:rsidRDefault="001F7667">
            <w:pPr>
              <w:pStyle w:val="P68B1DB1-Normal11"/>
              <w:jc w:val="center"/>
              <w:rPr>
                <w:noProof/>
              </w:rPr>
            </w:pPr>
            <w:r>
              <w:rPr>
                <w:noProof/>
              </w:rPr>
              <w:t>Т4 Г.</w:t>
            </w:r>
          </w:p>
        </w:tc>
        <w:tc>
          <w:tcPr>
            <w:tcW w:w="812" w:type="dxa"/>
            <w:shd w:val="clear" w:color="auto" w:fill="C6EFCE"/>
            <w:noWrap/>
            <w:vAlign w:val="center"/>
            <w:hideMark/>
          </w:tcPr>
          <w:p w14:paraId="5DFA4E5A" w14:textId="77777777" w:rsidR="006054AA" w:rsidRDefault="001F7667">
            <w:pPr>
              <w:pStyle w:val="P68B1DB1-Normal11"/>
              <w:jc w:val="center"/>
              <w:rPr>
                <w:noProof/>
              </w:rPr>
            </w:pPr>
            <w:r>
              <w:rPr>
                <w:noProof/>
              </w:rPr>
              <w:t>2022</w:t>
            </w:r>
          </w:p>
        </w:tc>
        <w:tc>
          <w:tcPr>
            <w:tcW w:w="3271" w:type="dxa"/>
            <w:shd w:val="clear" w:color="auto" w:fill="C6EFCE"/>
            <w:noWrap/>
            <w:vAlign w:val="center"/>
            <w:hideMark/>
          </w:tcPr>
          <w:p w14:paraId="669CC136" w14:textId="77777777" w:rsidR="006054AA" w:rsidRDefault="006054AA">
            <w:pPr>
              <w:jc w:val="center"/>
              <w:rPr>
                <w:rFonts w:ascii="Arial Narrow" w:hAnsi="Arial Narrow"/>
                <w:noProof/>
                <w:sz w:val="20"/>
              </w:rPr>
            </w:pPr>
          </w:p>
          <w:p w14:paraId="26AD31C0" w14:textId="77777777" w:rsidR="006054AA" w:rsidRDefault="001F7667">
            <w:pPr>
              <w:pStyle w:val="P68B1DB1-Normal11"/>
              <w:rPr>
                <w:noProof/>
              </w:rPr>
            </w:pPr>
            <w:r>
              <w:rPr>
                <w:noProof/>
              </w:rPr>
              <w:t>Интервенцията създава нови услуги и инфраструктури или подобрява съществуващите услуги и инфраструктури чрез увеличаване на броя на получателите или на качеството на доставките.</w:t>
            </w:r>
          </w:p>
          <w:p w14:paraId="5D5A5343" w14:textId="77777777" w:rsidR="006054AA" w:rsidRDefault="006054AA">
            <w:pPr>
              <w:rPr>
                <w:rFonts w:ascii="Arial Narrow" w:hAnsi="Arial Narrow"/>
                <w:noProof/>
                <w:sz w:val="20"/>
              </w:rPr>
            </w:pPr>
          </w:p>
          <w:p w14:paraId="6D391A3D" w14:textId="77777777" w:rsidR="006054AA" w:rsidRDefault="001F7667">
            <w:pPr>
              <w:pStyle w:val="P68B1DB1-Normal11"/>
              <w:rPr>
                <w:noProof/>
              </w:rPr>
            </w:pPr>
            <w:r>
              <w:rPr>
                <w:noProof/>
              </w:rPr>
              <w:t>Обявяването на всички конкурентни покани за представяне на предложения се извършва със задание, включително 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p w14:paraId="42B07B63" w14:textId="77777777" w:rsidR="006054AA" w:rsidRDefault="006054AA">
            <w:pPr>
              <w:rPr>
                <w:rFonts w:ascii="Arial Narrow" w:hAnsi="Arial Narrow"/>
                <w:noProof/>
                <w:color w:val="006100"/>
                <w:sz w:val="20"/>
              </w:rPr>
            </w:pPr>
          </w:p>
          <w:p w14:paraId="077A6E18" w14:textId="77777777" w:rsidR="006054AA" w:rsidRDefault="001F7667">
            <w:pPr>
              <w:pStyle w:val="P68B1DB1-Normal11"/>
              <w:rPr>
                <w:noProof/>
              </w:rPr>
            </w:pPr>
            <w:r>
              <w:rPr>
                <w:noProof/>
              </w:rPr>
              <w:t>Вътрешните зони са тези, определени в Nazionale Aree Interne; Селските аптеки се определят въз основа на закона. 27 март 1968 г., № 221</w:t>
            </w:r>
          </w:p>
          <w:p w14:paraId="7EDE3C1F" w14:textId="77777777" w:rsidR="006054AA" w:rsidRDefault="006054AA">
            <w:pPr>
              <w:jc w:val="center"/>
              <w:rPr>
                <w:rFonts w:ascii="Arial Narrow" w:hAnsi="Arial Narrow"/>
                <w:noProof/>
                <w:sz w:val="20"/>
              </w:rPr>
            </w:pPr>
          </w:p>
        </w:tc>
      </w:tr>
      <w:tr w:rsidR="006054AA" w14:paraId="728F501E" w14:textId="77777777">
        <w:trPr>
          <w:trHeight w:val="309"/>
        </w:trPr>
        <w:tc>
          <w:tcPr>
            <w:tcW w:w="1207" w:type="dxa"/>
            <w:shd w:val="clear" w:color="auto" w:fill="C6EFCE"/>
            <w:noWrap/>
            <w:vAlign w:val="center"/>
            <w:hideMark/>
          </w:tcPr>
          <w:p w14:paraId="6621A736" w14:textId="3840BE76" w:rsidR="006054AA" w:rsidRDefault="001F7667">
            <w:pPr>
              <w:pStyle w:val="P68B1DB1-Normal11"/>
              <w:jc w:val="center"/>
              <w:rPr>
                <w:noProof/>
              </w:rPr>
            </w:pPr>
            <w:r>
              <w:rPr>
                <w:noProof/>
              </w:rPr>
              <w:t>M5C3—3</w:t>
            </w:r>
          </w:p>
        </w:tc>
        <w:tc>
          <w:tcPr>
            <w:tcW w:w="1772" w:type="dxa"/>
            <w:shd w:val="clear" w:color="auto" w:fill="C6EFCE"/>
            <w:noWrap/>
            <w:vAlign w:val="center"/>
            <w:hideMark/>
          </w:tcPr>
          <w:p w14:paraId="3383F4A5" w14:textId="665FC632" w:rsidR="006054AA" w:rsidRDefault="001F7667">
            <w:pPr>
              <w:pStyle w:val="P68B1DB1-Normal11"/>
              <w:jc w:val="center"/>
              <w:rPr>
                <w:noProof/>
              </w:rPr>
            </w:pPr>
            <w:r>
              <w:rPr>
                <w:noProof/>
              </w:rPr>
              <w:t>Инвестиция 2: Териториална близост до здравни заведения</w:t>
            </w:r>
          </w:p>
        </w:tc>
        <w:tc>
          <w:tcPr>
            <w:tcW w:w="1412" w:type="dxa"/>
            <w:shd w:val="clear" w:color="auto" w:fill="C6EFCE"/>
            <w:noWrap/>
            <w:vAlign w:val="center"/>
            <w:hideMark/>
          </w:tcPr>
          <w:p w14:paraId="684D31DC" w14:textId="77777777" w:rsidR="006054AA" w:rsidRDefault="001F7667">
            <w:pPr>
              <w:pStyle w:val="P68B1DB1-Normal11"/>
              <w:jc w:val="center"/>
              <w:rPr>
                <w:noProof/>
              </w:rPr>
            </w:pPr>
            <w:r>
              <w:rPr>
                <w:noProof/>
              </w:rPr>
              <w:t>Целеви</w:t>
            </w:r>
          </w:p>
        </w:tc>
        <w:tc>
          <w:tcPr>
            <w:tcW w:w="1559" w:type="dxa"/>
            <w:shd w:val="clear" w:color="auto" w:fill="C6EFCE"/>
            <w:noWrap/>
            <w:vAlign w:val="center"/>
            <w:hideMark/>
          </w:tcPr>
          <w:p w14:paraId="747EAF8B" w14:textId="4CB2C77D" w:rsidR="006054AA" w:rsidRDefault="001F7667">
            <w:pPr>
              <w:pStyle w:val="P68B1DB1-Normal11"/>
              <w:jc w:val="center"/>
              <w:rPr>
                <w:noProof/>
              </w:rPr>
            </w:pPr>
            <w:r>
              <w:rPr>
                <w:noProof/>
              </w:rPr>
              <w:t>Подпомагане на селски аптеки в общини, населени места или населени места с по-малко от 5 000 жители (първа партида)</w:t>
            </w:r>
          </w:p>
        </w:tc>
        <w:tc>
          <w:tcPr>
            <w:tcW w:w="1560" w:type="dxa"/>
            <w:shd w:val="clear" w:color="auto" w:fill="C6EFCE"/>
            <w:noWrap/>
            <w:vAlign w:val="center"/>
            <w:hideMark/>
          </w:tcPr>
          <w:p w14:paraId="088ED2A4" w14:textId="6BB5777B"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6A339A91" w14:textId="77777777" w:rsidR="006054AA" w:rsidRDefault="001F7667">
            <w:pPr>
              <w:pStyle w:val="P68B1DB1-Normal11"/>
              <w:jc w:val="center"/>
              <w:rPr>
                <w:noProof/>
              </w:rPr>
            </w:pPr>
            <w:r>
              <w:rPr>
                <w:noProof/>
              </w:rPr>
              <w:t>Брой</w:t>
            </w:r>
          </w:p>
        </w:tc>
        <w:tc>
          <w:tcPr>
            <w:tcW w:w="1134" w:type="dxa"/>
            <w:shd w:val="clear" w:color="auto" w:fill="C6EFCE"/>
            <w:noWrap/>
            <w:vAlign w:val="center"/>
            <w:hideMark/>
          </w:tcPr>
          <w:p w14:paraId="58BDA755" w14:textId="77777777" w:rsidR="006054AA" w:rsidRDefault="001F7667">
            <w:pPr>
              <w:pStyle w:val="P68B1DB1-Normal11"/>
              <w:jc w:val="center"/>
              <w:rPr>
                <w:noProof/>
              </w:rPr>
            </w:pPr>
            <w:r>
              <w:rPr>
                <w:noProof/>
              </w:rPr>
              <w:t>0</w:t>
            </w:r>
          </w:p>
        </w:tc>
        <w:tc>
          <w:tcPr>
            <w:tcW w:w="992" w:type="dxa"/>
            <w:shd w:val="clear" w:color="auto" w:fill="C6EFCE"/>
            <w:noWrap/>
            <w:vAlign w:val="center"/>
            <w:hideMark/>
          </w:tcPr>
          <w:p w14:paraId="7EC94EFA" w14:textId="77777777" w:rsidR="006054AA" w:rsidRDefault="001F7667">
            <w:pPr>
              <w:pStyle w:val="P68B1DB1-Normal11"/>
              <w:jc w:val="center"/>
              <w:rPr>
                <w:noProof/>
              </w:rPr>
            </w:pPr>
            <w:r>
              <w:rPr>
                <w:noProof/>
              </w:rPr>
              <w:t>500</w:t>
            </w:r>
          </w:p>
        </w:tc>
        <w:tc>
          <w:tcPr>
            <w:tcW w:w="916" w:type="dxa"/>
            <w:shd w:val="clear" w:color="auto" w:fill="C6EFCE"/>
            <w:noWrap/>
            <w:vAlign w:val="center"/>
            <w:hideMark/>
          </w:tcPr>
          <w:p w14:paraId="0BE7CAA1" w14:textId="77777777" w:rsidR="006054AA" w:rsidRDefault="001F7667">
            <w:pPr>
              <w:pStyle w:val="P68B1DB1-Normal11"/>
              <w:jc w:val="center"/>
              <w:rPr>
                <w:noProof/>
              </w:rPr>
            </w:pPr>
            <w:r>
              <w:rPr>
                <w:noProof/>
              </w:rPr>
              <w:t>Т4 Г.</w:t>
            </w:r>
          </w:p>
        </w:tc>
        <w:tc>
          <w:tcPr>
            <w:tcW w:w="812" w:type="dxa"/>
            <w:shd w:val="clear" w:color="auto" w:fill="C6EFCE"/>
            <w:noWrap/>
            <w:vAlign w:val="center"/>
            <w:hideMark/>
          </w:tcPr>
          <w:p w14:paraId="56553510" w14:textId="77777777" w:rsidR="006054AA" w:rsidRDefault="001F7667">
            <w:pPr>
              <w:pStyle w:val="P68B1DB1-Normal11"/>
              <w:jc w:val="center"/>
              <w:rPr>
                <w:noProof/>
              </w:rPr>
            </w:pPr>
            <w:r>
              <w:rPr>
                <w:noProof/>
              </w:rPr>
              <w:t>2023</w:t>
            </w:r>
          </w:p>
        </w:tc>
        <w:tc>
          <w:tcPr>
            <w:tcW w:w="3271" w:type="dxa"/>
            <w:shd w:val="clear" w:color="auto" w:fill="C6EFCE"/>
            <w:noWrap/>
            <w:vAlign w:val="center"/>
            <w:hideMark/>
          </w:tcPr>
          <w:p w14:paraId="1DE197F5" w14:textId="7FE199E2" w:rsidR="006054AA" w:rsidRDefault="001F7667">
            <w:pPr>
              <w:pStyle w:val="P68B1DB1-Normal11"/>
              <w:rPr>
                <w:noProof/>
              </w:rPr>
            </w:pPr>
            <w:r>
              <w:rPr>
                <w:noProof/>
              </w:rPr>
              <w:t>От интервенцията се възползват най-малко 500 селски аптеки в общини, камилета или населени места с по-малко от 5 000 жители</w:t>
            </w:r>
          </w:p>
        </w:tc>
      </w:tr>
      <w:tr w:rsidR="006054AA" w14:paraId="52577EA6" w14:textId="77777777">
        <w:trPr>
          <w:trHeight w:val="309"/>
        </w:trPr>
        <w:tc>
          <w:tcPr>
            <w:tcW w:w="1207" w:type="dxa"/>
            <w:shd w:val="clear" w:color="auto" w:fill="C6EFCE"/>
            <w:noWrap/>
            <w:vAlign w:val="center"/>
            <w:hideMark/>
          </w:tcPr>
          <w:p w14:paraId="7F017EFD" w14:textId="26D78232" w:rsidR="006054AA" w:rsidRDefault="001F7667">
            <w:pPr>
              <w:pStyle w:val="P68B1DB1-Normal11"/>
              <w:jc w:val="center"/>
              <w:rPr>
                <w:noProof/>
              </w:rPr>
            </w:pPr>
            <w:r>
              <w:rPr>
                <w:noProof/>
              </w:rPr>
              <w:t>M5C3—4</w:t>
            </w:r>
          </w:p>
        </w:tc>
        <w:tc>
          <w:tcPr>
            <w:tcW w:w="1772" w:type="dxa"/>
            <w:shd w:val="clear" w:color="auto" w:fill="C6EFCE"/>
            <w:noWrap/>
            <w:vAlign w:val="center"/>
            <w:hideMark/>
          </w:tcPr>
          <w:p w14:paraId="5DF72BDE" w14:textId="418C108B" w:rsidR="006054AA" w:rsidRDefault="001F7667">
            <w:pPr>
              <w:pStyle w:val="P68B1DB1-Normal11"/>
              <w:jc w:val="center"/>
              <w:rPr>
                <w:noProof/>
              </w:rPr>
            </w:pPr>
            <w:r>
              <w:rPr>
                <w:noProof/>
              </w:rPr>
              <w:t>Инвестиция 2: Териториална близост до здравни заведения</w:t>
            </w:r>
          </w:p>
        </w:tc>
        <w:tc>
          <w:tcPr>
            <w:tcW w:w="1412" w:type="dxa"/>
            <w:shd w:val="clear" w:color="auto" w:fill="C6EFCE"/>
            <w:noWrap/>
            <w:vAlign w:val="center"/>
            <w:hideMark/>
          </w:tcPr>
          <w:p w14:paraId="6E5ADB75" w14:textId="77777777" w:rsidR="006054AA" w:rsidRDefault="001F7667">
            <w:pPr>
              <w:pStyle w:val="P68B1DB1-Normal11"/>
              <w:jc w:val="center"/>
              <w:rPr>
                <w:noProof/>
              </w:rPr>
            </w:pPr>
            <w:r>
              <w:rPr>
                <w:noProof/>
              </w:rPr>
              <w:t>Целеви</w:t>
            </w:r>
          </w:p>
        </w:tc>
        <w:tc>
          <w:tcPr>
            <w:tcW w:w="1559" w:type="dxa"/>
            <w:shd w:val="clear" w:color="auto" w:fill="C6EFCE"/>
            <w:noWrap/>
            <w:vAlign w:val="center"/>
            <w:hideMark/>
          </w:tcPr>
          <w:p w14:paraId="1346A7E4" w14:textId="7893F1FD" w:rsidR="006054AA" w:rsidRDefault="001F7667">
            <w:pPr>
              <w:pStyle w:val="P68B1DB1-Normal11"/>
              <w:jc w:val="center"/>
              <w:rPr>
                <w:noProof/>
              </w:rPr>
            </w:pPr>
            <w:r>
              <w:rPr>
                <w:noProof/>
              </w:rPr>
              <w:t>Подпомагане на селски аптеки в общини, населени места или населени места с по-малко от 5 000 жители (втора партида)</w:t>
            </w:r>
          </w:p>
        </w:tc>
        <w:tc>
          <w:tcPr>
            <w:tcW w:w="1560" w:type="dxa"/>
            <w:shd w:val="clear" w:color="auto" w:fill="C6EFCE"/>
            <w:noWrap/>
            <w:vAlign w:val="center"/>
            <w:hideMark/>
          </w:tcPr>
          <w:p w14:paraId="58DC58B5" w14:textId="388AB265" w:rsidR="006054AA" w:rsidRDefault="001F7667">
            <w:pPr>
              <w:pStyle w:val="P68B1DB1-Normal11"/>
              <w:jc w:val="center"/>
              <w:rPr>
                <w:noProof/>
              </w:rPr>
            </w:pPr>
            <w:r>
              <w:rPr>
                <w:noProof/>
              </w:rPr>
              <w:t>НЯМА</w:t>
            </w:r>
          </w:p>
        </w:tc>
        <w:tc>
          <w:tcPr>
            <w:tcW w:w="1134" w:type="dxa"/>
            <w:shd w:val="clear" w:color="auto" w:fill="C6EFCE"/>
            <w:noWrap/>
            <w:vAlign w:val="center"/>
            <w:hideMark/>
          </w:tcPr>
          <w:p w14:paraId="04A602B8" w14:textId="5CFC1584" w:rsidR="006054AA" w:rsidRDefault="001F7667">
            <w:pPr>
              <w:pStyle w:val="P68B1DB1-Normal11"/>
              <w:jc w:val="center"/>
              <w:rPr>
                <w:noProof/>
              </w:rPr>
            </w:pPr>
            <w:r>
              <w:rPr>
                <w:noProof/>
              </w:rPr>
              <w:t>Брой</w:t>
            </w:r>
          </w:p>
        </w:tc>
        <w:tc>
          <w:tcPr>
            <w:tcW w:w="1134" w:type="dxa"/>
            <w:shd w:val="clear" w:color="auto" w:fill="C6EFCE"/>
            <w:noWrap/>
            <w:vAlign w:val="center"/>
            <w:hideMark/>
          </w:tcPr>
          <w:p w14:paraId="259CEAB9" w14:textId="57849306" w:rsidR="006054AA" w:rsidRDefault="001F7667">
            <w:pPr>
              <w:pStyle w:val="P68B1DB1-Normal11"/>
              <w:jc w:val="center"/>
              <w:rPr>
                <w:noProof/>
              </w:rPr>
            </w:pPr>
            <w:r>
              <w:rPr>
                <w:noProof/>
              </w:rPr>
              <w:t>500</w:t>
            </w:r>
          </w:p>
        </w:tc>
        <w:tc>
          <w:tcPr>
            <w:tcW w:w="992" w:type="dxa"/>
            <w:shd w:val="clear" w:color="auto" w:fill="C6EFCE"/>
            <w:noWrap/>
            <w:vAlign w:val="center"/>
            <w:hideMark/>
          </w:tcPr>
          <w:p w14:paraId="73A55546" w14:textId="53670F63" w:rsidR="006054AA" w:rsidRDefault="001F7667">
            <w:pPr>
              <w:pStyle w:val="P68B1DB1-Normal11"/>
              <w:jc w:val="center"/>
              <w:rPr>
                <w:noProof/>
              </w:rPr>
            </w:pPr>
            <w:r>
              <w:rPr>
                <w:noProof/>
              </w:rPr>
              <w:t>2 000</w:t>
            </w:r>
          </w:p>
        </w:tc>
        <w:tc>
          <w:tcPr>
            <w:tcW w:w="916" w:type="dxa"/>
            <w:shd w:val="clear" w:color="auto" w:fill="C6EFCE"/>
            <w:noWrap/>
            <w:vAlign w:val="center"/>
            <w:hideMark/>
          </w:tcPr>
          <w:p w14:paraId="33B8A209" w14:textId="098A7077" w:rsidR="006054AA" w:rsidRDefault="001F7667">
            <w:pPr>
              <w:pStyle w:val="P68B1DB1-Normal11"/>
              <w:jc w:val="center"/>
              <w:rPr>
                <w:noProof/>
              </w:rPr>
            </w:pPr>
            <w:r>
              <w:rPr>
                <w:noProof/>
              </w:rPr>
              <w:t>Т2 Г.</w:t>
            </w:r>
          </w:p>
        </w:tc>
        <w:tc>
          <w:tcPr>
            <w:tcW w:w="812" w:type="dxa"/>
            <w:shd w:val="clear" w:color="auto" w:fill="C6EFCE"/>
            <w:noWrap/>
            <w:vAlign w:val="center"/>
            <w:hideMark/>
          </w:tcPr>
          <w:p w14:paraId="52153719" w14:textId="1A6781C8" w:rsidR="006054AA" w:rsidRDefault="001F7667">
            <w:pPr>
              <w:pStyle w:val="P68B1DB1-Normal11"/>
              <w:jc w:val="center"/>
              <w:rPr>
                <w:noProof/>
              </w:rPr>
            </w:pPr>
            <w:r>
              <w:rPr>
                <w:noProof/>
              </w:rPr>
              <w:t>2026</w:t>
            </w:r>
          </w:p>
        </w:tc>
        <w:tc>
          <w:tcPr>
            <w:tcW w:w="3271" w:type="dxa"/>
            <w:shd w:val="clear" w:color="auto" w:fill="C6EFCE"/>
            <w:noWrap/>
            <w:vAlign w:val="center"/>
            <w:hideMark/>
          </w:tcPr>
          <w:p w14:paraId="0ADCC3FD" w14:textId="061DDEB7" w:rsidR="006054AA" w:rsidRDefault="001F7667">
            <w:pPr>
              <w:pStyle w:val="P68B1DB1-Normal11"/>
              <w:rPr>
                <w:noProof/>
              </w:rPr>
            </w:pPr>
            <w:r>
              <w:rPr>
                <w:noProof/>
              </w:rPr>
              <w:t>От интервенцията ще се възползват най-малко 2 000 селски аптеки в общини камилета или населени места с по-малко от 5 000 жители.</w:t>
            </w:r>
          </w:p>
        </w:tc>
      </w:tr>
      <w:tr w:rsidR="006054AA" w14:paraId="29C3832D" w14:textId="77777777">
        <w:trPr>
          <w:trHeight w:val="309"/>
        </w:trPr>
        <w:tc>
          <w:tcPr>
            <w:tcW w:w="1207" w:type="dxa"/>
            <w:shd w:val="clear" w:color="auto" w:fill="C6EFCE"/>
            <w:noWrap/>
            <w:vAlign w:val="center"/>
          </w:tcPr>
          <w:p w14:paraId="1AEE0AB7" w14:textId="34AA7D06" w:rsidR="006054AA" w:rsidRDefault="001F7667">
            <w:pPr>
              <w:pStyle w:val="P68B1DB1-Normal11"/>
              <w:jc w:val="center"/>
              <w:rPr>
                <w:noProof/>
              </w:rPr>
            </w:pPr>
            <w:r>
              <w:rPr>
                <w:noProof/>
              </w:rPr>
              <w:t>M5C3—8</w:t>
            </w:r>
          </w:p>
        </w:tc>
        <w:tc>
          <w:tcPr>
            <w:tcW w:w="1772" w:type="dxa"/>
            <w:shd w:val="clear" w:color="auto" w:fill="C6EFCE"/>
            <w:noWrap/>
            <w:vAlign w:val="center"/>
          </w:tcPr>
          <w:p w14:paraId="391DC5C7" w14:textId="77777777" w:rsidR="006054AA" w:rsidRDefault="001F7667">
            <w:pPr>
              <w:pStyle w:val="P68B1DB1-Normal11"/>
              <w:jc w:val="center"/>
              <w:rPr>
                <w:noProof/>
              </w:rPr>
            </w:pPr>
            <w:r>
              <w:rPr>
                <w:noProof/>
              </w:rPr>
              <w:t>Инвестиция 1.3: Структурирани социално-образователни интервенции за борба с образователната бедност в южната част на страната в подкрепа на третия сектор</w:t>
            </w:r>
          </w:p>
        </w:tc>
        <w:tc>
          <w:tcPr>
            <w:tcW w:w="1412" w:type="dxa"/>
            <w:shd w:val="clear" w:color="auto" w:fill="C6EFCE"/>
            <w:noWrap/>
            <w:vAlign w:val="center"/>
          </w:tcPr>
          <w:p w14:paraId="46393F14" w14:textId="77777777" w:rsidR="006054AA" w:rsidRDefault="001F7667">
            <w:pPr>
              <w:pStyle w:val="P68B1DB1-Normal11"/>
              <w:jc w:val="center"/>
              <w:rPr>
                <w:noProof/>
              </w:rPr>
            </w:pPr>
            <w:r>
              <w:rPr>
                <w:noProof/>
              </w:rPr>
              <w:t>Целеви</w:t>
            </w:r>
          </w:p>
        </w:tc>
        <w:tc>
          <w:tcPr>
            <w:tcW w:w="1559" w:type="dxa"/>
            <w:shd w:val="clear" w:color="auto" w:fill="C6EFCE"/>
            <w:noWrap/>
            <w:vAlign w:val="center"/>
          </w:tcPr>
          <w:p w14:paraId="1D35CFAA" w14:textId="77777777" w:rsidR="006054AA" w:rsidRDefault="001F7667">
            <w:pPr>
              <w:pStyle w:val="P68B1DB1-Normal11"/>
              <w:jc w:val="center"/>
              <w:rPr>
                <w:noProof/>
              </w:rPr>
            </w:pPr>
            <w:r>
              <w:rPr>
                <w:noProof/>
              </w:rPr>
              <w:t>Образователна подкрепа за малолетни и непълнолетни лица (първа група)</w:t>
            </w:r>
          </w:p>
        </w:tc>
        <w:tc>
          <w:tcPr>
            <w:tcW w:w="1560" w:type="dxa"/>
            <w:shd w:val="clear" w:color="auto" w:fill="C6EFCE"/>
            <w:noWrap/>
            <w:vAlign w:val="center"/>
          </w:tcPr>
          <w:p w14:paraId="346C67BA"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3DD42289" w14:textId="77777777" w:rsidR="006054AA" w:rsidRDefault="001F7667">
            <w:pPr>
              <w:pStyle w:val="P68B1DB1-Normal11"/>
              <w:jc w:val="center"/>
              <w:rPr>
                <w:noProof/>
              </w:rPr>
            </w:pPr>
            <w:r>
              <w:rPr>
                <w:noProof/>
              </w:rPr>
              <w:t>Брой</w:t>
            </w:r>
          </w:p>
        </w:tc>
        <w:tc>
          <w:tcPr>
            <w:tcW w:w="1134" w:type="dxa"/>
            <w:shd w:val="clear" w:color="auto" w:fill="C6EFCE"/>
            <w:noWrap/>
            <w:vAlign w:val="center"/>
          </w:tcPr>
          <w:p w14:paraId="0E3DC50E" w14:textId="77777777" w:rsidR="006054AA" w:rsidRDefault="001F7667">
            <w:pPr>
              <w:pStyle w:val="P68B1DB1-Normal11"/>
              <w:jc w:val="center"/>
              <w:rPr>
                <w:noProof/>
              </w:rPr>
            </w:pPr>
            <w:r>
              <w:rPr>
                <w:noProof/>
              </w:rPr>
              <w:t>0</w:t>
            </w:r>
          </w:p>
        </w:tc>
        <w:tc>
          <w:tcPr>
            <w:tcW w:w="992" w:type="dxa"/>
            <w:shd w:val="clear" w:color="auto" w:fill="C6EFCE"/>
            <w:noWrap/>
            <w:vAlign w:val="center"/>
          </w:tcPr>
          <w:p w14:paraId="72BD510C" w14:textId="2F81E778" w:rsidR="006054AA" w:rsidRDefault="001F7667">
            <w:pPr>
              <w:pStyle w:val="P68B1DB1-Normal11"/>
              <w:jc w:val="center"/>
              <w:rPr>
                <w:noProof/>
              </w:rPr>
            </w:pPr>
            <w:r>
              <w:rPr>
                <w:noProof/>
              </w:rPr>
              <w:t>20 000</w:t>
            </w:r>
          </w:p>
        </w:tc>
        <w:tc>
          <w:tcPr>
            <w:tcW w:w="916" w:type="dxa"/>
            <w:shd w:val="clear" w:color="auto" w:fill="C6EFCE"/>
            <w:noWrap/>
            <w:vAlign w:val="center"/>
          </w:tcPr>
          <w:p w14:paraId="63DB2494" w14:textId="77777777" w:rsidR="006054AA" w:rsidRDefault="001F7667">
            <w:pPr>
              <w:pStyle w:val="P68B1DB1-Normal11"/>
              <w:jc w:val="center"/>
              <w:rPr>
                <w:noProof/>
              </w:rPr>
            </w:pPr>
            <w:r>
              <w:rPr>
                <w:noProof/>
              </w:rPr>
              <w:t>Т2 Г.</w:t>
            </w:r>
          </w:p>
        </w:tc>
        <w:tc>
          <w:tcPr>
            <w:tcW w:w="812" w:type="dxa"/>
            <w:shd w:val="clear" w:color="auto" w:fill="C6EFCE"/>
            <w:noWrap/>
            <w:vAlign w:val="center"/>
          </w:tcPr>
          <w:p w14:paraId="69173F45" w14:textId="77777777" w:rsidR="006054AA" w:rsidRDefault="001F7667">
            <w:pPr>
              <w:pStyle w:val="P68B1DB1-Normal11"/>
              <w:jc w:val="center"/>
              <w:rPr>
                <w:noProof/>
              </w:rPr>
            </w:pPr>
            <w:r>
              <w:rPr>
                <w:noProof/>
              </w:rPr>
              <w:t>2023</w:t>
            </w:r>
          </w:p>
        </w:tc>
        <w:tc>
          <w:tcPr>
            <w:tcW w:w="3271" w:type="dxa"/>
            <w:shd w:val="clear" w:color="auto" w:fill="C6EFCE"/>
            <w:noWrap/>
            <w:vAlign w:val="center"/>
          </w:tcPr>
          <w:p w14:paraId="3BE31D6C" w14:textId="6A0E55CB" w:rsidR="006054AA" w:rsidRDefault="001F7667">
            <w:pPr>
              <w:pStyle w:val="P68B1DB1-Normal11"/>
              <w:rPr>
                <w:noProof/>
              </w:rPr>
            </w:pPr>
            <w:r>
              <w:rPr>
                <w:noProof/>
              </w:rPr>
              <w:t xml:space="preserve">Най-малко 20 000 ненавършили пълнолетие лица на възраст до 17 години получават образователна подкрепа. Проектите за образователна подкрепа са насочени към една от следните области: </w:t>
            </w:r>
          </w:p>
          <w:p w14:paraId="12EC8C88" w14:textId="77777777" w:rsidR="006054AA" w:rsidRDefault="006054AA">
            <w:pPr>
              <w:rPr>
                <w:rFonts w:ascii="Arial Narrow" w:hAnsi="Arial Narrow"/>
                <w:noProof/>
                <w:color w:val="006100"/>
                <w:sz w:val="20"/>
              </w:rPr>
            </w:pPr>
          </w:p>
          <w:p w14:paraId="17D7FE26" w14:textId="24754767" w:rsidR="006054AA" w:rsidRDefault="001F7667">
            <w:pPr>
              <w:pStyle w:val="P68B1DB1-Normal11"/>
              <w:rPr>
                <w:noProof/>
              </w:rPr>
            </w:pPr>
            <w:r>
              <w:rPr>
                <w:noProof/>
              </w:rPr>
              <w:t xml:space="preserve">• Интервенции за деца на възраст от нула до шест години, насочени към подобряване на условията за достъп до услуги в детските градини и детските градини и към подпомагане на родителството; </w:t>
            </w:r>
          </w:p>
          <w:p w14:paraId="543DA8E2" w14:textId="77777777" w:rsidR="006054AA" w:rsidRDefault="006054AA">
            <w:pPr>
              <w:rPr>
                <w:rFonts w:ascii="Arial Narrow" w:hAnsi="Arial Narrow"/>
                <w:noProof/>
                <w:color w:val="006100"/>
                <w:sz w:val="20"/>
              </w:rPr>
            </w:pPr>
          </w:p>
          <w:p w14:paraId="5C84BEF7" w14:textId="77777777" w:rsidR="006054AA" w:rsidRDefault="001F7667">
            <w:pPr>
              <w:pStyle w:val="P68B1DB1-Normal11"/>
              <w:rPr>
                <w:noProof/>
              </w:rPr>
            </w:pPr>
            <w:r>
              <w:rPr>
                <w:noProof/>
              </w:rPr>
              <w:t xml:space="preserve">• Интервенции за деца на възраст от пет до десет години, насочени към гарантиране на ефективни възможности за образование и ранно предотвратяване на отпадането от училище, тормоза и други явления на бедствието; </w:t>
            </w:r>
          </w:p>
          <w:p w14:paraId="6B9EF3E7" w14:textId="77777777" w:rsidR="006054AA" w:rsidRDefault="006054AA">
            <w:pPr>
              <w:rPr>
                <w:rFonts w:ascii="Arial Narrow" w:hAnsi="Arial Narrow"/>
                <w:noProof/>
                <w:color w:val="006100"/>
                <w:sz w:val="20"/>
              </w:rPr>
            </w:pPr>
          </w:p>
          <w:p w14:paraId="4BFFCD84" w14:textId="30662B1C" w:rsidR="006054AA" w:rsidRDefault="001F7667">
            <w:pPr>
              <w:pStyle w:val="P68B1DB1-Normal11"/>
              <w:rPr>
                <w:noProof/>
              </w:rPr>
            </w:pPr>
            <w:r>
              <w:rPr>
                <w:noProof/>
              </w:rPr>
              <w:t>• Интервенции за деца на възраст между 11 и 17 години, които имат за цел подобряване на предлагането на образование и предотвратяване на явлението преждевременно напускане на училище.</w:t>
            </w:r>
          </w:p>
          <w:p w14:paraId="2F7C30AC" w14:textId="77777777" w:rsidR="006054AA" w:rsidRDefault="006054AA">
            <w:pPr>
              <w:rPr>
                <w:rFonts w:ascii="Arial Narrow" w:hAnsi="Arial Narrow"/>
                <w:noProof/>
                <w:color w:val="006100"/>
                <w:sz w:val="20"/>
              </w:rPr>
            </w:pPr>
          </w:p>
          <w:p w14:paraId="4A6409A8" w14:textId="77777777" w:rsidR="006054AA" w:rsidRDefault="001F7667">
            <w:pPr>
              <w:pStyle w:val="P68B1DB1-Normal11"/>
              <w:rPr>
                <w:noProof/>
              </w:rPr>
            </w:pPr>
            <w:r>
              <w:rPr>
                <w:noProof/>
              </w:rPr>
              <w:t>Основни елементи на офертата:</w:t>
            </w:r>
          </w:p>
          <w:p w14:paraId="7AD33D55" w14:textId="33864933" w:rsidR="006054AA" w:rsidRDefault="001F7667">
            <w:pPr>
              <w:pStyle w:val="P68B1DB1-Normal19"/>
              <w:rPr>
                <w:noProof/>
                <w:color w:val="006100"/>
              </w:rPr>
            </w:pPr>
            <w:r>
              <w:rPr>
                <w:noProof/>
              </w:rPr>
              <w:t xml:space="preserve"> </w:t>
            </w:r>
            <w:r>
              <w:rPr>
                <w:noProof/>
              </w:rPr>
              <w:br/>
            </w:r>
            <w:r>
              <w:rPr>
                <w:noProof/>
                <w:color w:val="006100"/>
              </w:rPr>
              <w:t xml:space="preserve"> Публичните обявления възлизат на най-малко 50 000 000 EUR за всяко от тях. </w:t>
            </w:r>
            <w:r>
              <w:rPr>
                <w:noProof/>
              </w:rPr>
              <w:t xml:space="preserve"> </w:t>
            </w:r>
            <w:r>
              <w:rPr>
                <w:noProof/>
              </w:rPr>
              <w:br/>
              <w:t xml:space="preserve"> </w:t>
            </w:r>
            <w:r>
              <w:rPr>
                <w:noProof/>
                <w:color w:val="006100"/>
              </w:rPr>
              <w:t>— Проектите от третия сектор са с продължителност най-малко една година и до две години.</w:t>
            </w:r>
          </w:p>
          <w:p w14:paraId="14E4D4C7" w14:textId="41B2E971" w:rsidR="006054AA" w:rsidRDefault="001F7667">
            <w:pPr>
              <w:pStyle w:val="P68B1DB1-Normal19"/>
              <w:rPr>
                <w:noProof/>
                <w:color w:val="006100"/>
              </w:rPr>
            </w:pPr>
            <w:r>
              <w:rPr>
                <w:noProof/>
              </w:rPr>
              <w:t xml:space="preserve"> </w:t>
            </w:r>
            <w:r>
              <w:rPr>
                <w:noProof/>
              </w:rPr>
              <w:br/>
            </w:r>
            <w:r>
              <w:rPr>
                <w:noProof/>
                <w:color w:val="006100"/>
              </w:rPr>
              <w:t>Действията се провеждат в регионите Abruzzo, Basilicata, Campania, Calabria, Molise, Puglia, Sardegna и Sicilia.</w:t>
            </w:r>
          </w:p>
        </w:tc>
      </w:tr>
      <w:tr w:rsidR="006054AA" w14:paraId="0043C01E" w14:textId="77777777">
        <w:trPr>
          <w:trHeight w:val="309"/>
        </w:trPr>
        <w:tc>
          <w:tcPr>
            <w:tcW w:w="1207" w:type="dxa"/>
            <w:shd w:val="clear" w:color="auto" w:fill="C6EFCE"/>
            <w:noWrap/>
            <w:vAlign w:val="center"/>
          </w:tcPr>
          <w:p w14:paraId="4C8C279E" w14:textId="0B8B2640" w:rsidR="006054AA" w:rsidRDefault="001F7667">
            <w:pPr>
              <w:pStyle w:val="P68B1DB1-Normal11"/>
              <w:jc w:val="center"/>
              <w:rPr>
                <w:noProof/>
              </w:rPr>
            </w:pPr>
            <w:r>
              <w:rPr>
                <w:noProof/>
              </w:rPr>
              <w:t>M5C3—9</w:t>
            </w:r>
          </w:p>
        </w:tc>
        <w:tc>
          <w:tcPr>
            <w:tcW w:w="1772" w:type="dxa"/>
            <w:shd w:val="clear" w:color="auto" w:fill="C6EFCE"/>
            <w:noWrap/>
            <w:vAlign w:val="center"/>
          </w:tcPr>
          <w:p w14:paraId="37D8C32C" w14:textId="77777777" w:rsidR="006054AA" w:rsidRDefault="001F7667">
            <w:pPr>
              <w:pStyle w:val="P68B1DB1-Normal11"/>
              <w:jc w:val="center"/>
              <w:rPr>
                <w:noProof/>
              </w:rPr>
            </w:pPr>
            <w:r>
              <w:rPr>
                <w:noProof/>
              </w:rPr>
              <w:t>Инвестиция1.3: Структурирани социално-образователни интервенции за борба с образователната бедност в южната част на страната в подкрепа на третия сектор</w:t>
            </w:r>
          </w:p>
        </w:tc>
        <w:tc>
          <w:tcPr>
            <w:tcW w:w="1412" w:type="dxa"/>
            <w:shd w:val="clear" w:color="auto" w:fill="C6EFCE"/>
            <w:noWrap/>
            <w:vAlign w:val="center"/>
          </w:tcPr>
          <w:p w14:paraId="11C4429C" w14:textId="77777777" w:rsidR="006054AA" w:rsidRDefault="001F7667">
            <w:pPr>
              <w:pStyle w:val="P68B1DB1-Normal11"/>
              <w:jc w:val="center"/>
              <w:rPr>
                <w:noProof/>
              </w:rPr>
            </w:pPr>
            <w:r>
              <w:rPr>
                <w:noProof/>
              </w:rPr>
              <w:t>Целеви</w:t>
            </w:r>
          </w:p>
        </w:tc>
        <w:tc>
          <w:tcPr>
            <w:tcW w:w="1559" w:type="dxa"/>
            <w:shd w:val="clear" w:color="auto" w:fill="C6EFCE"/>
            <w:noWrap/>
            <w:vAlign w:val="center"/>
          </w:tcPr>
          <w:p w14:paraId="313C030F" w14:textId="77777777" w:rsidR="006054AA" w:rsidRDefault="001F7667">
            <w:pPr>
              <w:pStyle w:val="P68B1DB1-Normal11"/>
              <w:jc w:val="center"/>
              <w:rPr>
                <w:noProof/>
              </w:rPr>
            </w:pPr>
            <w:r>
              <w:rPr>
                <w:noProof/>
              </w:rPr>
              <w:t>Образователна подкрепа за малолетни и непълнолетни лица (втора група)</w:t>
            </w:r>
          </w:p>
        </w:tc>
        <w:tc>
          <w:tcPr>
            <w:tcW w:w="1560" w:type="dxa"/>
            <w:shd w:val="clear" w:color="auto" w:fill="C6EFCE"/>
            <w:noWrap/>
            <w:vAlign w:val="center"/>
          </w:tcPr>
          <w:p w14:paraId="664E2C9D"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60127EE4" w14:textId="77777777" w:rsidR="006054AA" w:rsidRDefault="001F7667">
            <w:pPr>
              <w:pStyle w:val="P68B1DB1-Normal11"/>
              <w:jc w:val="center"/>
              <w:rPr>
                <w:noProof/>
              </w:rPr>
            </w:pPr>
            <w:r>
              <w:rPr>
                <w:noProof/>
              </w:rPr>
              <w:t>Брой</w:t>
            </w:r>
          </w:p>
        </w:tc>
        <w:tc>
          <w:tcPr>
            <w:tcW w:w="1134" w:type="dxa"/>
            <w:shd w:val="clear" w:color="auto" w:fill="C6EFCE"/>
            <w:noWrap/>
            <w:vAlign w:val="center"/>
          </w:tcPr>
          <w:p w14:paraId="409AD455" w14:textId="62D57982" w:rsidR="006054AA" w:rsidRDefault="001F7667">
            <w:pPr>
              <w:pStyle w:val="P68B1DB1-Normal11"/>
              <w:jc w:val="center"/>
              <w:rPr>
                <w:noProof/>
              </w:rPr>
            </w:pPr>
            <w:r>
              <w:rPr>
                <w:noProof/>
              </w:rPr>
              <w:t>20 000</w:t>
            </w:r>
          </w:p>
        </w:tc>
        <w:tc>
          <w:tcPr>
            <w:tcW w:w="992" w:type="dxa"/>
            <w:shd w:val="clear" w:color="auto" w:fill="C6EFCE"/>
            <w:noWrap/>
            <w:vAlign w:val="center"/>
          </w:tcPr>
          <w:p w14:paraId="0ED0A31D" w14:textId="3F31CAC5" w:rsidR="006054AA" w:rsidRDefault="001F7667">
            <w:pPr>
              <w:pStyle w:val="P68B1DB1-Normal11"/>
              <w:jc w:val="center"/>
              <w:rPr>
                <w:noProof/>
              </w:rPr>
            </w:pPr>
            <w:r>
              <w:rPr>
                <w:noProof/>
              </w:rPr>
              <w:t>44 000</w:t>
            </w:r>
          </w:p>
        </w:tc>
        <w:tc>
          <w:tcPr>
            <w:tcW w:w="916" w:type="dxa"/>
            <w:shd w:val="clear" w:color="auto" w:fill="C6EFCE"/>
            <w:noWrap/>
            <w:vAlign w:val="center"/>
          </w:tcPr>
          <w:p w14:paraId="750E4807" w14:textId="77777777" w:rsidR="006054AA" w:rsidRDefault="001F7667">
            <w:pPr>
              <w:pStyle w:val="P68B1DB1-Normal11"/>
              <w:jc w:val="center"/>
              <w:rPr>
                <w:noProof/>
              </w:rPr>
            </w:pPr>
            <w:r>
              <w:rPr>
                <w:noProof/>
              </w:rPr>
              <w:t>Т2 Г.</w:t>
            </w:r>
          </w:p>
        </w:tc>
        <w:tc>
          <w:tcPr>
            <w:tcW w:w="812" w:type="dxa"/>
            <w:shd w:val="clear" w:color="auto" w:fill="C6EFCE"/>
            <w:noWrap/>
            <w:vAlign w:val="center"/>
          </w:tcPr>
          <w:p w14:paraId="3FEE3319" w14:textId="77777777" w:rsidR="006054AA" w:rsidRDefault="001F7667">
            <w:pPr>
              <w:pStyle w:val="P68B1DB1-Normal11"/>
              <w:jc w:val="center"/>
              <w:rPr>
                <w:noProof/>
              </w:rPr>
            </w:pPr>
            <w:r>
              <w:rPr>
                <w:noProof/>
              </w:rPr>
              <w:t>2026</w:t>
            </w:r>
          </w:p>
        </w:tc>
        <w:tc>
          <w:tcPr>
            <w:tcW w:w="3271" w:type="dxa"/>
            <w:shd w:val="clear" w:color="auto" w:fill="C6EFCE"/>
            <w:noWrap/>
            <w:vAlign w:val="center"/>
          </w:tcPr>
          <w:p w14:paraId="302B17FB" w14:textId="56D506FB" w:rsidR="006054AA" w:rsidRDefault="001F7667">
            <w:pPr>
              <w:pStyle w:val="P68B1DB1-Normal11"/>
              <w:rPr>
                <w:noProof/>
              </w:rPr>
            </w:pPr>
            <w:r>
              <w:rPr>
                <w:noProof/>
              </w:rPr>
              <w:t>На най-малко 44 000 малолетни или непълнолетни лица на възраст от нула до 17 години се предоставя образователна подкрепа</w:t>
            </w:r>
          </w:p>
        </w:tc>
      </w:tr>
    </w:tbl>
    <w:p w14:paraId="422E00C3" w14:textId="77777777" w:rsidR="006054AA" w:rsidRDefault="006054AA">
      <w:pPr>
        <w:spacing w:before="120" w:after="120"/>
        <w:ind w:left="709"/>
        <w:jc w:val="both"/>
        <w:rPr>
          <w:noProof/>
        </w:rPr>
        <w:sectPr w:rsidR="006054AA" w:rsidSect="000D3774">
          <w:headerReference w:type="even" r:id="rId332"/>
          <w:headerReference w:type="default" r:id="rId333"/>
          <w:footerReference w:type="even" r:id="rId334"/>
          <w:footerReference w:type="default" r:id="rId335"/>
          <w:headerReference w:type="first" r:id="rId336"/>
          <w:footerReference w:type="first" r:id="rId337"/>
          <w:pgSz w:w="16839" w:h="11907" w:orient="landscape"/>
          <w:pgMar w:top="720" w:right="720" w:bottom="720" w:left="720" w:header="709" w:footer="709" w:gutter="0"/>
          <w:cols w:space="720"/>
          <w:docGrid w:linePitch="360"/>
        </w:sectPr>
      </w:pPr>
    </w:p>
    <w:p w14:paraId="79E005B7" w14:textId="77777777" w:rsidR="006054AA" w:rsidRDefault="001F7667">
      <w:pPr>
        <w:pStyle w:val="P68B1DB1-Normal14"/>
        <w:spacing w:before="120" w:after="120"/>
        <w:ind w:left="709"/>
        <w:jc w:val="both"/>
        <w:rPr>
          <w:noProof/>
        </w:rPr>
      </w:pPr>
      <w:r>
        <w:rPr>
          <w:noProof/>
        </w:rPr>
        <w:t xml:space="preserve"> </w:t>
      </w:r>
    </w:p>
    <w:p w14:paraId="46F205A7" w14:textId="66C10776" w:rsidR="006054AA" w:rsidRDefault="001F7667">
      <w:pPr>
        <w:pStyle w:val="Heading3"/>
        <w:numPr>
          <w:ilvl w:val="0"/>
          <w:numId w:val="0"/>
        </w:numPr>
        <w:ind w:left="850" w:hanging="850"/>
        <w:rPr>
          <w:b/>
          <w:i w:val="0"/>
          <w:noProof/>
          <w:u w:val="single"/>
        </w:rPr>
      </w:pPr>
      <w:r>
        <w:rPr>
          <w:b/>
          <w:i w:val="0"/>
          <w:noProof/>
          <w:u w:val="single"/>
        </w:rPr>
        <w:t xml:space="preserve">Н.3. </w:t>
      </w:r>
      <w:r>
        <w:rPr>
          <w:noProof/>
        </w:rPr>
        <w:tab/>
      </w:r>
      <w:r>
        <w:rPr>
          <w:b/>
          <w:i w:val="0"/>
          <w:noProof/>
          <w:u w:val="single"/>
        </w:rPr>
        <w:t xml:space="preserve">Описание на реформите и инвестициите за заема </w:t>
      </w:r>
    </w:p>
    <w:p w14:paraId="4DCFA0CC" w14:textId="77777777" w:rsidR="006054AA" w:rsidRDefault="001F7667">
      <w:pPr>
        <w:pStyle w:val="P68B1DB1-Normal2"/>
        <w:spacing w:before="120" w:after="120"/>
        <w:jc w:val="both"/>
        <w:rPr>
          <w:noProof/>
        </w:rPr>
      </w:pPr>
      <w:r>
        <w:rPr>
          <w:noProof/>
        </w:rPr>
        <w:t>Реформа 1: Опростяване на процедурите и укрепване на комисаря в специалните икономически зони</w:t>
      </w:r>
    </w:p>
    <w:p w14:paraId="2E9BA854" w14:textId="1A08D097" w:rsidR="006054AA" w:rsidRDefault="001F7667">
      <w:pPr>
        <w:spacing w:before="120" w:after="120"/>
        <w:jc w:val="both"/>
        <w:rPr>
          <w:noProof/>
        </w:rPr>
      </w:pPr>
      <w:r>
        <w:rPr>
          <w:noProof/>
        </w:rPr>
        <w:t xml:space="preserve">Реформата допринася за опростяване на системата на управление и рационализиране на времето за изпълнение на интервенциите в специалните икономически зони. С реформата ще се създаде цифрово обслужване на едно гише за специалните икономически зони и ще се засили ролята на Комисията.  </w:t>
      </w:r>
    </w:p>
    <w:p w14:paraId="249565ED" w14:textId="3FD4B6BF" w:rsidR="006054AA" w:rsidRDefault="001F7667">
      <w:pPr>
        <w:pStyle w:val="P68B1DB1-Normal2"/>
        <w:spacing w:before="120" w:after="120"/>
        <w:jc w:val="both"/>
        <w:rPr>
          <w:noProof/>
        </w:rPr>
      </w:pPr>
      <w:r>
        <w:rPr>
          <w:noProof/>
        </w:rPr>
        <w:t xml:space="preserve">Инвестиция 4: Инфраструктурни инвестиции за специалните икономически зони (СИЗ)  </w:t>
      </w:r>
    </w:p>
    <w:p w14:paraId="1273EC8C" w14:textId="77777777" w:rsidR="006054AA" w:rsidRDefault="001F7667">
      <w:pPr>
        <w:spacing w:before="120" w:after="120"/>
        <w:jc w:val="both"/>
        <w:rPr>
          <w:noProof/>
        </w:rPr>
      </w:pPr>
      <w:r>
        <w:rPr>
          <w:noProof/>
        </w:rPr>
        <w:t xml:space="preserve">Обхватът на тези инвестиции е да се гарантира ефективността на реформата, въвеждаща СИЗ, като се избягва по-нататъшно забавяне на икономическото развитие в южните райони с вече производствена база. </w:t>
      </w:r>
    </w:p>
    <w:p w14:paraId="04467A39" w14:textId="77777777" w:rsidR="006054AA" w:rsidRDefault="001F7667">
      <w:pPr>
        <w:spacing w:before="120" w:after="120"/>
        <w:jc w:val="both"/>
        <w:rPr>
          <w:noProof/>
        </w:rPr>
      </w:pPr>
      <w:r>
        <w:rPr>
          <w:noProof/>
        </w:rPr>
        <w:t>Проектите, включени в мярката, насърчават конкурентоспособността и икономическото развитие в СИЗ чрез първични урбанизационни дейности, както са определени в италианското законодателство, и свързването на тези райони с пътната и железопътната мрежа. Интервенциите имат за цел да стимулират дружествата и предприятията да разположат производствените си дейности в райони със СИЗ. Очаква се инфраструктурните инвестиции да бъдат свързани с връзки до „последната миля“ с пристанища или промишлени зони; цифрова логистика, урбанизация или дейности за енергийна ефективност; укрепване на устойчивостта на пристанищата.</w:t>
      </w:r>
    </w:p>
    <w:p w14:paraId="0B4C419D" w14:textId="77777777" w:rsidR="006054AA" w:rsidRDefault="001F7667">
      <w:pPr>
        <w:spacing w:before="120" w:after="120"/>
        <w:jc w:val="both"/>
        <w:rPr>
          <w:i/>
          <w:noProof/>
          <w:color w:val="4F81BD" w:themeColor="accent1"/>
        </w:rPr>
      </w:pPr>
      <w:r>
        <w:rPr>
          <w:noProof/>
        </w:rPr>
        <w:t>С оглед на съответствието на мярката с техническите насоки за прилагането на принципа за „ненанасяне на значителни вреди“ (2021/C58/01), критериите за допустимост в техническите спецификации на предстоящите покани за представяне на проекти ще изключат следния списък от дейности:</w:t>
      </w:r>
      <w:r>
        <w:rPr>
          <w:noProof/>
          <w:color w:val="FF0000"/>
        </w:rPr>
        <w:t xml:space="preserve"> </w:t>
      </w:r>
      <w:r>
        <w:rPr>
          <w:noProof/>
        </w:rPr>
        <w:t>I) дейности, свързани с изкопаеми горива, включително използване надолу по веригата</w:t>
      </w:r>
      <w:r>
        <w:rPr>
          <w:rStyle w:val="FootnoteReference"/>
          <w:noProof/>
        </w:rPr>
        <w:footnoteReference w:id="119"/>
      </w:r>
      <w:r>
        <w:rPr>
          <w:noProof/>
        </w:rPr>
        <w:t>; II) дейности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rStyle w:val="FootnoteReference"/>
          <w:noProof/>
        </w:rPr>
        <w:footnoteReference w:id="120"/>
      </w:r>
      <w:r>
        <w:rPr>
          <w:noProof/>
        </w:rPr>
        <w:t>; III) дейности, свързани с депа за отпадъци, инсинератори</w:t>
      </w:r>
      <w:r>
        <w:rPr>
          <w:rStyle w:val="FootnoteReference"/>
          <w:noProof/>
        </w:rPr>
        <w:footnoteReference w:id="121"/>
      </w:r>
      <w:r>
        <w:rPr>
          <w:noProof/>
        </w:rPr>
        <w:t xml:space="preserve"> и инсталации за механично-биологично третиране</w:t>
      </w:r>
      <w:r>
        <w:rPr>
          <w:rStyle w:val="FootnoteReference"/>
          <w:noProof/>
        </w:rPr>
        <w:footnoteReference w:id="122"/>
      </w:r>
      <w:r>
        <w:rPr>
          <w:noProof/>
        </w:rPr>
        <w:t>; и iv) дейности, при които дългосрочното обезвреждане на отпадъци може да причини вреда на околната среда. Освен това в заданието се изисква да могат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r>
        <w:rPr>
          <w:i/>
          <w:noProof/>
          <w:color w:val="4F81BD" w:themeColor="accent1"/>
        </w:rPr>
        <w:t xml:space="preserve"> </w:t>
      </w:r>
    </w:p>
    <w:p w14:paraId="077DE347" w14:textId="77777777" w:rsidR="006054AA" w:rsidRDefault="006054AA">
      <w:pPr>
        <w:spacing w:before="120" w:after="120"/>
        <w:ind w:left="709"/>
        <w:contextualSpacing/>
        <w:jc w:val="both"/>
        <w:rPr>
          <w:noProof/>
        </w:rPr>
        <w:sectPr w:rsidR="006054AA" w:rsidSect="000D3774">
          <w:headerReference w:type="even" r:id="rId338"/>
          <w:headerReference w:type="default" r:id="rId339"/>
          <w:footerReference w:type="even" r:id="rId340"/>
          <w:footerReference w:type="default" r:id="rId341"/>
          <w:headerReference w:type="first" r:id="rId342"/>
          <w:footerReference w:type="first" r:id="rId343"/>
          <w:pgSz w:w="11907" w:h="16839"/>
          <w:pgMar w:top="1134" w:right="1417" w:bottom="1134" w:left="1417" w:header="709" w:footer="709" w:gutter="0"/>
          <w:cols w:space="720"/>
          <w:docGrid w:linePitch="360"/>
        </w:sectPr>
      </w:pPr>
    </w:p>
    <w:p w14:paraId="758C1322" w14:textId="77777777" w:rsidR="006054AA" w:rsidRDefault="001F7667">
      <w:pPr>
        <w:pStyle w:val="Heading3"/>
        <w:numPr>
          <w:ilvl w:val="0"/>
          <w:numId w:val="0"/>
        </w:numPr>
        <w:ind w:left="850" w:hanging="850"/>
        <w:rPr>
          <w:b/>
          <w:i w:val="0"/>
          <w:noProof/>
          <w:u w:val="single"/>
        </w:rPr>
      </w:pPr>
      <w:r>
        <w:rPr>
          <w:b/>
          <w:i w:val="0"/>
          <w:noProof/>
          <w:u w:val="single"/>
        </w:rPr>
        <w:t xml:space="preserve">Н.4. </w:t>
      </w:r>
      <w:r>
        <w:rPr>
          <w:noProof/>
        </w:rPr>
        <w:tab/>
      </w:r>
      <w:r>
        <w:rPr>
          <w:b/>
          <w:i w:val="0"/>
          <w:noProof/>
          <w:u w:val="single"/>
        </w:rPr>
        <w:t xml:space="preserve">Ключови етапи, цели, показатели и график за мониторинг и изпълнение на заема </w:t>
      </w:r>
    </w:p>
    <w:tbl>
      <w:tblPr>
        <w:tblW w:w="15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666"/>
        <w:gridCol w:w="1169"/>
        <w:gridCol w:w="1715"/>
        <w:gridCol w:w="1701"/>
        <w:gridCol w:w="1417"/>
        <w:gridCol w:w="1134"/>
        <w:gridCol w:w="993"/>
        <w:gridCol w:w="1200"/>
        <w:gridCol w:w="811"/>
        <w:gridCol w:w="2595"/>
      </w:tblGrid>
      <w:tr w:rsidR="006054AA" w14:paraId="2F8C448A" w14:textId="77777777">
        <w:trPr>
          <w:trHeight w:val="939"/>
          <w:tblHeader/>
        </w:trPr>
        <w:tc>
          <w:tcPr>
            <w:tcW w:w="1419" w:type="dxa"/>
            <w:vMerge w:val="restart"/>
            <w:shd w:val="clear" w:color="auto" w:fill="BDD7EE"/>
            <w:vAlign w:val="center"/>
            <w:hideMark/>
          </w:tcPr>
          <w:p w14:paraId="736D556E" w14:textId="77777777" w:rsidR="006054AA" w:rsidRDefault="001F7667">
            <w:pPr>
              <w:pStyle w:val="P68B1DB1-Normal9"/>
              <w:jc w:val="center"/>
              <w:rPr>
                <w:rFonts w:eastAsiaTheme="minorEastAsia"/>
                <w:noProof/>
              </w:rPr>
            </w:pPr>
            <w:r>
              <w:rPr>
                <w:noProof/>
              </w:rPr>
              <w:t>Пореден номер</w:t>
            </w:r>
          </w:p>
        </w:tc>
        <w:tc>
          <w:tcPr>
            <w:tcW w:w="1666" w:type="dxa"/>
            <w:vMerge w:val="restart"/>
            <w:shd w:val="clear" w:color="auto" w:fill="BDD7EE"/>
            <w:vAlign w:val="center"/>
            <w:hideMark/>
          </w:tcPr>
          <w:p w14:paraId="4473515D" w14:textId="77777777" w:rsidR="006054AA" w:rsidRDefault="001F7667">
            <w:pPr>
              <w:pStyle w:val="P68B1DB1-Normal9"/>
              <w:jc w:val="center"/>
              <w:rPr>
                <w:rFonts w:eastAsiaTheme="minorEastAsia"/>
                <w:noProof/>
              </w:rPr>
            </w:pPr>
            <w:r>
              <w:rPr>
                <w:noProof/>
              </w:rPr>
              <w:t>Свързана мярка (реформа или инвестиции)</w:t>
            </w:r>
          </w:p>
        </w:tc>
        <w:tc>
          <w:tcPr>
            <w:tcW w:w="1169" w:type="dxa"/>
            <w:vMerge w:val="restart"/>
            <w:shd w:val="clear" w:color="auto" w:fill="BDD7EE"/>
            <w:vAlign w:val="center"/>
            <w:hideMark/>
          </w:tcPr>
          <w:p w14:paraId="17052A57" w14:textId="77777777" w:rsidR="006054AA" w:rsidRDefault="001F7667">
            <w:pPr>
              <w:pStyle w:val="P68B1DB1-Normal9"/>
              <w:jc w:val="center"/>
              <w:rPr>
                <w:rFonts w:eastAsiaTheme="minorEastAsia"/>
                <w:noProof/>
              </w:rPr>
            </w:pPr>
            <w:r>
              <w:rPr>
                <w:noProof/>
              </w:rPr>
              <w:t>Ключов етап/Цел</w:t>
            </w:r>
          </w:p>
        </w:tc>
        <w:tc>
          <w:tcPr>
            <w:tcW w:w="1559" w:type="dxa"/>
            <w:vMerge w:val="restart"/>
            <w:shd w:val="clear" w:color="auto" w:fill="BDD7EE"/>
            <w:vAlign w:val="center"/>
            <w:hideMark/>
          </w:tcPr>
          <w:p w14:paraId="3C35FF02" w14:textId="77777777" w:rsidR="006054AA" w:rsidRDefault="001F7667">
            <w:pPr>
              <w:pStyle w:val="P68B1DB1-Normal9"/>
              <w:jc w:val="center"/>
              <w:rPr>
                <w:rFonts w:eastAsiaTheme="minorEastAsia"/>
                <w:noProof/>
              </w:rPr>
            </w:pPr>
            <w:r>
              <w:rPr>
                <w:noProof/>
              </w:rPr>
              <w:t>Име</w:t>
            </w:r>
          </w:p>
        </w:tc>
        <w:tc>
          <w:tcPr>
            <w:tcW w:w="1701" w:type="dxa"/>
            <w:vMerge w:val="restart"/>
            <w:shd w:val="clear" w:color="auto" w:fill="BDD7EE"/>
            <w:vAlign w:val="center"/>
            <w:hideMark/>
          </w:tcPr>
          <w:p w14:paraId="7E84BA6D" w14:textId="77777777" w:rsidR="006054AA" w:rsidRDefault="001F7667">
            <w:pPr>
              <w:pStyle w:val="P68B1DB1-Normal19"/>
              <w:jc w:val="center"/>
              <w:rPr>
                <w:rFonts w:eastAsiaTheme="minorEastAsia"/>
                <w:b/>
                <w:noProof/>
              </w:rPr>
            </w:pPr>
            <w:r>
              <w:rPr>
                <w:b/>
                <w:noProof/>
              </w:rPr>
              <w:t>Качествени индикатори</w:t>
            </w:r>
            <w:r>
              <w:rPr>
                <w:noProof/>
              </w:rPr>
              <w:t xml:space="preserve"> </w:t>
            </w:r>
            <w:r>
              <w:rPr>
                <w:noProof/>
              </w:rPr>
              <w:br/>
            </w:r>
            <w:r>
              <w:rPr>
                <w:b/>
                <w:noProof/>
              </w:rPr>
              <w:t>(за ключовите етапи)</w:t>
            </w:r>
          </w:p>
        </w:tc>
        <w:tc>
          <w:tcPr>
            <w:tcW w:w="3544" w:type="dxa"/>
            <w:gridSpan w:val="3"/>
            <w:shd w:val="clear" w:color="auto" w:fill="BDD7EE"/>
            <w:vAlign w:val="center"/>
            <w:hideMark/>
          </w:tcPr>
          <w:p w14:paraId="44F0EB79" w14:textId="77777777" w:rsidR="006054AA" w:rsidRDefault="001F7667">
            <w:pPr>
              <w:pStyle w:val="P68B1DB1-Normal19"/>
              <w:jc w:val="center"/>
              <w:rPr>
                <w:rFonts w:eastAsiaTheme="minorEastAsia"/>
                <w:b/>
                <w:noProof/>
              </w:rPr>
            </w:pPr>
            <w:r>
              <w:rPr>
                <w:b/>
                <w:noProof/>
              </w:rPr>
              <w:t>Количествени индикатори</w:t>
            </w:r>
            <w:r>
              <w:rPr>
                <w:noProof/>
              </w:rPr>
              <w:t xml:space="preserve"> </w:t>
            </w:r>
            <w:r>
              <w:rPr>
                <w:noProof/>
              </w:rPr>
              <w:br/>
            </w:r>
            <w:r>
              <w:rPr>
                <w:b/>
                <w:noProof/>
              </w:rPr>
              <w:t>(за целите)</w:t>
            </w:r>
          </w:p>
        </w:tc>
        <w:tc>
          <w:tcPr>
            <w:tcW w:w="1701" w:type="dxa"/>
            <w:gridSpan w:val="2"/>
            <w:shd w:val="clear" w:color="auto" w:fill="BDD7EE"/>
            <w:vAlign w:val="center"/>
            <w:hideMark/>
          </w:tcPr>
          <w:p w14:paraId="69864ECE" w14:textId="77777777" w:rsidR="006054AA" w:rsidRDefault="001F7667">
            <w:pPr>
              <w:pStyle w:val="P68B1DB1-Normal9"/>
              <w:jc w:val="center"/>
              <w:rPr>
                <w:rFonts w:eastAsiaTheme="minorEastAsia"/>
                <w:noProof/>
              </w:rPr>
            </w:pPr>
            <w:r>
              <w:rPr>
                <w:noProof/>
              </w:rPr>
              <w:t>Примерен график за приключване</w:t>
            </w:r>
          </w:p>
        </w:tc>
        <w:tc>
          <w:tcPr>
            <w:tcW w:w="2595" w:type="dxa"/>
            <w:vMerge w:val="restart"/>
            <w:shd w:val="clear" w:color="auto" w:fill="BDD7EE"/>
            <w:vAlign w:val="center"/>
            <w:hideMark/>
          </w:tcPr>
          <w:p w14:paraId="608A2A79" w14:textId="77777777" w:rsidR="006054AA" w:rsidRDefault="001F7667">
            <w:pPr>
              <w:pStyle w:val="P68B1DB1-Normal9"/>
              <w:jc w:val="center"/>
              <w:rPr>
                <w:rFonts w:eastAsiaTheme="minorEastAsia"/>
                <w:noProof/>
              </w:rPr>
            </w:pPr>
            <w:r>
              <w:rPr>
                <w:noProof/>
              </w:rPr>
              <w:t>Описание на всеки ключов етап и цел</w:t>
            </w:r>
          </w:p>
        </w:tc>
      </w:tr>
      <w:tr w:rsidR="006054AA" w14:paraId="2A285183" w14:textId="77777777">
        <w:trPr>
          <w:trHeight w:val="741"/>
        </w:trPr>
        <w:tc>
          <w:tcPr>
            <w:tcW w:w="1419" w:type="dxa"/>
            <w:vMerge/>
            <w:vAlign w:val="center"/>
            <w:hideMark/>
          </w:tcPr>
          <w:p w14:paraId="332E4125" w14:textId="77777777" w:rsidR="006054AA" w:rsidRDefault="006054AA">
            <w:pPr>
              <w:jc w:val="center"/>
              <w:rPr>
                <w:rFonts w:ascii="Arial Narrow" w:eastAsiaTheme="minorEastAsia" w:hAnsi="Arial Narrow"/>
                <w:b/>
                <w:noProof/>
                <w:sz w:val="20"/>
              </w:rPr>
            </w:pPr>
          </w:p>
        </w:tc>
        <w:tc>
          <w:tcPr>
            <w:tcW w:w="1666" w:type="dxa"/>
            <w:vMerge/>
            <w:vAlign w:val="center"/>
            <w:hideMark/>
          </w:tcPr>
          <w:p w14:paraId="1085E835" w14:textId="77777777" w:rsidR="006054AA" w:rsidRDefault="006054AA">
            <w:pPr>
              <w:jc w:val="center"/>
              <w:rPr>
                <w:rFonts w:ascii="Arial Narrow" w:eastAsiaTheme="minorEastAsia" w:hAnsi="Arial Narrow"/>
                <w:b/>
                <w:noProof/>
                <w:sz w:val="20"/>
              </w:rPr>
            </w:pPr>
          </w:p>
        </w:tc>
        <w:tc>
          <w:tcPr>
            <w:tcW w:w="1169" w:type="dxa"/>
            <w:vMerge/>
            <w:vAlign w:val="center"/>
            <w:hideMark/>
          </w:tcPr>
          <w:p w14:paraId="7C2A02D5" w14:textId="77777777" w:rsidR="006054AA" w:rsidRDefault="006054AA">
            <w:pPr>
              <w:jc w:val="center"/>
              <w:rPr>
                <w:rFonts w:ascii="Arial Narrow" w:eastAsiaTheme="minorEastAsia" w:hAnsi="Arial Narrow"/>
                <w:b/>
                <w:noProof/>
                <w:sz w:val="20"/>
              </w:rPr>
            </w:pPr>
          </w:p>
        </w:tc>
        <w:tc>
          <w:tcPr>
            <w:tcW w:w="1559" w:type="dxa"/>
            <w:vMerge/>
            <w:vAlign w:val="center"/>
            <w:hideMark/>
          </w:tcPr>
          <w:p w14:paraId="72BB8D74" w14:textId="77777777" w:rsidR="006054AA" w:rsidRDefault="006054AA">
            <w:pPr>
              <w:jc w:val="center"/>
              <w:rPr>
                <w:rFonts w:ascii="Arial Narrow" w:eastAsiaTheme="minorEastAsia" w:hAnsi="Arial Narrow"/>
                <w:b/>
                <w:noProof/>
                <w:sz w:val="20"/>
              </w:rPr>
            </w:pPr>
          </w:p>
        </w:tc>
        <w:tc>
          <w:tcPr>
            <w:tcW w:w="1701" w:type="dxa"/>
            <w:vMerge/>
            <w:vAlign w:val="center"/>
            <w:hideMark/>
          </w:tcPr>
          <w:p w14:paraId="202E8085" w14:textId="77777777" w:rsidR="006054AA" w:rsidRDefault="006054AA">
            <w:pPr>
              <w:jc w:val="center"/>
              <w:rPr>
                <w:rFonts w:ascii="Arial Narrow" w:eastAsiaTheme="minorEastAsia" w:hAnsi="Arial Narrow"/>
                <w:b/>
                <w:noProof/>
                <w:sz w:val="20"/>
              </w:rPr>
            </w:pPr>
          </w:p>
        </w:tc>
        <w:tc>
          <w:tcPr>
            <w:tcW w:w="1417" w:type="dxa"/>
            <w:shd w:val="clear" w:color="auto" w:fill="BDD7EE"/>
            <w:vAlign w:val="center"/>
            <w:hideMark/>
          </w:tcPr>
          <w:p w14:paraId="33053F04" w14:textId="77777777" w:rsidR="006054AA" w:rsidRDefault="001F7667">
            <w:pPr>
              <w:pStyle w:val="P68B1DB1-Normal9"/>
              <w:jc w:val="center"/>
              <w:rPr>
                <w:rFonts w:eastAsiaTheme="minorEastAsia"/>
                <w:noProof/>
              </w:rPr>
            </w:pPr>
            <w:r>
              <w:rPr>
                <w:noProof/>
              </w:rPr>
              <w:t>Единица мярка</w:t>
            </w:r>
          </w:p>
        </w:tc>
        <w:tc>
          <w:tcPr>
            <w:tcW w:w="1134" w:type="dxa"/>
            <w:shd w:val="clear" w:color="auto" w:fill="BDD7EE"/>
            <w:vAlign w:val="center"/>
            <w:hideMark/>
          </w:tcPr>
          <w:p w14:paraId="6B4F47FB" w14:textId="77777777" w:rsidR="006054AA" w:rsidRDefault="001F7667">
            <w:pPr>
              <w:pStyle w:val="P68B1DB1-Normal9"/>
              <w:jc w:val="center"/>
              <w:rPr>
                <w:rFonts w:eastAsiaTheme="minorEastAsia"/>
                <w:noProof/>
              </w:rPr>
            </w:pPr>
            <w:r>
              <w:rPr>
                <w:noProof/>
              </w:rPr>
              <w:t>Базова линия</w:t>
            </w:r>
          </w:p>
        </w:tc>
        <w:tc>
          <w:tcPr>
            <w:tcW w:w="993" w:type="dxa"/>
            <w:shd w:val="clear" w:color="auto" w:fill="BDD7EE"/>
            <w:vAlign w:val="center"/>
            <w:hideMark/>
          </w:tcPr>
          <w:p w14:paraId="5B89459E" w14:textId="77777777" w:rsidR="006054AA" w:rsidRDefault="001F7667">
            <w:pPr>
              <w:pStyle w:val="P68B1DB1-Normal9"/>
              <w:jc w:val="center"/>
              <w:rPr>
                <w:rFonts w:eastAsiaTheme="minorEastAsia"/>
                <w:noProof/>
              </w:rPr>
            </w:pPr>
            <w:r>
              <w:rPr>
                <w:noProof/>
              </w:rPr>
              <w:t>Цел</w:t>
            </w:r>
          </w:p>
        </w:tc>
        <w:tc>
          <w:tcPr>
            <w:tcW w:w="992" w:type="dxa"/>
            <w:shd w:val="clear" w:color="auto" w:fill="BDD7EE"/>
            <w:vAlign w:val="center"/>
            <w:hideMark/>
          </w:tcPr>
          <w:p w14:paraId="3C40ABB8" w14:textId="77777777" w:rsidR="006054AA" w:rsidRDefault="001F7667">
            <w:pPr>
              <w:pStyle w:val="P68B1DB1-Normal9"/>
              <w:jc w:val="center"/>
              <w:rPr>
                <w:rFonts w:eastAsiaTheme="minorEastAsia"/>
                <w:noProof/>
              </w:rPr>
            </w:pPr>
            <w:r>
              <w:rPr>
                <w:noProof/>
              </w:rPr>
              <w:t>Тримесечие</w:t>
            </w:r>
          </w:p>
        </w:tc>
        <w:tc>
          <w:tcPr>
            <w:tcW w:w="709" w:type="dxa"/>
            <w:shd w:val="clear" w:color="auto" w:fill="BDD7EE"/>
            <w:vAlign w:val="center"/>
            <w:hideMark/>
          </w:tcPr>
          <w:p w14:paraId="18088C36" w14:textId="77777777" w:rsidR="006054AA" w:rsidRDefault="001F7667">
            <w:pPr>
              <w:pStyle w:val="P68B1DB1-Normal9"/>
              <w:jc w:val="center"/>
              <w:rPr>
                <w:rFonts w:eastAsiaTheme="minorEastAsia"/>
                <w:noProof/>
              </w:rPr>
            </w:pPr>
            <w:r>
              <w:rPr>
                <w:noProof/>
              </w:rPr>
              <w:t>Година</w:t>
            </w:r>
          </w:p>
        </w:tc>
        <w:tc>
          <w:tcPr>
            <w:tcW w:w="2595" w:type="dxa"/>
            <w:vMerge/>
            <w:vAlign w:val="center"/>
            <w:hideMark/>
          </w:tcPr>
          <w:p w14:paraId="1AF7A958" w14:textId="77777777" w:rsidR="006054AA" w:rsidRDefault="006054AA">
            <w:pPr>
              <w:jc w:val="center"/>
              <w:rPr>
                <w:rFonts w:ascii="Arial Narrow" w:eastAsiaTheme="minorEastAsia" w:hAnsi="Arial Narrow"/>
                <w:b/>
                <w:noProof/>
                <w:sz w:val="20"/>
              </w:rPr>
            </w:pPr>
          </w:p>
        </w:tc>
      </w:tr>
      <w:tr w:rsidR="006054AA" w14:paraId="22E1DB7C" w14:textId="77777777">
        <w:trPr>
          <w:trHeight w:val="313"/>
        </w:trPr>
        <w:tc>
          <w:tcPr>
            <w:tcW w:w="1419" w:type="dxa"/>
            <w:shd w:val="clear" w:color="auto" w:fill="C6EFCE"/>
            <w:noWrap/>
            <w:vAlign w:val="center"/>
          </w:tcPr>
          <w:p w14:paraId="1347A528" w14:textId="54BD9F4D" w:rsidR="006054AA" w:rsidRDefault="001F7667">
            <w:pPr>
              <w:pStyle w:val="P68B1DB1-Normal11"/>
              <w:jc w:val="center"/>
              <w:rPr>
                <w:rFonts w:eastAsiaTheme="minorEastAsia"/>
                <w:noProof/>
              </w:rPr>
            </w:pPr>
            <w:r>
              <w:rPr>
                <w:noProof/>
              </w:rPr>
              <w:t>M5C3—10</w:t>
            </w:r>
          </w:p>
        </w:tc>
        <w:tc>
          <w:tcPr>
            <w:tcW w:w="1666" w:type="dxa"/>
            <w:shd w:val="clear" w:color="auto" w:fill="C6EFCE"/>
            <w:noWrap/>
            <w:vAlign w:val="center"/>
            <w:hideMark/>
          </w:tcPr>
          <w:p w14:paraId="59A31D6A" w14:textId="27CCFAC9" w:rsidR="006054AA" w:rsidRDefault="001F7667">
            <w:pPr>
              <w:pStyle w:val="P68B1DB1-Normal11"/>
              <w:jc w:val="center"/>
              <w:rPr>
                <w:rFonts w:eastAsiaTheme="minorEastAsia"/>
                <w:noProof/>
              </w:rPr>
            </w:pPr>
            <w:r>
              <w:rPr>
                <w:noProof/>
              </w:rPr>
              <w:t>Реформи1: Опростяване на процедурите и укрепване на комисаря в специалните икономически зони</w:t>
            </w:r>
          </w:p>
        </w:tc>
        <w:tc>
          <w:tcPr>
            <w:tcW w:w="1169" w:type="dxa"/>
            <w:shd w:val="clear" w:color="auto" w:fill="C6EFCE"/>
            <w:noWrap/>
            <w:vAlign w:val="center"/>
            <w:hideMark/>
          </w:tcPr>
          <w:p w14:paraId="61AC5E39" w14:textId="77777777" w:rsidR="006054AA" w:rsidRDefault="001F7667">
            <w:pPr>
              <w:pStyle w:val="P68B1DB1-Normal11"/>
              <w:jc w:val="center"/>
              <w:rPr>
                <w:rFonts w:eastAsiaTheme="minorEastAsia"/>
                <w:noProof/>
              </w:rPr>
            </w:pPr>
            <w:r>
              <w:rPr>
                <w:noProof/>
              </w:rPr>
              <w:t>Ключов етап</w:t>
            </w:r>
          </w:p>
        </w:tc>
        <w:tc>
          <w:tcPr>
            <w:tcW w:w="1559" w:type="dxa"/>
            <w:shd w:val="clear" w:color="auto" w:fill="C6EFCE"/>
            <w:noWrap/>
            <w:vAlign w:val="center"/>
            <w:hideMark/>
          </w:tcPr>
          <w:p w14:paraId="2CA78E12" w14:textId="2FA4A66B" w:rsidR="006054AA" w:rsidRDefault="001F7667">
            <w:pPr>
              <w:pStyle w:val="P68B1DB1-Normal11"/>
              <w:jc w:val="center"/>
              <w:rPr>
                <w:rFonts w:eastAsiaTheme="minorEastAsia"/>
                <w:noProof/>
              </w:rPr>
            </w:pPr>
            <w:r>
              <w:rPr>
                <w:noProof/>
              </w:rPr>
              <w:t>Влизане в сила на регламента за опростяване на процедурите и засилване на ролята на комисаря в специалните икономически зони</w:t>
            </w:r>
          </w:p>
        </w:tc>
        <w:tc>
          <w:tcPr>
            <w:tcW w:w="1701" w:type="dxa"/>
            <w:shd w:val="clear" w:color="auto" w:fill="C6EFCE"/>
            <w:noWrap/>
            <w:vAlign w:val="center"/>
            <w:hideMark/>
          </w:tcPr>
          <w:p w14:paraId="33020874" w14:textId="0D964F2E" w:rsidR="006054AA" w:rsidRDefault="001F7667">
            <w:pPr>
              <w:pStyle w:val="P68B1DB1-Normal11"/>
              <w:jc w:val="center"/>
              <w:rPr>
                <w:rFonts w:eastAsiaTheme="minorEastAsia"/>
                <w:noProof/>
              </w:rPr>
            </w:pPr>
            <w:r>
              <w:rPr>
                <w:noProof/>
              </w:rPr>
              <w:t>Разпоредба в регламента за влизането в сила на регламента за опростяване на процедурите и засилване на ролята на комисаря в специалните икономически зони</w:t>
            </w:r>
          </w:p>
        </w:tc>
        <w:tc>
          <w:tcPr>
            <w:tcW w:w="1417" w:type="dxa"/>
            <w:shd w:val="clear" w:color="auto" w:fill="C6EFCE"/>
            <w:noWrap/>
            <w:vAlign w:val="center"/>
          </w:tcPr>
          <w:p w14:paraId="700B21A7"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761709DD" w14:textId="77777777" w:rsidR="006054AA" w:rsidRDefault="001F7667">
            <w:pPr>
              <w:pStyle w:val="P68B1DB1-Normal11"/>
              <w:jc w:val="center"/>
              <w:rPr>
                <w:noProof/>
              </w:rPr>
            </w:pPr>
            <w:r>
              <w:rPr>
                <w:noProof/>
              </w:rPr>
              <w:t>НЯМА</w:t>
            </w:r>
          </w:p>
        </w:tc>
        <w:tc>
          <w:tcPr>
            <w:tcW w:w="993" w:type="dxa"/>
            <w:shd w:val="clear" w:color="auto" w:fill="C6EFCE"/>
            <w:noWrap/>
            <w:vAlign w:val="center"/>
          </w:tcPr>
          <w:p w14:paraId="6CE24969" w14:textId="77777777" w:rsidR="006054AA" w:rsidRDefault="001F7667">
            <w:pPr>
              <w:pStyle w:val="P68B1DB1-Normal11"/>
              <w:jc w:val="center"/>
              <w:rPr>
                <w:noProof/>
              </w:rPr>
            </w:pPr>
            <w:r>
              <w:rPr>
                <w:noProof/>
              </w:rPr>
              <w:t>НЯМА</w:t>
            </w:r>
          </w:p>
        </w:tc>
        <w:tc>
          <w:tcPr>
            <w:tcW w:w="992" w:type="dxa"/>
            <w:shd w:val="clear" w:color="auto" w:fill="C6EFCE"/>
            <w:noWrap/>
            <w:vAlign w:val="center"/>
            <w:hideMark/>
          </w:tcPr>
          <w:p w14:paraId="4027312A" w14:textId="77777777" w:rsidR="006054AA" w:rsidRDefault="001F7667">
            <w:pPr>
              <w:pStyle w:val="P68B1DB1-Normal11"/>
              <w:jc w:val="center"/>
              <w:rPr>
                <w:rFonts w:eastAsiaTheme="minorEastAsia"/>
                <w:noProof/>
              </w:rPr>
            </w:pPr>
            <w:r>
              <w:rPr>
                <w:noProof/>
              </w:rPr>
              <w:t>Т4 Г.</w:t>
            </w:r>
          </w:p>
        </w:tc>
        <w:tc>
          <w:tcPr>
            <w:tcW w:w="709" w:type="dxa"/>
            <w:shd w:val="clear" w:color="auto" w:fill="C6EFCE"/>
            <w:noWrap/>
            <w:vAlign w:val="center"/>
            <w:hideMark/>
          </w:tcPr>
          <w:p w14:paraId="3A95E104" w14:textId="77777777" w:rsidR="006054AA" w:rsidRDefault="001F7667">
            <w:pPr>
              <w:pStyle w:val="P68B1DB1-Normal11"/>
              <w:rPr>
                <w:rFonts w:eastAsiaTheme="minorEastAsia"/>
                <w:noProof/>
              </w:rPr>
            </w:pPr>
            <w:r>
              <w:rPr>
                <w:noProof/>
              </w:rPr>
              <w:t>2021</w:t>
            </w:r>
          </w:p>
        </w:tc>
        <w:tc>
          <w:tcPr>
            <w:tcW w:w="2595" w:type="dxa"/>
            <w:shd w:val="clear" w:color="auto" w:fill="C6EFCE"/>
            <w:noWrap/>
            <w:vAlign w:val="center"/>
            <w:hideMark/>
          </w:tcPr>
          <w:p w14:paraId="22E6183E" w14:textId="77777777" w:rsidR="006054AA" w:rsidRDefault="001F7667">
            <w:pPr>
              <w:pStyle w:val="P68B1DB1-Normal11"/>
              <w:rPr>
                <w:noProof/>
              </w:rPr>
            </w:pPr>
            <w:r>
              <w:rPr>
                <w:noProof/>
              </w:rPr>
              <w:t>Регламентът включва: това</w:t>
            </w:r>
          </w:p>
          <w:p w14:paraId="703CC86E" w14:textId="1BCB92A6" w:rsidR="006054AA" w:rsidRDefault="001F7667">
            <w:pPr>
              <w:pStyle w:val="P68B1DB1-Normal11"/>
              <w:rPr>
                <w:noProof/>
              </w:rPr>
            </w:pPr>
            <w:r>
              <w:rPr>
                <w:noProof/>
              </w:rPr>
              <w:t>създаване на цифрово обслужване на едно гише за специалните икономически зони за опростяване на процедурите; разпоредби за засилване на ролята на комисаря в ЗЕС.</w:t>
            </w:r>
          </w:p>
          <w:p w14:paraId="66E20FDB" w14:textId="77777777" w:rsidR="006054AA" w:rsidRDefault="001F7667">
            <w:pPr>
              <w:pStyle w:val="P68B1DB1-Normal11"/>
              <w:rPr>
                <w:noProof/>
              </w:rPr>
            </w:pPr>
            <w:r>
              <w:rPr>
                <w:noProof/>
              </w:rPr>
              <w:t xml:space="preserve"> </w:t>
            </w:r>
          </w:p>
          <w:p w14:paraId="098733FB" w14:textId="77777777" w:rsidR="006054AA" w:rsidRDefault="001F7667">
            <w:pPr>
              <w:pStyle w:val="P68B1DB1-Normal11"/>
              <w:rPr>
                <w:rFonts w:eastAsiaTheme="minorEastAsia"/>
                <w:noProof/>
              </w:rPr>
            </w:pPr>
            <w:r>
              <w:rPr>
                <w:noProof/>
              </w:rPr>
              <w:t>Специалните икономически зони са специфични зони, определени със Законодателен указ 91/2017 (обнародван в Официален вестник 141/2017), преобразуван в закон с L. 123/2017 (обнародван в Официален вестник Mezzogiorno 188/2017).</w:t>
            </w:r>
          </w:p>
        </w:tc>
      </w:tr>
      <w:tr w:rsidR="006054AA" w14:paraId="1D3F218D" w14:textId="77777777">
        <w:trPr>
          <w:trHeight w:val="313"/>
        </w:trPr>
        <w:tc>
          <w:tcPr>
            <w:tcW w:w="1419" w:type="dxa"/>
            <w:shd w:val="clear" w:color="auto" w:fill="C6EFCE"/>
            <w:noWrap/>
            <w:vAlign w:val="center"/>
            <w:hideMark/>
          </w:tcPr>
          <w:p w14:paraId="4DADD978" w14:textId="77777777" w:rsidR="006054AA" w:rsidRDefault="001F7667">
            <w:pPr>
              <w:pStyle w:val="P68B1DB1-Normal11"/>
              <w:jc w:val="center"/>
              <w:rPr>
                <w:rFonts w:eastAsiaTheme="minorEastAsia"/>
                <w:noProof/>
              </w:rPr>
            </w:pPr>
            <w:r>
              <w:rPr>
                <w:noProof/>
              </w:rPr>
              <w:t>M5C3—11</w:t>
            </w:r>
          </w:p>
        </w:tc>
        <w:tc>
          <w:tcPr>
            <w:tcW w:w="1666" w:type="dxa"/>
            <w:shd w:val="clear" w:color="auto" w:fill="C6EFCE"/>
            <w:noWrap/>
            <w:vAlign w:val="center"/>
            <w:hideMark/>
          </w:tcPr>
          <w:p w14:paraId="217CBDFE" w14:textId="77777777" w:rsidR="006054AA" w:rsidRDefault="001F7667">
            <w:pPr>
              <w:pStyle w:val="P68B1DB1-Normal11"/>
              <w:jc w:val="center"/>
              <w:rPr>
                <w:rFonts w:eastAsiaTheme="minorEastAsia"/>
                <w:noProof/>
              </w:rPr>
            </w:pPr>
            <w:r>
              <w:rPr>
                <w:noProof/>
              </w:rPr>
              <w:t>Инвестиция 1.4: Инфраструктурни инвестиции за специалната икономическа зона</w:t>
            </w:r>
            <w:r>
              <w:rPr>
                <w:noProof/>
                <w:shd w:val="clear" w:color="auto" w:fill="E6E6E6"/>
              </w:rPr>
              <w:t xml:space="preserve"> </w:t>
            </w:r>
          </w:p>
        </w:tc>
        <w:tc>
          <w:tcPr>
            <w:tcW w:w="1169" w:type="dxa"/>
            <w:shd w:val="clear" w:color="auto" w:fill="C6EFCE"/>
            <w:noWrap/>
            <w:vAlign w:val="center"/>
            <w:hideMark/>
          </w:tcPr>
          <w:p w14:paraId="4991743E" w14:textId="77777777" w:rsidR="006054AA" w:rsidRDefault="001F7667">
            <w:pPr>
              <w:pStyle w:val="P68B1DB1-Normal11"/>
              <w:jc w:val="center"/>
              <w:rPr>
                <w:rFonts w:eastAsiaTheme="minorEastAsia"/>
                <w:noProof/>
              </w:rPr>
            </w:pPr>
            <w:r>
              <w:rPr>
                <w:noProof/>
              </w:rPr>
              <w:t>Ключов етап</w:t>
            </w:r>
          </w:p>
        </w:tc>
        <w:tc>
          <w:tcPr>
            <w:tcW w:w="1559" w:type="dxa"/>
            <w:shd w:val="clear" w:color="auto" w:fill="C6EFCE"/>
            <w:noWrap/>
            <w:vAlign w:val="center"/>
            <w:hideMark/>
          </w:tcPr>
          <w:p w14:paraId="6C25467D" w14:textId="62EA0B7B" w:rsidR="006054AA" w:rsidRDefault="001F7667">
            <w:pPr>
              <w:pStyle w:val="P68B1DB1-Normal11"/>
              <w:jc w:val="center"/>
              <w:rPr>
                <w:rFonts w:eastAsiaTheme="minorEastAsia"/>
                <w:noProof/>
              </w:rPr>
            </w:pPr>
            <w:r>
              <w:rPr>
                <w:noProof/>
              </w:rPr>
              <w:t>Влизане в сила на наредби на Министерството за одобряване на оперативните планове за всичките осем специални икономически зони</w:t>
            </w:r>
          </w:p>
        </w:tc>
        <w:tc>
          <w:tcPr>
            <w:tcW w:w="1701" w:type="dxa"/>
            <w:shd w:val="clear" w:color="auto" w:fill="C6EFCE"/>
            <w:noWrap/>
            <w:vAlign w:val="center"/>
            <w:hideMark/>
          </w:tcPr>
          <w:p w14:paraId="4F09AFB3" w14:textId="628359D5" w:rsidR="006054AA" w:rsidRDefault="001F7667">
            <w:pPr>
              <w:pStyle w:val="P68B1DB1-Normal11"/>
              <w:jc w:val="center"/>
              <w:rPr>
                <w:rFonts w:eastAsiaTheme="minorEastAsia"/>
                <w:noProof/>
              </w:rPr>
            </w:pPr>
            <w:r>
              <w:rPr>
                <w:noProof/>
              </w:rPr>
              <w:t>Разпоредба в закона за посочване на влизането в сила на постановленията на министерството.</w:t>
            </w:r>
          </w:p>
        </w:tc>
        <w:tc>
          <w:tcPr>
            <w:tcW w:w="1417" w:type="dxa"/>
            <w:shd w:val="clear" w:color="auto" w:fill="C6EFCE"/>
            <w:noWrap/>
            <w:vAlign w:val="center"/>
            <w:hideMark/>
          </w:tcPr>
          <w:p w14:paraId="41A6584B" w14:textId="77777777" w:rsidR="006054AA" w:rsidRDefault="001F7667">
            <w:pPr>
              <w:pStyle w:val="P68B1DB1-Normal11"/>
              <w:jc w:val="center"/>
              <w:rPr>
                <w:noProof/>
              </w:rPr>
            </w:pPr>
            <w:r>
              <w:rPr>
                <w:noProof/>
              </w:rPr>
              <w:t>НЯМА</w:t>
            </w:r>
          </w:p>
        </w:tc>
        <w:tc>
          <w:tcPr>
            <w:tcW w:w="1134" w:type="dxa"/>
            <w:shd w:val="clear" w:color="auto" w:fill="C6EFCE"/>
            <w:noWrap/>
            <w:vAlign w:val="center"/>
          </w:tcPr>
          <w:p w14:paraId="25960F29" w14:textId="77777777" w:rsidR="006054AA" w:rsidRDefault="001F7667">
            <w:pPr>
              <w:pStyle w:val="P68B1DB1-Normal11"/>
              <w:jc w:val="center"/>
              <w:rPr>
                <w:noProof/>
              </w:rPr>
            </w:pPr>
            <w:r>
              <w:rPr>
                <w:noProof/>
              </w:rPr>
              <w:t>НЯМА</w:t>
            </w:r>
          </w:p>
        </w:tc>
        <w:tc>
          <w:tcPr>
            <w:tcW w:w="993" w:type="dxa"/>
            <w:shd w:val="clear" w:color="auto" w:fill="C6EFCE"/>
            <w:noWrap/>
            <w:vAlign w:val="center"/>
          </w:tcPr>
          <w:p w14:paraId="08D0708A" w14:textId="77777777" w:rsidR="006054AA" w:rsidRDefault="001F7667">
            <w:pPr>
              <w:pStyle w:val="P68B1DB1-Normal11"/>
              <w:jc w:val="center"/>
              <w:rPr>
                <w:noProof/>
              </w:rPr>
            </w:pPr>
            <w:r>
              <w:rPr>
                <w:noProof/>
              </w:rPr>
              <w:t>НЯМА</w:t>
            </w:r>
          </w:p>
        </w:tc>
        <w:tc>
          <w:tcPr>
            <w:tcW w:w="992" w:type="dxa"/>
            <w:shd w:val="clear" w:color="auto" w:fill="C6EFCE"/>
            <w:noWrap/>
            <w:vAlign w:val="center"/>
            <w:hideMark/>
          </w:tcPr>
          <w:p w14:paraId="3F7A0D0A" w14:textId="77777777" w:rsidR="006054AA" w:rsidRDefault="001F7667">
            <w:pPr>
              <w:pStyle w:val="P68B1DB1-Normal11"/>
              <w:jc w:val="center"/>
              <w:rPr>
                <w:rFonts w:eastAsiaTheme="minorEastAsia"/>
                <w:noProof/>
              </w:rPr>
            </w:pPr>
            <w:r>
              <w:rPr>
                <w:noProof/>
              </w:rPr>
              <w:t>Т4 Г.</w:t>
            </w:r>
          </w:p>
        </w:tc>
        <w:tc>
          <w:tcPr>
            <w:tcW w:w="709" w:type="dxa"/>
            <w:shd w:val="clear" w:color="auto" w:fill="C6EFCE"/>
            <w:noWrap/>
            <w:vAlign w:val="center"/>
            <w:hideMark/>
          </w:tcPr>
          <w:p w14:paraId="4853073B" w14:textId="77777777" w:rsidR="006054AA" w:rsidRDefault="001F7667">
            <w:pPr>
              <w:pStyle w:val="P68B1DB1-Normal11"/>
              <w:jc w:val="center"/>
              <w:rPr>
                <w:rFonts w:eastAsiaTheme="minorEastAsia"/>
                <w:noProof/>
              </w:rPr>
            </w:pPr>
            <w:r>
              <w:rPr>
                <w:noProof/>
              </w:rPr>
              <w:t>2021</w:t>
            </w:r>
          </w:p>
        </w:tc>
        <w:tc>
          <w:tcPr>
            <w:tcW w:w="2595" w:type="dxa"/>
            <w:shd w:val="clear" w:color="auto" w:fill="C6EFCE"/>
            <w:noWrap/>
            <w:vAlign w:val="center"/>
            <w:hideMark/>
          </w:tcPr>
          <w:p w14:paraId="34495107" w14:textId="77777777" w:rsidR="006054AA" w:rsidRDefault="001F7667">
            <w:pPr>
              <w:pStyle w:val="P68B1DB1-Normal11"/>
              <w:rPr>
                <w:rFonts w:eastAsiaTheme="minorEastAsia"/>
                <w:noProof/>
              </w:rPr>
            </w:pPr>
            <w:r>
              <w:rPr>
                <w:noProof/>
              </w:rPr>
              <w:t>С постановлението се предоставят средства на субектите, отговарящи за изпълнението, и се определят специални условия за избягване на въздействието на интервенциите върху околната среда.</w:t>
            </w:r>
          </w:p>
          <w:p w14:paraId="7BB65746" w14:textId="77777777" w:rsidR="006054AA" w:rsidRDefault="001F7667">
            <w:pPr>
              <w:pStyle w:val="P68B1DB1-Normal11"/>
              <w:rPr>
                <w:rFonts w:eastAsiaTheme="minorEastAsia"/>
                <w:noProof/>
              </w:rPr>
            </w:pPr>
            <w:r>
              <w:rPr>
                <w:noProof/>
              </w:rPr>
              <w:t>Обявяването на всички конкурентни покани за представяне на предложения се извършва със задание, включително критерии за допустимост, които гарантират, че избраните проекти отговарят на техническите насоки за ненанасяне на значителни вреди (2021/C58/01) чрез използването на списък за отстраняване и изискването за спазване на съответното законодателство на ЕС и национално законодателство в областта на околната среда.</w:t>
            </w:r>
          </w:p>
        </w:tc>
      </w:tr>
      <w:tr w:rsidR="006054AA" w14:paraId="5194243F" w14:textId="77777777">
        <w:trPr>
          <w:trHeight w:val="313"/>
        </w:trPr>
        <w:tc>
          <w:tcPr>
            <w:tcW w:w="1419" w:type="dxa"/>
            <w:shd w:val="clear" w:color="auto" w:fill="C6EFCE"/>
            <w:noWrap/>
            <w:vAlign w:val="center"/>
            <w:hideMark/>
          </w:tcPr>
          <w:p w14:paraId="19F6E149" w14:textId="77777777" w:rsidR="006054AA" w:rsidRDefault="001F7667">
            <w:pPr>
              <w:pStyle w:val="P68B1DB1-Normal11"/>
              <w:jc w:val="center"/>
              <w:rPr>
                <w:rFonts w:eastAsiaTheme="minorEastAsia"/>
                <w:noProof/>
              </w:rPr>
            </w:pPr>
            <w:r>
              <w:rPr>
                <w:noProof/>
              </w:rPr>
              <w:t>M5C3—12</w:t>
            </w:r>
          </w:p>
        </w:tc>
        <w:tc>
          <w:tcPr>
            <w:tcW w:w="1666" w:type="dxa"/>
            <w:shd w:val="clear" w:color="auto" w:fill="C6EFCE"/>
            <w:noWrap/>
            <w:vAlign w:val="center"/>
            <w:hideMark/>
          </w:tcPr>
          <w:p w14:paraId="2F2D76CD" w14:textId="25A39455" w:rsidR="006054AA" w:rsidRDefault="001F7667">
            <w:pPr>
              <w:pStyle w:val="P68B1DB1-Normal11"/>
              <w:jc w:val="center"/>
              <w:rPr>
                <w:rFonts w:eastAsiaTheme="minorEastAsia"/>
                <w:noProof/>
              </w:rPr>
            </w:pPr>
            <w:r>
              <w:rPr>
                <w:noProof/>
              </w:rPr>
              <w:t>Инвестиция 1.4: Инфраструктурни инвестиции за специалната икономическа зона</w:t>
            </w:r>
          </w:p>
        </w:tc>
        <w:tc>
          <w:tcPr>
            <w:tcW w:w="1169" w:type="dxa"/>
            <w:shd w:val="clear" w:color="auto" w:fill="C6EFCE"/>
            <w:noWrap/>
            <w:vAlign w:val="center"/>
            <w:hideMark/>
          </w:tcPr>
          <w:p w14:paraId="7E3362AC" w14:textId="77777777" w:rsidR="006054AA" w:rsidRDefault="001F7667">
            <w:pPr>
              <w:pStyle w:val="P68B1DB1-Normal11"/>
              <w:jc w:val="center"/>
              <w:rPr>
                <w:rFonts w:eastAsiaTheme="minorEastAsia"/>
                <w:noProof/>
              </w:rPr>
            </w:pPr>
            <w:r>
              <w:rPr>
                <w:noProof/>
              </w:rPr>
              <w:t>Целеви</w:t>
            </w:r>
          </w:p>
        </w:tc>
        <w:tc>
          <w:tcPr>
            <w:tcW w:w="1559" w:type="dxa"/>
            <w:shd w:val="clear" w:color="auto" w:fill="C6EFCE"/>
            <w:noWrap/>
            <w:vAlign w:val="center"/>
          </w:tcPr>
          <w:p w14:paraId="145D5646" w14:textId="77777777" w:rsidR="006054AA" w:rsidRDefault="001F7667">
            <w:pPr>
              <w:pStyle w:val="P68B1DB1-Normal11"/>
              <w:jc w:val="center"/>
              <w:rPr>
                <w:rFonts w:eastAsiaTheme="minorEastAsia"/>
                <w:noProof/>
              </w:rPr>
            </w:pPr>
            <w:r>
              <w:rPr>
                <w:noProof/>
              </w:rPr>
              <w:t>Начало на инфраструктурните интервенции в специалните икономически зони</w:t>
            </w:r>
          </w:p>
        </w:tc>
        <w:tc>
          <w:tcPr>
            <w:tcW w:w="1701" w:type="dxa"/>
            <w:shd w:val="clear" w:color="auto" w:fill="C6EFCE"/>
            <w:noWrap/>
            <w:vAlign w:val="center"/>
            <w:hideMark/>
          </w:tcPr>
          <w:p w14:paraId="5BC38396" w14:textId="77777777" w:rsidR="006054AA" w:rsidRDefault="001F7667">
            <w:pPr>
              <w:pStyle w:val="P68B1DB1-Normal11"/>
              <w:jc w:val="center"/>
              <w:rPr>
                <w:noProof/>
              </w:rPr>
            </w:pPr>
            <w:r>
              <w:rPr>
                <w:noProof/>
              </w:rPr>
              <w:t>НЯМА</w:t>
            </w:r>
          </w:p>
        </w:tc>
        <w:tc>
          <w:tcPr>
            <w:tcW w:w="1417" w:type="dxa"/>
            <w:shd w:val="clear" w:color="auto" w:fill="C6EFCE"/>
            <w:noWrap/>
            <w:vAlign w:val="center"/>
            <w:hideMark/>
          </w:tcPr>
          <w:p w14:paraId="769BE842" w14:textId="77777777" w:rsidR="006054AA" w:rsidRDefault="001F7667">
            <w:pPr>
              <w:pStyle w:val="P68B1DB1-Normal11"/>
              <w:jc w:val="center"/>
              <w:rPr>
                <w:rFonts w:eastAsiaTheme="minorEastAsia"/>
                <w:noProof/>
              </w:rPr>
            </w:pPr>
            <w:r>
              <w:rPr>
                <w:noProof/>
              </w:rPr>
              <w:t>Брой</w:t>
            </w:r>
          </w:p>
        </w:tc>
        <w:tc>
          <w:tcPr>
            <w:tcW w:w="1134" w:type="dxa"/>
            <w:shd w:val="clear" w:color="auto" w:fill="C6EFCE"/>
            <w:noWrap/>
            <w:vAlign w:val="center"/>
            <w:hideMark/>
          </w:tcPr>
          <w:p w14:paraId="562A12DA" w14:textId="77777777" w:rsidR="006054AA" w:rsidRDefault="001F7667">
            <w:pPr>
              <w:pStyle w:val="P68B1DB1-Normal11"/>
              <w:jc w:val="center"/>
              <w:rPr>
                <w:rFonts w:eastAsiaTheme="minorEastAsia"/>
                <w:noProof/>
              </w:rPr>
            </w:pPr>
            <w:r>
              <w:rPr>
                <w:noProof/>
              </w:rPr>
              <w:t>0</w:t>
            </w:r>
          </w:p>
        </w:tc>
        <w:tc>
          <w:tcPr>
            <w:tcW w:w="993" w:type="dxa"/>
            <w:shd w:val="clear" w:color="auto" w:fill="C6EFCE"/>
            <w:noWrap/>
            <w:vAlign w:val="center"/>
            <w:hideMark/>
          </w:tcPr>
          <w:p w14:paraId="27221E2C" w14:textId="77777777" w:rsidR="006054AA" w:rsidRDefault="001F7667">
            <w:pPr>
              <w:pStyle w:val="P68B1DB1-Normal11"/>
              <w:jc w:val="center"/>
              <w:rPr>
                <w:rFonts w:eastAsiaTheme="minorEastAsia"/>
                <w:noProof/>
              </w:rPr>
            </w:pPr>
            <w:r>
              <w:rPr>
                <w:noProof/>
              </w:rPr>
              <w:t>41</w:t>
            </w:r>
          </w:p>
        </w:tc>
        <w:tc>
          <w:tcPr>
            <w:tcW w:w="992" w:type="dxa"/>
            <w:shd w:val="clear" w:color="auto" w:fill="C6EFCE"/>
            <w:noWrap/>
            <w:vAlign w:val="center"/>
            <w:hideMark/>
          </w:tcPr>
          <w:p w14:paraId="62EC43D1" w14:textId="77777777" w:rsidR="006054AA" w:rsidRDefault="001F7667">
            <w:pPr>
              <w:pStyle w:val="P68B1DB1-Normal11"/>
              <w:jc w:val="center"/>
              <w:rPr>
                <w:rFonts w:eastAsiaTheme="minorEastAsia"/>
                <w:noProof/>
              </w:rPr>
            </w:pPr>
            <w:r>
              <w:rPr>
                <w:noProof/>
              </w:rPr>
              <w:t>Т2 Г.</w:t>
            </w:r>
          </w:p>
        </w:tc>
        <w:tc>
          <w:tcPr>
            <w:tcW w:w="709" w:type="dxa"/>
            <w:shd w:val="clear" w:color="auto" w:fill="C6EFCE"/>
            <w:noWrap/>
            <w:vAlign w:val="center"/>
            <w:hideMark/>
          </w:tcPr>
          <w:p w14:paraId="1CF28DDB" w14:textId="77777777" w:rsidR="006054AA" w:rsidRDefault="001F7667">
            <w:pPr>
              <w:pStyle w:val="P68B1DB1-Normal11"/>
              <w:jc w:val="center"/>
              <w:rPr>
                <w:rFonts w:eastAsiaTheme="minorEastAsia"/>
                <w:noProof/>
              </w:rPr>
            </w:pPr>
            <w:r>
              <w:rPr>
                <w:noProof/>
              </w:rPr>
              <w:t>2024</w:t>
            </w:r>
          </w:p>
        </w:tc>
        <w:tc>
          <w:tcPr>
            <w:tcW w:w="2595" w:type="dxa"/>
            <w:shd w:val="clear" w:color="auto" w:fill="C6EFCE"/>
            <w:noWrap/>
            <w:vAlign w:val="center"/>
            <w:hideMark/>
          </w:tcPr>
          <w:p w14:paraId="2038D7BD" w14:textId="77777777" w:rsidR="006054AA" w:rsidRDefault="001F7667">
            <w:pPr>
              <w:pStyle w:val="P68B1DB1-Normal11"/>
              <w:rPr>
                <w:rFonts w:eastAsiaTheme="minorEastAsia"/>
                <w:noProof/>
              </w:rPr>
            </w:pPr>
            <w:r>
              <w:rPr>
                <w:noProof/>
              </w:rPr>
              <w:t>Планираните интервенции са:</w:t>
            </w:r>
          </w:p>
          <w:p w14:paraId="3FB92495" w14:textId="77777777" w:rsidR="006054AA" w:rsidRDefault="001F7667">
            <w:pPr>
              <w:pStyle w:val="P68B1DB1-Normal11"/>
              <w:rPr>
                <w:rFonts w:eastAsiaTheme="minorEastAsia"/>
                <w:noProof/>
              </w:rPr>
            </w:pPr>
            <w:r>
              <w:rPr>
                <w:noProof/>
              </w:rPr>
              <w:t>Връзка „последна миля“: създаване на ефективни връзки между промишлените зони и железопътната мрежа TEN-T;</w:t>
            </w:r>
          </w:p>
          <w:p w14:paraId="3CBD4770" w14:textId="77777777" w:rsidR="006054AA" w:rsidRDefault="001F7667">
            <w:pPr>
              <w:pStyle w:val="P68B1DB1-Normal11"/>
              <w:rPr>
                <w:rFonts w:eastAsiaTheme="minorEastAsia"/>
                <w:noProof/>
              </w:rPr>
            </w:pPr>
            <w:r>
              <w:rPr>
                <w:noProof/>
              </w:rPr>
              <w:t>— Цифрова логистика и работи по енергийна и екологична ефективност;</w:t>
            </w:r>
          </w:p>
          <w:p w14:paraId="446A6F53" w14:textId="77777777" w:rsidR="006054AA" w:rsidRDefault="001F7667">
            <w:pPr>
              <w:pStyle w:val="P68B1DB1-Normal11"/>
              <w:rPr>
                <w:rFonts w:eastAsiaTheme="minorEastAsia"/>
                <w:noProof/>
              </w:rPr>
            </w:pPr>
            <w:r>
              <w:rPr>
                <w:noProof/>
              </w:rPr>
              <w:t>Укрепване на устойчивостта и сигурността на инфраструктурата във връзка с достъпа до пристанищата.</w:t>
            </w:r>
          </w:p>
          <w:p w14:paraId="423DA29C" w14:textId="77777777" w:rsidR="006054AA" w:rsidRDefault="001F7667">
            <w:pPr>
              <w:pStyle w:val="P68B1DB1-Normal11"/>
              <w:rPr>
                <w:rFonts w:eastAsiaTheme="minorEastAsia"/>
                <w:noProof/>
              </w:rPr>
            </w:pPr>
            <w:r>
              <w:rPr>
                <w:noProof/>
              </w:rPr>
              <w:t>Интервенциите трябва да са започнали (както се доказва със сертификата за започване на работа) за най-малко 22 връзки до последната миля с пристанища или промишлени зони на ZES; най-малко 15 интервенции за цифрова логистика, урбанизация или дейности за енергийна ефективност в същите области; четири интервенции за укрепване на устойчивостта на пристанищата.</w:t>
            </w:r>
          </w:p>
        </w:tc>
      </w:tr>
      <w:tr w:rsidR="006054AA" w14:paraId="02377444" w14:textId="77777777">
        <w:trPr>
          <w:trHeight w:val="313"/>
        </w:trPr>
        <w:tc>
          <w:tcPr>
            <w:tcW w:w="1419" w:type="dxa"/>
            <w:shd w:val="clear" w:color="auto" w:fill="C6EFCE"/>
            <w:noWrap/>
            <w:vAlign w:val="center"/>
            <w:hideMark/>
          </w:tcPr>
          <w:p w14:paraId="3B3F5C1B" w14:textId="77777777" w:rsidR="006054AA" w:rsidRDefault="001F7667">
            <w:pPr>
              <w:pStyle w:val="P68B1DB1-Normal11"/>
              <w:jc w:val="center"/>
              <w:rPr>
                <w:rFonts w:eastAsiaTheme="minorEastAsia"/>
                <w:noProof/>
              </w:rPr>
            </w:pPr>
            <w:r>
              <w:rPr>
                <w:noProof/>
              </w:rPr>
              <w:t>M5C3—13</w:t>
            </w:r>
          </w:p>
        </w:tc>
        <w:tc>
          <w:tcPr>
            <w:tcW w:w="1666" w:type="dxa"/>
            <w:shd w:val="clear" w:color="auto" w:fill="C6EFCE"/>
            <w:noWrap/>
            <w:vAlign w:val="center"/>
            <w:hideMark/>
          </w:tcPr>
          <w:p w14:paraId="08BD3BC6" w14:textId="3E9BFDAD" w:rsidR="006054AA" w:rsidRDefault="001F7667">
            <w:pPr>
              <w:pStyle w:val="P68B1DB1-Normal11"/>
              <w:jc w:val="center"/>
              <w:rPr>
                <w:rFonts w:eastAsiaTheme="minorEastAsia"/>
                <w:noProof/>
              </w:rPr>
            </w:pPr>
            <w:r>
              <w:rPr>
                <w:noProof/>
              </w:rPr>
              <w:t>Инвестиция 1.4: Инфраструктурни инвестиции за специалната икономическа зона</w:t>
            </w:r>
          </w:p>
        </w:tc>
        <w:tc>
          <w:tcPr>
            <w:tcW w:w="1169" w:type="dxa"/>
            <w:shd w:val="clear" w:color="auto" w:fill="C6EFCE"/>
            <w:noWrap/>
            <w:vAlign w:val="center"/>
            <w:hideMark/>
          </w:tcPr>
          <w:p w14:paraId="5EAAC4BD" w14:textId="77777777" w:rsidR="006054AA" w:rsidRDefault="001F7667">
            <w:pPr>
              <w:pStyle w:val="P68B1DB1-Normal11"/>
              <w:jc w:val="center"/>
              <w:rPr>
                <w:rFonts w:eastAsiaTheme="minorEastAsia"/>
                <w:noProof/>
              </w:rPr>
            </w:pPr>
            <w:r>
              <w:rPr>
                <w:noProof/>
              </w:rPr>
              <w:t>Целеви</w:t>
            </w:r>
          </w:p>
        </w:tc>
        <w:tc>
          <w:tcPr>
            <w:tcW w:w="1559" w:type="dxa"/>
            <w:shd w:val="clear" w:color="auto" w:fill="C6EFCE"/>
            <w:noWrap/>
            <w:vAlign w:val="center"/>
            <w:hideMark/>
          </w:tcPr>
          <w:p w14:paraId="584A6E23" w14:textId="77777777" w:rsidR="006054AA" w:rsidRDefault="001F7667">
            <w:pPr>
              <w:pStyle w:val="P68B1DB1-Normal11"/>
              <w:jc w:val="center"/>
              <w:rPr>
                <w:rFonts w:eastAsia="Calibri"/>
                <w:noProof/>
              </w:rPr>
            </w:pPr>
            <w:r>
              <w:rPr>
                <w:noProof/>
              </w:rPr>
              <w:t>Приключване на инфраструктурните интервенции в специалните икономически зони.</w:t>
            </w:r>
          </w:p>
        </w:tc>
        <w:tc>
          <w:tcPr>
            <w:tcW w:w="1701" w:type="dxa"/>
            <w:shd w:val="clear" w:color="auto" w:fill="C6EFCE"/>
            <w:noWrap/>
            <w:vAlign w:val="center"/>
            <w:hideMark/>
          </w:tcPr>
          <w:p w14:paraId="3A7008A3" w14:textId="77777777" w:rsidR="006054AA" w:rsidRDefault="001F7667">
            <w:pPr>
              <w:pStyle w:val="P68B1DB1-Normal11"/>
              <w:jc w:val="center"/>
              <w:rPr>
                <w:noProof/>
              </w:rPr>
            </w:pPr>
            <w:r>
              <w:rPr>
                <w:noProof/>
              </w:rPr>
              <w:t>НЯМА</w:t>
            </w:r>
          </w:p>
        </w:tc>
        <w:tc>
          <w:tcPr>
            <w:tcW w:w="1417" w:type="dxa"/>
            <w:shd w:val="clear" w:color="auto" w:fill="C6EFCE"/>
            <w:noWrap/>
            <w:vAlign w:val="center"/>
            <w:hideMark/>
          </w:tcPr>
          <w:p w14:paraId="77081979" w14:textId="77777777" w:rsidR="006054AA" w:rsidRDefault="001F7667">
            <w:pPr>
              <w:pStyle w:val="P68B1DB1-Normal11"/>
              <w:jc w:val="center"/>
              <w:rPr>
                <w:rFonts w:eastAsiaTheme="minorEastAsia"/>
                <w:noProof/>
              </w:rPr>
            </w:pPr>
            <w:r>
              <w:rPr>
                <w:noProof/>
              </w:rPr>
              <w:t>Брой</w:t>
            </w:r>
          </w:p>
        </w:tc>
        <w:tc>
          <w:tcPr>
            <w:tcW w:w="1134" w:type="dxa"/>
            <w:shd w:val="clear" w:color="auto" w:fill="C6EFCE"/>
            <w:noWrap/>
            <w:vAlign w:val="center"/>
            <w:hideMark/>
          </w:tcPr>
          <w:p w14:paraId="0CC62302" w14:textId="77777777" w:rsidR="006054AA" w:rsidRDefault="001F7667">
            <w:pPr>
              <w:pStyle w:val="P68B1DB1-Normal11"/>
              <w:jc w:val="center"/>
              <w:rPr>
                <w:rFonts w:eastAsiaTheme="minorEastAsia"/>
                <w:noProof/>
              </w:rPr>
            </w:pPr>
            <w:r>
              <w:rPr>
                <w:noProof/>
              </w:rPr>
              <w:t>0</w:t>
            </w:r>
          </w:p>
        </w:tc>
        <w:tc>
          <w:tcPr>
            <w:tcW w:w="993" w:type="dxa"/>
            <w:shd w:val="clear" w:color="auto" w:fill="C6EFCE"/>
            <w:noWrap/>
            <w:vAlign w:val="center"/>
            <w:hideMark/>
          </w:tcPr>
          <w:p w14:paraId="2839B482" w14:textId="77777777" w:rsidR="006054AA" w:rsidRDefault="001F7667">
            <w:pPr>
              <w:pStyle w:val="P68B1DB1-Normal11"/>
              <w:jc w:val="center"/>
              <w:rPr>
                <w:rFonts w:eastAsiaTheme="minorEastAsia"/>
                <w:noProof/>
              </w:rPr>
            </w:pPr>
            <w:r>
              <w:rPr>
                <w:noProof/>
              </w:rPr>
              <w:t>41</w:t>
            </w:r>
          </w:p>
        </w:tc>
        <w:tc>
          <w:tcPr>
            <w:tcW w:w="992" w:type="dxa"/>
            <w:shd w:val="clear" w:color="auto" w:fill="C6EFCE"/>
            <w:noWrap/>
            <w:vAlign w:val="center"/>
            <w:hideMark/>
          </w:tcPr>
          <w:p w14:paraId="48CE9C38" w14:textId="77777777" w:rsidR="006054AA" w:rsidRDefault="001F7667">
            <w:pPr>
              <w:pStyle w:val="P68B1DB1-Normal11"/>
              <w:jc w:val="center"/>
              <w:rPr>
                <w:rFonts w:eastAsiaTheme="minorEastAsia"/>
                <w:noProof/>
              </w:rPr>
            </w:pPr>
            <w:r>
              <w:rPr>
                <w:noProof/>
              </w:rPr>
              <w:t>Т2 Г.</w:t>
            </w:r>
          </w:p>
        </w:tc>
        <w:tc>
          <w:tcPr>
            <w:tcW w:w="709" w:type="dxa"/>
            <w:shd w:val="clear" w:color="auto" w:fill="C6EFCE"/>
            <w:noWrap/>
            <w:vAlign w:val="center"/>
            <w:hideMark/>
          </w:tcPr>
          <w:p w14:paraId="394BE4A4" w14:textId="77777777" w:rsidR="006054AA" w:rsidRDefault="001F7667">
            <w:pPr>
              <w:pStyle w:val="P68B1DB1-Normal11"/>
              <w:jc w:val="center"/>
              <w:rPr>
                <w:rFonts w:eastAsiaTheme="minorEastAsia"/>
                <w:noProof/>
              </w:rPr>
            </w:pPr>
            <w:r>
              <w:rPr>
                <w:noProof/>
              </w:rPr>
              <w:t>2026</w:t>
            </w:r>
          </w:p>
        </w:tc>
        <w:tc>
          <w:tcPr>
            <w:tcW w:w="2595" w:type="dxa"/>
            <w:shd w:val="clear" w:color="auto" w:fill="C6EFCE"/>
            <w:noWrap/>
            <w:vAlign w:val="center"/>
          </w:tcPr>
          <w:p w14:paraId="2F8F2851" w14:textId="7AB4E684" w:rsidR="006054AA" w:rsidRDefault="001F7667">
            <w:pPr>
              <w:pStyle w:val="P68B1DB1-Normal11"/>
              <w:rPr>
                <w:rFonts w:eastAsia="Calibri"/>
                <w:noProof/>
              </w:rPr>
            </w:pPr>
            <w:r>
              <w:rPr>
                <w:noProof/>
              </w:rPr>
              <w:t>Завършване на най-малко 22 връзка до последната миля с пристанища или промишлени зони на ZES; най-малко 15 интервенции за цифрова логистика, урбанизация или дейности за енергийна ефективност в същите области; и са завършени най-малко 4 интервенции за укрепване на устойчивостта на пристанищата.</w:t>
            </w:r>
          </w:p>
          <w:p w14:paraId="220A82DF" w14:textId="77777777" w:rsidR="006054AA" w:rsidRDefault="006054AA">
            <w:pPr>
              <w:rPr>
                <w:rFonts w:ascii="Arial Narrow" w:eastAsiaTheme="minorEastAsia" w:hAnsi="Arial Narrow"/>
                <w:noProof/>
                <w:color w:val="006100"/>
                <w:sz w:val="20"/>
              </w:rPr>
            </w:pPr>
          </w:p>
          <w:p w14:paraId="084B5784" w14:textId="2EB6BF99" w:rsidR="006054AA" w:rsidRDefault="001F7667">
            <w:pPr>
              <w:pStyle w:val="P68B1DB1-Normal11"/>
              <w:rPr>
                <w:rFonts w:eastAsiaTheme="minorEastAsia"/>
                <w:noProof/>
              </w:rPr>
            </w:pPr>
            <w:r>
              <w:rPr>
                <w:noProof/>
              </w:rPr>
              <w:t>Списъкът с интервенции включва например следните или еквивалентни мерки:</w:t>
            </w:r>
          </w:p>
          <w:p w14:paraId="4D6926C3" w14:textId="77777777" w:rsidR="006054AA" w:rsidRDefault="006054AA">
            <w:pPr>
              <w:rPr>
                <w:rFonts w:ascii="Arial Narrow" w:eastAsiaTheme="minorEastAsia" w:hAnsi="Arial Narrow"/>
                <w:noProof/>
                <w:color w:val="006100"/>
                <w:sz w:val="20"/>
              </w:rPr>
            </w:pPr>
          </w:p>
          <w:p w14:paraId="5600EF70" w14:textId="77777777" w:rsidR="006054AA" w:rsidRDefault="001F7667">
            <w:pPr>
              <w:pStyle w:val="P68B1DB1-Normal11"/>
              <w:rPr>
                <w:rFonts w:eastAsiaTheme="minorEastAsia"/>
                <w:noProof/>
              </w:rPr>
            </w:pPr>
            <w:r>
              <w:rPr>
                <w:noProof/>
              </w:rPr>
              <w:t>• Завършване на инфраструктурата на широкообхватната трансевропейска транспортна мрежа в пристанищата Vasto и Ortona и промишлените зони Saletti и Manoppello (Abruzzo)</w:t>
            </w:r>
          </w:p>
          <w:p w14:paraId="7CEE8B67" w14:textId="77777777" w:rsidR="006054AA" w:rsidRDefault="001F7667">
            <w:pPr>
              <w:pStyle w:val="P68B1DB1-Normal11"/>
              <w:rPr>
                <w:rFonts w:eastAsiaTheme="minorEastAsia"/>
                <w:noProof/>
              </w:rPr>
            </w:pPr>
            <w:r>
              <w:rPr>
                <w:noProof/>
              </w:rPr>
              <w:t>• Инфраструктура в пристанището на Салерно и промишлените зони Uffita, Marcianise, Battipaglia и Nola (Кампания)</w:t>
            </w:r>
          </w:p>
          <w:p w14:paraId="6666E7F3" w14:textId="77777777" w:rsidR="006054AA" w:rsidRDefault="001F7667">
            <w:pPr>
              <w:pStyle w:val="P68B1DB1-Normal11"/>
              <w:rPr>
                <w:rFonts w:eastAsiaTheme="minorEastAsia"/>
                <w:noProof/>
              </w:rPr>
            </w:pPr>
            <w:r>
              <w:rPr>
                <w:noProof/>
              </w:rPr>
              <w:t>• Връзки между пристанище Manfredonia и градските райони Termoli, Brindisi и Lecce (Puglia и Molise).</w:t>
            </w:r>
          </w:p>
          <w:p w14:paraId="14DD4719" w14:textId="77777777" w:rsidR="006054AA" w:rsidRDefault="006054AA">
            <w:pPr>
              <w:rPr>
                <w:rFonts w:ascii="Arial Narrow" w:eastAsiaTheme="minorEastAsia" w:hAnsi="Arial Narrow"/>
                <w:noProof/>
                <w:color w:val="006100"/>
                <w:sz w:val="20"/>
              </w:rPr>
            </w:pPr>
          </w:p>
          <w:p w14:paraId="07FD3A31" w14:textId="77777777" w:rsidR="006054AA" w:rsidRDefault="001F7667">
            <w:pPr>
              <w:pStyle w:val="P68B1DB1-Normal11"/>
              <w:rPr>
                <w:rFonts w:eastAsiaTheme="minorEastAsia"/>
                <w:noProof/>
              </w:rPr>
            </w:pPr>
            <w:r>
              <w:rPr>
                <w:noProof/>
              </w:rPr>
              <w:t>• Връзки между пристанището на Таранто и градските райони Таранто, Потенца и Матера (Пулия и Базиликата).</w:t>
            </w:r>
          </w:p>
          <w:p w14:paraId="18AE0E72" w14:textId="77777777" w:rsidR="006054AA" w:rsidRDefault="006054AA">
            <w:pPr>
              <w:jc w:val="center"/>
              <w:rPr>
                <w:rFonts w:ascii="Arial Narrow" w:eastAsiaTheme="minorEastAsia" w:hAnsi="Arial Narrow"/>
                <w:noProof/>
                <w:color w:val="006100"/>
                <w:sz w:val="20"/>
              </w:rPr>
            </w:pPr>
          </w:p>
          <w:p w14:paraId="686CD812" w14:textId="77777777" w:rsidR="006054AA" w:rsidRDefault="001F7667">
            <w:pPr>
              <w:pStyle w:val="P68B1DB1-Normal11"/>
              <w:rPr>
                <w:rFonts w:eastAsiaTheme="minorEastAsia"/>
                <w:noProof/>
              </w:rPr>
            </w:pPr>
            <w:r>
              <w:rPr>
                <w:noProof/>
              </w:rPr>
              <w:t>• Инфраструктурни интервенции за достъпност до пристанището на Джоя Тауро (Калабрия).</w:t>
            </w:r>
          </w:p>
          <w:p w14:paraId="32AA0E45" w14:textId="77777777" w:rsidR="006054AA" w:rsidRDefault="006054AA">
            <w:pPr>
              <w:rPr>
                <w:rFonts w:ascii="Arial Narrow" w:eastAsiaTheme="minorEastAsia" w:hAnsi="Arial Narrow"/>
                <w:noProof/>
                <w:color w:val="006100"/>
                <w:sz w:val="20"/>
              </w:rPr>
            </w:pPr>
          </w:p>
          <w:p w14:paraId="40F23DD7" w14:textId="77777777" w:rsidR="006054AA" w:rsidRDefault="001F7667">
            <w:pPr>
              <w:pStyle w:val="P68B1DB1-Normal11"/>
              <w:rPr>
                <w:rFonts w:eastAsiaTheme="minorEastAsia"/>
                <w:noProof/>
              </w:rPr>
            </w:pPr>
            <w:r>
              <w:rPr>
                <w:noProof/>
              </w:rPr>
              <w:t>• Достъпност на инфраструктурата до пристанището на Каляри (Sardegna)</w:t>
            </w:r>
          </w:p>
          <w:p w14:paraId="283B339A" w14:textId="66AB4C8C" w:rsidR="006054AA" w:rsidRDefault="001F7667">
            <w:pPr>
              <w:pStyle w:val="P68B1DB1-Normal11"/>
              <w:rPr>
                <w:rFonts w:eastAsiaTheme="minorEastAsia"/>
                <w:noProof/>
              </w:rPr>
            </w:pPr>
            <w:r>
              <w:rPr>
                <w:noProof/>
              </w:rPr>
              <w:t>• Инфраструктурни интервенции за достъпност до пристанищата Аугуста, Рипорто, Санта Агата ди Митело и Гела (Сицилия)</w:t>
            </w:r>
          </w:p>
        </w:tc>
      </w:tr>
    </w:tbl>
    <w:p w14:paraId="7374AFFA" w14:textId="77777777" w:rsidR="006054AA" w:rsidRDefault="006054AA">
      <w:pPr>
        <w:spacing w:before="120" w:after="120"/>
        <w:rPr>
          <w:noProof/>
        </w:rPr>
        <w:sectPr w:rsidR="006054AA" w:rsidSect="006123E1">
          <w:headerReference w:type="even" r:id="rId344"/>
          <w:headerReference w:type="default" r:id="rId345"/>
          <w:footerReference w:type="even" r:id="rId346"/>
          <w:footerReference w:type="default" r:id="rId347"/>
          <w:headerReference w:type="first" r:id="rId348"/>
          <w:footerReference w:type="first" r:id="rId349"/>
          <w:pgSz w:w="16839" w:h="11907" w:orient="landscape"/>
          <w:pgMar w:top="1440" w:right="1440" w:bottom="1440" w:left="1440" w:header="567" w:footer="567" w:gutter="0"/>
          <w:cols w:space="720"/>
          <w:docGrid w:linePitch="360"/>
        </w:sectPr>
      </w:pPr>
    </w:p>
    <w:p w14:paraId="4445C0A6" w14:textId="1A20A820" w:rsidR="006054AA" w:rsidRDefault="001F7667">
      <w:pPr>
        <w:pStyle w:val="Heading2"/>
        <w:numPr>
          <w:ilvl w:val="0"/>
          <w:numId w:val="0"/>
        </w:numPr>
        <w:ind w:left="850" w:hanging="850"/>
        <w:rPr>
          <w:noProof/>
        </w:rPr>
      </w:pPr>
      <w:r>
        <w:rPr>
          <w:noProof/>
        </w:rPr>
        <w:t>МИСИЯ 6, КОМПОНЕНТ 1: Мрежи за близост, съоръжения и телемедицина за териториална здравна помощ</w:t>
      </w:r>
    </w:p>
    <w:p w14:paraId="42FC74E6" w14:textId="77777777" w:rsidR="006054AA" w:rsidRDefault="001F7667">
      <w:pPr>
        <w:spacing w:before="120"/>
        <w:jc w:val="both"/>
        <w:rPr>
          <w:noProof/>
        </w:rPr>
      </w:pPr>
      <w:r>
        <w:rPr>
          <w:noProof/>
        </w:rPr>
        <w:t xml:space="preserve">Целта на този компонент е да се укрепи италианската национална здравна служба (NHS), като наред с другото се подобри защитата от рискове за здравето, свързани с околната среда и изменението на климата, и се отговори по-добре на нуждите на общностите по отношение на местните грижи и помощ. Местното здравно подпомагане е разпокъсано и е предмет на регионални различия, които водят до различни равнища на предоставяне на здравни грижи и здравни резултати в различните региони. Предоставянето на интегрирани услуги за домашни грижи се счита за ниско, а различните доставчици на здравни и социални услуги се считат за слабо интегрирани. Освен това капацитетът на италианската национална здравна служба (NHS) за справяне с рисковете за здравето, свързани с излагането на околната среда и изменението на климата, беше изпитан от няколко екологични кризи и извънредни ситуации, които подчертаха предизвикателствата, дължащи се на липсата на достатъчно превантивни действия. Целта на този компонент на италианския план за възстановяване и устойчивост е да се укрепи италианската национална здравна служба (NHS) чрез, наред с другото, подобряване на защитата от рискове за здравето, свързани с околната среда и изменението на климата, и по-добро реагиране на нуждите на общностите по отношение на грижите и помощта на местно равнище. </w:t>
      </w:r>
    </w:p>
    <w:p w14:paraId="6A1D782A" w14:textId="77777777" w:rsidR="006054AA" w:rsidRDefault="001F7667">
      <w:pPr>
        <w:spacing w:before="120"/>
        <w:jc w:val="both"/>
        <w:rPr>
          <w:noProof/>
        </w:rPr>
      </w:pPr>
      <w:r>
        <w:rPr>
          <w:noProof/>
        </w:rPr>
        <w:t>Инвестициите и реформите по този компонент допринасят за изпълнението на специфичните за държавата препоръки, отправени към Италия през 2019 г. и 2020 г., относно необходимостта от</w:t>
      </w:r>
      <w:r>
        <w:rPr>
          <w:noProof/>
          <w:color w:val="333333"/>
        </w:rPr>
        <w:t xml:space="preserve"> „съсредоточаване на свързаната с инвестициите икономическа политика върху научните изследвания и иновациите и качеството на инфраструктурата, като се вземат предвид регионалните различия</w:t>
      </w:r>
      <w:r>
        <w:rPr>
          <w:noProof/>
        </w:rPr>
        <w:t xml:space="preserve"> (специфични за всяка държава препоръки 3 и 2019), „укрепване на устойчивостта и капацитета на здравната система в областта на здравните работници, медицинските продукти и инфраструктурата от критично значение „(специфични за държавата препоръки 1 и 2020) и „съсредоточаване на инвестициите върху екологичния и цифровия преход, по-специално върху [...] укрепената цифрова инфраструктура, за да се гарантира предоставянето на основни услуги“ (специфични за всяка държава препоръки 3 и 2020).</w:t>
      </w:r>
    </w:p>
    <w:p w14:paraId="0797D095" w14:textId="77777777" w:rsidR="006054AA" w:rsidRDefault="006054AA">
      <w:pPr>
        <w:spacing w:before="120"/>
        <w:jc w:val="both"/>
        <w:rPr>
          <w:noProof/>
        </w:rPr>
      </w:pPr>
    </w:p>
    <w:p w14:paraId="66299821" w14:textId="77777777" w:rsidR="006054AA" w:rsidRDefault="001F7667">
      <w:pPr>
        <w:pStyle w:val="Heading3"/>
        <w:numPr>
          <w:ilvl w:val="0"/>
          <w:numId w:val="0"/>
        </w:numPr>
        <w:ind w:left="850" w:hanging="850"/>
        <w:rPr>
          <w:b/>
          <w:i w:val="0"/>
          <w:noProof/>
          <w:color w:val="4F81BD" w:themeColor="accent1"/>
          <w:u w:val="single"/>
        </w:rPr>
      </w:pPr>
      <w:r>
        <w:rPr>
          <w:b/>
          <w:i w:val="0"/>
          <w:noProof/>
          <w:u w:val="single"/>
        </w:rPr>
        <w:t xml:space="preserve">O.1. </w:t>
      </w:r>
      <w:r>
        <w:rPr>
          <w:noProof/>
        </w:rPr>
        <w:tab/>
      </w:r>
      <w:r>
        <w:rPr>
          <w:b/>
          <w:i w:val="0"/>
          <w:noProof/>
          <w:u w:val="single"/>
        </w:rPr>
        <w:t>Описание на реформите и инвестициите за безвъзмездна финансова подкрепа</w:t>
      </w:r>
    </w:p>
    <w:p w14:paraId="64BE0613" w14:textId="77777777" w:rsidR="006054AA" w:rsidRDefault="001F7667">
      <w:pPr>
        <w:pStyle w:val="P68B1DB1-Normal15"/>
        <w:spacing w:before="120" w:after="120"/>
        <w:jc w:val="both"/>
        <w:rPr>
          <w:noProof/>
        </w:rPr>
      </w:pPr>
      <w:r>
        <w:rPr>
          <w:noProof/>
        </w:rPr>
        <w:t>НЯМА</w:t>
      </w:r>
    </w:p>
    <w:p w14:paraId="68FBE9CE" w14:textId="77777777" w:rsidR="006054AA" w:rsidRDefault="001F7667">
      <w:pPr>
        <w:pStyle w:val="Heading3"/>
        <w:numPr>
          <w:ilvl w:val="0"/>
          <w:numId w:val="0"/>
        </w:numPr>
        <w:ind w:left="850" w:hanging="850"/>
        <w:rPr>
          <w:b/>
          <w:i w:val="0"/>
          <w:noProof/>
          <w:u w:val="single"/>
        </w:rPr>
      </w:pPr>
      <w:r>
        <w:rPr>
          <w:b/>
          <w:i w:val="0"/>
          <w:noProof/>
          <w:u w:val="single"/>
        </w:rPr>
        <w:t xml:space="preserve">O.2. </w:t>
      </w:r>
      <w:r>
        <w:rPr>
          <w:noProof/>
        </w:rPr>
        <w:tab/>
      </w:r>
      <w:r>
        <w:rPr>
          <w:b/>
          <w:i w:val="0"/>
          <w:noProof/>
          <w:u w:val="single"/>
        </w:rPr>
        <w:t>Ключови етапи, цели, показатели и график за мониторинг и изпълнение на безвъзмездната финансова подкрепа</w:t>
      </w:r>
    </w:p>
    <w:p w14:paraId="23457B0D" w14:textId="77777777" w:rsidR="006054AA" w:rsidRDefault="001F7667">
      <w:pPr>
        <w:pStyle w:val="P68B1DB1-Normal15"/>
        <w:spacing w:before="120" w:after="120"/>
        <w:jc w:val="both"/>
        <w:rPr>
          <w:noProof/>
        </w:rPr>
      </w:pPr>
      <w:r>
        <w:rPr>
          <w:noProof/>
        </w:rPr>
        <w:t>НЯМА</w:t>
      </w:r>
    </w:p>
    <w:p w14:paraId="3B8E54D3" w14:textId="70C9D095" w:rsidR="006054AA" w:rsidRDefault="001F7667">
      <w:pPr>
        <w:spacing w:after="200" w:line="276" w:lineRule="auto"/>
        <w:rPr>
          <w:noProof/>
        </w:rPr>
      </w:pPr>
      <w:r>
        <w:rPr>
          <w:noProof/>
        </w:rPr>
        <w:br w:type="page"/>
      </w:r>
    </w:p>
    <w:p w14:paraId="3F102C95" w14:textId="77777777" w:rsidR="006054AA" w:rsidRDefault="001F7667">
      <w:pPr>
        <w:pStyle w:val="Heading3"/>
        <w:numPr>
          <w:ilvl w:val="2"/>
          <w:numId w:val="0"/>
        </w:numPr>
        <w:ind w:left="850" w:hanging="850"/>
        <w:rPr>
          <w:b/>
          <w:i w:val="0"/>
          <w:noProof/>
          <w:color w:val="4F81BD" w:themeColor="accent1"/>
          <w:u w:val="single"/>
        </w:rPr>
      </w:pPr>
      <w:r>
        <w:rPr>
          <w:b/>
          <w:i w:val="0"/>
          <w:noProof/>
          <w:u w:val="single"/>
        </w:rPr>
        <w:t xml:space="preserve">O.3. </w:t>
      </w:r>
      <w:r>
        <w:rPr>
          <w:noProof/>
        </w:rPr>
        <w:tab/>
      </w:r>
      <w:r>
        <w:rPr>
          <w:b/>
          <w:i w:val="0"/>
          <w:noProof/>
          <w:u w:val="single"/>
        </w:rPr>
        <w:t xml:space="preserve">Описание на реформите и инвестициите за заема </w:t>
      </w:r>
    </w:p>
    <w:p w14:paraId="785CFAAF" w14:textId="77777777" w:rsidR="006054AA" w:rsidRDefault="001F7667">
      <w:pPr>
        <w:pStyle w:val="P68B1DB1-Normal2"/>
        <w:spacing w:before="120" w:after="120"/>
        <w:jc w:val="both"/>
        <w:rPr>
          <w:rFonts w:eastAsia="Calibri"/>
          <w:noProof/>
        </w:rPr>
      </w:pPr>
      <w:r>
        <w:rPr>
          <w:noProof/>
        </w:rPr>
        <w:t>Реформа 1:  Определяне на нов организационен модел за Териториалната мрежа за здравно подпомагане.</w:t>
      </w:r>
    </w:p>
    <w:p w14:paraId="220A0975" w14:textId="77777777" w:rsidR="006054AA" w:rsidRDefault="001F7667">
      <w:pPr>
        <w:spacing w:before="120" w:after="120"/>
        <w:jc w:val="both"/>
        <w:rPr>
          <w:rFonts w:eastAsia="Calibri"/>
          <w:noProof/>
        </w:rPr>
      </w:pPr>
      <w:r>
        <w:rPr>
          <w:noProof/>
        </w:rPr>
        <w:t>Реформата представлява подготвителен елемент за инвестициите на компонента. Тя установява нов модел на териториално здравно подпомагане и създава нова институционална структура за превенция на здравето, околната среда и климата. Това ще бъде постигнато чрез:</w:t>
      </w:r>
    </w:p>
    <w:p w14:paraId="761986F9" w14:textId="77777777" w:rsidR="006054AA" w:rsidRDefault="001F7667">
      <w:pPr>
        <w:numPr>
          <w:ilvl w:val="0"/>
          <w:numId w:val="44"/>
        </w:numPr>
        <w:spacing w:before="120" w:after="120"/>
        <w:ind w:left="360"/>
        <w:jc w:val="both"/>
        <w:rPr>
          <w:rFonts w:eastAsiaTheme="minorEastAsia"/>
          <w:noProof/>
        </w:rPr>
      </w:pPr>
      <w:r>
        <w:rPr>
          <w:noProof/>
        </w:rPr>
        <w:t>Създаване на нов организационен модел за мрежата за териториално здравно подпомагане чрез определяне на регулаторна рамка, която да определя структурните, технологичните и организационните стандарти.</w:t>
      </w:r>
    </w:p>
    <w:p w14:paraId="4C5BE482" w14:textId="77777777" w:rsidR="006054AA" w:rsidRDefault="001F7667">
      <w:pPr>
        <w:numPr>
          <w:ilvl w:val="0"/>
          <w:numId w:val="44"/>
        </w:numPr>
        <w:spacing w:before="120" w:after="120"/>
        <w:ind w:left="360"/>
        <w:jc w:val="both"/>
        <w:rPr>
          <w:rFonts w:eastAsiaTheme="minorEastAsia"/>
          <w:noProof/>
        </w:rPr>
      </w:pPr>
      <w:r>
        <w:rPr>
          <w:noProof/>
        </w:rPr>
        <w:t>Определяне на нова институционална структура за профилактика на здравето, околната среда и климата, следвайки интегриран подход („Едно здраве „) и цялостна визия („здраве на планетата“).</w:t>
      </w:r>
    </w:p>
    <w:p w14:paraId="2C30A877" w14:textId="77777777" w:rsidR="006054AA" w:rsidRDefault="001F7667">
      <w:pPr>
        <w:pStyle w:val="P68B1DB1-Normal2"/>
        <w:spacing w:before="120" w:after="120"/>
        <w:jc w:val="both"/>
        <w:rPr>
          <w:rFonts w:eastAsia="Calibri"/>
          <w:noProof/>
        </w:rPr>
      </w:pPr>
      <w:r>
        <w:rPr>
          <w:noProof/>
        </w:rPr>
        <w:t>Инвестиция 1.1: Общински здравни домове за подобряване на териториалното здравно подпомагане.</w:t>
      </w:r>
    </w:p>
    <w:p w14:paraId="61BBBA11" w14:textId="77777777" w:rsidR="006054AA" w:rsidRDefault="001F7667">
      <w:pPr>
        <w:spacing w:before="120" w:after="120"/>
        <w:jc w:val="both"/>
        <w:rPr>
          <w:rFonts w:eastAsia="Calibri"/>
          <w:noProof/>
        </w:rPr>
      </w:pPr>
      <w:r>
        <w:rPr>
          <w:noProof/>
        </w:rPr>
        <w:t>Инвестиционният проект се състои в създаването и привеждането в действие на най-малко 1 038 здравни къщи на Общността чрез активиране, разработване и обединяване на услуги за първична медицинска помощ и изграждане на (енергийно ефективни) центрове за предоставяне на помощ за интегриран отговор на нуждите от грижи.</w:t>
      </w:r>
    </w:p>
    <w:p w14:paraId="53CE1FA2" w14:textId="77777777" w:rsidR="006054AA" w:rsidRDefault="001F7667">
      <w:pPr>
        <w:pStyle w:val="P68B1DB1-Normal2"/>
        <w:spacing w:before="120" w:after="120"/>
        <w:jc w:val="both"/>
        <w:rPr>
          <w:rFonts w:eastAsia="Calibri"/>
          <w:noProof/>
        </w:rPr>
      </w:pPr>
      <w:r>
        <w:rPr>
          <w:noProof/>
        </w:rPr>
        <w:t>Инвестиция 1.2: Дом като първо място за полагане на грижи и телемедицина</w:t>
      </w:r>
    </w:p>
    <w:p w14:paraId="25A06724" w14:textId="77777777" w:rsidR="006054AA" w:rsidRDefault="001F7667">
      <w:pPr>
        <w:spacing w:before="120" w:after="120"/>
        <w:jc w:val="both"/>
        <w:rPr>
          <w:rFonts w:eastAsia="Calibri"/>
          <w:noProof/>
        </w:rPr>
      </w:pPr>
      <w:r>
        <w:rPr>
          <w:noProof/>
        </w:rPr>
        <w:t>Инвестицията се състои в широкомащабно приемане на телемедицински решения и подкрепа за иновациите в здравеопазването чрез следните мерки:</w:t>
      </w:r>
    </w:p>
    <w:p w14:paraId="15A18907" w14:textId="77777777" w:rsidR="006054AA" w:rsidRDefault="001F7667">
      <w:pPr>
        <w:numPr>
          <w:ilvl w:val="0"/>
          <w:numId w:val="43"/>
        </w:numPr>
        <w:spacing w:before="120" w:after="120"/>
        <w:ind w:left="357" w:hanging="357"/>
        <w:jc w:val="both"/>
        <w:rPr>
          <w:rFonts w:eastAsiaTheme="minorEastAsia"/>
          <w:noProof/>
        </w:rPr>
      </w:pPr>
      <w:r>
        <w:rPr>
          <w:noProof/>
        </w:rPr>
        <w:t xml:space="preserve">Домашните грижи като първа точка за подпомагане (инвестиция 1.2.1) — Целта е да се увеличи броят на хората, лекувани в домашни условия, до 10 % от населението над 65 години чрез инвестиции в хардуер и засилено предоставяне на услуги.   </w:t>
      </w:r>
    </w:p>
    <w:p w14:paraId="711286D0" w14:textId="77777777" w:rsidR="006054AA" w:rsidRDefault="001F7667">
      <w:pPr>
        <w:numPr>
          <w:ilvl w:val="0"/>
          <w:numId w:val="43"/>
        </w:numPr>
        <w:spacing w:before="120" w:after="120"/>
        <w:ind w:left="357" w:hanging="357"/>
        <w:jc w:val="both"/>
        <w:rPr>
          <w:rFonts w:eastAsiaTheme="minorEastAsia"/>
          <w:noProof/>
        </w:rPr>
      </w:pPr>
      <w:r>
        <w:rPr>
          <w:noProof/>
        </w:rPr>
        <w:t>Териториални координационни центрове (Инвестиции 1.2.2) — планираната инвестиция се отнася до създаването на най-малко 480 териториални координационни центъра („Centrali Operative Territoriali“), които имат за цел да свържат и координират различни териториални, социално-здравни и болнични услуги, както и мрежата за спешна помощ при извънредни ситуации. Очаква се териториалните координационни центрове да гарантират дистанционния контрол на изделията, предоставяни на пациентите, да подпомагат обмена на информация между здравните специалисти и да представляват отправна точка за лицата, полагащи грижи, и нуждите на пациентите.</w:t>
      </w:r>
    </w:p>
    <w:p w14:paraId="6ECADF62" w14:textId="77777777" w:rsidR="006054AA" w:rsidRDefault="001F7667">
      <w:pPr>
        <w:numPr>
          <w:ilvl w:val="0"/>
          <w:numId w:val="43"/>
        </w:numPr>
        <w:spacing w:before="120" w:after="120"/>
        <w:ind w:left="357" w:hanging="357"/>
        <w:jc w:val="both"/>
        <w:rPr>
          <w:rFonts w:eastAsiaTheme="minorEastAsia"/>
          <w:noProof/>
        </w:rPr>
      </w:pPr>
      <w:r>
        <w:rPr>
          <w:noProof/>
        </w:rPr>
        <w:t>Телемедицината за по-добра подкрепа на пациентите с хронични заболявания (инвестиция 1.2.3) — Целта на инвестицията е (1) да се финансират проекти, които дават възможност за дистанционни взаимодействия между лекар и пациент, по-специално диагностика и мониторинг, (2) създаване на национална платформа за скрининг на проекти в областта на телемедицината (свързана с мисия 6 Компонент 2 Инвестиция 1.3) и (3) финансиране на ad hoc научноизследователски инициативи в областта на цифровите технологии в областта на здравеопазването и грижите.</w:t>
      </w:r>
    </w:p>
    <w:p w14:paraId="77E89C53" w14:textId="77777777" w:rsidR="006054AA" w:rsidRDefault="001F7667">
      <w:pPr>
        <w:spacing w:before="120" w:after="120"/>
        <w:jc w:val="both"/>
        <w:rPr>
          <w:rFonts w:eastAsiaTheme="minorEastAsia"/>
          <w:noProof/>
        </w:rPr>
      </w:pPr>
      <w:r>
        <w:rPr>
          <w:noProof/>
        </w:rPr>
        <w:t>Допълнителни интервенции с връзка с домашните грижи са изброени в мисия 5, компонент 2, по-специално реформи 1 и 2 и инвестиции 1 и 2.</w:t>
      </w:r>
    </w:p>
    <w:p w14:paraId="31C20162" w14:textId="77777777" w:rsidR="006054AA" w:rsidRDefault="001F7667">
      <w:pPr>
        <w:pStyle w:val="P68B1DB1-Normal2"/>
        <w:spacing w:before="120" w:after="120"/>
        <w:jc w:val="both"/>
        <w:rPr>
          <w:rFonts w:eastAsia="Calibri"/>
          <w:noProof/>
        </w:rPr>
      </w:pPr>
      <w:r>
        <w:rPr>
          <w:noProof/>
        </w:rPr>
        <w:t>Инвестиция 1.3: Укрепване на междинното здравно обслужване и неговите заведения (общински болници)</w:t>
      </w:r>
    </w:p>
    <w:p w14:paraId="120EF68F" w14:textId="47C17C66" w:rsidR="006054AA" w:rsidRDefault="001F7667">
      <w:pPr>
        <w:spacing w:before="120" w:after="120"/>
        <w:jc w:val="both"/>
        <w:rPr>
          <w:noProof/>
        </w:rPr>
      </w:pPr>
      <w:r>
        <w:rPr>
          <w:noProof/>
        </w:rPr>
        <w:t>Инвестицията трябва да създаде най-малко 307 общински болници, т.е. здравни заведения за пациенти, които след епизод на незначителна острота или рецидив на хронични патологии изискват нискоинтензивни и краткосрочни клинични интервенции.</w:t>
      </w:r>
    </w:p>
    <w:p w14:paraId="6315826C" w14:textId="77777777" w:rsidR="006054AA" w:rsidRDefault="001F7667">
      <w:pPr>
        <w:pStyle w:val="Heading3"/>
        <w:numPr>
          <w:ilvl w:val="0"/>
          <w:numId w:val="0"/>
        </w:numPr>
        <w:ind w:left="850" w:hanging="850"/>
        <w:rPr>
          <w:b/>
          <w:i w:val="0"/>
          <w:noProof/>
          <w:u w:val="single"/>
        </w:rPr>
      </w:pPr>
      <w:r>
        <w:rPr>
          <w:b/>
          <w:i w:val="0"/>
          <w:noProof/>
          <w:u w:val="single"/>
        </w:rPr>
        <w:t xml:space="preserve">O.4. </w:t>
      </w:r>
      <w:r>
        <w:rPr>
          <w:noProof/>
        </w:rPr>
        <w:tab/>
      </w:r>
      <w:r>
        <w:rPr>
          <w:b/>
          <w:i w:val="0"/>
          <w:noProof/>
          <w:u w:val="single"/>
        </w:rPr>
        <w:t xml:space="preserve">Ключови етапи, цели, показатели и график за мониторинг и изпълнение на заема </w:t>
      </w:r>
    </w:p>
    <w:p w14:paraId="4B394519" w14:textId="77777777" w:rsidR="006054AA" w:rsidRDefault="006054AA">
      <w:pPr>
        <w:spacing w:before="120" w:after="120"/>
        <w:ind w:left="709"/>
        <w:contextualSpacing/>
        <w:jc w:val="both"/>
        <w:rPr>
          <w:noProof/>
        </w:rPr>
        <w:sectPr w:rsidR="006054AA" w:rsidSect="000D3774">
          <w:headerReference w:type="even" r:id="rId350"/>
          <w:headerReference w:type="default" r:id="rId351"/>
          <w:footerReference w:type="even" r:id="rId352"/>
          <w:footerReference w:type="default" r:id="rId353"/>
          <w:headerReference w:type="first" r:id="rId354"/>
          <w:footerReference w:type="first" r:id="rId355"/>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363"/>
        <w:gridCol w:w="948"/>
        <w:gridCol w:w="950"/>
        <w:gridCol w:w="992"/>
        <w:gridCol w:w="992"/>
        <w:gridCol w:w="709"/>
        <w:gridCol w:w="3634"/>
      </w:tblGrid>
      <w:tr w:rsidR="006054AA" w14:paraId="1F7354FF" w14:textId="77777777">
        <w:trPr>
          <w:trHeight w:val="945"/>
          <w:tblHeader/>
        </w:trPr>
        <w:tc>
          <w:tcPr>
            <w:tcW w:w="1277" w:type="dxa"/>
            <w:vMerge w:val="restart"/>
            <w:shd w:val="clear" w:color="auto" w:fill="BDD7EE"/>
            <w:vAlign w:val="center"/>
          </w:tcPr>
          <w:p w14:paraId="6F1C9E14" w14:textId="77777777" w:rsidR="006054AA" w:rsidRDefault="001F7667">
            <w:pPr>
              <w:pStyle w:val="P68B1DB1-Normal9"/>
              <w:jc w:val="center"/>
              <w:rPr>
                <w:noProof/>
              </w:rPr>
            </w:pPr>
            <w:r>
              <w:rPr>
                <w:noProof/>
              </w:rPr>
              <w:t>Пореден номер</w:t>
            </w:r>
          </w:p>
        </w:tc>
        <w:tc>
          <w:tcPr>
            <w:tcW w:w="1701" w:type="dxa"/>
            <w:vMerge w:val="restart"/>
            <w:shd w:val="clear" w:color="auto" w:fill="BDD7EE"/>
            <w:vAlign w:val="center"/>
          </w:tcPr>
          <w:p w14:paraId="37E968D7" w14:textId="77777777" w:rsidR="006054AA" w:rsidRDefault="001F7667">
            <w:pPr>
              <w:pStyle w:val="P68B1DB1-Normal9"/>
              <w:jc w:val="center"/>
              <w:rPr>
                <w:noProof/>
              </w:rPr>
            </w:pPr>
            <w:r>
              <w:rPr>
                <w:noProof/>
              </w:rPr>
              <w:t>Свързана мярка (реформа или инвестиции)</w:t>
            </w:r>
          </w:p>
        </w:tc>
        <w:tc>
          <w:tcPr>
            <w:tcW w:w="1134" w:type="dxa"/>
            <w:vMerge w:val="restart"/>
            <w:shd w:val="clear" w:color="auto" w:fill="BDD7EE"/>
            <w:vAlign w:val="center"/>
          </w:tcPr>
          <w:p w14:paraId="1067D873" w14:textId="77777777" w:rsidR="006054AA" w:rsidRDefault="001F7667">
            <w:pPr>
              <w:pStyle w:val="P68B1DB1-Normal9"/>
              <w:jc w:val="center"/>
              <w:rPr>
                <w:noProof/>
              </w:rPr>
            </w:pPr>
            <w:r>
              <w:rPr>
                <w:noProof/>
              </w:rPr>
              <w:t>Ключов етап/Цел</w:t>
            </w:r>
          </w:p>
        </w:tc>
        <w:tc>
          <w:tcPr>
            <w:tcW w:w="1417" w:type="dxa"/>
            <w:vMerge w:val="restart"/>
            <w:shd w:val="clear" w:color="auto" w:fill="BDD7EE"/>
            <w:vAlign w:val="center"/>
          </w:tcPr>
          <w:p w14:paraId="7AE76D2B" w14:textId="77777777" w:rsidR="006054AA" w:rsidRDefault="001F7667">
            <w:pPr>
              <w:pStyle w:val="P68B1DB1-Normal9"/>
              <w:jc w:val="center"/>
              <w:rPr>
                <w:noProof/>
              </w:rPr>
            </w:pPr>
            <w:r>
              <w:rPr>
                <w:noProof/>
              </w:rPr>
              <w:t>Име</w:t>
            </w:r>
          </w:p>
        </w:tc>
        <w:tc>
          <w:tcPr>
            <w:tcW w:w="1363" w:type="dxa"/>
            <w:vMerge w:val="restart"/>
            <w:shd w:val="clear" w:color="auto" w:fill="BDD7EE"/>
            <w:vAlign w:val="center"/>
          </w:tcPr>
          <w:p w14:paraId="1B541012" w14:textId="77777777" w:rsidR="006054AA" w:rsidRDefault="001F7667">
            <w:pPr>
              <w:pStyle w:val="P68B1DB1-Normal1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2890" w:type="dxa"/>
            <w:gridSpan w:val="3"/>
            <w:shd w:val="clear" w:color="auto" w:fill="BDD7EE"/>
            <w:vAlign w:val="center"/>
          </w:tcPr>
          <w:p w14:paraId="02F9495A" w14:textId="77777777" w:rsidR="006054AA" w:rsidRDefault="001F7667">
            <w:pPr>
              <w:pStyle w:val="P68B1DB1-Normal1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701" w:type="dxa"/>
            <w:gridSpan w:val="2"/>
            <w:shd w:val="clear" w:color="auto" w:fill="BDD7EE"/>
            <w:vAlign w:val="center"/>
          </w:tcPr>
          <w:p w14:paraId="307FA7C3" w14:textId="77777777" w:rsidR="006054AA" w:rsidRDefault="001F7667">
            <w:pPr>
              <w:pStyle w:val="P68B1DB1-Normal9"/>
              <w:jc w:val="center"/>
              <w:rPr>
                <w:noProof/>
              </w:rPr>
            </w:pPr>
            <w:r>
              <w:rPr>
                <w:noProof/>
              </w:rPr>
              <w:t>Примерен график за приключване</w:t>
            </w:r>
          </w:p>
        </w:tc>
        <w:tc>
          <w:tcPr>
            <w:tcW w:w="3634" w:type="dxa"/>
            <w:vMerge w:val="restart"/>
            <w:shd w:val="clear" w:color="auto" w:fill="BDD7EE"/>
            <w:vAlign w:val="center"/>
          </w:tcPr>
          <w:p w14:paraId="2C53A1CF" w14:textId="77777777" w:rsidR="006054AA" w:rsidRDefault="001F7667">
            <w:pPr>
              <w:pStyle w:val="P68B1DB1-Normal9"/>
              <w:jc w:val="center"/>
              <w:rPr>
                <w:noProof/>
              </w:rPr>
            </w:pPr>
            <w:r>
              <w:rPr>
                <w:noProof/>
              </w:rPr>
              <w:t>Описание на всеки ключов етап и цел</w:t>
            </w:r>
          </w:p>
        </w:tc>
      </w:tr>
      <w:tr w:rsidR="006054AA" w14:paraId="49B74558" w14:textId="77777777">
        <w:trPr>
          <w:trHeight w:val="737"/>
        </w:trPr>
        <w:tc>
          <w:tcPr>
            <w:tcW w:w="1277" w:type="dxa"/>
            <w:vMerge/>
            <w:vAlign w:val="center"/>
          </w:tcPr>
          <w:p w14:paraId="26908977" w14:textId="77777777" w:rsidR="006054AA" w:rsidRDefault="006054AA">
            <w:pPr>
              <w:jc w:val="center"/>
              <w:rPr>
                <w:rFonts w:ascii="Arial Narrow" w:hAnsi="Arial Narrow"/>
                <w:noProof/>
                <w:sz w:val="20"/>
              </w:rPr>
            </w:pPr>
          </w:p>
        </w:tc>
        <w:tc>
          <w:tcPr>
            <w:tcW w:w="1701" w:type="dxa"/>
            <w:vMerge/>
            <w:vAlign w:val="center"/>
          </w:tcPr>
          <w:p w14:paraId="11F65102" w14:textId="77777777" w:rsidR="006054AA" w:rsidRDefault="006054AA">
            <w:pPr>
              <w:jc w:val="center"/>
              <w:rPr>
                <w:rFonts w:ascii="Arial Narrow" w:hAnsi="Arial Narrow"/>
                <w:noProof/>
                <w:sz w:val="20"/>
              </w:rPr>
            </w:pPr>
          </w:p>
        </w:tc>
        <w:tc>
          <w:tcPr>
            <w:tcW w:w="1134" w:type="dxa"/>
            <w:vMerge/>
            <w:vAlign w:val="center"/>
          </w:tcPr>
          <w:p w14:paraId="318E64BD" w14:textId="77777777" w:rsidR="006054AA" w:rsidRDefault="006054AA">
            <w:pPr>
              <w:jc w:val="center"/>
              <w:rPr>
                <w:rFonts w:ascii="Arial Narrow" w:hAnsi="Arial Narrow"/>
                <w:noProof/>
                <w:sz w:val="20"/>
              </w:rPr>
            </w:pPr>
          </w:p>
        </w:tc>
        <w:tc>
          <w:tcPr>
            <w:tcW w:w="1417" w:type="dxa"/>
            <w:vMerge/>
            <w:vAlign w:val="center"/>
          </w:tcPr>
          <w:p w14:paraId="3EBB642D" w14:textId="77777777" w:rsidR="006054AA" w:rsidRDefault="006054AA">
            <w:pPr>
              <w:jc w:val="center"/>
              <w:rPr>
                <w:rFonts w:ascii="Arial Narrow" w:hAnsi="Arial Narrow"/>
                <w:noProof/>
                <w:sz w:val="20"/>
              </w:rPr>
            </w:pPr>
          </w:p>
        </w:tc>
        <w:tc>
          <w:tcPr>
            <w:tcW w:w="1363" w:type="dxa"/>
            <w:vMerge/>
            <w:vAlign w:val="center"/>
          </w:tcPr>
          <w:p w14:paraId="35FEF10F" w14:textId="77777777" w:rsidR="006054AA" w:rsidRDefault="006054AA">
            <w:pPr>
              <w:jc w:val="center"/>
              <w:rPr>
                <w:rFonts w:ascii="Arial Narrow" w:hAnsi="Arial Narrow"/>
                <w:noProof/>
                <w:sz w:val="20"/>
              </w:rPr>
            </w:pPr>
          </w:p>
        </w:tc>
        <w:tc>
          <w:tcPr>
            <w:tcW w:w="948" w:type="dxa"/>
            <w:shd w:val="clear" w:color="auto" w:fill="BDD7EE"/>
            <w:vAlign w:val="center"/>
          </w:tcPr>
          <w:p w14:paraId="107296B5" w14:textId="77777777" w:rsidR="006054AA" w:rsidRDefault="001F7667">
            <w:pPr>
              <w:pStyle w:val="P68B1DB1-Normal9"/>
              <w:jc w:val="center"/>
              <w:rPr>
                <w:noProof/>
              </w:rPr>
            </w:pPr>
            <w:r>
              <w:rPr>
                <w:noProof/>
              </w:rPr>
              <w:t>Единица мярка</w:t>
            </w:r>
          </w:p>
        </w:tc>
        <w:tc>
          <w:tcPr>
            <w:tcW w:w="950" w:type="dxa"/>
            <w:shd w:val="clear" w:color="auto" w:fill="BDD7EE"/>
            <w:vAlign w:val="center"/>
          </w:tcPr>
          <w:p w14:paraId="170C5175" w14:textId="77777777" w:rsidR="006054AA" w:rsidRDefault="001F7667">
            <w:pPr>
              <w:pStyle w:val="P68B1DB1-Normal9"/>
              <w:jc w:val="center"/>
              <w:rPr>
                <w:noProof/>
              </w:rPr>
            </w:pPr>
            <w:r>
              <w:rPr>
                <w:noProof/>
              </w:rPr>
              <w:t>Базова линия</w:t>
            </w:r>
          </w:p>
        </w:tc>
        <w:tc>
          <w:tcPr>
            <w:tcW w:w="992" w:type="dxa"/>
            <w:shd w:val="clear" w:color="auto" w:fill="BDD7EE"/>
            <w:vAlign w:val="center"/>
          </w:tcPr>
          <w:p w14:paraId="4E9DB5B8" w14:textId="77777777" w:rsidR="006054AA" w:rsidRDefault="001F7667">
            <w:pPr>
              <w:pStyle w:val="P68B1DB1-Normal9"/>
              <w:jc w:val="center"/>
              <w:rPr>
                <w:noProof/>
              </w:rPr>
            </w:pPr>
            <w:r>
              <w:rPr>
                <w:noProof/>
              </w:rPr>
              <w:t>Цел</w:t>
            </w:r>
          </w:p>
        </w:tc>
        <w:tc>
          <w:tcPr>
            <w:tcW w:w="992" w:type="dxa"/>
            <w:shd w:val="clear" w:color="auto" w:fill="BDD7EE"/>
            <w:vAlign w:val="center"/>
          </w:tcPr>
          <w:p w14:paraId="135120E0" w14:textId="77777777" w:rsidR="006054AA" w:rsidRDefault="001F7667">
            <w:pPr>
              <w:pStyle w:val="P68B1DB1-Normal9"/>
              <w:jc w:val="center"/>
              <w:rPr>
                <w:noProof/>
              </w:rPr>
            </w:pPr>
            <w:r>
              <w:rPr>
                <w:noProof/>
              </w:rPr>
              <w:t>Тримесечие</w:t>
            </w:r>
          </w:p>
        </w:tc>
        <w:tc>
          <w:tcPr>
            <w:tcW w:w="709" w:type="dxa"/>
            <w:shd w:val="clear" w:color="auto" w:fill="BDD7EE"/>
            <w:vAlign w:val="center"/>
          </w:tcPr>
          <w:p w14:paraId="2A66DA5D" w14:textId="77777777" w:rsidR="006054AA" w:rsidRDefault="001F7667">
            <w:pPr>
              <w:pStyle w:val="P68B1DB1-Normal9"/>
              <w:jc w:val="center"/>
              <w:rPr>
                <w:noProof/>
              </w:rPr>
            </w:pPr>
            <w:r>
              <w:rPr>
                <w:noProof/>
              </w:rPr>
              <w:t>Година</w:t>
            </w:r>
          </w:p>
        </w:tc>
        <w:tc>
          <w:tcPr>
            <w:tcW w:w="3634" w:type="dxa"/>
            <w:vMerge/>
            <w:vAlign w:val="center"/>
          </w:tcPr>
          <w:p w14:paraId="46D3E2F9" w14:textId="77777777" w:rsidR="006054AA" w:rsidRDefault="006054AA">
            <w:pPr>
              <w:rPr>
                <w:rFonts w:ascii="Arial Narrow" w:hAnsi="Arial Narrow"/>
                <w:noProof/>
                <w:sz w:val="20"/>
              </w:rPr>
            </w:pPr>
          </w:p>
        </w:tc>
      </w:tr>
      <w:tr w:rsidR="006054AA" w14:paraId="5388157D" w14:textId="77777777">
        <w:trPr>
          <w:trHeight w:val="315"/>
        </w:trPr>
        <w:tc>
          <w:tcPr>
            <w:tcW w:w="1277" w:type="dxa"/>
            <w:shd w:val="clear" w:color="auto" w:fill="C6EFCE"/>
            <w:vAlign w:val="center"/>
          </w:tcPr>
          <w:p w14:paraId="16EC2779" w14:textId="77777777" w:rsidR="006054AA" w:rsidRDefault="001F7667">
            <w:pPr>
              <w:pStyle w:val="P68B1DB1-Normal11"/>
              <w:jc w:val="center"/>
              <w:rPr>
                <w:rFonts w:eastAsiaTheme="minorEastAsia"/>
                <w:noProof/>
              </w:rPr>
            </w:pPr>
            <w:r>
              <w:rPr>
                <w:noProof/>
              </w:rPr>
              <w:t>M6C1—1</w:t>
            </w:r>
          </w:p>
        </w:tc>
        <w:tc>
          <w:tcPr>
            <w:tcW w:w="1701" w:type="dxa"/>
            <w:shd w:val="clear" w:color="auto" w:fill="C6EFCE"/>
            <w:vAlign w:val="center"/>
          </w:tcPr>
          <w:p w14:paraId="7CB31303" w14:textId="77777777" w:rsidR="006054AA" w:rsidRDefault="001F7667">
            <w:pPr>
              <w:pStyle w:val="P68B1DB1-Normal11"/>
              <w:jc w:val="center"/>
              <w:rPr>
                <w:rFonts w:eastAsiaTheme="minorEastAsia"/>
                <w:noProof/>
              </w:rPr>
            </w:pPr>
            <w:r>
              <w:rPr>
                <w:noProof/>
              </w:rPr>
              <w:t>Реформа 1:  Определяне на нов организационен модел за Териториалната мрежа за здравно подпомагане</w:t>
            </w:r>
          </w:p>
        </w:tc>
        <w:tc>
          <w:tcPr>
            <w:tcW w:w="1134" w:type="dxa"/>
            <w:shd w:val="clear" w:color="auto" w:fill="C6EFCE"/>
            <w:vAlign w:val="center"/>
          </w:tcPr>
          <w:p w14:paraId="7CED53EB" w14:textId="77777777" w:rsidR="006054AA" w:rsidRDefault="001F7667">
            <w:pPr>
              <w:pStyle w:val="P68B1DB1-Normal11"/>
              <w:jc w:val="center"/>
              <w:rPr>
                <w:rFonts w:eastAsiaTheme="minorEastAsia"/>
                <w:noProof/>
              </w:rPr>
            </w:pPr>
            <w:r>
              <w:rPr>
                <w:noProof/>
              </w:rPr>
              <w:t>Ключов етап</w:t>
            </w:r>
          </w:p>
        </w:tc>
        <w:tc>
          <w:tcPr>
            <w:tcW w:w="1417" w:type="dxa"/>
            <w:shd w:val="clear" w:color="auto" w:fill="C6EFCE"/>
            <w:vAlign w:val="center"/>
          </w:tcPr>
          <w:p w14:paraId="5F7367DE" w14:textId="0EF006A9" w:rsidR="006054AA" w:rsidRDefault="001F7667">
            <w:pPr>
              <w:pStyle w:val="P68B1DB1-Normal11"/>
              <w:jc w:val="center"/>
              <w:rPr>
                <w:rFonts w:eastAsiaTheme="minorEastAsia"/>
                <w:noProof/>
              </w:rPr>
            </w:pPr>
            <w:r>
              <w:rPr>
                <w:noProof/>
              </w:rPr>
              <w:t>Влизане в сила на вторичното законодателство (министерско постановление), предвиждащо реформа на организацията на здравеопазването.</w:t>
            </w:r>
          </w:p>
        </w:tc>
        <w:tc>
          <w:tcPr>
            <w:tcW w:w="1363" w:type="dxa"/>
            <w:shd w:val="clear" w:color="auto" w:fill="C6EFCE"/>
            <w:vAlign w:val="center"/>
          </w:tcPr>
          <w:p w14:paraId="6964A97B" w14:textId="77777777" w:rsidR="006054AA" w:rsidRDefault="001F7667">
            <w:pPr>
              <w:pStyle w:val="P68B1DB1-Normal11"/>
              <w:jc w:val="center"/>
              <w:rPr>
                <w:rFonts w:eastAsiaTheme="minorEastAsia"/>
                <w:noProof/>
              </w:rPr>
            </w:pPr>
            <w:r>
              <w:rPr>
                <w:noProof/>
              </w:rPr>
              <w:t xml:space="preserve">Законова разпоредба, указваща влизането в сила на законодателството </w:t>
            </w:r>
          </w:p>
        </w:tc>
        <w:tc>
          <w:tcPr>
            <w:tcW w:w="948" w:type="dxa"/>
            <w:shd w:val="clear" w:color="auto" w:fill="C6EFCE"/>
            <w:vAlign w:val="center"/>
          </w:tcPr>
          <w:p w14:paraId="55C6BADC" w14:textId="77777777" w:rsidR="006054AA" w:rsidRDefault="001F7667">
            <w:pPr>
              <w:pStyle w:val="P68B1DB1-Normal11"/>
              <w:jc w:val="center"/>
              <w:rPr>
                <w:rFonts w:eastAsiaTheme="minorEastAsia"/>
                <w:noProof/>
              </w:rPr>
            </w:pPr>
            <w:r>
              <w:rPr>
                <w:noProof/>
              </w:rPr>
              <w:t>НЯМА</w:t>
            </w:r>
          </w:p>
        </w:tc>
        <w:tc>
          <w:tcPr>
            <w:tcW w:w="950" w:type="dxa"/>
            <w:shd w:val="clear" w:color="auto" w:fill="C6EFCE"/>
            <w:vAlign w:val="center"/>
          </w:tcPr>
          <w:p w14:paraId="43FB6855"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1EDE59A0"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5321134F" w14:textId="77777777" w:rsidR="006054AA" w:rsidRDefault="001F7667">
            <w:pPr>
              <w:pStyle w:val="P68B1DB1-Normal11"/>
              <w:jc w:val="center"/>
              <w:rPr>
                <w:rFonts w:eastAsiaTheme="minorEastAsia"/>
                <w:noProof/>
              </w:rPr>
            </w:pPr>
            <w:r>
              <w:rPr>
                <w:noProof/>
              </w:rPr>
              <w:t>Т2 Г.</w:t>
            </w:r>
          </w:p>
        </w:tc>
        <w:tc>
          <w:tcPr>
            <w:tcW w:w="709" w:type="dxa"/>
            <w:shd w:val="clear" w:color="auto" w:fill="C6EFCE"/>
            <w:vAlign w:val="center"/>
          </w:tcPr>
          <w:p w14:paraId="36EEA2C7" w14:textId="77777777" w:rsidR="006054AA" w:rsidRDefault="001F7667">
            <w:pPr>
              <w:pStyle w:val="P68B1DB1-Normal11"/>
              <w:jc w:val="center"/>
              <w:rPr>
                <w:rFonts w:eastAsiaTheme="minorEastAsia"/>
                <w:noProof/>
              </w:rPr>
            </w:pPr>
            <w:r>
              <w:rPr>
                <w:noProof/>
              </w:rPr>
              <w:t>2022</w:t>
            </w:r>
          </w:p>
        </w:tc>
        <w:tc>
          <w:tcPr>
            <w:tcW w:w="3634" w:type="dxa"/>
            <w:shd w:val="clear" w:color="auto" w:fill="C6EFCE"/>
            <w:vAlign w:val="center"/>
          </w:tcPr>
          <w:p w14:paraId="7BE78767" w14:textId="77777777" w:rsidR="006054AA" w:rsidRDefault="001F7667">
            <w:pPr>
              <w:pStyle w:val="P68B1DB1-Normal11"/>
              <w:rPr>
                <w:rFonts w:eastAsiaTheme="minorEastAsia"/>
                <w:noProof/>
              </w:rPr>
            </w:pPr>
            <w:r>
              <w:rPr>
                <w:noProof/>
              </w:rPr>
              <w:t>Влизане в сила на вторичното законодателство (министерско постановление), което предвижда:</w:t>
            </w:r>
          </w:p>
          <w:p w14:paraId="00979DA9" w14:textId="71AD3A03" w:rsidR="006054AA" w:rsidRDefault="001F7667">
            <w:pPr>
              <w:pStyle w:val="P68B1DB1-Normal11"/>
              <w:rPr>
                <w:rFonts w:eastAsiaTheme="minorEastAsia"/>
                <w:noProof/>
              </w:rPr>
            </w:pPr>
            <w:r>
              <w:rPr>
                <w:noProof/>
              </w:rPr>
              <w:t>— Определяне на нов организационен модел на мрежата за териториално здравно подпомагане чрез определяне на регулаторна рамка, която определя структурните, технологичните и организационните стандарти в различните региони; определяне на нова институционална структура за профилактика на здравето, околната среда и климата в съответствие с подхода „Едно здраве“.</w:t>
            </w:r>
          </w:p>
        </w:tc>
      </w:tr>
      <w:tr w:rsidR="006054AA" w14:paraId="72AA3C9D" w14:textId="77777777">
        <w:trPr>
          <w:trHeight w:val="315"/>
        </w:trPr>
        <w:tc>
          <w:tcPr>
            <w:tcW w:w="1277" w:type="dxa"/>
            <w:shd w:val="clear" w:color="auto" w:fill="C6EFCE"/>
            <w:vAlign w:val="center"/>
          </w:tcPr>
          <w:p w14:paraId="26AD45FD" w14:textId="77777777" w:rsidR="006054AA" w:rsidRDefault="001F7667">
            <w:pPr>
              <w:pStyle w:val="P68B1DB1-Normal11"/>
              <w:jc w:val="center"/>
              <w:rPr>
                <w:rFonts w:eastAsiaTheme="minorEastAsia"/>
                <w:noProof/>
              </w:rPr>
            </w:pPr>
            <w:r>
              <w:rPr>
                <w:noProof/>
              </w:rPr>
              <w:t>M6C1—2</w:t>
            </w:r>
          </w:p>
        </w:tc>
        <w:tc>
          <w:tcPr>
            <w:tcW w:w="1701" w:type="dxa"/>
            <w:shd w:val="clear" w:color="auto" w:fill="C6EFCE"/>
            <w:vAlign w:val="center"/>
          </w:tcPr>
          <w:p w14:paraId="6062B73A" w14:textId="77777777" w:rsidR="006054AA" w:rsidRDefault="001F7667">
            <w:pPr>
              <w:pStyle w:val="P68B1DB1-Normal11"/>
              <w:jc w:val="center"/>
              <w:rPr>
                <w:rFonts w:eastAsiaTheme="minorEastAsia"/>
                <w:noProof/>
              </w:rPr>
            </w:pPr>
            <w:r>
              <w:rPr>
                <w:noProof/>
              </w:rPr>
              <w:t>Инвестиция 1.1: Общински здравни домове за подобряване на териториалното здравно подпомагане</w:t>
            </w:r>
          </w:p>
        </w:tc>
        <w:tc>
          <w:tcPr>
            <w:tcW w:w="1134" w:type="dxa"/>
            <w:shd w:val="clear" w:color="auto" w:fill="C6EFCE"/>
            <w:vAlign w:val="center"/>
          </w:tcPr>
          <w:p w14:paraId="461C0E60" w14:textId="77777777" w:rsidR="006054AA" w:rsidRDefault="001F7667">
            <w:pPr>
              <w:pStyle w:val="P68B1DB1-Normal11"/>
              <w:jc w:val="center"/>
              <w:rPr>
                <w:rFonts w:eastAsiaTheme="minorEastAsia"/>
                <w:noProof/>
              </w:rPr>
            </w:pPr>
            <w:r>
              <w:rPr>
                <w:noProof/>
              </w:rPr>
              <w:t>Ключов етап</w:t>
            </w:r>
          </w:p>
        </w:tc>
        <w:tc>
          <w:tcPr>
            <w:tcW w:w="1417" w:type="dxa"/>
            <w:shd w:val="clear" w:color="auto" w:fill="C6EFCE"/>
            <w:vAlign w:val="center"/>
          </w:tcPr>
          <w:p w14:paraId="3D605EB4" w14:textId="77777777" w:rsidR="006054AA" w:rsidRDefault="001F7667">
            <w:pPr>
              <w:pStyle w:val="P68B1DB1-Normal11"/>
              <w:jc w:val="center"/>
              <w:rPr>
                <w:rFonts w:eastAsiaTheme="minorEastAsia"/>
                <w:noProof/>
              </w:rPr>
            </w:pPr>
            <w:r>
              <w:rPr>
                <w:noProof/>
              </w:rPr>
              <w:t xml:space="preserve">Одобряване на договор за институционално развитие </w:t>
            </w:r>
          </w:p>
        </w:tc>
        <w:tc>
          <w:tcPr>
            <w:tcW w:w="1363" w:type="dxa"/>
            <w:shd w:val="clear" w:color="auto" w:fill="C6EFCE"/>
            <w:vAlign w:val="center"/>
          </w:tcPr>
          <w:p w14:paraId="351DF376" w14:textId="77777777" w:rsidR="006054AA" w:rsidRDefault="001F7667">
            <w:pPr>
              <w:pStyle w:val="P68B1DB1-Normal11"/>
              <w:jc w:val="center"/>
              <w:rPr>
                <w:rFonts w:eastAsiaTheme="minorEastAsia"/>
                <w:noProof/>
              </w:rPr>
            </w:pPr>
            <w:r>
              <w:rPr>
                <w:noProof/>
              </w:rPr>
              <w:t>Уведомление за одобрението от Министерството на здравеопазването и регионите</w:t>
            </w:r>
          </w:p>
        </w:tc>
        <w:tc>
          <w:tcPr>
            <w:tcW w:w="948" w:type="dxa"/>
            <w:shd w:val="clear" w:color="auto" w:fill="C6EFCE"/>
            <w:vAlign w:val="center"/>
          </w:tcPr>
          <w:p w14:paraId="5911C810" w14:textId="77777777" w:rsidR="006054AA" w:rsidRDefault="001F7667">
            <w:pPr>
              <w:pStyle w:val="P68B1DB1-Normal11"/>
              <w:jc w:val="center"/>
              <w:rPr>
                <w:rFonts w:eastAsiaTheme="minorEastAsia"/>
                <w:noProof/>
              </w:rPr>
            </w:pPr>
            <w:r>
              <w:rPr>
                <w:noProof/>
              </w:rPr>
              <w:t>НЯМА</w:t>
            </w:r>
          </w:p>
        </w:tc>
        <w:tc>
          <w:tcPr>
            <w:tcW w:w="950" w:type="dxa"/>
            <w:shd w:val="clear" w:color="auto" w:fill="C6EFCE"/>
            <w:vAlign w:val="center"/>
          </w:tcPr>
          <w:p w14:paraId="1A34F19F"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7C261223"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5B92BD74" w14:textId="77777777" w:rsidR="006054AA" w:rsidRDefault="001F7667">
            <w:pPr>
              <w:pStyle w:val="P68B1DB1-Normal11"/>
              <w:jc w:val="center"/>
              <w:rPr>
                <w:rFonts w:eastAsiaTheme="minorEastAsia"/>
                <w:noProof/>
              </w:rPr>
            </w:pPr>
            <w:r>
              <w:rPr>
                <w:noProof/>
              </w:rPr>
              <w:t>Т2 Г.</w:t>
            </w:r>
          </w:p>
        </w:tc>
        <w:tc>
          <w:tcPr>
            <w:tcW w:w="709" w:type="dxa"/>
            <w:shd w:val="clear" w:color="auto" w:fill="C6EFCE"/>
            <w:vAlign w:val="center"/>
          </w:tcPr>
          <w:p w14:paraId="277AE4FB" w14:textId="77777777" w:rsidR="006054AA" w:rsidRDefault="001F7667">
            <w:pPr>
              <w:pStyle w:val="P68B1DB1-Normal11"/>
              <w:jc w:val="center"/>
              <w:rPr>
                <w:rFonts w:eastAsiaTheme="minorEastAsia"/>
                <w:noProof/>
              </w:rPr>
            </w:pPr>
            <w:r>
              <w:rPr>
                <w:noProof/>
              </w:rPr>
              <w:t>2022</w:t>
            </w:r>
          </w:p>
        </w:tc>
        <w:tc>
          <w:tcPr>
            <w:tcW w:w="3634" w:type="dxa"/>
            <w:shd w:val="clear" w:color="auto" w:fill="C6EFCE"/>
            <w:vAlign w:val="center"/>
          </w:tcPr>
          <w:p w14:paraId="30AF42DB" w14:textId="77777777" w:rsidR="006054AA" w:rsidRDefault="001F7667">
            <w:pPr>
              <w:pStyle w:val="P68B1DB1-Normal11"/>
              <w:rPr>
                <w:rFonts w:eastAsiaTheme="minorEastAsia"/>
                <w:noProof/>
              </w:rPr>
            </w:pPr>
            <w:r>
              <w:rPr>
                <w:noProof/>
              </w:rPr>
              <w:t>Одобряване на договор за институционално развитие (Contratto Istituzionale di Sviluppo), в който италианското министерство на здравеопазването е отговорен и изпълнителен орган и участието на регионалните администрации заедно с другите заинтересовани организации за здравни заведения в Общността:</w:t>
            </w:r>
          </w:p>
          <w:p w14:paraId="4EA4A4F3" w14:textId="77777777" w:rsidR="006054AA" w:rsidRDefault="001F7667">
            <w:pPr>
              <w:pStyle w:val="P68B1DB1-Normal11"/>
              <w:rPr>
                <w:rFonts w:eastAsiaTheme="minorEastAsia"/>
                <w:noProof/>
              </w:rPr>
            </w:pPr>
            <w:r>
              <w:rPr>
                <w:noProof/>
              </w:rPr>
              <w:t xml:space="preserve">Договорът за институционално развитие е инструмент за управление, в който се изброяват всички подходящи страни, определени за прилагането на Общностния здравен дом за подобряване на териториалната здравна помощ. В договора също така се определят задълженията, които всеки италиански регион ще поеме, за да гарантира постигането на очакваните резултати по отношение на Общностния здравен дом. </w:t>
            </w:r>
          </w:p>
          <w:p w14:paraId="1D58CC81" w14:textId="77777777" w:rsidR="006054AA" w:rsidRDefault="001F7667">
            <w:pPr>
              <w:pStyle w:val="P68B1DB1-Normal11"/>
              <w:rPr>
                <w:rFonts w:eastAsiaTheme="minorEastAsia"/>
                <w:noProof/>
              </w:rPr>
            </w:pPr>
            <w:r>
              <w:rPr>
                <w:noProof/>
              </w:rPr>
              <w:t xml:space="preserve"> Договорът е насочен към подпомагане на териториалното сближаване, развитието и икономическия растеж, както и към ускоряване на изпълнението на сложни интервенции. Договорът за институционално развитие е особено полезен за големи проекти или инвестиции, формулирани в отделни интервенции, функционално свързани помежду си, които изискват интегриран подход и използването на европейски инвестиционни структурни фондове и национални фондове, включени също в планове и оперативни програми, финансирани с национални и европейски ресурси.</w:t>
            </w:r>
          </w:p>
        </w:tc>
      </w:tr>
      <w:tr w:rsidR="006054AA" w14:paraId="292D131E" w14:textId="77777777">
        <w:trPr>
          <w:trHeight w:val="315"/>
        </w:trPr>
        <w:tc>
          <w:tcPr>
            <w:tcW w:w="1277" w:type="dxa"/>
            <w:shd w:val="clear" w:color="auto" w:fill="C6EFCE"/>
            <w:vAlign w:val="center"/>
          </w:tcPr>
          <w:p w14:paraId="07E44561" w14:textId="77777777" w:rsidR="006054AA" w:rsidRDefault="001F7667">
            <w:pPr>
              <w:pStyle w:val="P68B1DB1-Normal11"/>
              <w:jc w:val="center"/>
              <w:rPr>
                <w:rFonts w:eastAsiaTheme="minorEastAsia"/>
                <w:noProof/>
              </w:rPr>
            </w:pPr>
            <w:r>
              <w:rPr>
                <w:noProof/>
              </w:rPr>
              <w:t>M6C1—3</w:t>
            </w:r>
          </w:p>
        </w:tc>
        <w:tc>
          <w:tcPr>
            <w:tcW w:w="1701" w:type="dxa"/>
            <w:shd w:val="clear" w:color="auto" w:fill="C6EFCE"/>
            <w:vAlign w:val="center"/>
          </w:tcPr>
          <w:p w14:paraId="5B4654E8" w14:textId="77777777" w:rsidR="006054AA" w:rsidRDefault="001F7667">
            <w:pPr>
              <w:pStyle w:val="P68B1DB1-Normal11"/>
              <w:jc w:val="center"/>
              <w:rPr>
                <w:rFonts w:eastAsiaTheme="minorEastAsia"/>
                <w:noProof/>
              </w:rPr>
            </w:pPr>
            <w:r>
              <w:rPr>
                <w:noProof/>
              </w:rPr>
              <w:t>Инвестиция 1.1: Общински здравни домове за подобряване на териториалното здравно подпомагане</w:t>
            </w:r>
          </w:p>
        </w:tc>
        <w:tc>
          <w:tcPr>
            <w:tcW w:w="1134" w:type="dxa"/>
            <w:shd w:val="clear" w:color="auto" w:fill="C6EFCE"/>
            <w:vAlign w:val="center"/>
          </w:tcPr>
          <w:p w14:paraId="34342ABD" w14:textId="77777777" w:rsidR="006054AA" w:rsidRDefault="001F7667">
            <w:pPr>
              <w:pStyle w:val="P68B1DB1-Normal11"/>
              <w:jc w:val="center"/>
              <w:rPr>
                <w:rFonts w:eastAsiaTheme="minorEastAsia"/>
                <w:noProof/>
              </w:rPr>
            </w:pPr>
            <w:r>
              <w:rPr>
                <w:noProof/>
              </w:rPr>
              <w:t>Целеви</w:t>
            </w:r>
          </w:p>
        </w:tc>
        <w:tc>
          <w:tcPr>
            <w:tcW w:w="1417" w:type="dxa"/>
            <w:shd w:val="clear" w:color="auto" w:fill="C6EFCE"/>
            <w:vAlign w:val="center"/>
          </w:tcPr>
          <w:p w14:paraId="69B6CBA3" w14:textId="068267A8" w:rsidR="006054AA" w:rsidRDefault="001F7667">
            <w:pPr>
              <w:pStyle w:val="P68B1DB1-Normal11"/>
              <w:jc w:val="center"/>
              <w:rPr>
                <w:rFonts w:eastAsiaTheme="minorEastAsia"/>
                <w:noProof/>
              </w:rPr>
            </w:pPr>
            <w:r>
              <w:rPr>
                <w:noProof/>
              </w:rPr>
              <w:t>Предоставени и технологично оборудвани домове за обществено здравеопазване (първа партида)</w:t>
            </w:r>
          </w:p>
        </w:tc>
        <w:tc>
          <w:tcPr>
            <w:tcW w:w="1363" w:type="dxa"/>
            <w:shd w:val="clear" w:color="auto" w:fill="C6EFCE"/>
            <w:vAlign w:val="center"/>
          </w:tcPr>
          <w:p w14:paraId="24AF2587" w14:textId="77777777" w:rsidR="006054AA" w:rsidRDefault="001F7667">
            <w:pPr>
              <w:pStyle w:val="P68B1DB1-Normal11"/>
              <w:jc w:val="center"/>
              <w:rPr>
                <w:rFonts w:eastAsiaTheme="minorEastAsia"/>
                <w:noProof/>
              </w:rPr>
            </w:pPr>
            <w:r>
              <w:rPr>
                <w:noProof/>
              </w:rPr>
              <w:t>НЯМА</w:t>
            </w:r>
          </w:p>
        </w:tc>
        <w:tc>
          <w:tcPr>
            <w:tcW w:w="948" w:type="dxa"/>
            <w:shd w:val="clear" w:color="auto" w:fill="C6EFCE"/>
            <w:vAlign w:val="center"/>
          </w:tcPr>
          <w:p w14:paraId="6E3F6270" w14:textId="77777777" w:rsidR="006054AA" w:rsidRDefault="001F7667">
            <w:pPr>
              <w:pStyle w:val="P68B1DB1-Normal11"/>
              <w:jc w:val="center"/>
              <w:rPr>
                <w:rFonts w:eastAsiaTheme="minorEastAsia"/>
                <w:noProof/>
              </w:rPr>
            </w:pPr>
            <w:r>
              <w:rPr>
                <w:noProof/>
              </w:rPr>
              <w:t>Брой</w:t>
            </w:r>
          </w:p>
        </w:tc>
        <w:tc>
          <w:tcPr>
            <w:tcW w:w="950" w:type="dxa"/>
            <w:shd w:val="clear" w:color="auto" w:fill="C6EFCE"/>
            <w:vAlign w:val="center"/>
          </w:tcPr>
          <w:p w14:paraId="10B05DF3" w14:textId="77777777" w:rsidR="006054AA" w:rsidRDefault="001F7667">
            <w:pPr>
              <w:pStyle w:val="P68B1DB1-Normal11"/>
              <w:jc w:val="center"/>
              <w:rPr>
                <w:rFonts w:eastAsiaTheme="minorEastAsia"/>
                <w:noProof/>
              </w:rPr>
            </w:pPr>
            <w:r>
              <w:rPr>
                <w:noProof/>
              </w:rPr>
              <w:t>0</w:t>
            </w:r>
          </w:p>
        </w:tc>
        <w:tc>
          <w:tcPr>
            <w:tcW w:w="992" w:type="dxa"/>
            <w:shd w:val="clear" w:color="auto" w:fill="C6EFCE"/>
            <w:vAlign w:val="center"/>
          </w:tcPr>
          <w:p w14:paraId="5910DF1C" w14:textId="735FA656" w:rsidR="006054AA" w:rsidRDefault="001F7667">
            <w:pPr>
              <w:pStyle w:val="P68B1DB1-Normal11"/>
              <w:jc w:val="center"/>
              <w:rPr>
                <w:rFonts w:eastAsiaTheme="minorEastAsia"/>
                <w:noProof/>
              </w:rPr>
            </w:pPr>
            <w:r>
              <w:rPr>
                <w:noProof/>
              </w:rPr>
              <w:t>1 038</w:t>
            </w:r>
          </w:p>
        </w:tc>
        <w:tc>
          <w:tcPr>
            <w:tcW w:w="992" w:type="dxa"/>
            <w:shd w:val="clear" w:color="auto" w:fill="C6EFCE"/>
            <w:vAlign w:val="center"/>
          </w:tcPr>
          <w:p w14:paraId="774C18F9" w14:textId="77777777" w:rsidR="006054AA" w:rsidRDefault="001F7667">
            <w:pPr>
              <w:pStyle w:val="P68B1DB1-Normal11"/>
              <w:jc w:val="center"/>
              <w:rPr>
                <w:rFonts w:eastAsiaTheme="minorEastAsia"/>
                <w:noProof/>
              </w:rPr>
            </w:pPr>
            <w:r>
              <w:rPr>
                <w:noProof/>
              </w:rPr>
              <w:t>Т2 Г.</w:t>
            </w:r>
          </w:p>
        </w:tc>
        <w:tc>
          <w:tcPr>
            <w:tcW w:w="709" w:type="dxa"/>
            <w:shd w:val="clear" w:color="auto" w:fill="C6EFCE"/>
            <w:vAlign w:val="center"/>
          </w:tcPr>
          <w:p w14:paraId="3D670690" w14:textId="77777777" w:rsidR="006054AA" w:rsidRDefault="001F7667">
            <w:pPr>
              <w:pStyle w:val="P68B1DB1-Normal11"/>
              <w:jc w:val="center"/>
              <w:rPr>
                <w:rFonts w:eastAsiaTheme="minorEastAsia"/>
                <w:noProof/>
              </w:rPr>
            </w:pPr>
            <w:r>
              <w:rPr>
                <w:noProof/>
              </w:rPr>
              <w:t>2026</w:t>
            </w:r>
          </w:p>
        </w:tc>
        <w:tc>
          <w:tcPr>
            <w:tcW w:w="3634" w:type="dxa"/>
            <w:shd w:val="clear" w:color="auto" w:fill="C6EFCE"/>
            <w:vAlign w:val="center"/>
          </w:tcPr>
          <w:p w14:paraId="347390C3" w14:textId="3266F9AB" w:rsidR="006054AA" w:rsidRDefault="001F7667">
            <w:pPr>
              <w:pStyle w:val="P68B1DB1-Normal11"/>
              <w:rPr>
                <w:rFonts w:eastAsiaTheme="minorEastAsia"/>
                <w:noProof/>
              </w:rPr>
            </w:pPr>
            <w:r>
              <w:rPr>
                <w:noProof/>
              </w:rPr>
              <w:t>Трябва да бъдат осигурени и технологично оборудвани най-малко 1 038 здравни къщи на Общността, за да се гарантира равнопоставен достъп, териториална близост и качество на грижите за хората, независимо от възрастта и клиничната им картина (хронично болни пациенти, лица, които не са самостоятелни и се нуждаят от дългосрочни грижи, хора с увреждания, психично разстройство, бедност), чрез активизиране, разработване и обединяване на услуги за първична медицинска помощ и създаване на центрове за предоставяне на помощ (енергийно ефективни) за мултипрофесионална реакция.</w:t>
            </w:r>
          </w:p>
          <w:p w14:paraId="5085697F" w14:textId="1BC4A684" w:rsidR="006054AA" w:rsidRDefault="001F7667">
            <w:pPr>
              <w:pStyle w:val="P68B1DB1-Normal11"/>
              <w:rPr>
                <w:rFonts w:eastAsiaTheme="minorEastAsia"/>
                <w:noProof/>
              </w:rPr>
            </w:pPr>
            <w:r>
              <w:rPr>
                <w:noProof/>
              </w:rPr>
              <w:t>Разходите за нови конструкции, финансирани от МВУ, възлизащи на най-малко 500 000 000 EUR, трябва да отговарят на съответните изисквания на бележка под линия 5 от приложение VI към Регламент (ЕС) 2021/241.</w:t>
            </w:r>
          </w:p>
        </w:tc>
      </w:tr>
      <w:tr w:rsidR="006054AA" w14:paraId="095B15F4" w14:textId="77777777">
        <w:trPr>
          <w:trHeight w:val="315"/>
        </w:trPr>
        <w:tc>
          <w:tcPr>
            <w:tcW w:w="1277" w:type="dxa"/>
            <w:shd w:val="clear" w:color="auto" w:fill="C6EFCE"/>
            <w:vAlign w:val="center"/>
          </w:tcPr>
          <w:p w14:paraId="4143218B" w14:textId="77777777" w:rsidR="006054AA" w:rsidRDefault="001F7667">
            <w:pPr>
              <w:pStyle w:val="P68B1DB1-Normal11"/>
              <w:jc w:val="center"/>
              <w:rPr>
                <w:rFonts w:eastAsiaTheme="minorEastAsia"/>
                <w:noProof/>
              </w:rPr>
            </w:pPr>
            <w:r>
              <w:rPr>
                <w:noProof/>
              </w:rPr>
              <w:t>M6C1—4</w:t>
            </w:r>
          </w:p>
        </w:tc>
        <w:tc>
          <w:tcPr>
            <w:tcW w:w="1701" w:type="dxa"/>
            <w:shd w:val="clear" w:color="auto" w:fill="C6EFCE"/>
            <w:vAlign w:val="center"/>
          </w:tcPr>
          <w:p w14:paraId="476A9B73" w14:textId="77777777" w:rsidR="006054AA" w:rsidRDefault="001F7667">
            <w:pPr>
              <w:pStyle w:val="P68B1DB1-Normal11"/>
              <w:jc w:val="center"/>
              <w:rPr>
                <w:rFonts w:eastAsiaTheme="minorEastAsia"/>
                <w:noProof/>
              </w:rPr>
            </w:pPr>
            <w:r>
              <w:rPr>
                <w:noProof/>
              </w:rPr>
              <w:t>Инвестиция 1.2: Дом като първо място за полагане на грижи и телемедицина</w:t>
            </w:r>
          </w:p>
        </w:tc>
        <w:tc>
          <w:tcPr>
            <w:tcW w:w="1134" w:type="dxa"/>
            <w:shd w:val="clear" w:color="auto" w:fill="C6EFCE"/>
            <w:vAlign w:val="center"/>
          </w:tcPr>
          <w:p w14:paraId="5FDA6F54" w14:textId="77777777" w:rsidR="006054AA" w:rsidRDefault="001F7667">
            <w:pPr>
              <w:pStyle w:val="P68B1DB1-Normal11"/>
              <w:jc w:val="center"/>
              <w:rPr>
                <w:rFonts w:eastAsiaTheme="minorEastAsia"/>
                <w:noProof/>
              </w:rPr>
            </w:pPr>
            <w:r>
              <w:rPr>
                <w:noProof/>
              </w:rPr>
              <w:t>Ключов етап</w:t>
            </w:r>
          </w:p>
        </w:tc>
        <w:tc>
          <w:tcPr>
            <w:tcW w:w="1417" w:type="dxa"/>
            <w:shd w:val="clear" w:color="auto" w:fill="C6EFCE"/>
            <w:vAlign w:val="center"/>
          </w:tcPr>
          <w:p w14:paraId="59EDE093" w14:textId="77777777" w:rsidR="006054AA" w:rsidRDefault="001F7667">
            <w:pPr>
              <w:pStyle w:val="P68B1DB1-Normal11"/>
              <w:jc w:val="center"/>
              <w:rPr>
                <w:rFonts w:eastAsiaTheme="minorEastAsia"/>
                <w:noProof/>
              </w:rPr>
            </w:pPr>
            <w:r>
              <w:rPr>
                <w:noProof/>
              </w:rPr>
              <w:t>Одобряване на насоките, съдържащи цифровия модел за въвеждане на домашни грижи</w:t>
            </w:r>
          </w:p>
        </w:tc>
        <w:tc>
          <w:tcPr>
            <w:tcW w:w="1363" w:type="dxa"/>
            <w:shd w:val="clear" w:color="auto" w:fill="C6EFCE"/>
            <w:vAlign w:val="center"/>
          </w:tcPr>
          <w:p w14:paraId="15CD594C" w14:textId="77777777" w:rsidR="006054AA" w:rsidRDefault="001F7667">
            <w:pPr>
              <w:pStyle w:val="P68B1DB1-Normal11"/>
              <w:jc w:val="center"/>
              <w:rPr>
                <w:rFonts w:eastAsiaTheme="minorEastAsia"/>
                <w:noProof/>
              </w:rPr>
            </w:pPr>
            <w:r>
              <w:rPr>
                <w:noProof/>
              </w:rPr>
              <w:t>Насоки, одобрени от Министерството на здравеопазването</w:t>
            </w:r>
          </w:p>
        </w:tc>
        <w:tc>
          <w:tcPr>
            <w:tcW w:w="948" w:type="dxa"/>
            <w:shd w:val="clear" w:color="auto" w:fill="C6EFCE"/>
            <w:vAlign w:val="center"/>
          </w:tcPr>
          <w:p w14:paraId="01E76FB0" w14:textId="77777777" w:rsidR="006054AA" w:rsidRDefault="001F7667">
            <w:pPr>
              <w:pStyle w:val="P68B1DB1-Normal11"/>
              <w:jc w:val="center"/>
              <w:rPr>
                <w:rFonts w:eastAsiaTheme="minorEastAsia"/>
                <w:noProof/>
              </w:rPr>
            </w:pPr>
            <w:r>
              <w:rPr>
                <w:noProof/>
              </w:rPr>
              <w:t>НЯМА</w:t>
            </w:r>
          </w:p>
        </w:tc>
        <w:tc>
          <w:tcPr>
            <w:tcW w:w="950" w:type="dxa"/>
            <w:shd w:val="clear" w:color="auto" w:fill="C6EFCE"/>
            <w:vAlign w:val="center"/>
          </w:tcPr>
          <w:p w14:paraId="26B45375"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6EF282E6"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6894A8C3" w14:textId="77777777" w:rsidR="006054AA" w:rsidRDefault="001F7667">
            <w:pPr>
              <w:pStyle w:val="P68B1DB1-Normal11"/>
              <w:jc w:val="center"/>
              <w:rPr>
                <w:rFonts w:eastAsiaTheme="minorEastAsia"/>
                <w:noProof/>
              </w:rPr>
            </w:pPr>
            <w:r>
              <w:rPr>
                <w:noProof/>
              </w:rPr>
              <w:t>Т2 Г.</w:t>
            </w:r>
          </w:p>
        </w:tc>
        <w:tc>
          <w:tcPr>
            <w:tcW w:w="709" w:type="dxa"/>
            <w:shd w:val="clear" w:color="auto" w:fill="C6EFCE"/>
            <w:vAlign w:val="center"/>
          </w:tcPr>
          <w:p w14:paraId="2A1B40BE" w14:textId="77777777" w:rsidR="006054AA" w:rsidRDefault="001F7667">
            <w:pPr>
              <w:pStyle w:val="P68B1DB1-Normal11"/>
              <w:jc w:val="center"/>
              <w:rPr>
                <w:rFonts w:eastAsiaTheme="minorEastAsia"/>
                <w:noProof/>
              </w:rPr>
            </w:pPr>
            <w:r>
              <w:rPr>
                <w:noProof/>
              </w:rPr>
              <w:t>2022</w:t>
            </w:r>
          </w:p>
        </w:tc>
        <w:tc>
          <w:tcPr>
            <w:tcW w:w="3634" w:type="dxa"/>
            <w:shd w:val="clear" w:color="auto" w:fill="C6EFCE"/>
            <w:vAlign w:val="center"/>
          </w:tcPr>
          <w:p w14:paraId="728F952F" w14:textId="77777777" w:rsidR="006054AA" w:rsidRDefault="001F7667">
            <w:pPr>
              <w:pStyle w:val="P68B1DB1-Normal11"/>
              <w:rPr>
                <w:rFonts w:eastAsiaTheme="minorEastAsia"/>
                <w:noProof/>
              </w:rPr>
            </w:pPr>
            <w:r>
              <w:rPr>
                <w:noProof/>
              </w:rPr>
              <w:t>Насоките рационализират процесите, необходими за подобряване на грижите в домашни условия чрез разработване на техники за дистанционно наблюдение и автоматизация на дома.</w:t>
            </w:r>
          </w:p>
        </w:tc>
      </w:tr>
      <w:tr w:rsidR="006054AA" w14:paraId="0138A7C3" w14:textId="77777777">
        <w:trPr>
          <w:trHeight w:val="315"/>
        </w:trPr>
        <w:tc>
          <w:tcPr>
            <w:tcW w:w="1277" w:type="dxa"/>
            <w:shd w:val="clear" w:color="auto" w:fill="C6EFCE"/>
            <w:vAlign w:val="center"/>
          </w:tcPr>
          <w:p w14:paraId="0665D815" w14:textId="77777777" w:rsidR="006054AA" w:rsidRDefault="001F7667">
            <w:pPr>
              <w:pStyle w:val="P68B1DB1-Normal11"/>
              <w:jc w:val="center"/>
              <w:rPr>
                <w:rFonts w:eastAsiaTheme="minorEastAsia"/>
                <w:noProof/>
              </w:rPr>
            </w:pPr>
            <w:r>
              <w:rPr>
                <w:noProof/>
              </w:rPr>
              <w:t>M6C1—5</w:t>
            </w:r>
          </w:p>
        </w:tc>
        <w:tc>
          <w:tcPr>
            <w:tcW w:w="1701" w:type="dxa"/>
            <w:shd w:val="clear" w:color="auto" w:fill="C6EFCE"/>
            <w:vAlign w:val="center"/>
          </w:tcPr>
          <w:p w14:paraId="0C1F5814" w14:textId="77777777" w:rsidR="006054AA" w:rsidRDefault="001F7667">
            <w:pPr>
              <w:pStyle w:val="P68B1DB1-Normal11"/>
              <w:jc w:val="center"/>
              <w:rPr>
                <w:rFonts w:eastAsiaTheme="minorEastAsia"/>
                <w:noProof/>
              </w:rPr>
            </w:pPr>
            <w:r>
              <w:rPr>
                <w:noProof/>
              </w:rPr>
              <w:t>Инвестиция 1.2: Дом като първо място за полагане на грижи и телемедицина</w:t>
            </w:r>
          </w:p>
        </w:tc>
        <w:tc>
          <w:tcPr>
            <w:tcW w:w="1134" w:type="dxa"/>
            <w:shd w:val="clear" w:color="auto" w:fill="C6EFCE"/>
            <w:vAlign w:val="center"/>
          </w:tcPr>
          <w:p w14:paraId="29829E74" w14:textId="77777777" w:rsidR="006054AA" w:rsidRDefault="001F7667">
            <w:pPr>
              <w:pStyle w:val="P68B1DB1-Normal11"/>
              <w:jc w:val="center"/>
              <w:rPr>
                <w:rFonts w:eastAsiaTheme="minorEastAsia"/>
                <w:noProof/>
              </w:rPr>
            </w:pPr>
            <w:r>
              <w:rPr>
                <w:noProof/>
              </w:rPr>
              <w:t>Ключов етап</w:t>
            </w:r>
          </w:p>
        </w:tc>
        <w:tc>
          <w:tcPr>
            <w:tcW w:w="1417" w:type="dxa"/>
            <w:shd w:val="clear" w:color="auto" w:fill="C6EFCE"/>
            <w:vAlign w:val="center"/>
          </w:tcPr>
          <w:p w14:paraId="1305A1E8" w14:textId="77777777" w:rsidR="006054AA" w:rsidRDefault="001F7667">
            <w:pPr>
              <w:pStyle w:val="P68B1DB1-Normal11"/>
              <w:jc w:val="center"/>
              <w:rPr>
                <w:rFonts w:eastAsiaTheme="minorEastAsia"/>
                <w:noProof/>
              </w:rPr>
            </w:pPr>
            <w:r>
              <w:rPr>
                <w:noProof/>
              </w:rPr>
              <w:t xml:space="preserve">Договор за институционално развитие, одобрен от Министерството на здравеопазването и регионите </w:t>
            </w:r>
          </w:p>
        </w:tc>
        <w:tc>
          <w:tcPr>
            <w:tcW w:w="1363" w:type="dxa"/>
            <w:shd w:val="clear" w:color="auto" w:fill="C6EFCE"/>
            <w:vAlign w:val="center"/>
          </w:tcPr>
          <w:p w14:paraId="5A210BFC" w14:textId="77777777" w:rsidR="006054AA" w:rsidRDefault="001F7667">
            <w:pPr>
              <w:pStyle w:val="P68B1DB1-Normal11"/>
              <w:jc w:val="center"/>
              <w:rPr>
                <w:rFonts w:eastAsiaTheme="minorEastAsia"/>
                <w:noProof/>
              </w:rPr>
            </w:pPr>
            <w:r>
              <w:rPr>
                <w:noProof/>
              </w:rPr>
              <w:t>Уведомяване за одобрения договор</w:t>
            </w:r>
          </w:p>
        </w:tc>
        <w:tc>
          <w:tcPr>
            <w:tcW w:w="948" w:type="dxa"/>
            <w:shd w:val="clear" w:color="auto" w:fill="C6EFCE"/>
            <w:vAlign w:val="center"/>
          </w:tcPr>
          <w:p w14:paraId="40D5A00F" w14:textId="77777777" w:rsidR="006054AA" w:rsidRDefault="001F7667">
            <w:pPr>
              <w:pStyle w:val="P68B1DB1-Normal11"/>
              <w:jc w:val="center"/>
              <w:rPr>
                <w:rFonts w:eastAsiaTheme="minorEastAsia"/>
                <w:noProof/>
              </w:rPr>
            </w:pPr>
            <w:r>
              <w:rPr>
                <w:noProof/>
              </w:rPr>
              <w:t>НЯМА</w:t>
            </w:r>
          </w:p>
        </w:tc>
        <w:tc>
          <w:tcPr>
            <w:tcW w:w="950" w:type="dxa"/>
            <w:shd w:val="clear" w:color="auto" w:fill="C6EFCE"/>
            <w:vAlign w:val="center"/>
          </w:tcPr>
          <w:p w14:paraId="5E6A2D4C"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2A58B240"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27BAFB79" w14:textId="77777777" w:rsidR="006054AA" w:rsidRDefault="001F7667">
            <w:pPr>
              <w:pStyle w:val="P68B1DB1-Normal11"/>
              <w:jc w:val="center"/>
              <w:rPr>
                <w:rFonts w:eastAsiaTheme="minorEastAsia"/>
                <w:noProof/>
              </w:rPr>
            </w:pPr>
            <w:r>
              <w:rPr>
                <w:noProof/>
              </w:rPr>
              <w:t>Т2 Г.</w:t>
            </w:r>
          </w:p>
        </w:tc>
        <w:tc>
          <w:tcPr>
            <w:tcW w:w="709" w:type="dxa"/>
            <w:shd w:val="clear" w:color="auto" w:fill="C6EFCE"/>
            <w:vAlign w:val="center"/>
          </w:tcPr>
          <w:p w14:paraId="4B4E099A" w14:textId="77777777" w:rsidR="006054AA" w:rsidRDefault="001F7667">
            <w:pPr>
              <w:pStyle w:val="P68B1DB1-Normal11"/>
              <w:jc w:val="center"/>
              <w:rPr>
                <w:rFonts w:eastAsiaTheme="minorEastAsia"/>
                <w:noProof/>
              </w:rPr>
            </w:pPr>
            <w:r>
              <w:rPr>
                <w:noProof/>
              </w:rPr>
              <w:t>2022</w:t>
            </w:r>
          </w:p>
        </w:tc>
        <w:tc>
          <w:tcPr>
            <w:tcW w:w="3634" w:type="dxa"/>
            <w:shd w:val="clear" w:color="auto" w:fill="C6EFCE"/>
            <w:vAlign w:val="center"/>
          </w:tcPr>
          <w:p w14:paraId="0BD33F13" w14:textId="77777777" w:rsidR="006054AA" w:rsidRDefault="001F7667">
            <w:pPr>
              <w:pStyle w:val="P68B1DB1-Normal11"/>
              <w:rPr>
                <w:rFonts w:eastAsiaTheme="minorEastAsia"/>
                <w:noProof/>
              </w:rPr>
            </w:pPr>
            <w:r>
              <w:rPr>
                <w:noProof/>
              </w:rPr>
              <w:t>Одобряване на договор за институционално развитие (Contratto Istituzionale di Sviluppo), в който италианското министерство на здравеопазването е отговорен и изпълнителен орган и участието на регионалните администрации заедно с другите заинтересовани субекти в областта на домашните грижи</w:t>
            </w:r>
          </w:p>
          <w:p w14:paraId="4227857B" w14:textId="77777777" w:rsidR="006054AA" w:rsidRDefault="001F7667">
            <w:pPr>
              <w:pStyle w:val="P68B1DB1-Normal11"/>
              <w:rPr>
                <w:rFonts w:eastAsiaTheme="minorEastAsia"/>
                <w:noProof/>
              </w:rPr>
            </w:pPr>
            <w:r>
              <w:rPr>
                <w:noProof/>
              </w:rPr>
              <w:t>Договорът за институционално развитие определя за всяка интервенция или категория интервенции графика, отговорностите на изпълнителите, критериите за оценка и мониторинг и санкциите за всяко неспазване. В него също така се определят условията за потенциално частично дефинансиране на интервенциите или разпределяне на съответните ресурси на друго равнище на управление в съответствие с принципа на субсидиарност.</w:t>
            </w:r>
          </w:p>
        </w:tc>
      </w:tr>
      <w:tr w:rsidR="006054AA" w14:paraId="0824C089" w14:textId="77777777">
        <w:trPr>
          <w:trHeight w:val="315"/>
        </w:trPr>
        <w:tc>
          <w:tcPr>
            <w:tcW w:w="1277" w:type="dxa"/>
            <w:shd w:val="clear" w:color="auto" w:fill="C6EFCE"/>
            <w:vAlign w:val="center"/>
          </w:tcPr>
          <w:p w14:paraId="7588A2C7" w14:textId="77777777" w:rsidR="006054AA" w:rsidRDefault="001F7667">
            <w:pPr>
              <w:pStyle w:val="P68B1DB1-Normal11"/>
              <w:jc w:val="center"/>
              <w:rPr>
                <w:rFonts w:eastAsiaTheme="minorEastAsia"/>
                <w:noProof/>
              </w:rPr>
            </w:pPr>
            <w:r>
              <w:rPr>
                <w:noProof/>
              </w:rPr>
              <w:t>M6C1—6</w:t>
            </w:r>
          </w:p>
        </w:tc>
        <w:tc>
          <w:tcPr>
            <w:tcW w:w="1701" w:type="dxa"/>
            <w:shd w:val="clear" w:color="auto" w:fill="C6EFCE"/>
            <w:vAlign w:val="center"/>
          </w:tcPr>
          <w:p w14:paraId="15D99C51" w14:textId="77777777" w:rsidR="006054AA" w:rsidRDefault="001F7667">
            <w:pPr>
              <w:pStyle w:val="P68B1DB1-Normal11"/>
              <w:jc w:val="center"/>
              <w:rPr>
                <w:rFonts w:eastAsiaTheme="minorEastAsia"/>
                <w:noProof/>
              </w:rPr>
            </w:pPr>
            <w:r>
              <w:rPr>
                <w:noProof/>
              </w:rPr>
              <w:t>Инвестиция 1.2: Дом като първо място за полагане на грижи и телемедицина</w:t>
            </w:r>
          </w:p>
        </w:tc>
        <w:tc>
          <w:tcPr>
            <w:tcW w:w="1134" w:type="dxa"/>
            <w:shd w:val="clear" w:color="auto" w:fill="C6EFCE"/>
            <w:vAlign w:val="center"/>
          </w:tcPr>
          <w:p w14:paraId="584E7D5B" w14:textId="77777777" w:rsidR="006054AA" w:rsidRDefault="001F7667">
            <w:pPr>
              <w:pStyle w:val="P68B1DB1-Normal11"/>
              <w:jc w:val="center"/>
              <w:rPr>
                <w:rFonts w:eastAsiaTheme="minorEastAsia"/>
                <w:noProof/>
              </w:rPr>
            </w:pPr>
            <w:r>
              <w:rPr>
                <w:noProof/>
              </w:rPr>
              <w:t>Целеви</w:t>
            </w:r>
          </w:p>
        </w:tc>
        <w:tc>
          <w:tcPr>
            <w:tcW w:w="1417" w:type="dxa"/>
            <w:shd w:val="clear" w:color="auto" w:fill="C6EFCE"/>
            <w:vAlign w:val="center"/>
          </w:tcPr>
          <w:p w14:paraId="6F1C4355" w14:textId="2E0CDD01" w:rsidR="006054AA" w:rsidRDefault="001F7667">
            <w:pPr>
              <w:pStyle w:val="P68B1DB1-Normal11"/>
              <w:jc w:val="center"/>
              <w:rPr>
                <w:rFonts w:eastAsiaTheme="minorEastAsia"/>
                <w:noProof/>
              </w:rPr>
            </w:pPr>
            <w:r>
              <w:rPr>
                <w:noProof/>
              </w:rPr>
              <w:t>Допълнителни хора, лекувани в домашни условия (първа партида)</w:t>
            </w:r>
          </w:p>
        </w:tc>
        <w:tc>
          <w:tcPr>
            <w:tcW w:w="1363" w:type="dxa"/>
            <w:shd w:val="clear" w:color="auto" w:fill="C6EFCE"/>
            <w:vAlign w:val="center"/>
          </w:tcPr>
          <w:p w14:paraId="2A50131C" w14:textId="77777777" w:rsidR="006054AA" w:rsidRDefault="001F7667">
            <w:pPr>
              <w:pStyle w:val="P68B1DB1-Normal11"/>
              <w:jc w:val="center"/>
              <w:rPr>
                <w:rFonts w:eastAsiaTheme="minorEastAsia"/>
                <w:noProof/>
              </w:rPr>
            </w:pPr>
            <w:r>
              <w:rPr>
                <w:noProof/>
              </w:rPr>
              <w:t>НЯМА</w:t>
            </w:r>
          </w:p>
        </w:tc>
        <w:tc>
          <w:tcPr>
            <w:tcW w:w="948" w:type="dxa"/>
            <w:shd w:val="clear" w:color="auto" w:fill="C6EFCE"/>
            <w:vAlign w:val="center"/>
          </w:tcPr>
          <w:p w14:paraId="5CF9DD21" w14:textId="77777777" w:rsidR="006054AA" w:rsidRDefault="001F7667">
            <w:pPr>
              <w:pStyle w:val="P68B1DB1-Normal11"/>
              <w:jc w:val="center"/>
              <w:rPr>
                <w:rFonts w:eastAsiaTheme="minorEastAsia"/>
                <w:noProof/>
              </w:rPr>
            </w:pPr>
            <w:r>
              <w:rPr>
                <w:noProof/>
              </w:rPr>
              <w:t>Брой</w:t>
            </w:r>
          </w:p>
        </w:tc>
        <w:tc>
          <w:tcPr>
            <w:tcW w:w="950" w:type="dxa"/>
            <w:shd w:val="clear" w:color="auto" w:fill="C6EFCE"/>
            <w:vAlign w:val="center"/>
          </w:tcPr>
          <w:p w14:paraId="78A53186" w14:textId="77777777" w:rsidR="006054AA" w:rsidRDefault="001F7667">
            <w:pPr>
              <w:pStyle w:val="P68B1DB1-Normal11"/>
              <w:jc w:val="center"/>
              <w:rPr>
                <w:rFonts w:eastAsiaTheme="minorEastAsia"/>
                <w:noProof/>
              </w:rPr>
            </w:pPr>
            <w:r>
              <w:rPr>
                <w:noProof/>
              </w:rPr>
              <w:t>0</w:t>
            </w:r>
          </w:p>
        </w:tc>
        <w:tc>
          <w:tcPr>
            <w:tcW w:w="992" w:type="dxa"/>
            <w:shd w:val="clear" w:color="auto" w:fill="C6EFCE"/>
            <w:vAlign w:val="center"/>
          </w:tcPr>
          <w:p w14:paraId="7469C927" w14:textId="77777777" w:rsidR="006054AA" w:rsidRDefault="001F7667">
            <w:pPr>
              <w:pStyle w:val="P68B1DB1-Normal11"/>
              <w:jc w:val="center"/>
              <w:rPr>
                <w:rFonts w:eastAsiaTheme="minorEastAsia"/>
                <w:noProof/>
              </w:rPr>
            </w:pPr>
            <w:r>
              <w:rPr>
                <w:noProof/>
              </w:rPr>
              <w:t>842 000</w:t>
            </w:r>
          </w:p>
        </w:tc>
        <w:tc>
          <w:tcPr>
            <w:tcW w:w="992" w:type="dxa"/>
            <w:shd w:val="clear" w:color="auto" w:fill="C6EFCE"/>
            <w:vAlign w:val="center"/>
          </w:tcPr>
          <w:p w14:paraId="1956D787" w14:textId="77777777" w:rsidR="006054AA" w:rsidRDefault="001F7667">
            <w:pPr>
              <w:pStyle w:val="P68B1DB1-Normal11"/>
              <w:jc w:val="center"/>
              <w:rPr>
                <w:rFonts w:eastAsiaTheme="minorEastAsia"/>
                <w:noProof/>
              </w:rPr>
            </w:pPr>
            <w:r>
              <w:rPr>
                <w:noProof/>
              </w:rPr>
              <w:t>Т2 Г.</w:t>
            </w:r>
          </w:p>
        </w:tc>
        <w:tc>
          <w:tcPr>
            <w:tcW w:w="709" w:type="dxa"/>
            <w:shd w:val="clear" w:color="auto" w:fill="C6EFCE"/>
            <w:vAlign w:val="center"/>
          </w:tcPr>
          <w:p w14:paraId="33972159" w14:textId="77777777" w:rsidR="006054AA" w:rsidRDefault="001F7667">
            <w:pPr>
              <w:pStyle w:val="P68B1DB1-Normal11"/>
              <w:jc w:val="center"/>
              <w:rPr>
                <w:rFonts w:eastAsiaTheme="minorEastAsia"/>
                <w:noProof/>
              </w:rPr>
            </w:pPr>
            <w:r>
              <w:rPr>
                <w:noProof/>
              </w:rPr>
              <w:t>2026</w:t>
            </w:r>
          </w:p>
        </w:tc>
        <w:tc>
          <w:tcPr>
            <w:tcW w:w="3634" w:type="dxa"/>
            <w:shd w:val="clear" w:color="auto" w:fill="C6EFCE"/>
            <w:vAlign w:val="center"/>
          </w:tcPr>
          <w:p w14:paraId="47E71BDD" w14:textId="22BADD9C" w:rsidR="006054AA" w:rsidRDefault="001F7667">
            <w:pPr>
              <w:pStyle w:val="P68B1DB1-Normal11"/>
              <w:rPr>
                <w:rFonts w:eastAsiaTheme="minorEastAsia"/>
                <w:noProof/>
              </w:rPr>
            </w:pPr>
            <w:r>
              <w:rPr>
                <w:noProof/>
              </w:rPr>
              <w:t>Увеличаване на броя на хората, лекувани в домашни условия, така че да достигне 10 % от населението на възраст над 65 г. (приблизително 1,5 милиона души през 2026 г.). За да се постигне тази цел, е необходимо да се увеличи броят на хората на възраст над 65 години, лекувани в домашни условия, с поне 842 000 в рамките на 2026 г. Интегрираните домашни грижи са услуга за хора от всички възрасти с едно или повече хронични заболявания или терминално клинично състояние, изискващо непрекъснати и високоспециализирани професионални здравни и социални грижи.</w:t>
            </w:r>
          </w:p>
        </w:tc>
      </w:tr>
      <w:tr w:rsidR="006054AA" w14:paraId="7FF22638" w14:textId="77777777">
        <w:trPr>
          <w:trHeight w:val="315"/>
        </w:trPr>
        <w:tc>
          <w:tcPr>
            <w:tcW w:w="1277" w:type="dxa"/>
            <w:shd w:val="clear" w:color="auto" w:fill="C6EFCE"/>
            <w:vAlign w:val="center"/>
          </w:tcPr>
          <w:p w14:paraId="04FAF3AE" w14:textId="77777777" w:rsidR="006054AA" w:rsidRDefault="001F7667">
            <w:pPr>
              <w:pStyle w:val="P68B1DB1-Normal11"/>
              <w:jc w:val="center"/>
              <w:rPr>
                <w:rFonts w:eastAsiaTheme="minorEastAsia"/>
                <w:noProof/>
              </w:rPr>
            </w:pPr>
            <w:r>
              <w:rPr>
                <w:noProof/>
              </w:rPr>
              <w:t>M6C1—7</w:t>
            </w:r>
          </w:p>
        </w:tc>
        <w:tc>
          <w:tcPr>
            <w:tcW w:w="1701" w:type="dxa"/>
            <w:shd w:val="clear" w:color="auto" w:fill="C6EFCE"/>
            <w:vAlign w:val="center"/>
          </w:tcPr>
          <w:p w14:paraId="2A631E9F" w14:textId="77777777" w:rsidR="006054AA" w:rsidRDefault="001F7667">
            <w:pPr>
              <w:pStyle w:val="P68B1DB1-Normal11"/>
              <w:jc w:val="center"/>
              <w:rPr>
                <w:rFonts w:eastAsiaTheme="minorEastAsia"/>
                <w:noProof/>
              </w:rPr>
            </w:pPr>
            <w:r>
              <w:rPr>
                <w:noProof/>
              </w:rPr>
              <w:t>Инвестиция 1.2: Дом като първо място за полагане на грижи и телемедицина</w:t>
            </w:r>
          </w:p>
        </w:tc>
        <w:tc>
          <w:tcPr>
            <w:tcW w:w="1134" w:type="dxa"/>
            <w:shd w:val="clear" w:color="auto" w:fill="C6EFCE"/>
            <w:vAlign w:val="center"/>
          </w:tcPr>
          <w:p w14:paraId="379A8D62" w14:textId="77777777" w:rsidR="006054AA" w:rsidRDefault="001F7667">
            <w:pPr>
              <w:pStyle w:val="P68B1DB1-Normal11"/>
              <w:jc w:val="center"/>
              <w:rPr>
                <w:rFonts w:eastAsiaTheme="minorEastAsia"/>
                <w:noProof/>
              </w:rPr>
            </w:pPr>
            <w:r>
              <w:rPr>
                <w:noProof/>
              </w:rPr>
              <w:t>Целеви</w:t>
            </w:r>
          </w:p>
        </w:tc>
        <w:tc>
          <w:tcPr>
            <w:tcW w:w="1417" w:type="dxa"/>
            <w:shd w:val="clear" w:color="auto" w:fill="C6EFCE"/>
            <w:vAlign w:val="center"/>
          </w:tcPr>
          <w:p w14:paraId="7DB26CC6" w14:textId="645FC04B" w:rsidR="006054AA" w:rsidRDefault="001F7667">
            <w:pPr>
              <w:pStyle w:val="P68B1DB1-Normal11"/>
              <w:jc w:val="center"/>
              <w:rPr>
                <w:rFonts w:eastAsiaTheme="minorEastAsia"/>
                <w:noProof/>
              </w:rPr>
            </w:pPr>
            <w:r>
              <w:rPr>
                <w:noProof/>
              </w:rPr>
              <w:t>Координационните центрове функционират пълноценно (втора партида)</w:t>
            </w:r>
          </w:p>
        </w:tc>
        <w:tc>
          <w:tcPr>
            <w:tcW w:w="1363" w:type="dxa"/>
            <w:shd w:val="clear" w:color="auto" w:fill="C6EFCE"/>
            <w:vAlign w:val="center"/>
          </w:tcPr>
          <w:p w14:paraId="4103F1DF" w14:textId="77777777" w:rsidR="006054AA" w:rsidRDefault="001F7667">
            <w:pPr>
              <w:pStyle w:val="P68B1DB1-Normal11"/>
              <w:jc w:val="center"/>
              <w:rPr>
                <w:rFonts w:eastAsiaTheme="minorEastAsia"/>
                <w:noProof/>
              </w:rPr>
            </w:pPr>
            <w:r>
              <w:rPr>
                <w:noProof/>
              </w:rPr>
              <w:t>НЯМА</w:t>
            </w:r>
          </w:p>
        </w:tc>
        <w:tc>
          <w:tcPr>
            <w:tcW w:w="948" w:type="dxa"/>
            <w:shd w:val="clear" w:color="auto" w:fill="C6EFCE"/>
            <w:vAlign w:val="center"/>
          </w:tcPr>
          <w:p w14:paraId="4F62E149" w14:textId="77777777" w:rsidR="006054AA" w:rsidRDefault="001F7667">
            <w:pPr>
              <w:pStyle w:val="P68B1DB1-Normal11"/>
              <w:jc w:val="center"/>
              <w:rPr>
                <w:rFonts w:eastAsiaTheme="minorEastAsia"/>
                <w:noProof/>
              </w:rPr>
            </w:pPr>
            <w:r>
              <w:rPr>
                <w:noProof/>
              </w:rPr>
              <w:t>Брой</w:t>
            </w:r>
          </w:p>
        </w:tc>
        <w:tc>
          <w:tcPr>
            <w:tcW w:w="950" w:type="dxa"/>
            <w:shd w:val="clear" w:color="auto" w:fill="C6EFCE"/>
            <w:vAlign w:val="center"/>
          </w:tcPr>
          <w:p w14:paraId="1F698F3A" w14:textId="77777777" w:rsidR="006054AA" w:rsidRDefault="001F7667">
            <w:pPr>
              <w:pStyle w:val="P68B1DB1-Normal11"/>
              <w:jc w:val="center"/>
              <w:rPr>
                <w:rFonts w:eastAsiaTheme="minorEastAsia"/>
                <w:noProof/>
              </w:rPr>
            </w:pPr>
            <w:r>
              <w:rPr>
                <w:noProof/>
              </w:rPr>
              <w:t>0</w:t>
            </w:r>
          </w:p>
        </w:tc>
        <w:tc>
          <w:tcPr>
            <w:tcW w:w="992" w:type="dxa"/>
            <w:shd w:val="clear" w:color="auto" w:fill="C6EFCE"/>
            <w:vAlign w:val="center"/>
          </w:tcPr>
          <w:p w14:paraId="2FA87884" w14:textId="77777777" w:rsidR="006054AA" w:rsidRDefault="001F7667">
            <w:pPr>
              <w:pStyle w:val="P68B1DB1-Normal11"/>
              <w:jc w:val="center"/>
              <w:rPr>
                <w:rFonts w:eastAsiaTheme="minorEastAsia"/>
                <w:noProof/>
              </w:rPr>
            </w:pPr>
            <w:r>
              <w:rPr>
                <w:noProof/>
              </w:rPr>
              <w:t>480</w:t>
            </w:r>
          </w:p>
        </w:tc>
        <w:tc>
          <w:tcPr>
            <w:tcW w:w="992" w:type="dxa"/>
            <w:shd w:val="clear" w:color="auto" w:fill="C6EFCE"/>
            <w:vAlign w:val="center"/>
          </w:tcPr>
          <w:p w14:paraId="6D242EA0" w14:textId="77777777" w:rsidR="006054AA" w:rsidRDefault="001F7667">
            <w:pPr>
              <w:pStyle w:val="P68B1DB1-Normal11"/>
              <w:jc w:val="center"/>
              <w:rPr>
                <w:rFonts w:eastAsiaTheme="minorEastAsia"/>
                <w:noProof/>
              </w:rPr>
            </w:pPr>
            <w:r>
              <w:rPr>
                <w:noProof/>
              </w:rPr>
              <w:t>Т4 Г.</w:t>
            </w:r>
          </w:p>
        </w:tc>
        <w:tc>
          <w:tcPr>
            <w:tcW w:w="709" w:type="dxa"/>
            <w:shd w:val="clear" w:color="auto" w:fill="C6EFCE"/>
            <w:vAlign w:val="center"/>
          </w:tcPr>
          <w:p w14:paraId="201DA5B1" w14:textId="77777777" w:rsidR="006054AA" w:rsidRDefault="001F7667">
            <w:pPr>
              <w:pStyle w:val="P68B1DB1-Normal11"/>
              <w:jc w:val="center"/>
              <w:rPr>
                <w:rFonts w:eastAsiaTheme="minorEastAsia"/>
                <w:noProof/>
              </w:rPr>
            </w:pPr>
            <w:r>
              <w:rPr>
                <w:noProof/>
              </w:rPr>
              <w:t>2024</w:t>
            </w:r>
          </w:p>
        </w:tc>
        <w:tc>
          <w:tcPr>
            <w:tcW w:w="3634" w:type="dxa"/>
            <w:shd w:val="clear" w:color="auto" w:fill="C6EFCE"/>
            <w:vAlign w:val="center"/>
          </w:tcPr>
          <w:p w14:paraId="2C6A2AA1" w14:textId="1364FFA9" w:rsidR="006054AA" w:rsidRDefault="001F7667">
            <w:pPr>
              <w:pStyle w:val="P68B1DB1-Normal11"/>
              <w:rPr>
                <w:rFonts w:eastAsiaTheme="minorEastAsia"/>
                <w:noProof/>
              </w:rPr>
            </w:pPr>
            <w:r>
              <w:rPr>
                <w:noProof/>
              </w:rPr>
              <w:t>Решаващият момент на тази намеса е въвеждането в експлоатация на най-малко 480 териториални координационни центъра („Centrali Operative Territoriali“) с функция за координиране и свързване на различните териториални, социално-здравни и болнични здравни услуги, както и мрежата за спешна помощ при извънредни ситуации, за да се гарантира непрекъснатост, достъпност и интеграция на грижите.</w:t>
            </w:r>
          </w:p>
        </w:tc>
      </w:tr>
      <w:tr w:rsidR="006054AA" w14:paraId="47ADE4DE" w14:textId="77777777">
        <w:trPr>
          <w:trHeight w:val="315"/>
        </w:trPr>
        <w:tc>
          <w:tcPr>
            <w:tcW w:w="1277" w:type="dxa"/>
            <w:shd w:val="clear" w:color="auto" w:fill="C6EFCE"/>
            <w:vAlign w:val="center"/>
          </w:tcPr>
          <w:p w14:paraId="07B13A58" w14:textId="77777777" w:rsidR="006054AA" w:rsidRDefault="001F7667">
            <w:pPr>
              <w:pStyle w:val="P68B1DB1-Normal11"/>
              <w:jc w:val="center"/>
              <w:rPr>
                <w:rFonts w:eastAsiaTheme="minorEastAsia"/>
                <w:noProof/>
              </w:rPr>
            </w:pPr>
            <w:r>
              <w:rPr>
                <w:noProof/>
              </w:rPr>
              <w:t>M6C1—8</w:t>
            </w:r>
          </w:p>
        </w:tc>
        <w:tc>
          <w:tcPr>
            <w:tcW w:w="1701" w:type="dxa"/>
            <w:shd w:val="clear" w:color="auto" w:fill="C6EFCE"/>
            <w:vAlign w:val="center"/>
          </w:tcPr>
          <w:p w14:paraId="3517E928" w14:textId="77777777" w:rsidR="006054AA" w:rsidRDefault="001F7667">
            <w:pPr>
              <w:pStyle w:val="P68B1DB1-Normal11"/>
              <w:jc w:val="center"/>
              <w:rPr>
                <w:rFonts w:eastAsiaTheme="minorEastAsia"/>
                <w:noProof/>
              </w:rPr>
            </w:pPr>
            <w:r>
              <w:rPr>
                <w:noProof/>
              </w:rPr>
              <w:t>Инвестиция 1.2: Дом като първо място за полагане на грижи и телемедицина</w:t>
            </w:r>
          </w:p>
        </w:tc>
        <w:tc>
          <w:tcPr>
            <w:tcW w:w="1134" w:type="dxa"/>
            <w:shd w:val="clear" w:color="auto" w:fill="C6EFCE"/>
            <w:vAlign w:val="center"/>
          </w:tcPr>
          <w:p w14:paraId="71587D4B" w14:textId="77777777" w:rsidR="006054AA" w:rsidRDefault="001F7667">
            <w:pPr>
              <w:pStyle w:val="P68B1DB1-Normal11"/>
              <w:jc w:val="center"/>
              <w:rPr>
                <w:rFonts w:eastAsiaTheme="minorEastAsia"/>
                <w:noProof/>
              </w:rPr>
            </w:pPr>
            <w:r>
              <w:rPr>
                <w:noProof/>
              </w:rPr>
              <w:t>Целеви</w:t>
            </w:r>
          </w:p>
        </w:tc>
        <w:tc>
          <w:tcPr>
            <w:tcW w:w="1417" w:type="dxa"/>
            <w:shd w:val="clear" w:color="auto" w:fill="C6EFCE"/>
            <w:vAlign w:val="center"/>
          </w:tcPr>
          <w:p w14:paraId="6ACB9750" w14:textId="2B3E2642" w:rsidR="006054AA" w:rsidRDefault="001F7667">
            <w:pPr>
              <w:pStyle w:val="P68B1DB1-Normal11"/>
              <w:jc w:val="center"/>
              <w:rPr>
                <w:rFonts w:eastAsiaTheme="minorEastAsia"/>
                <w:noProof/>
              </w:rPr>
            </w:pPr>
            <w:r>
              <w:rPr>
                <w:noProof/>
              </w:rPr>
              <w:t>Поне по един проект в областта на телемедицината (като се вземат предвид както проектите, които ще бъдат изпълнени в отделния регион, така и проектите, които могат да бъдат разработени като част от консорциуми между регионите)</w:t>
            </w:r>
          </w:p>
        </w:tc>
        <w:tc>
          <w:tcPr>
            <w:tcW w:w="1363" w:type="dxa"/>
            <w:shd w:val="clear" w:color="auto" w:fill="C6EFCE"/>
            <w:vAlign w:val="center"/>
          </w:tcPr>
          <w:p w14:paraId="1F78B5A6" w14:textId="75D48169" w:rsidR="006054AA" w:rsidRDefault="001F7667">
            <w:pPr>
              <w:pStyle w:val="P68B1DB1-Normal11"/>
              <w:jc w:val="center"/>
              <w:rPr>
                <w:rFonts w:eastAsiaTheme="minorEastAsia"/>
                <w:noProof/>
              </w:rPr>
            </w:pPr>
            <w:r>
              <w:rPr>
                <w:noProof/>
              </w:rPr>
              <w:t>Програма/</w:t>
            </w:r>
            <w:r>
              <w:rPr>
                <w:noProof/>
              </w:rPr>
              <w:br/>
              <w:t>проекти, възложени на регионите</w:t>
            </w:r>
          </w:p>
        </w:tc>
        <w:tc>
          <w:tcPr>
            <w:tcW w:w="948" w:type="dxa"/>
            <w:shd w:val="clear" w:color="auto" w:fill="C6EFCE"/>
            <w:vAlign w:val="center"/>
          </w:tcPr>
          <w:p w14:paraId="74DD7632" w14:textId="77777777" w:rsidR="006054AA" w:rsidRDefault="001F7667">
            <w:pPr>
              <w:pStyle w:val="P68B1DB1-Normal11"/>
              <w:jc w:val="center"/>
              <w:rPr>
                <w:rFonts w:eastAsiaTheme="minorEastAsia"/>
                <w:noProof/>
              </w:rPr>
            </w:pPr>
            <w:r>
              <w:rPr>
                <w:noProof/>
              </w:rPr>
              <w:t>Брой</w:t>
            </w:r>
          </w:p>
        </w:tc>
        <w:tc>
          <w:tcPr>
            <w:tcW w:w="950" w:type="dxa"/>
            <w:shd w:val="clear" w:color="auto" w:fill="C6EFCE"/>
            <w:vAlign w:val="center"/>
          </w:tcPr>
          <w:p w14:paraId="6F0C54A5" w14:textId="77777777" w:rsidR="006054AA" w:rsidRDefault="001F7667">
            <w:pPr>
              <w:pStyle w:val="P68B1DB1-Normal11"/>
              <w:jc w:val="center"/>
              <w:rPr>
                <w:rFonts w:eastAsiaTheme="minorEastAsia"/>
                <w:noProof/>
              </w:rPr>
            </w:pPr>
            <w:r>
              <w:rPr>
                <w:noProof/>
              </w:rPr>
              <w:t>0</w:t>
            </w:r>
          </w:p>
        </w:tc>
        <w:tc>
          <w:tcPr>
            <w:tcW w:w="992" w:type="dxa"/>
            <w:shd w:val="clear" w:color="auto" w:fill="C6EFCE"/>
            <w:vAlign w:val="center"/>
          </w:tcPr>
          <w:p w14:paraId="47184124" w14:textId="77777777" w:rsidR="006054AA" w:rsidRDefault="001F7667">
            <w:pPr>
              <w:pStyle w:val="P68B1DB1-Normal11"/>
              <w:jc w:val="center"/>
              <w:rPr>
                <w:rFonts w:eastAsiaTheme="minorEastAsia"/>
                <w:noProof/>
              </w:rPr>
            </w:pPr>
            <w:r>
              <w:rPr>
                <w:noProof/>
              </w:rPr>
              <w:t>20</w:t>
            </w:r>
          </w:p>
        </w:tc>
        <w:tc>
          <w:tcPr>
            <w:tcW w:w="992" w:type="dxa"/>
            <w:shd w:val="clear" w:color="auto" w:fill="C6EFCE"/>
            <w:vAlign w:val="center"/>
          </w:tcPr>
          <w:p w14:paraId="0887DE05" w14:textId="77777777" w:rsidR="006054AA" w:rsidRDefault="001F7667">
            <w:pPr>
              <w:pStyle w:val="P68B1DB1-Normal11"/>
              <w:jc w:val="center"/>
              <w:rPr>
                <w:rFonts w:eastAsiaTheme="minorEastAsia"/>
                <w:noProof/>
              </w:rPr>
            </w:pPr>
            <w:r>
              <w:rPr>
                <w:noProof/>
              </w:rPr>
              <w:t>Т4 Г.</w:t>
            </w:r>
          </w:p>
        </w:tc>
        <w:tc>
          <w:tcPr>
            <w:tcW w:w="709" w:type="dxa"/>
            <w:shd w:val="clear" w:color="auto" w:fill="C6EFCE"/>
            <w:vAlign w:val="center"/>
          </w:tcPr>
          <w:p w14:paraId="5F5D146C" w14:textId="77777777" w:rsidR="006054AA" w:rsidRDefault="001F7667">
            <w:pPr>
              <w:pStyle w:val="P68B1DB1-Normal11"/>
              <w:jc w:val="center"/>
              <w:rPr>
                <w:rFonts w:eastAsiaTheme="minorEastAsia"/>
                <w:noProof/>
              </w:rPr>
            </w:pPr>
            <w:r>
              <w:rPr>
                <w:noProof/>
              </w:rPr>
              <w:t>2023</w:t>
            </w:r>
          </w:p>
        </w:tc>
        <w:tc>
          <w:tcPr>
            <w:tcW w:w="3634" w:type="dxa"/>
            <w:shd w:val="clear" w:color="auto" w:fill="C6EFCE"/>
            <w:vAlign w:val="center"/>
          </w:tcPr>
          <w:p w14:paraId="10E54C54" w14:textId="77777777" w:rsidR="006054AA" w:rsidRDefault="001F7667">
            <w:pPr>
              <w:pStyle w:val="P68B1DB1-Normal11"/>
              <w:rPr>
                <w:rFonts w:eastAsiaTheme="minorEastAsia"/>
                <w:noProof/>
              </w:rPr>
            </w:pPr>
            <w:r>
              <w:rPr>
                <w:noProof/>
              </w:rPr>
              <w:t>Националната стратегия за телемедицината насърчава и финансира разработването и разрастването на нови проекти и решения в областта на телемедицината в рамките на регионалните системи за здравеопазване и като такава представлява ключов (технологичен) фактор за прилагането на засиления подход за дистанционни грижи към здравеопазването, със специален акцент върху пациентите с хронични заболявания.</w:t>
            </w:r>
          </w:p>
        </w:tc>
      </w:tr>
      <w:tr w:rsidR="006054AA" w14:paraId="5085E699" w14:textId="77777777">
        <w:trPr>
          <w:trHeight w:val="315"/>
        </w:trPr>
        <w:tc>
          <w:tcPr>
            <w:tcW w:w="1277" w:type="dxa"/>
            <w:shd w:val="clear" w:color="auto" w:fill="C6EFCE"/>
            <w:vAlign w:val="center"/>
          </w:tcPr>
          <w:p w14:paraId="7531F4E2" w14:textId="77777777" w:rsidR="006054AA" w:rsidRDefault="001F7667">
            <w:pPr>
              <w:pStyle w:val="P68B1DB1-Normal11"/>
              <w:jc w:val="center"/>
              <w:rPr>
                <w:rFonts w:eastAsiaTheme="minorEastAsia"/>
                <w:noProof/>
              </w:rPr>
            </w:pPr>
            <w:r>
              <w:rPr>
                <w:noProof/>
              </w:rPr>
              <w:t>M6C1—9</w:t>
            </w:r>
          </w:p>
        </w:tc>
        <w:tc>
          <w:tcPr>
            <w:tcW w:w="1701" w:type="dxa"/>
            <w:shd w:val="clear" w:color="auto" w:fill="C6EFCE"/>
            <w:vAlign w:val="center"/>
          </w:tcPr>
          <w:p w14:paraId="188C72F2" w14:textId="77777777" w:rsidR="006054AA" w:rsidRDefault="001F7667">
            <w:pPr>
              <w:pStyle w:val="P68B1DB1-Normal11"/>
              <w:jc w:val="center"/>
              <w:rPr>
                <w:rFonts w:eastAsiaTheme="minorEastAsia"/>
                <w:noProof/>
              </w:rPr>
            </w:pPr>
            <w:r>
              <w:rPr>
                <w:noProof/>
              </w:rPr>
              <w:t>Инвестиция 1.2: Дом като първо място за полагане на грижи и телемедицина</w:t>
            </w:r>
          </w:p>
        </w:tc>
        <w:tc>
          <w:tcPr>
            <w:tcW w:w="1134" w:type="dxa"/>
            <w:shd w:val="clear" w:color="auto" w:fill="C6EFCE"/>
            <w:vAlign w:val="center"/>
          </w:tcPr>
          <w:p w14:paraId="5F2276AB" w14:textId="77777777" w:rsidR="006054AA" w:rsidRDefault="001F7667">
            <w:pPr>
              <w:pStyle w:val="P68B1DB1-Normal11"/>
              <w:jc w:val="center"/>
              <w:rPr>
                <w:rFonts w:eastAsiaTheme="minorEastAsia"/>
                <w:noProof/>
              </w:rPr>
            </w:pPr>
            <w:r>
              <w:rPr>
                <w:noProof/>
              </w:rPr>
              <w:t>Целеви</w:t>
            </w:r>
          </w:p>
        </w:tc>
        <w:tc>
          <w:tcPr>
            <w:tcW w:w="1417" w:type="dxa"/>
            <w:shd w:val="clear" w:color="auto" w:fill="C6EFCE"/>
            <w:vAlign w:val="center"/>
          </w:tcPr>
          <w:p w14:paraId="482F6645" w14:textId="77777777" w:rsidR="006054AA" w:rsidRDefault="001F7667">
            <w:pPr>
              <w:pStyle w:val="P68B1DB1-Normal11"/>
              <w:jc w:val="center"/>
              <w:rPr>
                <w:rFonts w:eastAsiaTheme="minorEastAsia"/>
                <w:noProof/>
              </w:rPr>
            </w:pPr>
            <w:r>
              <w:rPr>
                <w:noProof/>
              </w:rPr>
              <w:t>Брой на хората, подпомогнати от телемедицински инструменти (трета партида)</w:t>
            </w:r>
          </w:p>
        </w:tc>
        <w:tc>
          <w:tcPr>
            <w:tcW w:w="1363" w:type="dxa"/>
            <w:shd w:val="clear" w:color="auto" w:fill="C6EFCE"/>
            <w:vAlign w:val="center"/>
          </w:tcPr>
          <w:p w14:paraId="5D735156" w14:textId="77777777" w:rsidR="006054AA" w:rsidRDefault="001F7667">
            <w:pPr>
              <w:pStyle w:val="P68B1DB1-Normal11"/>
              <w:jc w:val="center"/>
              <w:rPr>
                <w:rFonts w:eastAsiaTheme="minorEastAsia"/>
                <w:noProof/>
              </w:rPr>
            </w:pPr>
            <w:r>
              <w:rPr>
                <w:noProof/>
              </w:rPr>
              <w:t>НЯМА</w:t>
            </w:r>
          </w:p>
        </w:tc>
        <w:tc>
          <w:tcPr>
            <w:tcW w:w="948" w:type="dxa"/>
            <w:shd w:val="clear" w:color="auto" w:fill="C6EFCE"/>
            <w:vAlign w:val="center"/>
          </w:tcPr>
          <w:p w14:paraId="2C043C24" w14:textId="77777777" w:rsidR="006054AA" w:rsidRDefault="001F7667">
            <w:pPr>
              <w:pStyle w:val="P68B1DB1-Normal11"/>
              <w:jc w:val="center"/>
              <w:rPr>
                <w:rFonts w:eastAsiaTheme="minorEastAsia"/>
                <w:noProof/>
              </w:rPr>
            </w:pPr>
            <w:r>
              <w:rPr>
                <w:noProof/>
              </w:rPr>
              <w:t>Брой</w:t>
            </w:r>
          </w:p>
        </w:tc>
        <w:tc>
          <w:tcPr>
            <w:tcW w:w="950" w:type="dxa"/>
            <w:shd w:val="clear" w:color="auto" w:fill="C6EFCE"/>
            <w:vAlign w:val="center"/>
          </w:tcPr>
          <w:p w14:paraId="3983FA22" w14:textId="77777777" w:rsidR="006054AA" w:rsidRDefault="001F7667">
            <w:pPr>
              <w:pStyle w:val="P68B1DB1-Normal11"/>
              <w:jc w:val="center"/>
              <w:rPr>
                <w:rFonts w:eastAsiaTheme="minorEastAsia"/>
                <w:noProof/>
              </w:rPr>
            </w:pPr>
            <w:r>
              <w:rPr>
                <w:noProof/>
              </w:rPr>
              <w:t>0</w:t>
            </w:r>
          </w:p>
        </w:tc>
        <w:tc>
          <w:tcPr>
            <w:tcW w:w="992" w:type="dxa"/>
            <w:shd w:val="clear" w:color="auto" w:fill="C6EFCE"/>
            <w:vAlign w:val="center"/>
          </w:tcPr>
          <w:p w14:paraId="171FC804" w14:textId="57F5DEB6" w:rsidR="006054AA" w:rsidRDefault="001F7667">
            <w:pPr>
              <w:pStyle w:val="P68B1DB1-Normal11"/>
              <w:jc w:val="center"/>
              <w:rPr>
                <w:rFonts w:eastAsiaTheme="minorEastAsia"/>
                <w:noProof/>
              </w:rPr>
            </w:pPr>
            <w:r>
              <w:rPr>
                <w:noProof/>
              </w:rPr>
              <w:t>300 000</w:t>
            </w:r>
          </w:p>
        </w:tc>
        <w:tc>
          <w:tcPr>
            <w:tcW w:w="992" w:type="dxa"/>
            <w:shd w:val="clear" w:color="auto" w:fill="C6EFCE"/>
            <w:vAlign w:val="center"/>
          </w:tcPr>
          <w:p w14:paraId="3948F6E1" w14:textId="77777777" w:rsidR="006054AA" w:rsidRDefault="001F7667">
            <w:pPr>
              <w:pStyle w:val="P68B1DB1-Normal11"/>
              <w:jc w:val="center"/>
              <w:rPr>
                <w:rFonts w:eastAsiaTheme="minorEastAsia"/>
                <w:noProof/>
              </w:rPr>
            </w:pPr>
            <w:r>
              <w:rPr>
                <w:noProof/>
              </w:rPr>
              <w:t>Т4 Г.</w:t>
            </w:r>
          </w:p>
        </w:tc>
        <w:tc>
          <w:tcPr>
            <w:tcW w:w="709" w:type="dxa"/>
            <w:shd w:val="clear" w:color="auto" w:fill="C6EFCE"/>
            <w:vAlign w:val="center"/>
          </w:tcPr>
          <w:p w14:paraId="3F33DCC5" w14:textId="77777777" w:rsidR="006054AA" w:rsidRDefault="001F7667">
            <w:pPr>
              <w:pStyle w:val="P68B1DB1-Normal11"/>
              <w:jc w:val="center"/>
              <w:rPr>
                <w:rFonts w:eastAsiaTheme="minorEastAsia"/>
                <w:noProof/>
              </w:rPr>
            </w:pPr>
            <w:r>
              <w:rPr>
                <w:noProof/>
              </w:rPr>
              <w:t>2025</w:t>
            </w:r>
          </w:p>
        </w:tc>
        <w:tc>
          <w:tcPr>
            <w:tcW w:w="3634" w:type="dxa"/>
            <w:shd w:val="clear" w:color="auto" w:fill="C6EFCE"/>
            <w:vAlign w:val="center"/>
          </w:tcPr>
          <w:p w14:paraId="43A952E6" w14:textId="74758DE1" w:rsidR="006054AA" w:rsidRDefault="001F7667">
            <w:pPr>
              <w:pStyle w:val="P68B1DB1-Normal11"/>
              <w:rPr>
                <w:rFonts w:eastAsiaTheme="minorEastAsia"/>
                <w:noProof/>
              </w:rPr>
            </w:pPr>
            <w:r>
              <w:rPr>
                <w:noProof/>
              </w:rPr>
              <w:t>Най-малко 300 000 души са подпомогнати от телемедицински инструменти.</w:t>
            </w:r>
          </w:p>
          <w:p w14:paraId="51DE1985" w14:textId="77777777" w:rsidR="006054AA" w:rsidRDefault="001F7667">
            <w:pPr>
              <w:pStyle w:val="P68B1DB1-Normal11"/>
              <w:rPr>
                <w:rFonts w:eastAsiaTheme="minorEastAsia"/>
                <w:noProof/>
              </w:rPr>
            </w:pPr>
            <w:r>
              <w:rPr>
                <w:noProof/>
              </w:rPr>
              <w:t>Намесата включва финансирането на ad hoc научноизследователски инициативи в областта на цифровите технологии в областта на здравеопазването и грижите.</w:t>
            </w:r>
          </w:p>
        </w:tc>
      </w:tr>
      <w:tr w:rsidR="006054AA" w14:paraId="26B2914D" w14:textId="77777777">
        <w:trPr>
          <w:trHeight w:val="315"/>
        </w:trPr>
        <w:tc>
          <w:tcPr>
            <w:tcW w:w="1277" w:type="dxa"/>
            <w:shd w:val="clear" w:color="auto" w:fill="C6EFCE"/>
            <w:vAlign w:val="center"/>
          </w:tcPr>
          <w:p w14:paraId="3BEC48E9" w14:textId="77777777" w:rsidR="006054AA" w:rsidRDefault="001F7667">
            <w:pPr>
              <w:pStyle w:val="P68B1DB1-Normal11"/>
              <w:jc w:val="center"/>
              <w:rPr>
                <w:rFonts w:eastAsiaTheme="minorEastAsia"/>
                <w:noProof/>
              </w:rPr>
            </w:pPr>
            <w:r>
              <w:rPr>
                <w:noProof/>
              </w:rPr>
              <w:t>M6C1—10</w:t>
            </w:r>
          </w:p>
        </w:tc>
        <w:tc>
          <w:tcPr>
            <w:tcW w:w="1701" w:type="dxa"/>
            <w:shd w:val="clear" w:color="auto" w:fill="C6EFCE"/>
            <w:vAlign w:val="center"/>
          </w:tcPr>
          <w:p w14:paraId="72B5D780" w14:textId="77777777" w:rsidR="006054AA" w:rsidRDefault="001F7667">
            <w:pPr>
              <w:pStyle w:val="P68B1DB1-Normal11"/>
              <w:jc w:val="center"/>
              <w:rPr>
                <w:rFonts w:eastAsiaTheme="minorEastAsia"/>
                <w:noProof/>
              </w:rPr>
            </w:pPr>
            <w:r>
              <w:rPr>
                <w:noProof/>
              </w:rPr>
              <w:t>Инвестиция 1.3: Укрепване на междинното здравно обслужване и неговите заведения (общински болници)</w:t>
            </w:r>
          </w:p>
        </w:tc>
        <w:tc>
          <w:tcPr>
            <w:tcW w:w="1134" w:type="dxa"/>
            <w:shd w:val="clear" w:color="auto" w:fill="C6EFCE"/>
            <w:vAlign w:val="center"/>
          </w:tcPr>
          <w:p w14:paraId="451946EE" w14:textId="77777777" w:rsidR="006054AA" w:rsidRDefault="001F7667">
            <w:pPr>
              <w:pStyle w:val="P68B1DB1-Normal11"/>
              <w:jc w:val="center"/>
              <w:rPr>
                <w:rFonts w:eastAsiaTheme="minorEastAsia"/>
                <w:noProof/>
              </w:rPr>
            </w:pPr>
            <w:r>
              <w:rPr>
                <w:noProof/>
              </w:rPr>
              <w:t>Ключов етап</w:t>
            </w:r>
          </w:p>
        </w:tc>
        <w:tc>
          <w:tcPr>
            <w:tcW w:w="1417" w:type="dxa"/>
            <w:shd w:val="clear" w:color="auto" w:fill="C6EFCE"/>
            <w:vAlign w:val="center"/>
          </w:tcPr>
          <w:p w14:paraId="75C2F4FF" w14:textId="77777777" w:rsidR="006054AA" w:rsidRDefault="001F7667">
            <w:pPr>
              <w:pStyle w:val="P68B1DB1-Normal11"/>
              <w:jc w:val="center"/>
              <w:rPr>
                <w:rFonts w:eastAsiaTheme="minorEastAsia"/>
                <w:noProof/>
              </w:rPr>
            </w:pPr>
            <w:r>
              <w:rPr>
                <w:noProof/>
              </w:rPr>
              <w:t>Одобряване на договор за институционално развитие (Contratto Istituzionale di Sviluppo)</w:t>
            </w:r>
          </w:p>
        </w:tc>
        <w:tc>
          <w:tcPr>
            <w:tcW w:w="1363" w:type="dxa"/>
            <w:shd w:val="clear" w:color="auto" w:fill="C6EFCE"/>
            <w:vAlign w:val="center"/>
          </w:tcPr>
          <w:p w14:paraId="533DC0FD" w14:textId="77777777" w:rsidR="006054AA" w:rsidRDefault="001F7667">
            <w:pPr>
              <w:pStyle w:val="P68B1DB1-Normal11"/>
              <w:jc w:val="center"/>
              <w:rPr>
                <w:rFonts w:eastAsiaTheme="minorEastAsia"/>
                <w:noProof/>
              </w:rPr>
            </w:pPr>
            <w:r>
              <w:rPr>
                <w:noProof/>
              </w:rPr>
              <w:t>Уведомление за одобрението на договора за институционално развитие</w:t>
            </w:r>
          </w:p>
        </w:tc>
        <w:tc>
          <w:tcPr>
            <w:tcW w:w="948" w:type="dxa"/>
            <w:shd w:val="clear" w:color="auto" w:fill="C6EFCE"/>
            <w:vAlign w:val="center"/>
          </w:tcPr>
          <w:p w14:paraId="0321888C" w14:textId="77777777" w:rsidR="006054AA" w:rsidRDefault="001F7667">
            <w:pPr>
              <w:pStyle w:val="P68B1DB1-Normal11"/>
              <w:jc w:val="center"/>
              <w:rPr>
                <w:rFonts w:eastAsiaTheme="minorEastAsia"/>
                <w:noProof/>
              </w:rPr>
            </w:pPr>
            <w:r>
              <w:rPr>
                <w:noProof/>
              </w:rPr>
              <w:t>НЯМА</w:t>
            </w:r>
          </w:p>
        </w:tc>
        <w:tc>
          <w:tcPr>
            <w:tcW w:w="950" w:type="dxa"/>
            <w:shd w:val="clear" w:color="auto" w:fill="C6EFCE"/>
            <w:vAlign w:val="center"/>
          </w:tcPr>
          <w:p w14:paraId="38802625"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274437A1" w14:textId="77777777" w:rsidR="006054AA" w:rsidRDefault="001F7667">
            <w:pPr>
              <w:pStyle w:val="P68B1DB1-Normal11"/>
              <w:jc w:val="center"/>
              <w:rPr>
                <w:rFonts w:eastAsiaTheme="minorEastAsia"/>
                <w:noProof/>
              </w:rPr>
            </w:pPr>
            <w:r>
              <w:rPr>
                <w:noProof/>
              </w:rPr>
              <w:t>НЯМА</w:t>
            </w:r>
          </w:p>
        </w:tc>
        <w:tc>
          <w:tcPr>
            <w:tcW w:w="992" w:type="dxa"/>
            <w:shd w:val="clear" w:color="auto" w:fill="C6EFCE"/>
            <w:vAlign w:val="center"/>
          </w:tcPr>
          <w:p w14:paraId="7F16F254" w14:textId="77777777" w:rsidR="006054AA" w:rsidRDefault="001F7667">
            <w:pPr>
              <w:pStyle w:val="P68B1DB1-Normal11"/>
              <w:jc w:val="center"/>
              <w:rPr>
                <w:rFonts w:eastAsiaTheme="minorEastAsia"/>
                <w:noProof/>
              </w:rPr>
            </w:pPr>
            <w:r>
              <w:rPr>
                <w:noProof/>
              </w:rPr>
              <w:t>Т2 Г.</w:t>
            </w:r>
          </w:p>
        </w:tc>
        <w:tc>
          <w:tcPr>
            <w:tcW w:w="709" w:type="dxa"/>
            <w:shd w:val="clear" w:color="auto" w:fill="C6EFCE"/>
            <w:vAlign w:val="center"/>
          </w:tcPr>
          <w:p w14:paraId="2E5B6E5D" w14:textId="77777777" w:rsidR="006054AA" w:rsidRDefault="001F7667">
            <w:pPr>
              <w:pStyle w:val="P68B1DB1-Normal11"/>
              <w:jc w:val="center"/>
              <w:rPr>
                <w:rFonts w:eastAsiaTheme="minorEastAsia"/>
                <w:noProof/>
              </w:rPr>
            </w:pPr>
            <w:r>
              <w:rPr>
                <w:noProof/>
              </w:rPr>
              <w:t>2022</w:t>
            </w:r>
          </w:p>
        </w:tc>
        <w:tc>
          <w:tcPr>
            <w:tcW w:w="3634" w:type="dxa"/>
            <w:shd w:val="clear" w:color="auto" w:fill="C6EFCE"/>
            <w:vAlign w:val="center"/>
          </w:tcPr>
          <w:p w14:paraId="04A5A45B" w14:textId="5CD0F0F0" w:rsidR="006054AA" w:rsidRDefault="001F7667">
            <w:pPr>
              <w:pStyle w:val="P68B1DB1-Normal11"/>
              <w:rPr>
                <w:rFonts w:eastAsiaTheme="minorEastAsia"/>
                <w:noProof/>
              </w:rPr>
            </w:pPr>
            <w:r>
              <w:rPr>
                <w:noProof/>
              </w:rPr>
              <w:t>Одобряване на договор за институционално развитие (Contratto Istituzionale di Sviluppo), в който италианското министерство на здравеопазването е отговорен и изпълнителен орган, и участието на регионалните администрации заедно с другите заинтересовани субекти за болниците в Общността.</w:t>
            </w:r>
          </w:p>
          <w:p w14:paraId="619EDDDF" w14:textId="18379313" w:rsidR="006054AA" w:rsidRDefault="001F7667">
            <w:pPr>
              <w:pStyle w:val="P68B1DB1-Normal11"/>
              <w:rPr>
                <w:rFonts w:eastAsiaTheme="minorEastAsia"/>
                <w:noProof/>
              </w:rPr>
            </w:pPr>
            <w:r>
              <w:rPr>
                <w:noProof/>
              </w:rPr>
              <w:t>Договорът за институционално развитие изброява всички подходящи обекти, определени за инвестициите, както и задълженията, които всеки регион поема, за да гарантира постигането на предвидения резултат. В случай на нарушение от страна на който и да е регион Министерството на здравеопазването се обръща към комисаря ad acta. По отношение на технологичния парк на съоръженията, т.е. всички инструменти, лицензи и междусистемни връзки, се отдава предпочитание на общите методи за възлагане на обществени поръчки.</w:t>
            </w:r>
          </w:p>
        </w:tc>
      </w:tr>
      <w:tr w:rsidR="006054AA" w14:paraId="0B34D8BD" w14:textId="77777777">
        <w:trPr>
          <w:trHeight w:val="315"/>
        </w:trPr>
        <w:tc>
          <w:tcPr>
            <w:tcW w:w="1277" w:type="dxa"/>
            <w:shd w:val="clear" w:color="auto" w:fill="C6EFCE"/>
            <w:vAlign w:val="center"/>
          </w:tcPr>
          <w:p w14:paraId="2B7CEFEB" w14:textId="77777777" w:rsidR="006054AA" w:rsidRDefault="001F7667">
            <w:pPr>
              <w:pStyle w:val="P68B1DB1-Normal11"/>
              <w:jc w:val="center"/>
              <w:rPr>
                <w:rFonts w:eastAsiaTheme="minorEastAsia"/>
                <w:noProof/>
              </w:rPr>
            </w:pPr>
            <w:r>
              <w:rPr>
                <w:noProof/>
              </w:rPr>
              <w:t>M6C1—11</w:t>
            </w:r>
          </w:p>
        </w:tc>
        <w:tc>
          <w:tcPr>
            <w:tcW w:w="1701" w:type="dxa"/>
            <w:shd w:val="clear" w:color="auto" w:fill="C6EFCE"/>
            <w:vAlign w:val="center"/>
          </w:tcPr>
          <w:p w14:paraId="730CE601" w14:textId="77777777" w:rsidR="006054AA" w:rsidRDefault="001F7667">
            <w:pPr>
              <w:pStyle w:val="P68B1DB1-Normal11"/>
              <w:jc w:val="center"/>
              <w:rPr>
                <w:rFonts w:eastAsiaTheme="minorEastAsia"/>
                <w:noProof/>
              </w:rPr>
            </w:pPr>
            <w:r>
              <w:rPr>
                <w:noProof/>
              </w:rPr>
              <w:t>Инвестиция 1.3: Укрепване на междинното здравно обслужване и неговите заведения (общински болници)</w:t>
            </w:r>
          </w:p>
        </w:tc>
        <w:tc>
          <w:tcPr>
            <w:tcW w:w="1134" w:type="dxa"/>
            <w:shd w:val="clear" w:color="auto" w:fill="C6EFCE"/>
            <w:vAlign w:val="center"/>
          </w:tcPr>
          <w:p w14:paraId="50E0BA2F" w14:textId="77777777" w:rsidR="006054AA" w:rsidRDefault="001F7667">
            <w:pPr>
              <w:pStyle w:val="P68B1DB1-Normal11"/>
              <w:jc w:val="center"/>
              <w:rPr>
                <w:rFonts w:eastAsiaTheme="minorEastAsia"/>
                <w:noProof/>
              </w:rPr>
            </w:pPr>
            <w:r>
              <w:rPr>
                <w:noProof/>
              </w:rPr>
              <w:t>Целеви</w:t>
            </w:r>
          </w:p>
        </w:tc>
        <w:tc>
          <w:tcPr>
            <w:tcW w:w="1417" w:type="dxa"/>
            <w:shd w:val="clear" w:color="auto" w:fill="C6EFCE"/>
            <w:vAlign w:val="center"/>
          </w:tcPr>
          <w:p w14:paraId="6B0D5D6B" w14:textId="1657B428" w:rsidR="006054AA" w:rsidRDefault="001F7667">
            <w:pPr>
              <w:pStyle w:val="P68B1DB1-Normal11"/>
              <w:jc w:val="center"/>
              <w:rPr>
                <w:rFonts w:eastAsiaTheme="minorEastAsia"/>
                <w:noProof/>
              </w:rPr>
            </w:pPr>
            <w:r>
              <w:rPr>
                <w:noProof/>
              </w:rPr>
              <w:t>Санирани, взаимосвързани и технологично оборудвани болници на Общността (първа партида)</w:t>
            </w:r>
          </w:p>
        </w:tc>
        <w:tc>
          <w:tcPr>
            <w:tcW w:w="1363" w:type="dxa"/>
            <w:shd w:val="clear" w:color="auto" w:fill="C6EFCE"/>
            <w:vAlign w:val="center"/>
          </w:tcPr>
          <w:p w14:paraId="7AC5C927" w14:textId="77777777" w:rsidR="006054AA" w:rsidRDefault="001F7667">
            <w:pPr>
              <w:pStyle w:val="P68B1DB1-Normal11"/>
              <w:jc w:val="center"/>
              <w:rPr>
                <w:rFonts w:eastAsiaTheme="minorEastAsia"/>
                <w:noProof/>
              </w:rPr>
            </w:pPr>
            <w:r>
              <w:rPr>
                <w:noProof/>
              </w:rPr>
              <w:t>НЯМА</w:t>
            </w:r>
          </w:p>
        </w:tc>
        <w:tc>
          <w:tcPr>
            <w:tcW w:w="948" w:type="dxa"/>
            <w:shd w:val="clear" w:color="auto" w:fill="C6EFCE"/>
            <w:vAlign w:val="center"/>
          </w:tcPr>
          <w:p w14:paraId="10C2E3F8" w14:textId="77777777" w:rsidR="006054AA" w:rsidRDefault="001F7667">
            <w:pPr>
              <w:pStyle w:val="P68B1DB1-Normal11"/>
              <w:jc w:val="center"/>
              <w:rPr>
                <w:rFonts w:eastAsiaTheme="minorEastAsia"/>
                <w:noProof/>
              </w:rPr>
            </w:pPr>
            <w:r>
              <w:rPr>
                <w:noProof/>
              </w:rPr>
              <w:t>Брой</w:t>
            </w:r>
          </w:p>
        </w:tc>
        <w:tc>
          <w:tcPr>
            <w:tcW w:w="950" w:type="dxa"/>
            <w:shd w:val="clear" w:color="auto" w:fill="C6EFCE"/>
            <w:vAlign w:val="center"/>
          </w:tcPr>
          <w:p w14:paraId="1FB04BE1" w14:textId="77777777" w:rsidR="006054AA" w:rsidRDefault="001F7667">
            <w:pPr>
              <w:pStyle w:val="P68B1DB1-Normal11"/>
              <w:jc w:val="center"/>
              <w:rPr>
                <w:rFonts w:eastAsiaTheme="minorEastAsia"/>
                <w:noProof/>
              </w:rPr>
            </w:pPr>
            <w:r>
              <w:rPr>
                <w:noProof/>
              </w:rPr>
              <w:t>0</w:t>
            </w:r>
          </w:p>
        </w:tc>
        <w:tc>
          <w:tcPr>
            <w:tcW w:w="992" w:type="dxa"/>
            <w:shd w:val="clear" w:color="auto" w:fill="C6EFCE"/>
            <w:vAlign w:val="center"/>
          </w:tcPr>
          <w:p w14:paraId="495BC5B6" w14:textId="77777777" w:rsidR="006054AA" w:rsidRDefault="001F7667">
            <w:pPr>
              <w:pStyle w:val="P68B1DB1-Normal11"/>
              <w:jc w:val="center"/>
              <w:rPr>
                <w:rFonts w:eastAsiaTheme="minorEastAsia"/>
                <w:noProof/>
              </w:rPr>
            </w:pPr>
            <w:r>
              <w:rPr>
                <w:noProof/>
              </w:rPr>
              <w:t>307</w:t>
            </w:r>
          </w:p>
        </w:tc>
        <w:tc>
          <w:tcPr>
            <w:tcW w:w="992" w:type="dxa"/>
            <w:shd w:val="clear" w:color="auto" w:fill="C6EFCE"/>
            <w:vAlign w:val="center"/>
          </w:tcPr>
          <w:p w14:paraId="60BCC230" w14:textId="77777777" w:rsidR="006054AA" w:rsidRDefault="001F7667">
            <w:pPr>
              <w:pStyle w:val="P68B1DB1-Normal11"/>
              <w:jc w:val="center"/>
              <w:rPr>
                <w:rFonts w:eastAsiaTheme="minorEastAsia"/>
                <w:noProof/>
              </w:rPr>
            </w:pPr>
            <w:r>
              <w:rPr>
                <w:noProof/>
              </w:rPr>
              <w:t>Т2 Г.</w:t>
            </w:r>
          </w:p>
        </w:tc>
        <w:tc>
          <w:tcPr>
            <w:tcW w:w="709" w:type="dxa"/>
            <w:shd w:val="clear" w:color="auto" w:fill="C6EFCE"/>
            <w:vAlign w:val="center"/>
          </w:tcPr>
          <w:p w14:paraId="44729AEE" w14:textId="77777777" w:rsidR="006054AA" w:rsidRDefault="001F7667">
            <w:pPr>
              <w:pStyle w:val="P68B1DB1-Normal11"/>
              <w:jc w:val="center"/>
              <w:rPr>
                <w:rFonts w:eastAsiaTheme="minorEastAsia"/>
                <w:noProof/>
              </w:rPr>
            </w:pPr>
            <w:r>
              <w:rPr>
                <w:noProof/>
              </w:rPr>
              <w:t>2026</w:t>
            </w:r>
          </w:p>
        </w:tc>
        <w:tc>
          <w:tcPr>
            <w:tcW w:w="3634" w:type="dxa"/>
            <w:shd w:val="clear" w:color="auto" w:fill="C6EFCE"/>
            <w:vAlign w:val="center"/>
          </w:tcPr>
          <w:p w14:paraId="7BAE8116" w14:textId="77777777" w:rsidR="006054AA" w:rsidRDefault="001F7667">
            <w:pPr>
              <w:pStyle w:val="P68B1DB1-Normal11"/>
              <w:rPr>
                <w:rFonts w:eastAsiaTheme="minorEastAsia"/>
                <w:noProof/>
              </w:rPr>
            </w:pPr>
            <w:r>
              <w:rPr>
                <w:noProof/>
              </w:rPr>
              <w:t>Най-малко 307 болници на Общността са санирани, взаимосвързани и технологично оборудвани</w:t>
            </w:r>
          </w:p>
          <w:p w14:paraId="709B2705" w14:textId="77777777" w:rsidR="006054AA" w:rsidRDefault="001F7667">
            <w:pPr>
              <w:pStyle w:val="P68B1DB1-Normal11"/>
              <w:rPr>
                <w:rFonts w:eastAsiaTheme="minorEastAsia"/>
                <w:noProof/>
              </w:rPr>
            </w:pPr>
            <w:r>
              <w:rPr>
                <w:noProof/>
              </w:rPr>
              <w:t>Общинските болници са здравни заведения за пациенти, които след епизод на незначителна острота или рецидив на хронични патологии се нуждаят от краткотрайни клинични интервенции с ниска интензивност, които потенциално могат да бъдат осигурени у дома, но които са приети в тези заведения поради липса на пригодност на самия дом (структурен и/или семеен).</w:t>
            </w:r>
          </w:p>
        </w:tc>
      </w:tr>
    </w:tbl>
    <w:p w14:paraId="0A84B75A" w14:textId="77777777" w:rsidR="006054AA" w:rsidRDefault="006054AA">
      <w:pPr>
        <w:tabs>
          <w:tab w:val="left" w:pos="4252"/>
        </w:tabs>
        <w:rPr>
          <w:i/>
          <w:noProof/>
        </w:rPr>
      </w:pPr>
    </w:p>
    <w:p w14:paraId="207AB31E" w14:textId="77777777" w:rsidR="006054AA" w:rsidRDefault="006054AA">
      <w:pPr>
        <w:keepNext/>
        <w:tabs>
          <w:tab w:val="left" w:pos="4252"/>
        </w:tabs>
        <w:spacing w:before="720"/>
        <w:jc w:val="both"/>
        <w:rPr>
          <w:i/>
          <w:noProof/>
        </w:rPr>
        <w:sectPr w:rsidR="006054AA" w:rsidSect="000D3774">
          <w:headerReference w:type="even" r:id="rId356"/>
          <w:headerReference w:type="default" r:id="rId357"/>
          <w:footerReference w:type="even" r:id="rId358"/>
          <w:footerReference w:type="default" r:id="rId359"/>
          <w:headerReference w:type="first" r:id="rId360"/>
          <w:footerReference w:type="first" r:id="rId361"/>
          <w:pgSz w:w="16839" w:h="11907" w:orient="landscape"/>
          <w:pgMar w:top="1417" w:right="1134" w:bottom="1417" w:left="1134" w:header="709" w:footer="709" w:gutter="0"/>
          <w:cols w:space="720"/>
          <w:docGrid w:linePitch="360"/>
        </w:sectPr>
      </w:pPr>
    </w:p>
    <w:p w14:paraId="1E363AF3" w14:textId="74255A78" w:rsidR="006054AA" w:rsidRDefault="001F7667">
      <w:pPr>
        <w:pStyle w:val="Heading2"/>
        <w:numPr>
          <w:ilvl w:val="0"/>
          <w:numId w:val="0"/>
        </w:numPr>
        <w:ind w:left="850" w:hanging="850"/>
        <w:rPr>
          <w:noProof/>
        </w:rPr>
      </w:pPr>
      <w:r>
        <w:rPr>
          <w:noProof/>
          <w:lang w:val="bg-BG"/>
        </w:rPr>
        <w:t>П</w:t>
      </w:r>
      <w:r>
        <w:rPr>
          <w:noProof/>
        </w:rPr>
        <w:t>. МИСИЯ 6, КОМПОНЕНТ 2: Иновации, научни изследвания и цифровизация на националните здравни услуги</w:t>
      </w:r>
    </w:p>
    <w:p w14:paraId="218046D5" w14:textId="77777777" w:rsidR="006054AA" w:rsidRDefault="006054AA">
      <w:pPr>
        <w:tabs>
          <w:tab w:val="left" w:pos="1134"/>
        </w:tabs>
        <w:spacing w:before="120" w:after="120"/>
        <w:jc w:val="both"/>
        <w:rPr>
          <w:i/>
          <w:smallCaps/>
          <w:noProof/>
          <w:color w:val="4F81BD" w:themeColor="accent1"/>
        </w:rPr>
      </w:pPr>
    </w:p>
    <w:p w14:paraId="512A28F4" w14:textId="77777777" w:rsidR="006054AA" w:rsidRDefault="001F7667">
      <w:pPr>
        <w:spacing w:before="120" w:after="120"/>
        <w:jc w:val="both"/>
        <w:rPr>
          <w:noProof/>
        </w:rPr>
      </w:pPr>
      <w:r>
        <w:rPr>
          <w:noProof/>
        </w:rPr>
        <w:t>Този компонент на италианския план за възстановяване и устойчивост има за цел да гарантира необходимите благоприятстващи условия за по-голяма устойчивост на националните здравни услуги чрез: I) замяна на остарелите здравни технологии в болниците; II) развитие на значително структурно подобрение на безопасността на болничните сгради; III) подобряване на здравните информационни системи и цифрови инструменти; IV) насърчаване и укрепване на сектора на научните изследвания; V) увеличаване на човешките ресурси.</w:t>
      </w:r>
    </w:p>
    <w:p w14:paraId="5971EEBB" w14:textId="77777777" w:rsidR="006054AA" w:rsidRDefault="001F7667">
      <w:pPr>
        <w:spacing w:before="120" w:after="120"/>
        <w:jc w:val="both"/>
        <w:rPr>
          <w:noProof/>
        </w:rPr>
      </w:pPr>
      <w:r>
        <w:rPr>
          <w:noProof/>
        </w:rPr>
        <w:t>Инвестициите и реформите по този компонент допринасят за изпълнението на специфичните за държавата препоръки, отправени към Италия през 2020 г. и 2019 г., относно необходимостта от „укрепване на устойчивостта и капацитета на здравната система в областта на здравните работници, медицинските продукти и инфраструктурата от критично значение „(специфични за държавата препоръки 1 и 2020), „съсредоточаване на инвестициите върху екологичния и цифровия преход, по-специално върху [...] укрепената цифрова инфраструктура, за да се гарантира предоставянето на основни услуги„(специфични за всяка държава препоръки 3 и 2020), и за „съсредоточаване на свързаната с инвестициите икономическа политика върху научните изследвания и иновациите и качеството на инфраструктурата, като се вземат предвид и регионалните различия“ (специфични за всяка държава препоръки 3 и 2019). </w:t>
      </w:r>
    </w:p>
    <w:p w14:paraId="02E070D3" w14:textId="77777777" w:rsidR="006054AA" w:rsidRDefault="006054AA">
      <w:pPr>
        <w:spacing w:before="120" w:after="120"/>
        <w:jc w:val="both"/>
        <w:rPr>
          <w:noProof/>
        </w:rPr>
      </w:pPr>
    </w:p>
    <w:p w14:paraId="77550FE9" w14:textId="77A571C0" w:rsidR="006054AA" w:rsidRDefault="001F7667">
      <w:pPr>
        <w:pStyle w:val="Heading3"/>
        <w:numPr>
          <w:ilvl w:val="0"/>
          <w:numId w:val="0"/>
        </w:numPr>
        <w:ind w:left="850" w:hanging="850"/>
        <w:rPr>
          <w:b/>
          <w:i w:val="0"/>
          <w:noProof/>
          <w:u w:val="single"/>
        </w:rPr>
      </w:pPr>
      <w:r>
        <w:rPr>
          <w:b/>
          <w:i w:val="0"/>
          <w:noProof/>
          <w:u w:val="single"/>
          <w:lang w:val="bg-BG"/>
        </w:rPr>
        <w:t>П</w:t>
      </w:r>
      <w:r>
        <w:rPr>
          <w:b/>
          <w:i w:val="0"/>
          <w:noProof/>
          <w:u w:val="single"/>
        </w:rPr>
        <w:t xml:space="preserve">.1. </w:t>
      </w:r>
      <w:r>
        <w:rPr>
          <w:noProof/>
        </w:rPr>
        <w:tab/>
      </w:r>
      <w:r>
        <w:rPr>
          <w:b/>
          <w:i w:val="0"/>
          <w:noProof/>
          <w:u w:val="single"/>
        </w:rPr>
        <w:t>Описание на реформите и инвестициите за безвъзмездна финансова подкрепа</w:t>
      </w:r>
    </w:p>
    <w:p w14:paraId="4860C8BE" w14:textId="77777777" w:rsidR="006054AA" w:rsidRDefault="001F7667">
      <w:pPr>
        <w:pStyle w:val="P68B1DB1-Normal2"/>
        <w:spacing w:before="120" w:after="120"/>
        <w:jc w:val="both"/>
        <w:rPr>
          <w:noProof/>
        </w:rPr>
      </w:pPr>
      <w:r>
        <w:rPr>
          <w:noProof/>
        </w:rPr>
        <w:t>Реформа 1: Преразглеждане и актуализиране на настоящата правна рамка на научните институти за болница и грижи (IRCCS)</w:t>
      </w:r>
    </w:p>
    <w:p w14:paraId="44020BB9" w14:textId="77777777" w:rsidR="006054AA" w:rsidRDefault="001F7667">
      <w:pPr>
        <w:spacing w:before="120" w:after="160" w:line="259" w:lineRule="auto"/>
        <w:jc w:val="both"/>
        <w:rPr>
          <w:noProof/>
        </w:rPr>
      </w:pPr>
      <w:r>
        <w:rPr>
          <w:noProof/>
        </w:rPr>
        <w:t xml:space="preserve">Целта на реформата е да се реорганизира мрежата от научни институти за хоспитализация и грижи (IRCCS) с цел i) подобряване на качеството на националната здравна система (NHS), ii) подобряване на връзката между здравеопазването и научните изследвания и iii) преразглеждане на правния режим на IRCCS и изследователските политики в рамките на компетентността на италианското министерство на здравеопазването. </w:t>
      </w:r>
    </w:p>
    <w:p w14:paraId="1D8884DC" w14:textId="77777777" w:rsidR="006054AA" w:rsidRDefault="001F7667">
      <w:pPr>
        <w:spacing w:before="120" w:after="160" w:line="259" w:lineRule="auto"/>
        <w:jc w:val="both"/>
        <w:rPr>
          <w:noProof/>
        </w:rPr>
      </w:pPr>
      <w:r>
        <w:rPr>
          <w:noProof/>
        </w:rPr>
        <w:t xml:space="preserve">Реформата подобрява управлението на публичните ICCS чрез i) подобряване на стратегическото управление, ii) по-добро определяне на правомощията и областите на компетентност и iii) цялостно определяне на правилата относно статута на научния директор на публичните IRCCS и на изследователския персонал. </w:t>
      </w:r>
    </w:p>
    <w:p w14:paraId="3C6D478A" w14:textId="0C602F94" w:rsidR="006054AA" w:rsidRDefault="001F7667">
      <w:pPr>
        <w:spacing w:before="120" w:after="160" w:line="259" w:lineRule="auto"/>
        <w:jc w:val="both"/>
        <w:rPr>
          <w:noProof/>
        </w:rPr>
      </w:pPr>
      <w:r>
        <w:rPr>
          <w:noProof/>
        </w:rPr>
        <w:t>На последно място, специална подмярка за разграничаване на IRCCS въз основа на тяхната дейност (с един специалист или с общ профил), която създава интегрирана мрежа от IRCCS и улеснява обмена на експертен опит между самите IRCC и другите структури на италианската NHS.</w:t>
      </w:r>
    </w:p>
    <w:p w14:paraId="475E5226" w14:textId="74F1B893" w:rsidR="006054AA" w:rsidRDefault="001F7667">
      <w:pPr>
        <w:pStyle w:val="P68B1DB1-Normal2"/>
        <w:spacing w:before="120" w:after="120"/>
        <w:jc w:val="both"/>
        <w:rPr>
          <w:noProof/>
        </w:rPr>
      </w:pPr>
      <w:r>
        <w:rPr>
          <w:noProof/>
        </w:rPr>
        <w:t>Инвестиция 2.1: Укрепване и засилване на биомедицинските изследвания на Националната здравна служба</w:t>
      </w:r>
    </w:p>
    <w:p w14:paraId="3C06DEAF" w14:textId="77777777" w:rsidR="006054AA" w:rsidRDefault="001F7667">
      <w:pPr>
        <w:spacing w:before="120" w:after="120"/>
        <w:jc w:val="both"/>
        <w:rPr>
          <w:noProof/>
        </w:rPr>
      </w:pPr>
      <w:r>
        <w:rPr>
          <w:noProof/>
        </w:rPr>
        <w:t>Тази инвестиция се състои в укрепване на системата за биомедицински изследвания чрез две линии на намеса: а) е</w:t>
      </w:r>
      <w:r>
        <w:rPr>
          <w:noProof/>
          <w:color w:val="000000"/>
        </w:rPr>
        <w:t xml:space="preserve">подпомагане на проекти за доказване на концепцията, подпомагащи разработването на технологии с ниска степен на технологична зрялост, както и насърчаване на трансфера на технологии към промишлеността; б) финансиране на научноизследователски програми/проекти в областта на редките заболявания и редките ракови заболявания и </w:t>
      </w:r>
      <w:r>
        <w:rPr>
          <w:noProof/>
        </w:rPr>
        <w:t>други заболявания със силно въздействие върху здравето.</w:t>
      </w:r>
    </w:p>
    <w:p w14:paraId="6E99C001" w14:textId="77777777" w:rsidR="006054AA" w:rsidRDefault="006054AA">
      <w:pPr>
        <w:spacing w:before="120" w:after="120"/>
        <w:ind w:left="709"/>
        <w:jc w:val="both"/>
        <w:rPr>
          <w:noProof/>
        </w:rPr>
        <w:sectPr w:rsidR="006054AA" w:rsidSect="000D3774">
          <w:headerReference w:type="even" r:id="rId362"/>
          <w:headerReference w:type="default" r:id="rId363"/>
          <w:footerReference w:type="even" r:id="rId364"/>
          <w:footerReference w:type="default" r:id="rId365"/>
          <w:headerReference w:type="first" r:id="rId366"/>
          <w:footerReference w:type="first" r:id="rId367"/>
          <w:pgSz w:w="11907" w:h="16839"/>
          <w:pgMar w:top="1134" w:right="1417" w:bottom="1134" w:left="1417" w:header="709" w:footer="709" w:gutter="0"/>
          <w:cols w:space="720"/>
          <w:docGrid w:linePitch="360"/>
        </w:sectPr>
      </w:pPr>
    </w:p>
    <w:p w14:paraId="56CAF03B" w14:textId="56DC9141" w:rsidR="006054AA" w:rsidRDefault="001F7667">
      <w:pPr>
        <w:spacing w:before="120" w:after="120"/>
        <w:jc w:val="both"/>
        <w:rPr>
          <w:b/>
          <w:i/>
          <w:noProof/>
          <w:u w:val="single"/>
        </w:rPr>
      </w:pPr>
      <w:r>
        <w:rPr>
          <w:b/>
          <w:noProof/>
          <w:u w:val="single"/>
        </w:rPr>
        <w:t xml:space="preserve">P.2. </w:t>
      </w:r>
      <w:r>
        <w:rPr>
          <w:noProof/>
        </w:rPr>
        <w:tab/>
      </w:r>
      <w:r>
        <w:rPr>
          <w:b/>
          <w:noProof/>
          <w:u w:val="single"/>
        </w:rPr>
        <w:t>Ключови етапи, цели, показатели и график за мониторинг и изпълнение на безвъзмездната финансова подкрепа</w:t>
      </w:r>
    </w:p>
    <w:tbl>
      <w:tblPr>
        <w:tblW w:w="5000" w:type="pct"/>
        <w:tblInd w:w="113" w:type="dxa"/>
        <w:tblLayout w:type="fixed"/>
        <w:tblLook w:val="04A0" w:firstRow="1" w:lastRow="0" w:firstColumn="1" w:lastColumn="0" w:noHBand="0" w:noVBand="1"/>
      </w:tblPr>
      <w:tblGrid>
        <w:gridCol w:w="1158"/>
        <w:gridCol w:w="1985"/>
        <w:gridCol w:w="1275"/>
        <w:gridCol w:w="1843"/>
        <w:gridCol w:w="1701"/>
        <w:gridCol w:w="992"/>
        <w:gridCol w:w="1134"/>
        <w:gridCol w:w="851"/>
        <w:gridCol w:w="850"/>
        <w:gridCol w:w="709"/>
        <w:gridCol w:w="2891"/>
      </w:tblGrid>
      <w:tr w:rsidR="006054AA" w14:paraId="08808592" w14:textId="77777777">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EC30DE" w14:textId="77777777" w:rsidR="006054AA" w:rsidRDefault="001F7667">
            <w:pPr>
              <w:pStyle w:val="P68B1DB1-Normal9"/>
              <w:spacing w:before="120" w:after="120"/>
              <w:jc w:val="center"/>
              <w:rPr>
                <w:noProof/>
              </w:rPr>
            </w:pPr>
            <w:r>
              <w:rPr>
                <w:noProof/>
              </w:rPr>
              <w:t>Пореден номер</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1B64AD" w14:textId="77777777" w:rsidR="006054AA" w:rsidRDefault="001F7667">
            <w:pPr>
              <w:pStyle w:val="P68B1DB1-Normal9"/>
              <w:spacing w:before="120" w:after="120"/>
              <w:jc w:val="center"/>
              <w:rPr>
                <w:noProof/>
              </w:rPr>
            </w:pPr>
            <w:r>
              <w:rPr>
                <w:noProof/>
              </w:rPr>
              <w:t>Свързана мярка (реформа или инвестиции)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F22B3F" w14:textId="77777777" w:rsidR="006054AA" w:rsidRDefault="001F7667">
            <w:pPr>
              <w:pStyle w:val="P68B1DB1-Normal9"/>
              <w:spacing w:before="120" w:after="120"/>
              <w:jc w:val="center"/>
              <w:rPr>
                <w:noProof/>
              </w:rPr>
            </w:pPr>
            <w:r>
              <w:rPr>
                <w:noProof/>
              </w:rPr>
              <w:t>Ключов етап/Цел</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71E707" w14:textId="77777777" w:rsidR="006054AA" w:rsidRDefault="001F7667">
            <w:pPr>
              <w:pStyle w:val="P68B1DB1-Normal9"/>
              <w:spacing w:before="120" w:after="120"/>
              <w:jc w:val="center"/>
              <w:rPr>
                <w:noProof/>
              </w:rPr>
            </w:pPr>
            <w:r>
              <w:rPr>
                <w:noProof/>
              </w:rPr>
              <w:t>Име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B8DAE6" w14:textId="77777777" w:rsidR="006054AA" w:rsidRDefault="001F7667">
            <w:pPr>
              <w:pStyle w:val="P68B1DB1-Normal10"/>
              <w:spacing w:before="120" w:after="12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4B27DD9" w14:textId="77777777" w:rsidR="006054AA" w:rsidRDefault="001F7667">
            <w:pPr>
              <w:pStyle w:val="P68B1DB1-Normal10"/>
              <w:spacing w:before="120" w:after="12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E92D4EF" w14:textId="77777777" w:rsidR="006054AA" w:rsidRDefault="001F7667">
            <w:pPr>
              <w:pStyle w:val="P68B1DB1-Normal9"/>
              <w:spacing w:before="120" w:after="120"/>
              <w:jc w:val="center"/>
              <w:rPr>
                <w:noProof/>
              </w:rPr>
            </w:pPr>
            <w:r>
              <w:rPr>
                <w:noProof/>
              </w:rPr>
              <w:t>Примерен график за приключване</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FAC44" w14:textId="77777777" w:rsidR="006054AA" w:rsidRDefault="001F7667">
            <w:pPr>
              <w:pStyle w:val="P68B1DB1-Normal9"/>
              <w:spacing w:before="120" w:after="120"/>
              <w:jc w:val="center"/>
              <w:rPr>
                <w:noProof/>
              </w:rPr>
            </w:pPr>
            <w:r>
              <w:rPr>
                <w:noProof/>
              </w:rPr>
              <w:t>Описание на всеки ключов етап и цел</w:t>
            </w:r>
          </w:p>
        </w:tc>
      </w:tr>
      <w:tr w:rsidR="006054AA" w14:paraId="0930AABE" w14:textId="77777777">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4590F5D9" w14:textId="77777777" w:rsidR="006054AA" w:rsidRDefault="006054AA">
            <w:pPr>
              <w:spacing w:before="120" w:after="120"/>
              <w:jc w:val="cente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346E6E" w14:textId="77777777" w:rsidR="006054AA" w:rsidRDefault="006054AA">
            <w:pPr>
              <w:spacing w:before="120" w:after="120"/>
              <w:jc w:val="center"/>
              <w:rPr>
                <w:rFonts w:ascii="Arial Narrow" w:hAnsi="Arial Narrow"/>
                <w:b/>
                <w:noProof/>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7D61AE" w14:textId="77777777" w:rsidR="006054AA" w:rsidRDefault="006054AA">
            <w:pPr>
              <w:spacing w:before="120" w:after="120"/>
              <w:jc w:val="center"/>
              <w:rPr>
                <w:rFonts w:ascii="Arial Narrow" w:hAnsi="Arial Narrow"/>
                <w:b/>
                <w:noProof/>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192362" w14:textId="77777777" w:rsidR="006054AA" w:rsidRDefault="006054AA">
            <w:pPr>
              <w:spacing w:before="120" w:after="120"/>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6F31E8" w14:textId="77777777" w:rsidR="006054AA" w:rsidRDefault="006054AA">
            <w:pPr>
              <w:spacing w:before="120" w:after="120"/>
              <w:jc w:val="center"/>
              <w:rPr>
                <w:rFonts w:ascii="Arial Narrow" w:hAnsi="Arial Narrow"/>
                <w:b/>
                <w:noProof/>
                <w:sz w:val="20"/>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DA59D0" w14:textId="77777777" w:rsidR="006054AA" w:rsidRDefault="001F7667">
            <w:pPr>
              <w:pStyle w:val="P68B1DB1-Normal9"/>
              <w:spacing w:before="120" w:after="120"/>
              <w:jc w:val="center"/>
              <w:rPr>
                <w:noProof/>
              </w:rPr>
            </w:pPr>
            <w:r>
              <w:rPr>
                <w:noProof/>
              </w:rPr>
              <w:t>Единица мярка</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6EB453CE" w14:textId="77777777" w:rsidR="006054AA" w:rsidRDefault="001F7667">
            <w:pPr>
              <w:pStyle w:val="P68B1DB1-Normal9"/>
              <w:spacing w:before="120" w:after="120"/>
              <w:jc w:val="center"/>
              <w:rPr>
                <w:noProof/>
              </w:rPr>
            </w:pPr>
            <w:r>
              <w:rPr>
                <w:noProof/>
              </w:rPr>
              <w:t>Базова линия</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16FFFE79" w14:textId="77777777" w:rsidR="006054AA" w:rsidRDefault="001F7667">
            <w:pPr>
              <w:pStyle w:val="P68B1DB1-Normal9"/>
              <w:spacing w:before="120" w:after="120"/>
              <w:jc w:val="center"/>
              <w:rPr>
                <w:noProof/>
              </w:rPr>
            </w:pPr>
            <w:r>
              <w:rPr>
                <w:noProof/>
              </w:rPr>
              <w:t>Цел</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75D22C83" w14:textId="77777777" w:rsidR="006054AA" w:rsidRDefault="001F7667">
            <w:pPr>
              <w:pStyle w:val="P68B1DB1-Normal9"/>
              <w:spacing w:before="120" w:after="120"/>
              <w:jc w:val="center"/>
              <w:rPr>
                <w:noProof/>
              </w:rPr>
            </w:pPr>
            <w:r>
              <w:rPr>
                <w:noProof/>
              </w:rPr>
              <w:t>Тримесечие</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1B02A583" w14:textId="77777777" w:rsidR="006054AA" w:rsidRDefault="001F7667">
            <w:pPr>
              <w:pStyle w:val="P68B1DB1-Normal9"/>
              <w:spacing w:before="120" w:after="120"/>
              <w:jc w:val="center"/>
              <w:rPr>
                <w:noProof/>
              </w:rPr>
            </w:pPr>
            <w:r>
              <w:rPr>
                <w:noProof/>
              </w:rPr>
              <w:t>Година</w:t>
            </w:r>
          </w:p>
        </w:tc>
        <w:tc>
          <w:tcPr>
            <w:tcW w:w="2891" w:type="dxa"/>
            <w:vMerge/>
            <w:tcBorders>
              <w:top w:val="single" w:sz="4" w:space="0" w:color="auto"/>
              <w:bottom w:val="single" w:sz="4" w:space="0" w:color="auto"/>
              <w:right w:val="single" w:sz="4" w:space="0" w:color="auto"/>
            </w:tcBorders>
            <w:vAlign w:val="center"/>
            <w:hideMark/>
          </w:tcPr>
          <w:p w14:paraId="4F94593F" w14:textId="77777777" w:rsidR="006054AA" w:rsidRDefault="006054AA">
            <w:pPr>
              <w:spacing w:before="120" w:after="120"/>
              <w:rPr>
                <w:rFonts w:ascii="Arial Narrow" w:hAnsi="Arial Narrow"/>
                <w:b/>
                <w:noProof/>
                <w:sz w:val="20"/>
              </w:rPr>
            </w:pPr>
          </w:p>
        </w:tc>
      </w:tr>
      <w:tr w:rsidR="006054AA" w14:paraId="702DE034"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3013C" w14:textId="77777777" w:rsidR="006054AA" w:rsidRDefault="001F7667">
            <w:pPr>
              <w:pStyle w:val="P68B1DB1-Normal11"/>
              <w:jc w:val="center"/>
              <w:rPr>
                <w:rFonts w:eastAsiaTheme="minorEastAsia"/>
                <w:noProof/>
              </w:rPr>
            </w:pPr>
            <w:r>
              <w:rPr>
                <w:noProof/>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32315D8" w14:textId="77777777" w:rsidR="006054AA" w:rsidRDefault="001F7667">
            <w:pPr>
              <w:pStyle w:val="P68B1DB1-Normal11"/>
              <w:jc w:val="center"/>
              <w:rPr>
                <w:rFonts w:eastAsiaTheme="minorEastAsia"/>
                <w:noProof/>
              </w:rPr>
            </w:pPr>
            <w:r>
              <w:rPr>
                <w:noProof/>
              </w:rPr>
              <w:t>Реформа 1: Преразглеждане и актуализиране на настоящата правна рамка на научните институти за хоспитализация и грижи (IRCCS) и научноизследователските политики на Министерството на здравеопазването с цел укрепване на връзката между научните изследвания, иновациите и здравеопазването</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4409B80A" w14:textId="77777777" w:rsidR="006054AA" w:rsidRDefault="001F7667">
            <w:pPr>
              <w:pStyle w:val="P68B1DB1-Normal11"/>
              <w:jc w:val="center"/>
              <w:rPr>
                <w:rFonts w:eastAsiaTheme="minorEastAsia"/>
                <w:noProof/>
              </w:rPr>
            </w:pPr>
            <w:r>
              <w:rPr>
                <w:noProof/>
              </w:rPr>
              <w:t>Ключов етап</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3E636CB" w14:textId="77777777" w:rsidR="006054AA" w:rsidRDefault="001F7667">
            <w:pPr>
              <w:pStyle w:val="P68B1DB1-Normal11"/>
              <w:jc w:val="center"/>
              <w:rPr>
                <w:rFonts w:eastAsiaTheme="minorEastAsia"/>
                <w:noProof/>
              </w:rPr>
            </w:pPr>
            <w:r>
              <w:rPr>
                <w:noProof/>
              </w:rPr>
              <w:t>Влизане в сила на законодателния декрет, предвиждащ реорганизация на правната уредба на научните институти за хоспитализация и грижи (IRCSS)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3E6181D" w14:textId="77777777" w:rsidR="006054AA" w:rsidRDefault="001F7667">
            <w:pPr>
              <w:pStyle w:val="P68B1DB1-Normal11"/>
              <w:jc w:val="center"/>
              <w:rPr>
                <w:rFonts w:eastAsiaTheme="minorEastAsia"/>
                <w:noProof/>
              </w:rPr>
            </w:pPr>
            <w:r>
              <w:rPr>
                <w:noProof/>
              </w:rPr>
              <w:t>Разпоредба в постановлението, указваща влизането в сила</w:t>
            </w:r>
          </w:p>
        </w:tc>
        <w:tc>
          <w:tcPr>
            <w:tcW w:w="992" w:type="dxa"/>
            <w:tcBorders>
              <w:top w:val="nil"/>
              <w:left w:val="nil"/>
              <w:bottom w:val="single" w:sz="4" w:space="0" w:color="auto"/>
              <w:right w:val="single" w:sz="4" w:space="0" w:color="auto"/>
            </w:tcBorders>
            <w:shd w:val="clear" w:color="auto" w:fill="C6EFCE"/>
            <w:noWrap/>
            <w:vAlign w:val="center"/>
          </w:tcPr>
          <w:p w14:paraId="5D37F95C" w14:textId="77777777" w:rsidR="006054AA" w:rsidRDefault="001F7667">
            <w:pPr>
              <w:pStyle w:val="P68B1DB1-Normal11"/>
              <w:jc w:val="center"/>
              <w:rPr>
                <w:rFonts w:eastAsiaTheme="minorEastAsia"/>
                <w:noProof/>
              </w:rPr>
            </w:pPr>
            <w:r>
              <w:rPr>
                <w:noProof/>
              </w:rPr>
              <w:t>НЯМА</w:t>
            </w:r>
          </w:p>
        </w:tc>
        <w:tc>
          <w:tcPr>
            <w:tcW w:w="1134" w:type="dxa"/>
            <w:tcBorders>
              <w:top w:val="nil"/>
              <w:left w:val="nil"/>
              <w:bottom w:val="single" w:sz="4" w:space="0" w:color="auto"/>
              <w:right w:val="single" w:sz="4" w:space="0" w:color="auto"/>
            </w:tcBorders>
            <w:shd w:val="clear" w:color="auto" w:fill="C6EFCE"/>
            <w:noWrap/>
            <w:vAlign w:val="center"/>
          </w:tcPr>
          <w:p w14:paraId="47661CC2" w14:textId="77777777" w:rsidR="006054AA" w:rsidRDefault="001F7667">
            <w:pPr>
              <w:pStyle w:val="P68B1DB1-Normal11"/>
              <w:jc w:val="center"/>
              <w:rPr>
                <w:rFonts w:eastAsiaTheme="minorEastAsia"/>
                <w:noProof/>
              </w:rPr>
            </w:pPr>
            <w:r>
              <w:rPr>
                <w:noProof/>
              </w:rPr>
              <w:t>НЯМА</w:t>
            </w:r>
          </w:p>
        </w:tc>
        <w:tc>
          <w:tcPr>
            <w:tcW w:w="851" w:type="dxa"/>
            <w:tcBorders>
              <w:top w:val="nil"/>
              <w:left w:val="nil"/>
              <w:bottom w:val="single" w:sz="4" w:space="0" w:color="auto"/>
              <w:right w:val="single" w:sz="4" w:space="0" w:color="auto"/>
            </w:tcBorders>
            <w:shd w:val="clear" w:color="auto" w:fill="C6EFCE"/>
            <w:noWrap/>
            <w:vAlign w:val="center"/>
          </w:tcPr>
          <w:p w14:paraId="336A0C41" w14:textId="77777777" w:rsidR="006054AA" w:rsidRDefault="001F7667">
            <w:pPr>
              <w:pStyle w:val="P68B1DB1-Normal11"/>
              <w:jc w:val="center"/>
              <w:rPr>
                <w:rFonts w:eastAsiaTheme="minorEastAsia"/>
                <w:noProof/>
              </w:rPr>
            </w:pPr>
            <w:r>
              <w:rPr>
                <w:noProof/>
              </w:rPr>
              <w:t>НЯМА</w:t>
            </w:r>
          </w:p>
        </w:tc>
        <w:tc>
          <w:tcPr>
            <w:tcW w:w="850" w:type="dxa"/>
            <w:tcBorders>
              <w:top w:val="nil"/>
              <w:left w:val="nil"/>
              <w:bottom w:val="single" w:sz="4" w:space="0" w:color="auto"/>
              <w:right w:val="single" w:sz="4" w:space="0" w:color="auto"/>
            </w:tcBorders>
            <w:shd w:val="clear" w:color="auto" w:fill="C6EFCE"/>
            <w:noWrap/>
            <w:vAlign w:val="center"/>
          </w:tcPr>
          <w:p w14:paraId="0664E1EC" w14:textId="77777777" w:rsidR="006054AA" w:rsidRDefault="001F7667">
            <w:pPr>
              <w:pStyle w:val="P68B1DB1-Normal11"/>
              <w:jc w:val="center"/>
              <w:rPr>
                <w:rFonts w:eastAsiaTheme="minorEastAsia"/>
                <w:noProof/>
              </w:rPr>
            </w:pPr>
            <w:r>
              <w:rPr>
                <w:noProof/>
              </w:rPr>
              <w:t>Т4 Г.</w:t>
            </w:r>
          </w:p>
        </w:tc>
        <w:tc>
          <w:tcPr>
            <w:tcW w:w="709" w:type="dxa"/>
            <w:tcBorders>
              <w:top w:val="nil"/>
              <w:left w:val="nil"/>
              <w:bottom w:val="single" w:sz="4" w:space="0" w:color="auto"/>
              <w:right w:val="single" w:sz="4" w:space="0" w:color="auto"/>
            </w:tcBorders>
            <w:shd w:val="clear" w:color="auto" w:fill="C6EFCE"/>
            <w:noWrap/>
            <w:vAlign w:val="center"/>
          </w:tcPr>
          <w:p w14:paraId="673BD913" w14:textId="77777777" w:rsidR="006054AA" w:rsidRDefault="001F7667">
            <w:pPr>
              <w:pStyle w:val="P68B1DB1-Normal11"/>
              <w:jc w:val="center"/>
              <w:rPr>
                <w:rFonts w:eastAsiaTheme="minorEastAsia"/>
                <w:noProof/>
              </w:rPr>
            </w:pPr>
            <w:r>
              <w:rPr>
                <w:noProof/>
              </w:rPr>
              <w:t>2022</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7E038C89" w14:textId="77777777" w:rsidR="006054AA" w:rsidRDefault="001F7667">
            <w:pPr>
              <w:pStyle w:val="P68B1DB1-Normal11"/>
              <w:rPr>
                <w:rFonts w:eastAsiaTheme="minorEastAsia"/>
                <w:noProof/>
              </w:rPr>
            </w:pPr>
            <w:r>
              <w:rPr>
                <w:noProof/>
              </w:rPr>
              <w:t>Реформата ще реорганизира мрежата на IRCCS с цел подобряване на качеството и високите постижения на NHS, подобряване на връзката между здравеопазването и научните изследвания, преразглеждане на правния режим на IRCCS и изследователските политики в рамките на компетентността на италианското министерство на здравеопазването.</w:t>
            </w:r>
          </w:p>
          <w:p w14:paraId="69334D6B" w14:textId="77777777" w:rsidR="006054AA" w:rsidRDefault="001F7667">
            <w:pPr>
              <w:pStyle w:val="P68B1DB1-Normal11"/>
              <w:rPr>
                <w:rFonts w:eastAsiaTheme="minorEastAsia"/>
                <w:noProof/>
              </w:rPr>
            </w:pPr>
            <w:r>
              <w:rPr>
                <w:noProof/>
              </w:rPr>
              <w:t>Реформата включва мерки за: I) укрепване на връзката между научните изследвания, иновациите и здравеопазването; II) подобряване на управлението на публичните ICCS чрез подобряване на стратегическото управление и по-добро определяне на правомощията и областите на компетентност.</w:t>
            </w:r>
          </w:p>
        </w:tc>
      </w:tr>
      <w:tr w:rsidR="006054AA" w14:paraId="2E60E86A" w14:textId="77777777">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2AFF1F08" w14:textId="77777777" w:rsidR="006054AA" w:rsidRDefault="001F7667">
            <w:pPr>
              <w:pStyle w:val="P68B1DB1-Normal11"/>
              <w:jc w:val="center"/>
              <w:rPr>
                <w:rFonts w:eastAsiaTheme="minorEastAsia"/>
                <w:noProof/>
              </w:rPr>
            </w:pPr>
            <w:r>
              <w:rPr>
                <w:noProof/>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18563E5D" w14:textId="77777777" w:rsidR="006054AA" w:rsidRDefault="001F7667">
            <w:pPr>
              <w:pStyle w:val="P68B1DB1-Normal11"/>
              <w:jc w:val="center"/>
              <w:rPr>
                <w:rFonts w:eastAsiaTheme="minorEastAsia"/>
                <w:noProof/>
              </w:rPr>
            </w:pPr>
            <w:r>
              <w:rPr>
                <w:noProof/>
              </w:rPr>
              <w:t>Инвестиция 2.1: Укрепване и засилване на биомедицинските изследвания на Националната здравна служба</w:t>
            </w:r>
          </w:p>
        </w:tc>
        <w:tc>
          <w:tcPr>
            <w:tcW w:w="1275" w:type="dxa"/>
            <w:tcBorders>
              <w:top w:val="nil"/>
              <w:left w:val="nil"/>
              <w:bottom w:val="single" w:sz="4" w:space="0" w:color="auto"/>
              <w:right w:val="single" w:sz="4" w:space="0" w:color="auto"/>
            </w:tcBorders>
            <w:shd w:val="clear" w:color="auto" w:fill="C6EFCE"/>
            <w:noWrap/>
            <w:vAlign w:val="center"/>
            <w:hideMark/>
          </w:tcPr>
          <w:p w14:paraId="3FA34210" w14:textId="77777777" w:rsidR="006054AA" w:rsidRDefault="001F7667">
            <w:pPr>
              <w:pStyle w:val="P68B1DB1-Normal11"/>
              <w:jc w:val="center"/>
              <w:rPr>
                <w:rFonts w:eastAsiaTheme="minorEastAsia"/>
                <w:noProof/>
              </w:rPr>
            </w:pPr>
            <w:r>
              <w:rPr>
                <w:noProof/>
              </w:rPr>
              <w:t>Целеви</w:t>
            </w:r>
          </w:p>
        </w:tc>
        <w:tc>
          <w:tcPr>
            <w:tcW w:w="1843" w:type="dxa"/>
            <w:tcBorders>
              <w:top w:val="nil"/>
              <w:left w:val="nil"/>
              <w:bottom w:val="single" w:sz="4" w:space="0" w:color="auto"/>
              <w:right w:val="single" w:sz="4" w:space="0" w:color="auto"/>
            </w:tcBorders>
            <w:shd w:val="clear" w:color="auto" w:fill="C6EFCE"/>
            <w:noWrap/>
            <w:vAlign w:val="center"/>
            <w:hideMark/>
          </w:tcPr>
          <w:p w14:paraId="752A3634" w14:textId="77777777" w:rsidR="006054AA" w:rsidRDefault="001F7667">
            <w:pPr>
              <w:pStyle w:val="P68B1DB1-Normal11"/>
              <w:jc w:val="center"/>
              <w:rPr>
                <w:rFonts w:eastAsiaTheme="minorEastAsia"/>
                <w:noProof/>
              </w:rPr>
            </w:pPr>
            <w:r>
              <w:rPr>
                <w:noProof/>
              </w:rPr>
              <w:t>Финансирани научноизследователски проекти в областта на редките ракови заболявания и заболявания</w:t>
            </w:r>
          </w:p>
        </w:tc>
        <w:tc>
          <w:tcPr>
            <w:tcW w:w="1701" w:type="dxa"/>
            <w:tcBorders>
              <w:top w:val="nil"/>
              <w:left w:val="nil"/>
              <w:bottom w:val="single" w:sz="4" w:space="0" w:color="auto"/>
              <w:right w:val="single" w:sz="4" w:space="0" w:color="auto"/>
            </w:tcBorders>
            <w:shd w:val="clear" w:color="auto" w:fill="C6EFCE"/>
            <w:noWrap/>
            <w:vAlign w:val="center"/>
          </w:tcPr>
          <w:p w14:paraId="6F6E5349" w14:textId="77777777" w:rsidR="006054AA" w:rsidRDefault="001F7667">
            <w:pPr>
              <w:pStyle w:val="P68B1DB1-Normal11"/>
              <w:jc w:val="center"/>
              <w:rPr>
                <w:rFonts w:eastAsiaTheme="minorEastAsia"/>
                <w:noProof/>
              </w:rPr>
            </w:pPr>
            <w:r>
              <w:rPr>
                <w:noProof/>
              </w:rPr>
              <w:t>НЯМА</w:t>
            </w:r>
          </w:p>
        </w:tc>
        <w:tc>
          <w:tcPr>
            <w:tcW w:w="992" w:type="dxa"/>
            <w:tcBorders>
              <w:top w:val="nil"/>
              <w:left w:val="nil"/>
              <w:bottom w:val="single" w:sz="4" w:space="0" w:color="auto"/>
              <w:right w:val="single" w:sz="4" w:space="0" w:color="auto"/>
            </w:tcBorders>
            <w:shd w:val="clear" w:color="auto" w:fill="C6EFCE"/>
            <w:noWrap/>
            <w:vAlign w:val="center"/>
            <w:hideMark/>
          </w:tcPr>
          <w:p w14:paraId="767E1505" w14:textId="77777777" w:rsidR="006054AA" w:rsidRDefault="001F7667">
            <w:pPr>
              <w:pStyle w:val="P68B1DB1-Normal11"/>
              <w:jc w:val="center"/>
              <w:rPr>
                <w:rFonts w:eastAsiaTheme="minorEastAsia"/>
                <w:noProof/>
              </w:rPr>
            </w:pPr>
            <w:r>
              <w:rPr>
                <w:noProof/>
              </w:rPr>
              <w:t>Брой</w:t>
            </w:r>
          </w:p>
        </w:tc>
        <w:tc>
          <w:tcPr>
            <w:tcW w:w="1134" w:type="dxa"/>
            <w:tcBorders>
              <w:top w:val="nil"/>
              <w:left w:val="nil"/>
              <w:bottom w:val="single" w:sz="4" w:space="0" w:color="auto"/>
              <w:right w:val="single" w:sz="4" w:space="0" w:color="auto"/>
            </w:tcBorders>
            <w:shd w:val="clear" w:color="auto" w:fill="C6EFCE"/>
            <w:noWrap/>
            <w:vAlign w:val="center"/>
            <w:hideMark/>
          </w:tcPr>
          <w:p w14:paraId="5DF96A9C" w14:textId="77777777" w:rsidR="006054AA" w:rsidRDefault="001F7667">
            <w:pPr>
              <w:pStyle w:val="P68B1DB1-Normal11"/>
              <w:jc w:val="center"/>
              <w:rPr>
                <w:rFonts w:eastAsiaTheme="minorEastAsia"/>
                <w:noProof/>
              </w:rPr>
            </w:pPr>
            <w:r>
              <w:rPr>
                <w:noProof/>
              </w:rPr>
              <w:t>0</w:t>
            </w:r>
          </w:p>
        </w:tc>
        <w:tc>
          <w:tcPr>
            <w:tcW w:w="851" w:type="dxa"/>
            <w:tcBorders>
              <w:top w:val="nil"/>
              <w:left w:val="nil"/>
              <w:bottom w:val="single" w:sz="4" w:space="0" w:color="auto"/>
              <w:right w:val="single" w:sz="4" w:space="0" w:color="auto"/>
            </w:tcBorders>
            <w:shd w:val="clear" w:color="auto" w:fill="C6EFCE"/>
            <w:noWrap/>
            <w:vAlign w:val="center"/>
            <w:hideMark/>
          </w:tcPr>
          <w:p w14:paraId="447BBE02" w14:textId="77777777" w:rsidR="006054AA" w:rsidRDefault="001F7667">
            <w:pPr>
              <w:pStyle w:val="P68B1DB1-Normal11"/>
              <w:jc w:val="center"/>
              <w:rPr>
                <w:rFonts w:eastAsiaTheme="minorEastAsia"/>
                <w:noProof/>
              </w:rPr>
            </w:pPr>
            <w:r>
              <w:rPr>
                <w:noProof/>
              </w:rPr>
              <w:t>100</w:t>
            </w:r>
          </w:p>
        </w:tc>
        <w:tc>
          <w:tcPr>
            <w:tcW w:w="850" w:type="dxa"/>
            <w:tcBorders>
              <w:top w:val="nil"/>
              <w:left w:val="nil"/>
              <w:bottom w:val="single" w:sz="4" w:space="0" w:color="auto"/>
              <w:right w:val="single" w:sz="4" w:space="0" w:color="auto"/>
            </w:tcBorders>
            <w:shd w:val="clear" w:color="auto" w:fill="C6EFCE"/>
            <w:noWrap/>
            <w:vAlign w:val="center"/>
            <w:hideMark/>
          </w:tcPr>
          <w:p w14:paraId="5A353CAD" w14:textId="77777777" w:rsidR="006054AA" w:rsidRDefault="001F7667">
            <w:pPr>
              <w:pStyle w:val="P68B1DB1-Normal11"/>
              <w:jc w:val="center"/>
              <w:rPr>
                <w:rFonts w:eastAsiaTheme="minorEastAsia"/>
                <w:noProof/>
              </w:rPr>
            </w:pPr>
            <w:r>
              <w:rPr>
                <w:noProof/>
              </w:rPr>
              <w:t>Т4 Г.</w:t>
            </w:r>
          </w:p>
        </w:tc>
        <w:tc>
          <w:tcPr>
            <w:tcW w:w="709" w:type="dxa"/>
            <w:tcBorders>
              <w:top w:val="nil"/>
              <w:left w:val="nil"/>
              <w:bottom w:val="single" w:sz="4" w:space="0" w:color="auto"/>
              <w:right w:val="single" w:sz="4" w:space="0" w:color="auto"/>
            </w:tcBorders>
            <w:shd w:val="clear" w:color="auto" w:fill="C6EFCE"/>
            <w:noWrap/>
            <w:vAlign w:val="center"/>
            <w:hideMark/>
          </w:tcPr>
          <w:p w14:paraId="47658C8B" w14:textId="77777777" w:rsidR="006054AA" w:rsidRDefault="001F7667">
            <w:pPr>
              <w:pStyle w:val="P68B1DB1-Normal11"/>
              <w:jc w:val="center"/>
              <w:rPr>
                <w:rFonts w:eastAsiaTheme="minorEastAsia"/>
                <w:noProof/>
              </w:rPr>
            </w:pPr>
            <w:r>
              <w:rPr>
                <w:noProof/>
              </w:rPr>
              <w:t>2025</w:t>
            </w:r>
          </w:p>
        </w:tc>
        <w:tc>
          <w:tcPr>
            <w:tcW w:w="2891" w:type="dxa"/>
            <w:tcBorders>
              <w:top w:val="nil"/>
              <w:left w:val="nil"/>
              <w:bottom w:val="single" w:sz="4" w:space="0" w:color="auto"/>
              <w:right w:val="single" w:sz="4" w:space="0" w:color="auto"/>
            </w:tcBorders>
            <w:shd w:val="clear" w:color="auto" w:fill="C6EFCE"/>
            <w:noWrap/>
            <w:vAlign w:val="center"/>
            <w:hideMark/>
          </w:tcPr>
          <w:p w14:paraId="1DCD8637" w14:textId="77777777" w:rsidR="006054AA" w:rsidRDefault="001F7667">
            <w:pPr>
              <w:pStyle w:val="P68B1DB1-Normal10"/>
              <w:rPr>
                <w:rFonts w:eastAsiaTheme="minorEastAsia"/>
                <w:noProof/>
                <w:color w:val="006100"/>
                <w:sz w:val="20"/>
              </w:rPr>
            </w:pPr>
            <w:r>
              <w:rPr>
                <w:noProof/>
                <w:color w:val="006100"/>
                <w:sz w:val="20"/>
              </w:rPr>
              <w:t>Отпускане на финансиране за научноизследователски програми/проекти в областта на редките заболявания и редките ракови заболявания. Тези патологии с висока биомедицинска сложност и често мултиорганна експресия изискват комбинация от висока клинична компетентност и авангардни диагностични и научноизследователски дейности и изискват технологии за високи постижения и координация на мрежите за сътрудничество на национално и европейско равнище.</w:t>
            </w:r>
            <w:r>
              <w:rPr>
                <w:noProof/>
              </w:rPr>
              <w:t xml:space="preserve"> </w:t>
            </w:r>
            <w:r>
              <w:rPr>
                <w:noProof/>
              </w:rPr>
              <w:br/>
            </w:r>
            <w:r>
              <w:rPr>
                <w:noProof/>
                <w:color w:val="006100"/>
                <w:sz w:val="20"/>
              </w:rPr>
              <w:t>Предоставянето на финансиране за научноизследователски проекти в областта на редките заболявания и редките ракови заболявания се извършва чрез публична тръжна процедура.</w:t>
            </w:r>
          </w:p>
          <w:p w14:paraId="70A2BE06" w14:textId="77777777" w:rsidR="006054AA" w:rsidRDefault="001F7667">
            <w:pPr>
              <w:pStyle w:val="P68B1DB1-Normal11"/>
              <w:rPr>
                <w:rFonts w:eastAsiaTheme="minorEastAsia"/>
                <w:noProof/>
              </w:rPr>
            </w:pPr>
            <w:r>
              <w:rPr>
                <w:noProof/>
              </w:rPr>
              <w:t>Поне 100 научноизследователски проекта трябва да са получили първи транш финансиране.</w:t>
            </w:r>
          </w:p>
        </w:tc>
      </w:tr>
      <w:tr w:rsidR="006054AA" w14:paraId="5AB7D6F8"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0E447" w14:textId="77777777" w:rsidR="006054AA" w:rsidRDefault="001F7667">
            <w:pPr>
              <w:pStyle w:val="P68B1DB1-Normal11"/>
              <w:jc w:val="center"/>
              <w:rPr>
                <w:rFonts w:eastAsiaTheme="minorEastAsia"/>
                <w:noProof/>
              </w:rPr>
            </w:pPr>
            <w:r>
              <w:rPr>
                <w:noProof/>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102535B" w14:textId="77777777" w:rsidR="006054AA" w:rsidRDefault="001F7667">
            <w:pPr>
              <w:pStyle w:val="P68B1DB1-Normal11"/>
              <w:jc w:val="center"/>
              <w:rPr>
                <w:rFonts w:eastAsiaTheme="minorEastAsia"/>
                <w:noProof/>
              </w:rPr>
            </w:pPr>
            <w:r>
              <w:rPr>
                <w:noProof/>
              </w:rPr>
              <w:t>Инвестиция 2.1: Укрепване и засилване на биомедицинските изследвания на Националната здравна служба</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1144A28D" w14:textId="77777777" w:rsidR="006054AA" w:rsidRDefault="001F7667">
            <w:pPr>
              <w:pStyle w:val="P68B1DB1-Normal11"/>
              <w:jc w:val="center"/>
              <w:rPr>
                <w:rFonts w:eastAsiaTheme="minorEastAsia"/>
                <w:noProof/>
              </w:rPr>
            </w:pPr>
            <w:r>
              <w:rPr>
                <w:noProof/>
              </w:rPr>
              <w:t>Целеви</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1CC28F" w14:textId="77777777" w:rsidR="006054AA" w:rsidRDefault="001F7667">
            <w:pPr>
              <w:pStyle w:val="P68B1DB1-Normal11"/>
              <w:jc w:val="center"/>
              <w:rPr>
                <w:rFonts w:eastAsiaTheme="minorEastAsia"/>
                <w:noProof/>
              </w:rPr>
            </w:pPr>
            <w:r>
              <w:rPr>
                <w:noProof/>
              </w:rPr>
              <w:t>Финансирани научноизследователски проекти в областта на заболяванията със силно въздействие върху здравето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760986E" w14:textId="77777777" w:rsidR="006054AA" w:rsidRDefault="001F7667">
            <w:pPr>
              <w:pStyle w:val="P68B1DB1-Normal11"/>
              <w:jc w:val="center"/>
              <w:rPr>
                <w:rFonts w:eastAsiaTheme="minorEastAsia"/>
                <w:noProof/>
              </w:rPr>
            </w:pPr>
            <w:r>
              <w:rPr>
                <w:noProof/>
              </w:rPr>
              <w:t>НЯМА</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C47B71" w14:textId="77777777" w:rsidR="006054AA" w:rsidRDefault="001F7667">
            <w:pPr>
              <w:pStyle w:val="P68B1DB1-Normal11"/>
              <w:jc w:val="center"/>
              <w:rPr>
                <w:rFonts w:eastAsiaTheme="minorEastAsia"/>
                <w:noProof/>
              </w:rPr>
            </w:pPr>
            <w:r>
              <w:rPr>
                <w:noProof/>
              </w:rPr>
              <w:t>Брой</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FC082D4" w14:textId="77777777" w:rsidR="006054AA" w:rsidRDefault="001F7667">
            <w:pPr>
              <w:pStyle w:val="P68B1DB1-Normal11"/>
              <w:jc w:val="center"/>
              <w:rPr>
                <w:rFonts w:eastAsiaTheme="minorEastAsia"/>
                <w:noProof/>
              </w:rPr>
            </w:pPr>
            <w:r>
              <w:rPr>
                <w:noProof/>
              </w:rPr>
              <w:t>0</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7767E4B1" w14:textId="77777777" w:rsidR="006054AA" w:rsidRDefault="001F7667">
            <w:pPr>
              <w:pStyle w:val="P68B1DB1-Normal11"/>
              <w:jc w:val="center"/>
              <w:rPr>
                <w:rFonts w:eastAsiaTheme="minorEastAsia"/>
                <w:noProof/>
              </w:rPr>
            </w:pPr>
            <w:r>
              <w:rPr>
                <w:noProof/>
              </w:rPr>
              <w:t>324</w:t>
            </w:r>
          </w:p>
        </w:tc>
        <w:tc>
          <w:tcPr>
            <w:tcW w:w="850" w:type="dxa"/>
            <w:tcBorders>
              <w:top w:val="single" w:sz="4" w:space="0" w:color="auto"/>
              <w:left w:val="nil"/>
              <w:bottom w:val="single" w:sz="4" w:space="0" w:color="auto"/>
              <w:right w:val="single" w:sz="4" w:space="0" w:color="auto"/>
            </w:tcBorders>
            <w:shd w:val="clear" w:color="auto" w:fill="C6EFCE"/>
            <w:noWrap/>
            <w:vAlign w:val="center"/>
          </w:tcPr>
          <w:p w14:paraId="67BD46CB" w14:textId="77777777" w:rsidR="006054AA" w:rsidRDefault="001F7667">
            <w:pPr>
              <w:pStyle w:val="P68B1DB1-Normal11"/>
              <w:jc w:val="center"/>
              <w:rPr>
                <w:rFonts w:eastAsiaTheme="minorEastAsia"/>
                <w:noProof/>
              </w:rPr>
            </w:pPr>
            <w:r>
              <w:rPr>
                <w:noProof/>
              </w:rPr>
              <w:t>Т4 Г.</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6351DA8C" w14:textId="77777777" w:rsidR="006054AA" w:rsidRDefault="001F7667">
            <w:pPr>
              <w:pStyle w:val="P68B1DB1-Normal11"/>
              <w:jc w:val="center"/>
              <w:rPr>
                <w:rFonts w:eastAsiaTheme="minorEastAsia"/>
                <w:noProof/>
              </w:rPr>
            </w:pPr>
            <w:r>
              <w:rPr>
                <w:noProof/>
              </w:rPr>
              <w:t>2025</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563A0FEA" w14:textId="77777777" w:rsidR="006054AA" w:rsidRDefault="001F7667">
            <w:pPr>
              <w:pStyle w:val="P68B1DB1-Normal10"/>
              <w:rPr>
                <w:rFonts w:eastAsiaTheme="minorEastAsia"/>
                <w:noProof/>
                <w:color w:val="006100"/>
                <w:sz w:val="20"/>
              </w:rPr>
            </w:pPr>
            <w:r>
              <w:rPr>
                <w:noProof/>
                <w:color w:val="006100"/>
                <w:sz w:val="20"/>
              </w:rPr>
              <w:t>Предоставяне на финансиране за научноизследователски програми/проекти в областта на заболяванията със силно въздействие върху здравето.</w:t>
            </w:r>
            <w:r>
              <w:rPr>
                <w:noProof/>
              </w:rPr>
              <w:t xml:space="preserve"> </w:t>
            </w:r>
            <w:r>
              <w:rPr>
                <w:noProof/>
              </w:rPr>
              <w:br/>
            </w:r>
            <w:r>
              <w:rPr>
                <w:noProof/>
                <w:color w:val="006100"/>
                <w:sz w:val="20"/>
              </w:rPr>
              <w:t>Предоставянето на финансиране за научноизследователски проекти за болести със силно въздействие върху здравето се извършва чрез публична тръжна процедура.</w:t>
            </w:r>
          </w:p>
          <w:p w14:paraId="0C8162CC" w14:textId="77777777" w:rsidR="006054AA" w:rsidRDefault="001F7667">
            <w:pPr>
              <w:pStyle w:val="P68B1DB1-Normal11"/>
              <w:rPr>
                <w:rFonts w:eastAsiaTheme="minorEastAsia"/>
                <w:noProof/>
              </w:rPr>
            </w:pPr>
            <w:r>
              <w:rPr>
                <w:noProof/>
              </w:rPr>
              <w:t>Поне 324 научноизследователски проекта трябва да са получили първи транш финансиране.</w:t>
            </w:r>
          </w:p>
        </w:tc>
      </w:tr>
    </w:tbl>
    <w:p w14:paraId="59BEBE09" w14:textId="77777777" w:rsidR="006054AA" w:rsidRDefault="006054AA">
      <w:pPr>
        <w:spacing w:before="120" w:after="120"/>
        <w:ind w:left="709"/>
        <w:jc w:val="both"/>
        <w:rPr>
          <w:noProof/>
        </w:rPr>
      </w:pPr>
    </w:p>
    <w:p w14:paraId="058D463A" w14:textId="77777777" w:rsidR="006054AA" w:rsidRDefault="006054AA">
      <w:pPr>
        <w:spacing w:before="120" w:after="120"/>
        <w:ind w:left="709"/>
        <w:jc w:val="both"/>
        <w:rPr>
          <w:noProof/>
        </w:rPr>
        <w:sectPr w:rsidR="006054AA" w:rsidSect="000D3774">
          <w:headerReference w:type="even" r:id="rId368"/>
          <w:headerReference w:type="default" r:id="rId369"/>
          <w:footerReference w:type="even" r:id="rId370"/>
          <w:footerReference w:type="default" r:id="rId371"/>
          <w:headerReference w:type="first" r:id="rId372"/>
          <w:footerReference w:type="first" r:id="rId373"/>
          <w:pgSz w:w="16839" w:h="11907" w:orient="landscape"/>
          <w:pgMar w:top="720" w:right="720" w:bottom="720" w:left="720" w:header="709" w:footer="709" w:gutter="0"/>
          <w:cols w:space="720"/>
          <w:docGrid w:linePitch="360"/>
        </w:sectPr>
      </w:pPr>
    </w:p>
    <w:p w14:paraId="7EE672B9" w14:textId="0EE663E0" w:rsidR="006054AA" w:rsidRDefault="001F7667">
      <w:pPr>
        <w:pStyle w:val="Heading3"/>
        <w:numPr>
          <w:ilvl w:val="0"/>
          <w:numId w:val="0"/>
        </w:numPr>
        <w:ind w:left="850" w:hanging="850"/>
        <w:rPr>
          <w:b/>
          <w:i w:val="0"/>
          <w:noProof/>
          <w:color w:val="4F81BD" w:themeColor="accent1"/>
          <w:u w:val="single"/>
        </w:rPr>
      </w:pPr>
      <w:r>
        <w:rPr>
          <w:b/>
          <w:i w:val="0"/>
          <w:noProof/>
          <w:u w:val="single"/>
          <w:lang w:val="bg-BG"/>
        </w:rPr>
        <w:t>П</w:t>
      </w:r>
      <w:r>
        <w:rPr>
          <w:b/>
          <w:i w:val="0"/>
          <w:noProof/>
          <w:u w:val="single"/>
        </w:rPr>
        <w:t xml:space="preserve">.3. </w:t>
      </w:r>
      <w:r>
        <w:rPr>
          <w:noProof/>
        </w:rPr>
        <w:tab/>
      </w:r>
      <w:r>
        <w:rPr>
          <w:b/>
          <w:i w:val="0"/>
          <w:noProof/>
          <w:u w:val="single"/>
        </w:rPr>
        <w:t xml:space="preserve">Описание на реформите и инвестициите за заема </w:t>
      </w:r>
    </w:p>
    <w:p w14:paraId="540D6C35" w14:textId="18702C83" w:rsidR="006054AA" w:rsidRDefault="001F7667">
      <w:pPr>
        <w:pStyle w:val="P68B1DB1-Normal2"/>
        <w:spacing w:before="120" w:after="120"/>
        <w:jc w:val="both"/>
        <w:rPr>
          <w:noProof/>
        </w:rPr>
      </w:pPr>
      <w:r>
        <w:rPr>
          <w:noProof/>
        </w:rPr>
        <w:t>Инвестиция 1.1: Цифрова актуализация на технологичното оборудване на болниците</w:t>
      </w:r>
    </w:p>
    <w:p w14:paraId="21FD006D" w14:textId="77777777" w:rsidR="006054AA" w:rsidRDefault="001F7667">
      <w:pPr>
        <w:spacing w:before="120" w:after="120" w:line="259" w:lineRule="auto"/>
        <w:jc w:val="both"/>
        <w:rPr>
          <w:noProof/>
        </w:rPr>
      </w:pPr>
      <w:r>
        <w:rPr>
          <w:noProof/>
        </w:rPr>
        <w:t>Тези инвестиции се състоят в подобряване на цифровизацията на здравеопазването с цел повишаване на производителността на персонала, подобряване на качеството на процесите, гарантиране на безопасността на пациентите и предоставянето на висококачествени услуги. Инвестицията има три линии на намеса:</w:t>
      </w:r>
    </w:p>
    <w:p w14:paraId="020620E8" w14:textId="7DE5A2EE" w:rsidR="006054AA" w:rsidRDefault="001F7667">
      <w:pPr>
        <w:numPr>
          <w:ilvl w:val="0"/>
          <w:numId w:val="45"/>
        </w:numPr>
        <w:spacing w:before="120" w:after="120" w:line="259" w:lineRule="auto"/>
        <w:ind w:left="360"/>
        <w:contextualSpacing/>
        <w:jc w:val="both"/>
        <w:rPr>
          <w:noProof/>
        </w:rPr>
      </w:pPr>
      <w:r>
        <w:rPr>
          <w:noProof/>
        </w:rPr>
        <w:t>Модернизиране на голямо здравно оборудване чрез замяна на остарелите модели с напреднали технологични модели. Замененото оборудване ще бъде изхвърлено или преразпределено към други сайтове на Националната здравна служба.</w:t>
      </w:r>
    </w:p>
    <w:p w14:paraId="40290673" w14:textId="2D7AA31E" w:rsidR="006054AA" w:rsidRDefault="001F7667">
      <w:pPr>
        <w:numPr>
          <w:ilvl w:val="0"/>
          <w:numId w:val="45"/>
        </w:numPr>
        <w:spacing w:before="120" w:after="120" w:line="259" w:lineRule="auto"/>
        <w:ind w:left="360"/>
        <w:contextualSpacing/>
        <w:jc w:val="both"/>
        <w:rPr>
          <w:noProof/>
        </w:rPr>
      </w:pPr>
      <w:r>
        <w:rPr>
          <w:noProof/>
        </w:rPr>
        <w:t>Информация за процесите на болниците с отдел за спешна помощ от първо и второ ниво („Dipartimenti Emergenza e accettazione“, DEA).</w:t>
      </w:r>
    </w:p>
    <w:p w14:paraId="0ED6F875" w14:textId="49774FD3" w:rsidR="006054AA" w:rsidRDefault="001F7667">
      <w:pPr>
        <w:numPr>
          <w:ilvl w:val="0"/>
          <w:numId w:val="45"/>
        </w:numPr>
        <w:spacing w:before="120" w:after="120" w:line="259" w:lineRule="auto"/>
        <w:ind w:left="360"/>
        <w:contextualSpacing/>
        <w:jc w:val="both"/>
        <w:rPr>
          <w:noProof/>
        </w:rPr>
      </w:pPr>
      <w:r>
        <w:rPr>
          <w:noProof/>
        </w:rPr>
        <w:t>Увеличаване на броя на леглата в интензивните и полуинтензивните отделения в болниците на Националната здравна служба.</w:t>
      </w:r>
    </w:p>
    <w:p w14:paraId="68065BD9" w14:textId="77777777" w:rsidR="006054AA" w:rsidRDefault="001F7667">
      <w:pPr>
        <w:pStyle w:val="P68B1DB1-Normal2"/>
        <w:spacing w:before="120" w:after="120"/>
        <w:jc w:val="both"/>
        <w:rPr>
          <w:noProof/>
        </w:rPr>
      </w:pPr>
      <w:r>
        <w:rPr>
          <w:noProof/>
        </w:rPr>
        <w:t>Инвестиция 1.2: Към безопасна и устойчива болница</w:t>
      </w:r>
    </w:p>
    <w:p w14:paraId="56FE73C7" w14:textId="77777777" w:rsidR="006054AA" w:rsidRDefault="001F7667">
      <w:pPr>
        <w:spacing w:before="120" w:after="120" w:line="259" w:lineRule="auto"/>
        <w:jc w:val="both"/>
        <w:rPr>
          <w:noProof/>
        </w:rPr>
      </w:pPr>
      <w:r>
        <w:rPr>
          <w:noProof/>
        </w:rPr>
        <w:t>Тази инвестиция се състои в привеждане на болниците в съответствие с антисеизмичните разпоредби. За тази цел са предвидени две различни инвестиционни линии:</w:t>
      </w:r>
    </w:p>
    <w:p w14:paraId="7AAC76A6" w14:textId="77777777" w:rsidR="006054AA" w:rsidRDefault="001F7667">
      <w:pPr>
        <w:pStyle w:val="ListParagraph"/>
        <w:numPr>
          <w:ilvl w:val="0"/>
          <w:numId w:val="47"/>
        </w:numPr>
        <w:spacing w:line="259" w:lineRule="auto"/>
        <w:ind w:left="360"/>
        <w:rPr>
          <w:noProof/>
        </w:rPr>
      </w:pPr>
      <w:r>
        <w:rPr>
          <w:noProof/>
        </w:rPr>
        <w:t>Сеизмична модернизация и намеса за подобряване на болничните заведения, установени от проучването на нуждите, изразени от регионите.</w:t>
      </w:r>
    </w:p>
    <w:p w14:paraId="47867D81" w14:textId="5BFBCFC5" w:rsidR="006054AA" w:rsidRDefault="001F7667">
      <w:pPr>
        <w:pStyle w:val="ListParagraph"/>
        <w:numPr>
          <w:ilvl w:val="0"/>
          <w:numId w:val="47"/>
        </w:numPr>
        <w:spacing w:line="259" w:lineRule="auto"/>
        <w:ind w:left="360"/>
        <w:rPr>
          <w:noProof/>
        </w:rPr>
      </w:pPr>
      <w:r>
        <w:rPr>
          <w:noProof/>
        </w:rPr>
        <w:t>Многогодишна намеса, насочена към обновяване и модернизиране на физическата и технологичната рамка на недвижимите имоти в областта на общественото здравеопазване.</w:t>
      </w:r>
    </w:p>
    <w:p w14:paraId="0D89A4AB" w14:textId="22685078" w:rsidR="006054AA" w:rsidRDefault="001F7667">
      <w:pPr>
        <w:pStyle w:val="P68B1DB1-Normal2"/>
        <w:spacing w:before="120" w:after="120"/>
        <w:jc w:val="both"/>
        <w:rPr>
          <w:noProof/>
        </w:rPr>
      </w:pPr>
      <w:r>
        <w:rPr>
          <w:noProof/>
        </w:rPr>
        <w:t>Инвестиция 1.3: Укрепване на технологичната инфраструктура и на инструментите за събиране, обработка на данни, анализ и симулация на данни</w:t>
      </w:r>
    </w:p>
    <w:p w14:paraId="747EEFB0" w14:textId="77777777" w:rsidR="006054AA" w:rsidRDefault="001F7667">
      <w:pPr>
        <w:spacing w:before="120" w:after="120" w:line="259" w:lineRule="auto"/>
        <w:jc w:val="both"/>
        <w:rPr>
          <w:noProof/>
        </w:rPr>
      </w:pPr>
      <w:r>
        <w:rPr>
          <w:noProof/>
        </w:rPr>
        <w:t>Тази инвестиция се състои в значително подобряване на технологичната инфраструктура, която е в основата на предоставянето на грижи, анализа на здравеопазването и капацитета за прогнозиране на италианската национална здравна служба. Инвестицията се състои от два различни проекта:</w:t>
      </w:r>
    </w:p>
    <w:p w14:paraId="44BE1C49" w14:textId="77777777" w:rsidR="006054AA" w:rsidRDefault="001F7667">
      <w:pPr>
        <w:numPr>
          <w:ilvl w:val="0"/>
          <w:numId w:val="46"/>
        </w:numPr>
        <w:spacing w:before="120" w:after="120" w:line="259" w:lineRule="auto"/>
        <w:ind w:left="360"/>
        <w:contextualSpacing/>
        <w:jc w:val="both"/>
        <w:rPr>
          <w:noProof/>
          <w:u w:val="single"/>
        </w:rPr>
      </w:pPr>
      <w:r>
        <w:rPr>
          <w:noProof/>
        </w:rPr>
        <w:t>Предоставяне на възможности за инфраструктурата и използването на съществуващите електронни здравни досиета (ЕЗД). Това се постига чрез превръщането ѝ в напълно цифрова среда за данни, която по този начин е хомогенна, последователна и преносима на цялата национална територия. ЕЗД изпълнява три основни функции: първо, тя предоставя възможности на медицинските специалисти, като им позволява да разчитат на един и същ източник на клинична информация, описваща цялата медицинска история на пациента; второ, тя се превръща в точка за достъп на гражданите и пациентите до основните услуги, предоставяни от националните и регионалните системи на здравеопазване; трето, здравните администрации са оправомощени да използват клиничните данни за извършване на анализи на здравето и за подобряване на предоставянето на здравно обслужване.</w:t>
      </w:r>
    </w:p>
    <w:p w14:paraId="0B25A13F" w14:textId="55203770" w:rsidR="006054AA" w:rsidRDefault="001F7667">
      <w:pPr>
        <w:numPr>
          <w:ilvl w:val="0"/>
          <w:numId w:val="46"/>
        </w:numPr>
        <w:spacing w:before="120" w:after="120"/>
        <w:ind w:left="360"/>
        <w:contextualSpacing/>
        <w:jc w:val="both"/>
        <w:rPr>
          <w:noProof/>
          <w:u w:val="single"/>
        </w:rPr>
      </w:pPr>
      <w:r>
        <w:rPr>
          <w:noProof/>
        </w:rPr>
        <w:t xml:space="preserve">Укрепване на инфраструктурата и технологичните и аналитичните инструменти на Министерството на здравеопазването за наблюдение на основните равнища на подпомагане (ЗБК, т.е. услугите, гарантирани от националната здравна служба) и планиране на здравното подпомагане и услуги в съответствие с нуждите на населението и развитието на демографските, иновационните и епидемиологичните тенденции. Тази ключова и основна цел на италианското министерство на здравеопазването се постига чрез постигането на следните и интегрирани 4 подцели: I) укрепване на инфраструктурата на италианското министерство на здравеопазването, интегриране на клиничните данни за ЕЗД в новата здравна информационна система (NSIS) клинични, административни и разходни данни, както и с друга информация и данни, свързани със здравето, в рамките на подхода „Едно здраве“ за наблюдение на правоприлагащите органи и осигуряване на дейности по наблюдение на здравето и проследяване на безопасността; II) подобряване на събирането, обработката и генерирането на данни от НШИС на местно равнище, реорганизиране и стандартизиране на процеса на генериране на данни на регионално и местно равнище с цел подобряване на инструмента NSIS за измерване на качеството, ефикасността и целесъобразността на NHS; III) разработване на усъвършенствани инструменти за анализ за оценка на сложни явления и прогнози за сценарии с цел подобряване на централния капацитет за планиране на здравните услуги и откриване на нововъзникващи заболявания; IV) създаване на национална платформа, на която могат да се срещат предлагането и търсенето на телемедицински услуги от акредитираните доставчици. </w:t>
      </w:r>
    </w:p>
    <w:p w14:paraId="3DA793F3" w14:textId="16E3CBE3" w:rsidR="006054AA" w:rsidRDefault="001F7667">
      <w:pPr>
        <w:pStyle w:val="P68B1DB1-Normal2"/>
        <w:spacing w:before="120" w:after="120"/>
        <w:jc w:val="both"/>
        <w:rPr>
          <w:noProof/>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p w14:paraId="1ABADD78" w14:textId="651BF02E" w:rsidR="006054AA" w:rsidRDefault="001F7667">
      <w:pPr>
        <w:spacing w:before="120" w:after="120"/>
        <w:jc w:val="both"/>
        <w:rPr>
          <w:noProof/>
          <w:u w:val="single"/>
        </w:rPr>
      </w:pPr>
      <w:r>
        <w:rPr>
          <w:noProof/>
        </w:rPr>
        <w:t>Тази инвестиция се състои в увеличаване на стипендиите за конкретния курс по обща медицина; стартиране на план за обучение по безопасност по отношение на болничните инфекции за целия персонал на Националната здравна служба; активиране на курс за обучение на персонал с висши функции в рамките на органите на Националната здравна служба (NHS) в областта на управленските и цифровите умения и финансиране на договори за специализирано медицинско обучение.</w:t>
      </w:r>
    </w:p>
    <w:p w14:paraId="0DCEF620" w14:textId="7EE11971" w:rsidR="006054AA" w:rsidRDefault="001F7667">
      <w:pPr>
        <w:pStyle w:val="Heading3"/>
        <w:numPr>
          <w:ilvl w:val="0"/>
          <w:numId w:val="0"/>
        </w:numPr>
        <w:ind w:left="850" w:hanging="850"/>
        <w:rPr>
          <w:b/>
          <w:i w:val="0"/>
          <w:noProof/>
          <w:u w:val="single"/>
        </w:rPr>
      </w:pPr>
      <w:r>
        <w:rPr>
          <w:b/>
          <w:i w:val="0"/>
          <w:noProof/>
          <w:u w:val="single"/>
          <w:lang w:val="bg-BG"/>
        </w:rPr>
        <w:t>П</w:t>
      </w:r>
      <w:r>
        <w:rPr>
          <w:b/>
          <w:i w:val="0"/>
          <w:noProof/>
          <w:u w:val="single"/>
        </w:rPr>
        <w:t xml:space="preserve">.4. </w:t>
      </w:r>
      <w:r>
        <w:rPr>
          <w:noProof/>
        </w:rPr>
        <w:tab/>
      </w:r>
      <w:r>
        <w:rPr>
          <w:b/>
          <w:i w:val="0"/>
          <w:noProof/>
          <w:u w:val="single"/>
        </w:rPr>
        <w:t xml:space="preserve">Ключови етапи, цели, показатели и график за мониторинг и изпълнение на заема </w:t>
      </w:r>
    </w:p>
    <w:p w14:paraId="57C4DF92" w14:textId="77777777" w:rsidR="006054AA" w:rsidRDefault="001F7667">
      <w:pPr>
        <w:pStyle w:val="P68B1DB1-Normal34"/>
        <w:spacing w:before="120" w:after="120"/>
        <w:ind w:left="709"/>
        <w:jc w:val="both"/>
        <w:rPr>
          <w:noProof/>
        </w:rPr>
      </w:pPr>
      <w:r>
        <w:rPr>
          <w:noProof/>
        </w:rPr>
        <w:t xml:space="preserve"> </w:t>
      </w:r>
    </w:p>
    <w:p w14:paraId="36C1DBDA" w14:textId="77777777" w:rsidR="006054AA" w:rsidRDefault="006054AA">
      <w:pPr>
        <w:spacing w:before="120" w:after="120"/>
        <w:ind w:left="709"/>
        <w:contextualSpacing/>
        <w:jc w:val="both"/>
        <w:rPr>
          <w:noProof/>
        </w:rPr>
        <w:sectPr w:rsidR="006054AA" w:rsidSect="000D3774">
          <w:headerReference w:type="even" r:id="rId374"/>
          <w:headerReference w:type="default" r:id="rId375"/>
          <w:footerReference w:type="even" r:id="rId376"/>
          <w:footerReference w:type="default" r:id="rId377"/>
          <w:headerReference w:type="first" r:id="rId378"/>
          <w:footerReference w:type="first" r:id="rId379"/>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559"/>
        <w:gridCol w:w="1276"/>
        <w:gridCol w:w="992"/>
        <w:gridCol w:w="850"/>
        <w:gridCol w:w="851"/>
        <w:gridCol w:w="709"/>
        <w:gridCol w:w="2835"/>
      </w:tblGrid>
      <w:tr w:rsidR="006054AA" w14:paraId="2BF0F913" w14:textId="77777777">
        <w:trPr>
          <w:trHeight w:val="939"/>
          <w:tblHeader/>
          <w:jc w:val="center"/>
        </w:trPr>
        <w:tc>
          <w:tcPr>
            <w:tcW w:w="1129" w:type="dxa"/>
            <w:vMerge w:val="restart"/>
            <w:shd w:val="clear" w:color="auto" w:fill="BDD7EE"/>
            <w:vAlign w:val="center"/>
            <w:hideMark/>
          </w:tcPr>
          <w:p w14:paraId="461BFEAE" w14:textId="77777777" w:rsidR="006054AA" w:rsidRDefault="001F7667">
            <w:pPr>
              <w:pStyle w:val="P68B1DB1-Normal9"/>
              <w:spacing w:before="120" w:after="120"/>
              <w:jc w:val="center"/>
              <w:rPr>
                <w:noProof/>
              </w:rPr>
            </w:pPr>
            <w:r>
              <w:rPr>
                <w:noProof/>
              </w:rPr>
              <w:t>Пореден номер</w:t>
            </w:r>
          </w:p>
        </w:tc>
        <w:tc>
          <w:tcPr>
            <w:tcW w:w="1701" w:type="dxa"/>
            <w:vMerge w:val="restart"/>
            <w:shd w:val="clear" w:color="auto" w:fill="BDD7EE"/>
            <w:vAlign w:val="center"/>
            <w:hideMark/>
          </w:tcPr>
          <w:p w14:paraId="3B0633CD" w14:textId="77777777" w:rsidR="006054AA" w:rsidRDefault="001F7667">
            <w:pPr>
              <w:pStyle w:val="P68B1DB1-Normal9"/>
              <w:spacing w:before="120" w:after="120"/>
              <w:jc w:val="center"/>
              <w:rPr>
                <w:noProof/>
              </w:rPr>
            </w:pPr>
            <w:r>
              <w:rPr>
                <w:noProof/>
              </w:rPr>
              <w:t>Свързана мярка (реформа или инвестиции)</w:t>
            </w:r>
          </w:p>
        </w:tc>
        <w:tc>
          <w:tcPr>
            <w:tcW w:w="1134" w:type="dxa"/>
            <w:vMerge w:val="restart"/>
            <w:shd w:val="clear" w:color="auto" w:fill="BDD7EE"/>
            <w:vAlign w:val="center"/>
            <w:hideMark/>
          </w:tcPr>
          <w:p w14:paraId="77FE0A19" w14:textId="77777777" w:rsidR="006054AA" w:rsidRDefault="001F7667">
            <w:pPr>
              <w:pStyle w:val="P68B1DB1-Normal9"/>
              <w:spacing w:before="120" w:after="120"/>
              <w:jc w:val="center"/>
              <w:rPr>
                <w:noProof/>
              </w:rPr>
            </w:pPr>
            <w:r>
              <w:rPr>
                <w:noProof/>
              </w:rPr>
              <w:t>Ключов етап/Цел</w:t>
            </w:r>
          </w:p>
        </w:tc>
        <w:tc>
          <w:tcPr>
            <w:tcW w:w="1560" w:type="dxa"/>
            <w:vMerge w:val="restart"/>
            <w:shd w:val="clear" w:color="auto" w:fill="BDD7EE"/>
            <w:vAlign w:val="center"/>
            <w:hideMark/>
          </w:tcPr>
          <w:p w14:paraId="67D65DFC" w14:textId="77777777" w:rsidR="006054AA" w:rsidRDefault="001F7667">
            <w:pPr>
              <w:pStyle w:val="P68B1DB1-Normal9"/>
              <w:spacing w:before="120" w:after="120"/>
              <w:jc w:val="center"/>
              <w:rPr>
                <w:noProof/>
              </w:rPr>
            </w:pPr>
            <w:r>
              <w:rPr>
                <w:noProof/>
              </w:rPr>
              <w:t>Име</w:t>
            </w:r>
          </w:p>
        </w:tc>
        <w:tc>
          <w:tcPr>
            <w:tcW w:w="1559" w:type="dxa"/>
            <w:vMerge w:val="restart"/>
            <w:shd w:val="clear" w:color="auto" w:fill="BDD7EE"/>
            <w:vAlign w:val="center"/>
            <w:hideMark/>
          </w:tcPr>
          <w:p w14:paraId="25E084F5" w14:textId="77777777" w:rsidR="006054AA" w:rsidRDefault="001F7667">
            <w:pPr>
              <w:pStyle w:val="P68B1DB1-Normal10"/>
              <w:spacing w:before="120" w:after="12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118" w:type="dxa"/>
            <w:gridSpan w:val="3"/>
            <w:shd w:val="clear" w:color="auto" w:fill="BDD7EE"/>
            <w:vAlign w:val="center"/>
            <w:hideMark/>
          </w:tcPr>
          <w:p w14:paraId="315980DF" w14:textId="77777777" w:rsidR="006054AA" w:rsidRDefault="001F7667">
            <w:pPr>
              <w:pStyle w:val="P68B1DB1-Normal10"/>
              <w:spacing w:before="120" w:after="12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560" w:type="dxa"/>
            <w:gridSpan w:val="2"/>
            <w:shd w:val="clear" w:color="auto" w:fill="BDD7EE"/>
            <w:vAlign w:val="center"/>
            <w:hideMark/>
          </w:tcPr>
          <w:p w14:paraId="51B1CAFE" w14:textId="77777777" w:rsidR="006054AA" w:rsidRDefault="001F7667">
            <w:pPr>
              <w:pStyle w:val="P68B1DB1-Normal9"/>
              <w:spacing w:before="120" w:after="120"/>
              <w:jc w:val="center"/>
              <w:rPr>
                <w:noProof/>
              </w:rPr>
            </w:pPr>
            <w:r>
              <w:rPr>
                <w:noProof/>
              </w:rPr>
              <w:t>Примерен график за приключване</w:t>
            </w:r>
          </w:p>
        </w:tc>
        <w:tc>
          <w:tcPr>
            <w:tcW w:w="2835" w:type="dxa"/>
            <w:vMerge w:val="restart"/>
            <w:shd w:val="clear" w:color="auto" w:fill="BDD7EE"/>
            <w:vAlign w:val="center"/>
            <w:hideMark/>
          </w:tcPr>
          <w:p w14:paraId="2CC56644" w14:textId="77777777" w:rsidR="006054AA" w:rsidRDefault="001F7667">
            <w:pPr>
              <w:pStyle w:val="P68B1DB1-Normal9"/>
              <w:spacing w:before="120" w:after="120"/>
              <w:jc w:val="center"/>
              <w:rPr>
                <w:noProof/>
              </w:rPr>
            </w:pPr>
            <w:r>
              <w:rPr>
                <w:noProof/>
              </w:rPr>
              <w:t>Описание на всеки ключов етап и цел</w:t>
            </w:r>
          </w:p>
        </w:tc>
      </w:tr>
      <w:tr w:rsidR="006054AA" w14:paraId="546A28FC" w14:textId="77777777">
        <w:trPr>
          <w:trHeight w:val="883"/>
          <w:jc w:val="center"/>
        </w:trPr>
        <w:tc>
          <w:tcPr>
            <w:tcW w:w="1129" w:type="dxa"/>
            <w:vMerge/>
            <w:vAlign w:val="center"/>
            <w:hideMark/>
          </w:tcPr>
          <w:p w14:paraId="5690147C" w14:textId="77777777" w:rsidR="006054AA" w:rsidRDefault="006054AA">
            <w:pPr>
              <w:spacing w:before="120" w:after="120"/>
              <w:jc w:val="center"/>
              <w:rPr>
                <w:rFonts w:ascii="Arial Narrow" w:hAnsi="Arial Narrow"/>
                <w:b/>
                <w:noProof/>
                <w:sz w:val="20"/>
              </w:rPr>
            </w:pPr>
          </w:p>
        </w:tc>
        <w:tc>
          <w:tcPr>
            <w:tcW w:w="1701" w:type="dxa"/>
            <w:vMerge/>
            <w:vAlign w:val="center"/>
            <w:hideMark/>
          </w:tcPr>
          <w:p w14:paraId="706EB6EE" w14:textId="77777777" w:rsidR="006054AA" w:rsidRDefault="006054AA">
            <w:pPr>
              <w:spacing w:before="120" w:after="120"/>
              <w:jc w:val="center"/>
              <w:rPr>
                <w:rFonts w:ascii="Arial Narrow" w:hAnsi="Arial Narrow"/>
                <w:b/>
                <w:noProof/>
                <w:sz w:val="20"/>
              </w:rPr>
            </w:pPr>
          </w:p>
        </w:tc>
        <w:tc>
          <w:tcPr>
            <w:tcW w:w="1134" w:type="dxa"/>
            <w:vMerge/>
            <w:vAlign w:val="center"/>
            <w:hideMark/>
          </w:tcPr>
          <w:p w14:paraId="626CB927" w14:textId="77777777" w:rsidR="006054AA" w:rsidRDefault="006054AA">
            <w:pPr>
              <w:spacing w:before="120" w:after="120"/>
              <w:jc w:val="center"/>
              <w:rPr>
                <w:rFonts w:ascii="Arial Narrow" w:hAnsi="Arial Narrow"/>
                <w:b/>
                <w:noProof/>
                <w:sz w:val="20"/>
              </w:rPr>
            </w:pPr>
          </w:p>
        </w:tc>
        <w:tc>
          <w:tcPr>
            <w:tcW w:w="1560" w:type="dxa"/>
            <w:vMerge/>
            <w:vAlign w:val="center"/>
            <w:hideMark/>
          </w:tcPr>
          <w:p w14:paraId="0007EE34" w14:textId="77777777" w:rsidR="006054AA" w:rsidRDefault="006054AA">
            <w:pPr>
              <w:spacing w:before="120" w:after="120"/>
              <w:jc w:val="center"/>
              <w:rPr>
                <w:rFonts w:ascii="Arial Narrow" w:hAnsi="Arial Narrow"/>
                <w:b/>
                <w:noProof/>
                <w:sz w:val="20"/>
              </w:rPr>
            </w:pPr>
          </w:p>
        </w:tc>
        <w:tc>
          <w:tcPr>
            <w:tcW w:w="1559" w:type="dxa"/>
            <w:vMerge/>
            <w:vAlign w:val="center"/>
            <w:hideMark/>
          </w:tcPr>
          <w:p w14:paraId="4B49FCFC" w14:textId="77777777" w:rsidR="006054AA" w:rsidRDefault="006054AA">
            <w:pPr>
              <w:spacing w:before="120" w:after="120"/>
              <w:jc w:val="center"/>
              <w:rPr>
                <w:rFonts w:ascii="Arial Narrow" w:hAnsi="Arial Narrow"/>
                <w:b/>
                <w:noProof/>
                <w:sz w:val="20"/>
              </w:rPr>
            </w:pPr>
          </w:p>
        </w:tc>
        <w:tc>
          <w:tcPr>
            <w:tcW w:w="1276" w:type="dxa"/>
            <w:shd w:val="clear" w:color="auto" w:fill="BDD7EE"/>
            <w:vAlign w:val="center"/>
            <w:hideMark/>
          </w:tcPr>
          <w:p w14:paraId="707B1CF2" w14:textId="77777777" w:rsidR="006054AA" w:rsidRDefault="001F7667">
            <w:pPr>
              <w:pStyle w:val="P68B1DB1-Normal9"/>
              <w:spacing w:before="120" w:after="120"/>
              <w:jc w:val="center"/>
              <w:rPr>
                <w:noProof/>
              </w:rPr>
            </w:pPr>
            <w:r>
              <w:rPr>
                <w:noProof/>
              </w:rPr>
              <w:t>Единица мярка</w:t>
            </w:r>
          </w:p>
        </w:tc>
        <w:tc>
          <w:tcPr>
            <w:tcW w:w="992" w:type="dxa"/>
            <w:shd w:val="clear" w:color="auto" w:fill="BDD7EE"/>
            <w:vAlign w:val="center"/>
            <w:hideMark/>
          </w:tcPr>
          <w:p w14:paraId="3E126FBE" w14:textId="77777777" w:rsidR="006054AA" w:rsidRDefault="001F7667">
            <w:pPr>
              <w:pStyle w:val="P68B1DB1-Normal9"/>
              <w:spacing w:before="120" w:after="120"/>
              <w:jc w:val="center"/>
              <w:rPr>
                <w:noProof/>
              </w:rPr>
            </w:pPr>
            <w:r>
              <w:rPr>
                <w:noProof/>
              </w:rPr>
              <w:t>Базова линия</w:t>
            </w:r>
          </w:p>
        </w:tc>
        <w:tc>
          <w:tcPr>
            <w:tcW w:w="850" w:type="dxa"/>
            <w:shd w:val="clear" w:color="auto" w:fill="BDD7EE"/>
            <w:vAlign w:val="center"/>
            <w:hideMark/>
          </w:tcPr>
          <w:p w14:paraId="6455A15D" w14:textId="77777777" w:rsidR="006054AA" w:rsidRDefault="001F7667">
            <w:pPr>
              <w:pStyle w:val="P68B1DB1-Normal9"/>
              <w:spacing w:before="120" w:after="120"/>
              <w:jc w:val="center"/>
              <w:rPr>
                <w:noProof/>
              </w:rPr>
            </w:pPr>
            <w:r>
              <w:rPr>
                <w:noProof/>
              </w:rPr>
              <w:t>Цел</w:t>
            </w:r>
          </w:p>
        </w:tc>
        <w:tc>
          <w:tcPr>
            <w:tcW w:w="851" w:type="dxa"/>
            <w:shd w:val="clear" w:color="auto" w:fill="BDD7EE"/>
            <w:vAlign w:val="center"/>
            <w:hideMark/>
          </w:tcPr>
          <w:p w14:paraId="441C68B7" w14:textId="77777777" w:rsidR="006054AA" w:rsidRDefault="001F7667">
            <w:pPr>
              <w:pStyle w:val="P68B1DB1-Normal9"/>
              <w:spacing w:before="120" w:after="120"/>
              <w:jc w:val="center"/>
              <w:rPr>
                <w:noProof/>
              </w:rPr>
            </w:pPr>
            <w:r>
              <w:rPr>
                <w:noProof/>
              </w:rPr>
              <w:t>Тримесечие</w:t>
            </w:r>
          </w:p>
        </w:tc>
        <w:tc>
          <w:tcPr>
            <w:tcW w:w="709" w:type="dxa"/>
            <w:shd w:val="clear" w:color="auto" w:fill="BDD7EE"/>
            <w:vAlign w:val="center"/>
            <w:hideMark/>
          </w:tcPr>
          <w:p w14:paraId="10EA1EF5" w14:textId="77777777" w:rsidR="006054AA" w:rsidRDefault="001F7667">
            <w:pPr>
              <w:pStyle w:val="P68B1DB1-Normal9"/>
              <w:spacing w:before="120" w:after="120"/>
              <w:jc w:val="center"/>
              <w:rPr>
                <w:noProof/>
              </w:rPr>
            </w:pPr>
            <w:r>
              <w:rPr>
                <w:noProof/>
              </w:rPr>
              <w:t>Година</w:t>
            </w:r>
          </w:p>
        </w:tc>
        <w:tc>
          <w:tcPr>
            <w:tcW w:w="2835" w:type="dxa"/>
            <w:vMerge/>
            <w:vAlign w:val="center"/>
            <w:hideMark/>
          </w:tcPr>
          <w:p w14:paraId="00B254C1" w14:textId="77777777" w:rsidR="006054AA" w:rsidRDefault="006054AA">
            <w:pPr>
              <w:spacing w:before="120" w:after="120"/>
              <w:rPr>
                <w:rFonts w:ascii="Arial Narrow" w:hAnsi="Arial Narrow"/>
                <w:b/>
                <w:noProof/>
                <w:sz w:val="20"/>
              </w:rPr>
            </w:pPr>
          </w:p>
        </w:tc>
      </w:tr>
      <w:tr w:rsidR="006054AA" w14:paraId="0F622D12" w14:textId="77777777">
        <w:trPr>
          <w:trHeight w:val="313"/>
          <w:jc w:val="center"/>
        </w:trPr>
        <w:tc>
          <w:tcPr>
            <w:tcW w:w="1129" w:type="dxa"/>
            <w:shd w:val="clear" w:color="auto" w:fill="C6EFCE"/>
            <w:noWrap/>
            <w:vAlign w:val="center"/>
          </w:tcPr>
          <w:p w14:paraId="7DE7CD05" w14:textId="030CEC40" w:rsidR="006054AA" w:rsidRDefault="001F7667">
            <w:pPr>
              <w:pStyle w:val="P68B1DB1-Normal11"/>
              <w:spacing w:before="120" w:after="120"/>
              <w:jc w:val="center"/>
              <w:rPr>
                <w:noProof/>
              </w:rPr>
            </w:pPr>
            <w:r>
              <w:rPr>
                <w:noProof/>
              </w:rPr>
              <w:t>M6C2—4</w:t>
            </w:r>
          </w:p>
        </w:tc>
        <w:tc>
          <w:tcPr>
            <w:tcW w:w="1701" w:type="dxa"/>
            <w:shd w:val="clear" w:color="auto" w:fill="C6EFCE"/>
            <w:noWrap/>
            <w:vAlign w:val="center"/>
          </w:tcPr>
          <w:p w14:paraId="40B1405D" w14:textId="77777777" w:rsidR="006054AA" w:rsidRDefault="001F7667">
            <w:pPr>
              <w:pStyle w:val="P68B1DB1-Normal36"/>
              <w:spacing w:before="120" w:after="120"/>
              <w:jc w:val="center"/>
              <w:rPr>
                <w:noProof/>
                <w:color w:val="006100"/>
              </w:rPr>
            </w:pPr>
            <w:r>
              <w:rPr>
                <w:noProof/>
              </w:rPr>
              <w:t>Инвестиция 1.1: Цифрова актуализация на технологичното оборудване на болниците</w:t>
            </w:r>
          </w:p>
        </w:tc>
        <w:tc>
          <w:tcPr>
            <w:tcW w:w="1134" w:type="dxa"/>
            <w:shd w:val="clear" w:color="auto" w:fill="C6EFCE"/>
            <w:noWrap/>
            <w:vAlign w:val="center"/>
          </w:tcPr>
          <w:p w14:paraId="6AFEF9E3" w14:textId="77777777" w:rsidR="006054AA" w:rsidRDefault="001F7667">
            <w:pPr>
              <w:pStyle w:val="P68B1DB1-Normal36"/>
              <w:spacing w:before="120" w:after="120"/>
              <w:jc w:val="center"/>
              <w:rPr>
                <w:noProof/>
                <w:color w:val="006100"/>
              </w:rPr>
            </w:pPr>
            <w:r>
              <w:rPr>
                <w:noProof/>
              </w:rPr>
              <w:t>Ключов етап</w:t>
            </w:r>
          </w:p>
        </w:tc>
        <w:tc>
          <w:tcPr>
            <w:tcW w:w="1560" w:type="dxa"/>
            <w:shd w:val="clear" w:color="auto" w:fill="C6EFCE"/>
            <w:noWrap/>
            <w:vAlign w:val="center"/>
          </w:tcPr>
          <w:p w14:paraId="52C56BF4" w14:textId="77777777" w:rsidR="006054AA" w:rsidRDefault="001F7667">
            <w:pPr>
              <w:pStyle w:val="P68B1DB1-Normal36"/>
              <w:spacing w:before="120" w:after="120"/>
              <w:jc w:val="center"/>
              <w:rPr>
                <w:rFonts w:eastAsia="Calibri"/>
                <w:noProof/>
              </w:rPr>
            </w:pPr>
            <w:r>
              <w:rPr>
                <w:noProof/>
              </w:rPr>
              <w:t xml:space="preserve">План за реорганизация, одобрен от Министерството на здравеопазването/италианските региони </w:t>
            </w:r>
          </w:p>
        </w:tc>
        <w:tc>
          <w:tcPr>
            <w:tcW w:w="1559" w:type="dxa"/>
            <w:shd w:val="clear" w:color="auto" w:fill="C6EFCE"/>
            <w:noWrap/>
            <w:vAlign w:val="center"/>
          </w:tcPr>
          <w:p w14:paraId="7ACB5E75" w14:textId="77777777" w:rsidR="006054AA" w:rsidRDefault="001F7667">
            <w:pPr>
              <w:pStyle w:val="P68B1DB1-Normal36"/>
              <w:spacing w:before="120" w:after="120"/>
              <w:jc w:val="center"/>
              <w:rPr>
                <w:rFonts w:eastAsia="Calibri"/>
                <w:noProof/>
              </w:rPr>
            </w:pPr>
            <w:r>
              <w:rPr>
                <w:noProof/>
              </w:rPr>
              <w:t>Уведомление за одобрението</w:t>
            </w:r>
          </w:p>
        </w:tc>
        <w:tc>
          <w:tcPr>
            <w:tcW w:w="1276" w:type="dxa"/>
            <w:shd w:val="clear" w:color="auto" w:fill="C6EFCE"/>
            <w:noWrap/>
            <w:vAlign w:val="center"/>
          </w:tcPr>
          <w:p w14:paraId="66F3A124" w14:textId="77777777" w:rsidR="006054AA" w:rsidRDefault="001F7667">
            <w:pPr>
              <w:pStyle w:val="P68B1DB1-Normal36"/>
              <w:spacing w:before="120" w:after="120"/>
              <w:jc w:val="center"/>
              <w:rPr>
                <w:noProof/>
                <w:color w:val="006100"/>
              </w:rPr>
            </w:pPr>
            <w:r>
              <w:rPr>
                <w:noProof/>
              </w:rPr>
              <w:t>НЯМА</w:t>
            </w:r>
          </w:p>
        </w:tc>
        <w:tc>
          <w:tcPr>
            <w:tcW w:w="992" w:type="dxa"/>
            <w:shd w:val="clear" w:color="auto" w:fill="C6EFCE"/>
            <w:noWrap/>
            <w:vAlign w:val="center"/>
          </w:tcPr>
          <w:p w14:paraId="2B79DEFC" w14:textId="77777777" w:rsidR="006054AA" w:rsidRDefault="001F7667">
            <w:pPr>
              <w:pStyle w:val="P68B1DB1-Normal36"/>
              <w:spacing w:before="120" w:after="120"/>
              <w:jc w:val="center"/>
              <w:rPr>
                <w:noProof/>
                <w:color w:val="006100"/>
              </w:rPr>
            </w:pPr>
            <w:r>
              <w:rPr>
                <w:noProof/>
              </w:rPr>
              <w:t>НЯМА</w:t>
            </w:r>
          </w:p>
        </w:tc>
        <w:tc>
          <w:tcPr>
            <w:tcW w:w="850" w:type="dxa"/>
            <w:shd w:val="clear" w:color="auto" w:fill="C6EFCE"/>
            <w:noWrap/>
            <w:vAlign w:val="center"/>
          </w:tcPr>
          <w:p w14:paraId="7D6C3B84" w14:textId="77777777" w:rsidR="006054AA" w:rsidRDefault="001F7667">
            <w:pPr>
              <w:pStyle w:val="P68B1DB1-Normal36"/>
              <w:spacing w:before="120" w:after="120"/>
              <w:jc w:val="center"/>
              <w:rPr>
                <w:noProof/>
                <w:color w:val="006100"/>
              </w:rPr>
            </w:pPr>
            <w:r>
              <w:rPr>
                <w:noProof/>
              </w:rPr>
              <w:t>НЯМА</w:t>
            </w:r>
          </w:p>
        </w:tc>
        <w:tc>
          <w:tcPr>
            <w:tcW w:w="851" w:type="dxa"/>
            <w:shd w:val="clear" w:color="auto" w:fill="C6EFCE"/>
            <w:noWrap/>
            <w:vAlign w:val="center"/>
          </w:tcPr>
          <w:p w14:paraId="3C342C37" w14:textId="77777777" w:rsidR="006054AA" w:rsidRDefault="001F7667">
            <w:pPr>
              <w:pStyle w:val="P68B1DB1-Normal36"/>
              <w:spacing w:before="120" w:after="120"/>
              <w:jc w:val="center"/>
              <w:rPr>
                <w:noProof/>
                <w:color w:val="006100"/>
              </w:rPr>
            </w:pPr>
            <w:r>
              <w:rPr>
                <w:noProof/>
              </w:rPr>
              <w:t>Т4 Г.</w:t>
            </w:r>
          </w:p>
        </w:tc>
        <w:tc>
          <w:tcPr>
            <w:tcW w:w="709" w:type="dxa"/>
            <w:shd w:val="clear" w:color="auto" w:fill="C6EFCE"/>
            <w:noWrap/>
            <w:vAlign w:val="center"/>
          </w:tcPr>
          <w:p w14:paraId="38911E29" w14:textId="77777777" w:rsidR="006054AA" w:rsidRDefault="001F7667">
            <w:pPr>
              <w:pStyle w:val="P68B1DB1-Normal36"/>
              <w:spacing w:before="120" w:after="120"/>
              <w:jc w:val="center"/>
              <w:rPr>
                <w:noProof/>
                <w:color w:val="006100"/>
              </w:rPr>
            </w:pPr>
            <w:r>
              <w:rPr>
                <w:noProof/>
              </w:rPr>
              <w:t>2021</w:t>
            </w:r>
          </w:p>
        </w:tc>
        <w:tc>
          <w:tcPr>
            <w:tcW w:w="2835" w:type="dxa"/>
            <w:shd w:val="clear" w:color="auto" w:fill="C6EFCE"/>
            <w:noWrap/>
            <w:vAlign w:val="center"/>
          </w:tcPr>
          <w:p w14:paraId="323EDF1D" w14:textId="77777777" w:rsidR="006054AA" w:rsidRDefault="001F7667">
            <w:pPr>
              <w:pStyle w:val="P68B1DB1-Normal36"/>
              <w:spacing w:before="120" w:after="120"/>
              <w:rPr>
                <w:noProof/>
              </w:rPr>
            </w:pPr>
            <w:r>
              <w:rPr>
                <w:noProof/>
              </w:rPr>
              <w:t>Одобряване на плана за реорганизация с цел укрепване на капацитета на болниците от Националната здравна служба за адекватно справяне с пандемичните извънредни ситуации чрез увеличаване на броя на леглата в отделенията за интензивни и субинтензивни грижи.</w:t>
            </w:r>
          </w:p>
          <w:p w14:paraId="18159783" w14:textId="7B67F636" w:rsidR="006054AA" w:rsidRDefault="001F7667">
            <w:pPr>
              <w:pStyle w:val="P68B1DB1-Normal36"/>
              <w:spacing w:before="120" w:after="120"/>
              <w:rPr>
                <w:noProof/>
              </w:rPr>
            </w:pPr>
            <w:r>
              <w:rPr>
                <w:noProof/>
              </w:rPr>
              <w:t>Планът за реорганизация на болниците увеличава броя на леглата в отделенията за интензивни и полуинтензивни грижи в болниците от NHS.</w:t>
            </w:r>
          </w:p>
        </w:tc>
      </w:tr>
      <w:tr w:rsidR="006054AA" w14:paraId="081FD7DE" w14:textId="77777777">
        <w:trPr>
          <w:trHeight w:val="313"/>
          <w:jc w:val="center"/>
        </w:trPr>
        <w:tc>
          <w:tcPr>
            <w:tcW w:w="1129" w:type="dxa"/>
            <w:shd w:val="clear" w:color="auto" w:fill="C6EFCE"/>
            <w:noWrap/>
            <w:vAlign w:val="center"/>
          </w:tcPr>
          <w:p w14:paraId="4467D305" w14:textId="77777777" w:rsidR="006054AA" w:rsidRDefault="001F7667">
            <w:pPr>
              <w:pStyle w:val="P68B1DB1-Normal11"/>
              <w:spacing w:before="120" w:after="120"/>
              <w:jc w:val="center"/>
              <w:rPr>
                <w:noProof/>
              </w:rPr>
            </w:pPr>
            <w:r>
              <w:rPr>
                <w:noProof/>
              </w:rPr>
              <w:t>M6C2—5</w:t>
            </w:r>
          </w:p>
        </w:tc>
        <w:tc>
          <w:tcPr>
            <w:tcW w:w="1701" w:type="dxa"/>
            <w:shd w:val="clear" w:color="auto" w:fill="C6EFCE"/>
            <w:noWrap/>
            <w:vAlign w:val="center"/>
          </w:tcPr>
          <w:p w14:paraId="5E174B98" w14:textId="77777777" w:rsidR="006054AA" w:rsidRDefault="001F7667">
            <w:pPr>
              <w:pStyle w:val="P68B1DB1-Normal36"/>
              <w:spacing w:before="120" w:after="120"/>
              <w:jc w:val="center"/>
              <w:rPr>
                <w:noProof/>
                <w:color w:val="006100"/>
              </w:rPr>
            </w:pPr>
            <w:r>
              <w:rPr>
                <w:noProof/>
              </w:rPr>
              <w:t>Инвестиция 1.1: Цифрова актуализация на технологичното оборудване на болниците</w:t>
            </w:r>
          </w:p>
        </w:tc>
        <w:tc>
          <w:tcPr>
            <w:tcW w:w="1134" w:type="dxa"/>
            <w:shd w:val="clear" w:color="auto" w:fill="C6EFCE"/>
            <w:noWrap/>
            <w:vAlign w:val="center"/>
          </w:tcPr>
          <w:p w14:paraId="3EBBEBD2" w14:textId="77777777" w:rsidR="006054AA" w:rsidRDefault="001F7667">
            <w:pPr>
              <w:pStyle w:val="P68B1DB1-Normal36"/>
              <w:spacing w:before="120" w:after="120"/>
              <w:jc w:val="center"/>
              <w:rPr>
                <w:noProof/>
                <w:color w:val="006100"/>
              </w:rPr>
            </w:pPr>
            <w:r>
              <w:rPr>
                <w:noProof/>
              </w:rPr>
              <w:t>Ключов етап</w:t>
            </w:r>
          </w:p>
        </w:tc>
        <w:tc>
          <w:tcPr>
            <w:tcW w:w="1560" w:type="dxa"/>
            <w:shd w:val="clear" w:color="auto" w:fill="C6EFCE"/>
            <w:noWrap/>
            <w:vAlign w:val="center"/>
          </w:tcPr>
          <w:p w14:paraId="4A52BCD1" w14:textId="77777777" w:rsidR="006054AA" w:rsidRDefault="001F7667">
            <w:pPr>
              <w:pStyle w:val="P68B1DB1-Normal36"/>
              <w:spacing w:before="120" w:after="120"/>
              <w:jc w:val="center"/>
              <w:rPr>
                <w:rFonts w:eastAsia="Calibri"/>
                <w:noProof/>
              </w:rPr>
            </w:pPr>
            <w:r>
              <w:rPr>
                <w:noProof/>
              </w:rPr>
              <w:t xml:space="preserve"> Одобряване на договора за институционално развитие </w:t>
            </w:r>
          </w:p>
        </w:tc>
        <w:tc>
          <w:tcPr>
            <w:tcW w:w="1559" w:type="dxa"/>
            <w:shd w:val="clear" w:color="auto" w:fill="C6EFCE"/>
            <w:noWrap/>
            <w:vAlign w:val="center"/>
          </w:tcPr>
          <w:p w14:paraId="70E058E0" w14:textId="5A5E24B1" w:rsidR="006054AA" w:rsidRDefault="001F7667">
            <w:pPr>
              <w:pStyle w:val="P68B1DB1-Normal36"/>
              <w:spacing w:before="120" w:after="120"/>
              <w:jc w:val="center"/>
              <w:rPr>
                <w:noProof/>
              </w:rPr>
            </w:pPr>
            <w:r>
              <w:rPr>
                <w:noProof/>
              </w:rPr>
              <w:t>Уведомление за подписването на договора за институционално развитие от Министерството на здравеопазването и италианските региони</w:t>
            </w:r>
          </w:p>
        </w:tc>
        <w:tc>
          <w:tcPr>
            <w:tcW w:w="1276" w:type="dxa"/>
            <w:shd w:val="clear" w:color="auto" w:fill="C6EFCE"/>
            <w:noWrap/>
            <w:vAlign w:val="center"/>
          </w:tcPr>
          <w:p w14:paraId="69BE6F33" w14:textId="77777777" w:rsidR="006054AA" w:rsidRDefault="001F7667">
            <w:pPr>
              <w:pStyle w:val="P68B1DB1-Normal36"/>
              <w:spacing w:before="120" w:after="120"/>
              <w:jc w:val="center"/>
              <w:rPr>
                <w:noProof/>
                <w:color w:val="006100"/>
              </w:rPr>
            </w:pPr>
            <w:r>
              <w:rPr>
                <w:noProof/>
              </w:rPr>
              <w:t>НЯМА</w:t>
            </w:r>
          </w:p>
        </w:tc>
        <w:tc>
          <w:tcPr>
            <w:tcW w:w="992" w:type="dxa"/>
            <w:shd w:val="clear" w:color="auto" w:fill="C6EFCE"/>
            <w:noWrap/>
            <w:vAlign w:val="center"/>
          </w:tcPr>
          <w:p w14:paraId="49BCF209" w14:textId="77777777" w:rsidR="006054AA" w:rsidRDefault="001F7667">
            <w:pPr>
              <w:pStyle w:val="P68B1DB1-Normal36"/>
              <w:spacing w:before="120" w:after="120"/>
              <w:jc w:val="center"/>
              <w:rPr>
                <w:noProof/>
                <w:color w:val="006100"/>
              </w:rPr>
            </w:pPr>
            <w:r>
              <w:rPr>
                <w:noProof/>
              </w:rPr>
              <w:t>НЯМА</w:t>
            </w:r>
          </w:p>
        </w:tc>
        <w:tc>
          <w:tcPr>
            <w:tcW w:w="850" w:type="dxa"/>
            <w:shd w:val="clear" w:color="auto" w:fill="C6EFCE"/>
            <w:noWrap/>
            <w:vAlign w:val="center"/>
          </w:tcPr>
          <w:p w14:paraId="709E1C6E" w14:textId="77777777" w:rsidR="006054AA" w:rsidRDefault="001F7667">
            <w:pPr>
              <w:pStyle w:val="P68B1DB1-Normal36"/>
              <w:spacing w:before="120" w:after="120"/>
              <w:jc w:val="center"/>
              <w:rPr>
                <w:noProof/>
                <w:color w:val="006100"/>
              </w:rPr>
            </w:pPr>
            <w:r>
              <w:rPr>
                <w:noProof/>
              </w:rPr>
              <w:t>НЯМА</w:t>
            </w:r>
          </w:p>
        </w:tc>
        <w:tc>
          <w:tcPr>
            <w:tcW w:w="851" w:type="dxa"/>
            <w:shd w:val="clear" w:color="auto" w:fill="C6EFCE"/>
            <w:noWrap/>
            <w:vAlign w:val="center"/>
          </w:tcPr>
          <w:p w14:paraId="7CB5AE01" w14:textId="77777777" w:rsidR="006054AA" w:rsidRDefault="001F7667">
            <w:pPr>
              <w:pStyle w:val="P68B1DB1-Normal36"/>
              <w:spacing w:before="120" w:after="120"/>
              <w:jc w:val="center"/>
              <w:rPr>
                <w:noProof/>
                <w:color w:val="006100"/>
              </w:rPr>
            </w:pPr>
            <w:r>
              <w:rPr>
                <w:noProof/>
              </w:rPr>
              <w:t>Т2 Г.</w:t>
            </w:r>
          </w:p>
        </w:tc>
        <w:tc>
          <w:tcPr>
            <w:tcW w:w="709" w:type="dxa"/>
            <w:shd w:val="clear" w:color="auto" w:fill="C6EFCE"/>
            <w:noWrap/>
            <w:vAlign w:val="center"/>
          </w:tcPr>
          <w:p w14:paraId="60E15AEA" w14:textId="77777777" w:rsidR="006054AA" w:rsidRDefault="001F7667">
            <w:pPr>
              <w:pStyle w:val="P68B1DB1-Normal36"/>
              <w:spacing w:before="120" w:after="120"/>
              <w:jc w:val="center"/>
              <w:rPr>
                <w:noProof/>
                <w:color w:val="006100"/>
              </w:rPr>
            </w:pPr>
            <w:r>
              <w:rPr>
                <w:noProof/>
              </w:rPr>
              <w:t>2022</w:t>
            </w:r>
          </w:p>
        </w:tc>
        <w:tc>
          <w:tcPr>
            <w:tcW w:w="2835" w:type="dxa"/>
            <w:shd w:val="clear" w:color="auto" w:fill="C6EFCE"/>
            <w:noWrap/>
            <w:vAlign w:val="center"/>
          </w:tcPr>
          <w:p w14:paraId="4069BB45" w14:textId="77777777" w:rsidR="006054AA" w:rsidRDefault="001F7667">
            <w:pPr>
              <w:pStyle w:val="P68B1DB1-Normal36"/>
              <w:spacing w:before="120" w:after="120"/>
              <w:rPr>
                <w:rFonts w:eastAsia="Calibri"/>
                <w:noProof/>
              </w:rPr>
            </w:pPr>
            <w:r>
              <w:rPr>
                <w:noProof/>
              </w:rPr>
              <w:t>Одобряване на договор за институционално развитие (Contratto Istituzionale di Sviluppo), в който италианското министерство на здравеопазването е отговорен и изпълнителен орган и участието на регионалните администрации и други ключови заинтересовани страни.</w:t>
            </w:r>
          </w:p>
          <w:p w14:paraId="33420E00" w14:textId="77777777" w:rsidR="006054AA" w:rsidRDefault="001F7667">
            <w:pPr>
              <w:pStyle w:val="P68B1DB1-Normal36"/>
              <w:spacing w:before="120" w:after="120"/>
              <w:rPr>
                <w:rFonts w:eastAsia="Calibri"/>
                <w:noProof/>
              </w:rPr>
            </w:pPr>
            <w:r>
              <w:rPr>
                <w:noProof/>
              </w:rPr>
              <w:t>Договорът за институционално развитие е инструментът, определен в действащото национално законодателство (разпоредбите на член 1 във връзка с член 6 от Законодателен декрет № 88 от 2011 май 31 г. и член 7 от Законодателен декрет № 91 от 20 юни 2017 г. със Закон № 123 от 3 август 2017 г.) за ускоряване на изпълнението на стратегически проекти, функционално свързани помежду си. Договорът за институционално развитие изброява всички подходящи обекти, определени за тези инвестиции, както и задълженията, които всеки регион поема, за да гарантира постигането на очаквания резултат. В случай на нарушение от страна на който и да е регион Министерството на здравеопазването се обръща към комисаря ad acta.</w:t>
            </w:r>
          </w:p>
        </w:tc>
      </w:tr>
      <w:tr w:rsidR="006054AA" w14:paraId="39CC16AC" w14:textId="77777777">
        <w:trPr>
          <w:trHeight w:val="313"/>
          <w:jc w:val="center"/>
        </w:trPr>
        <w:tc>
          <w:tcPr>
            <w:tcW w:w="1129" w:type="dxa"/>
            <w:shd w:val="clear" w:color="auto" w:fill="C6EFCE"/>
            <w:noWrap/>
            <w:vAlign w:val="center"/>
          </w:tcPr>
          <w:p w14:paraId="48A90629" w14:textId="77777777" w:rsidR="006054AA" w:rsidRDefault="001F7667">
            <w:pPr>
              <w:pStyle w:val="P68B1DB1-Normal11"/>
              <w:spacing w:before="120" w:after="120"/>
              <w:jc w:val="center"/>
              <w:rPr>
                <w:noProof/>
              </w:rPr>
            </w:pPr>
            <w:r>
              <w:rPr>
                <w:noProof/>
              </w:rPr>
              <w:t>M6C2—6</w:t>
            </w:r>
          </w:p>
        </w:tc>
        <w:tc>
          <w:tcPr>
            <w:tcW w:w="1701" w:type="dxa"/>
            <w:shd w:val="clear" w:color="auto" w:fill="C6EFCE"/>
            <w:noWrap/>
            <w:vAlign w:val="center"/>
          </w:tcPr>
          <w:p w14:paraId="175E3AAC" w14:textId="77777777" w:rsidR="006054AA" w:rsidRDefault="001F7667">
            <w:pPr>
              <w:pStyle w:val="P68B1DB1-Normal36"/>
              <w:spacing w:before="120" w:after="120"/>
              <w:jc w:val="center"/>
              <w:rPr>
                <w:noProof/>
                <w:color w:val="006100"/>
              </w:rPr>
            </w:pPr>
            <w:r>
              <w:rPr>
                <w:noProof/>
              </w:rPr>
              <w:t>Инвестиция 1.1: Цифрова актуализация на технологичното оборудване на болниците</w:t>
            </w:r>
          </w:p>
        </w:tc>
        <w:tc>
          <w:tcPr>
            <w:tcW w:w="1134" w:type="dxa"/>
            <w:shd w:val="clear" w:color="auto" w:fill="C6EFCE"/>
            <w:noWrap/>
            <w:vAlign w:val="center"/>
          </w:tcPr>
          <w:p w14:paraId="14FDA1EB" w14:textId="77777777" w:rsidR="006054AA" w:rsidRDefault="001F7667">
            <w:pPr>
              <w:pStyle w:val="P68B1DB1-Normal36"/>
              <w:spacing w:before="120" w:after="120"/>
              <w:jc w:val="center"/>
              <w:rPr>
                <w:noProof/>
                <w:color w:val="006100"/>
              </w:rPr>
            </w:pPr>
            <w:r>
              <w:rPr>
                <w:noProof/>
              </w:rPr>
              <w:t>Целеви</w:t>
            </w:r>
          </w:p>
        </w:tc>
        <w:tc>
          <w:tcPr>
            <w:tcW w:w="1560" w:type="dxa"/>
            <w:shd w:val="clear" w:color="auto" w:fill="C6EFCE"/>
            <w:noWrap/>
            <w:vAlign w:val="center"/>
          </w:tcPr>
          <w:p w14:paraId="61396825" w14:textId="77777777" w:rsidR="006054AA" w:rsidRDefault="001F7667">
            <w:pPr>
              <w:pStyle w:val="P68B1DB1-Normal36"/>
              <w:spacing w:before="120" w:after="120"/>
              <w:jc w:val="center"/>
              <w:rPr>
                <w:noProof/>
                <w:color w:val="006100"/>
              </w:rPr>
            </w:pPr>
            <w:r>
              <w:rPr>
                <w:noProof/>
              </w:rPr>
              <w:t>Експлоатация на голямо санитарно оборудване</w:t>
            </w:r>
          </w:p>
        </w:tc>
        <w:tc>
          <w:tcPr>
            <w:tcW w:w="1559" w:type="dxa"/>
            <w:shd w:val="clear" w:color="auto" w:fill="C6EFCE"/>
            <w:noWrap/>
            <w:vAlign w:val="center"/>
          </w:tcPr>
          <w:p w14:paraId="725D40FC" w14:textId="77777777" w:rsidR="006054AA" w:rsidRDefault="001F7667">
            <w:pPr>
              <w:pStyle w:val="P68B1DB1-Normal36"/>
              <w:spacing w:before="120" w:after="120"/>
              <w:jc w:val="center"/>
              <w:rPr>
                <w:noProof/>
                <w:color w:val="006100"/>
              </w:rPr>
            </w:pPr>
            <w:r>
              <w:rPr>
                <w:noProof/>
              </w:rPr>
              <w:t>НЯМА</w:t>
            </w:r>
          </w:p>
        </w:tc>
        <w:tc>
          <w:tcPr>
            <w:tcW w:w="1276" w:type="dxa"/>
            <w:shd w:val="clear" w:color="auto" w:fill="C6EFCE"/>
            <w:noWrap/>
            <w:vAlign w:val="center"/>
          </w:tcPr>
          <w:p w14:paraId="7E92F2D0" w14:textId="77777777" w:rsidR="006054AA" w:rsidRDefault="001F7667">
            <w:pPr>
              <w:pStyle w:val="P68B1DB1-Normal36"/>
              <w:spacing w:before="120" w:after="120"/>
              <w:jc w:val="center"/>
              <w:rPr>
                <w:noProof/>
                <w:color w:val="006100"/>
              </w:rPr>
            </w:pPr>
            <w:r>
              <w:rPr>
                <w:noProof/>
              </w:rPr>
              <w:t>Брой</w:t>
            </w:r>
          </w:p>
        </w:tc>
        <w:tc>
          <w:tcPr>
            <w:tcW w:w="992" w:type="dxa"/>
            <w:shd w:val="clear" w:color="auto" w:fill="C6EFCE"/>
            <w:noWrap/>
            <w:vAlign w:val="center"/>
          </w:tcPr>
          <w:p w14:paraId="667A0BB9" w14:textId="77777777" w:rsidR="006054AA" w:rsidRDefault="001F7667">
            <w:pPr>
              <w:pStyle w:val="P68B1DB1-Normal36"/>
              <w:spacing w:before="120" w:after="120"/>
              <w:jc w:val="center"/>
              <w:rPr>
                <w:noProof/>
                <w:color w:val="006100"/>
              </w:rPr>
            </w:pPr>
            <w:r>
              <w:rPr>
                <w:noProof/>
              </w:rPr>
              <w:t>0</w:t>
            </w:r>
          </w:p>
        </w:tc>
        <w:tc>
          <w:tcPr>
            <w:tcW w:w="850" w:type="dxa"/>
            <w:shd w:val="clear" w:color="auto" w:fill="C6EFCE"/>
            <w:noWrap/>
            <w:vAlign w:val="center"/>
          </w:tcPr>
          <w:p w14:paraId="7320A347" w14:textId="5EF4F6DC" w:rsidR="006054AA" w:rsidRDefault="001F7667">
            <w:pPr>
              <w:pStyle w:val="P68B1DB1-Normal19"/>
              <w:spacing w:before="120" w:after="120"/>
              <w:jc w:val="center"/>
              <w:rPr>
                <w:noProof/>
                <w:color w:val="006100"/>
              </w:rPr>
            </w:pPr>
            <w:r>
              <w:rPr>
                <w:noProof/>
                <w:color w:val="006600"/>
              </w:rPr>
              <w:t>3</w:t>
            </w:r>
            <w:r>
              <w:rPr>
                <w:noProof/>
                <w:color w:val="006100"/>
              </w:rPr>
              <w:t xml:space="preserve"> </w:t>
            </w:r>
            <w:r>
              <w:rPr>
                <w:noProof/>
                <w:color w:val="006600"/>
              </w:rPr>
              <w:t>100</w:t>
            </w:r>
          </w:p>
        </w:tc>
        <w:tc>
          <w:tcPr>
            <w:tcW w:w="851" w:type="dxa"/>
            <w:shd w:val="clear" w:color="auto" w:fill="C6EFCE"/>
            <w:noWrap/>
            <w:vAlign w:val="center"/>
          </w:tcPr>
          <w:p w14:paraId="4624CA49" w14:textId="77777777" w:rsidR="006054AA" w:rsidRDefault="001F7667">
            <w:pPr>
              <w:pStyle w:val="P68B1DB1-Normal36"/>
              <w:spacing w:before="120" w:after="120"/>
              <w:jc w:val="center"/>
              <w:rPr>
                <w:noProof/>
              </w:rPr>
            </w:pPr>
            <w:r>
              <w:rPr>
                <w:noProof/>
              </w:rPr>
              <w:t>Т2 Г.</w:t>
            </w:r>
          </w:p>
        </w:tc>
        <w:tc>
          <w:tcPr>
            <w:tcW w:w="709" w:type="dxa"/>
            <w:shd w:val="clear" w:color="auto" w:fill="C6EFCE"/>
            <w:noWrap/>
            <w:vAlign w:val="center"/>
          </w:tcPr>
          <w:p w14:paraId="0C713727" w14:textId="77777777" w:rsidR="006054AA" w:rsidRDefault="001F7667">
            <w:pPr>
              <w:pStyle w:val="P68B1DB1-Normal36"/>
              <w:spacing w:before="120" w:after="120"/>
              <w:jc w:val="center"/>
              <w:rPr>
                <w:noProof/>
              </w:rPr>
            </w:pPr>
            <w:r>
              <w:rPr>
                <w:noProof/>
              </w:rPr>
              <w:t>2026</w:t>
            </w:r>
          </w:p>
        </w:tc>
        <w:tc>
          <w:tcPr>
            <w:tcW w:w="2835" w:type="dxa"/>
            <w:shd w:val="clear" w:color="auto" w:fill="C6EFCE"/>
            <w:noWrap/>
            <w:vAlign w:val="center"/>
          </w:tcPr>
          <w:p w14:paraId="6E5D8478" w14:textId="77777777" w:rsidR="006054AA" w:rsidRDefault="001F7667">
            <w:pPr>
              <w:pStyle w:val="P68B1DB1-Normal36"/>
              <w:spacing w:before="120" w:after="120"/>
              <w:rPr>
                <w:rFonts w:eastAsia="Calibri"/>
                <w:noProof/>
              </w:rPr>
            </w:pPr>
            <w:r>
              <w:rPr>
                <w:noProof/>
              </w:rPr>
              <w:t>Броят и типологиите на оборудването, което се заменя, са: 340 CT (компютърна томография) с 128 резена или повече, 190 NMR (ядрено-магнитен резонанс) при 1.5 Т или повече, 81 линейни ускорителя, 937 неподвижни рентгенови системи, 193 ангиография, 82 гама-камери, 53 гам-камери/КТ (компютърна томография), 34 PET (позитронна емисионна томография) КТ (компютърна томография), 295 Mammography, 928 ултразвук).</w:t>
            </w:r>
          </w:p>
          <w:p w14:paraId="14AFDD5E" w14:textId="3D0A1557" w:rsidR="006054AA" w:rsidRDefault="001F7667">
            <w:pPr>
              <w:pStyle w:val="P68B1DB1-Normal36"/>
              <w:spacing w:before="120" w:after="120"/>
              <w:rPr>
                <w:noProof/>
                <w:color w:val="006100"/>
              </w:rPr>
            </w:pPr>
            <w:r>
              <w:rPr>
                <w:noProof/>
              </w:rPr>
              <w:t>Замененото оборудване ще бъде обезвредено или използвано повторно в други обекти на NHS.</w:t>
            </w:r>
          </w:p>
        </w:tc>
      </w:tr>
      <w:tr w:rsidR="006054AA" w14:paraId="58D18F6A" w14:textId="77777777">
        <w:trPr>
          <w:trHeight w:val="313"/>
          <w:jc w:val="center"/>
        </w:trPr>
        <w:tc>
          <w:tcPr>
            <w:tcW w:w="1129" w:type="dxa"/>
            <w:shd w:val="clear" w:color="auto" w:fill="C6EFCE"/>
            <w:noWrap/>
            <w:vAlign w:val="center"/>
          </w:tcPr>
          <w:p w14:paraId="658E8ED0" w14:textId="77777777" w:rsidR="006054AA" w:rsidRDefault="001F7667">
            <w:pPr>
              <w:pStyle w:val="P68B1DB1-Normal11"/>
              <w:spacing w:before="120" w:after="120"/>
              <w:jc w:val="center"/>
              <w:rPr>
                <w:noProof/>
              </w:rPr>
            </w:pPr>
            <w:r>
              <w:rPr>
                <w:noProof/>
              </w:rPr>
              <w:t>M6C2—7</w:t>
            </w:r>
          </w:p>
        </w:tc>
        <w:tc>
          <w:tcPr>
            <w:tcW w:w="1701" w:type="dxa"/>
            <w:shd w:val="clear" w:color="auto" w:fill="C6EFCE"/>
            <w:noWrap/>
            <w:vAlign w:val="center"/>
          </w:tcPr>
          <w:p w14:paraId="2909A299" w14:textId="77777777" w:rsidR="006054AA" w:rsidRDefault="001F7667">
            <w:pPr>
              <w:pStyle w:val="P68B1DB1-Normal36"/>
              <w:spacing w:before="120" w:after="120"/>
              <w:jc w:val="center"/>
              <w:rPr>
                <w:noProof/>
                <w:color w:val="006100"/>
              </w:rPr>
            </w:pPr>
            <w:r>
              <w:rPr>
                <w:noProof/>
              </w:rPr>
              <w:t>Инвестиция 1.1: Цифрова актуализация на технологичното оборудване на болниците</w:t>
            </w:r>
          </w:p>
        </w:tc>
        <w:tc>
          <w:tcPr>
            <w:tcW w:w="1134" w:type="dxa"/>
            <w:shd w:val="clear" w:color="auto" w:fill="C6EFCE"/>
            <w:noWrap/>
            <w:vAlign w:val="center"/>
          </w:tcPr>
          <w:p w14:paraId="71AF83AC" w14:textId="77777777" w:rsidR="006054AA" w:rsidRDefault="001F7667">
            <w:pPr>
              <w:pStyle w:val="P68B1DB1-Normal36"/>
              <w:spacing w:before="120" w:after="120"/>
              <w:jc w:val="center"/>
              <w:rPr>
                <w:noProof/>
                <w:color w:val="006100"/>
              </w:rPr>
            </w:pPr>
            <w:r>
              <w:rPr>
                <w:noProof/>
              </w:rPr>
              <w:t>Ключов етап</w:t>
            </w:r>
          </w:p>
        </w:tc>
        <w:tc>
          <w:tcPr>
            <w:tcW w:w="1560" w:type="dxa"/>
            <w:shd w:val="clear" w:color="auto" w:fill="C6EFCE"/>
            <w:noWrap/>
            <w:vAlign w:val="center"/>
          </w:tcPr>
          <w:p w14:paraId="755B513F" w14:textId="77777777" w:rsidR="006054AA" w:rsidRDefault="001F7667">
            <w:pPr>
              <w:pStyle w:val="P68B1DB1-Normal36"/>
              <w:spacing w:before="120" w:after="120"/>
              <w:jc w:val="center"/>
              <w:rPr>
                <w:noProof/>
                <w:color w:val="006100"/>
              </w:rPr>
            </w:pPr>
            <w:r>
              <w:rPr>
                <w:noProof/>
              </w:rPr>
              <w:t>Възлагане на всички обществени поръчки</w:t>
            </w:r>
          </w:p>
        </w:tc>
        <w:tc>
          <w:tcPr>
            <w:tcW w:w="1559" w:type="dxa"/>
            <w:shd w:val="clear" w:color="auto" w:fill="C6EFCE"/>
            <w:noWrap/>
            <w:vAlign w:val="center"/>
          </w:tcPr>
          <w:p w14:paraId="4B48D027" w14:textId="77777777" w:rsidR="006054AA" w:rsidRDefault="001F7667">
            <w:pPr>
              <w:pStyle w:val="P68B1DB1-Normal36"/>
              <w:spacing w:before="120" w:after="120"/>
              <w:jc w:val="center"/>
              <w:rPr>
                <w:noProof/>
                <w:color w:val="006100"/>
              </w:rPr>
            </w:pPr>
            <w:r>
              <w:rPr>
                <w:noProof/>
              </w:rPr>
              <w:t>Уведомяване за всички възложени обществени поръчки.</w:t>
            </w:r>
          </w:p>
        </w:tc>
        <w:tc>
          <w:tcPr>
            <w:tcW w:w="1276" w:type="dxa"/>
            <w:shd w:val="clear" w:color="auto" w:fill="C6EFCE"/>
            <w:noWrap/>
            <w:vAlign w:val="center"/>
          </w:tcPr>
          <w:p w14:paraId="43664228" w14:textId="77777777" w:rsidR="006054AA" w:rsidRDefault="001F7667">
            <w:pPr>
              <w:pStyle w:val="P68B1DB1-Normal36"/>
              <w:spacing w:before="120" w:after="120"/>
              <w:jc w:val="center"/>
              <w:rPr>
                <w:noProof/>
                <w:color w:val="006100"/>
              </w:rPr>
            </w:pPr>
            <w:r>
              <w:rPr>
                <w:noProof/>
              </w:rPr>
              <w:t>НЯМА</w:t>
            </w:r>
          </w:p>
        </w:tc>
        <w:tc>
          <w:tcPr>
            <w:tcW w:w="992" w:type="dxa"/>
            <w:shd w:val="clear" w:color="auto" w:fill="C6EFCE"/>
            <w:noWrap/>
            <w:vAlign w:val="center"/>
          </w:tcPr>
          <w:p w14:paraId="4504D824" w14:textId="77777777" w:rsidR="006054AA" w:rsidRDefault="001F7667">
            <w:pPr>
              <w:pStyle w:val="P68B1DB1-Normal36"/>
              <w:spacing w:before="120" w:after="120"/>
              <w:jc w:val="center"/>
              <w:rPr>
                <w:noProof/>
                <w:color w:val="006100"/>
              </w:rPr>
            </w:pPr>
            <w:r>
              <w:rPr>
                <w:noProof/>
              </w:rPr>
              <w:t>НЯМА</w:t>
            </w:r>
          </w:p>
        </w:tc>
        <w:tc>
          <w:tcPr>
            <w:tcW w:w="850" w:type="dxa"/>
            <w:shd w:val="clear" w:color="auto" w:fill="C6EFCE"/>
            <w:noWrap/>
            <w:vAlign w:val="center"/>
          </w:tcPr>
          <w:p w14:paraId="65E4AE39" w14:textId="77777777" w:rsidR="006054AA" w:rsidRDefault="001F7667">
            <w:pPr>
              <w:pStyle w:val="P68B1DB1-Normal36"/>
              <w:spacing w:before="120" w:after="120"/>
              <w:jc w:val="center"/>
              <w:rPr>
                <w:noProof/>
                <w:color w:val="006100"/>
              </w:rPr>
            </w:pPr>
            <w:r>
              <w:rPr>
                <w:noProof/>
              </w:rPr>
              <w:t>НЯМА</w:t>
            </w:r>
          </w:p>
        </w:tc>
        <w:tc>
          <w:tcPr>
            <w:tcW w:w="851" w:type="dxa"/>
            <w:shd w:val="clear" w:color="auto" w:fill="C6EFCE"/>
            <w:noWrap/>
            <w:vAlign w:val="center"/>
          </w:tcPr>
          <w:p w14:paraId="10FCB60C" w14:textId="77777777" w:rsidR="006054AA" w:rsidRDefault="001F7667">
            <w:pPr>
              <w:pStyle w:val="P68B1DB1-Normal36"/>
              <w:spacing w:before="120" w:after="120"/>
              <w:jc w:val="center"/>
              <w:rPr>
                <w:noProof/>
                <w:color w:val="006100"/>
              </w:rPr>
            </w:pPr>
            <w:r>
              <w:rPr>
                <w:noProof/>
              </w:rPr>
              <w:t>Т4 Г.</w:t>
            </w:r>
          </w:p>
        </w:tc>
        <w:tc>
          <w:tcPr>
            <w:tcW w:w="709" w:type="dxa"/>
            <w:shd w:val="clear" w:color="auto" w:fill="C6EFCE"/>
            <w:noWrap/>
            <w:vAlign w:val="center"/>
          </w:tcPr>
          <w:p w14:paraId="49E0AF11" w14:textId="77777777" w:rsidR="006054AA" w:rsidRDefault="001F7667">
            <w:pPr>
              <w:pStyle w:val="P68B1DB1-Normal36"/>
              <w:spacing w:before="120" w:after="120"/>
              <w:jc w:val="center"/>
              <w:rPr>
                <w:noProof/>
                <w:color w:val="006100"/>
              </w:rPr>
            </w:pPr>
            <w:r>
              <w:rPr>
                <w:noProof/>
              </w:rPr>
              <w:t>2022</w:t>
            </w:r>
          </w:p>
        </w:tc>
        <w:tc>
          <w:tcPr>
            <w:tcW w:w="2835" w:type="dxa"/>
            <w:shd w:val="clear" w:color="auto" w:fill="C6EFCE"/>
            <w:noWrap/>
            <w:vAlign w:val="center"/>
          </w:tcPr>
          <w:p w14:paraId="4BA90EAB" w14:textId="77777777" w:rsidR="006054AA" w:rsidRDefault="001F7667">
            <w:pPr>
              <w:pStyle w:val="P68B1DB1-Normal36"/>
              <w:spacing w:before="120" w:after="120"/>
              <w:rPr>
                <w:noProof/>
              </w:rPr>
            </w:pPr>
            <w:r>
              <w:rPr>
                <w:noProof/>
              </w:rPr>
              <w:t>Публикуване на тръжни процедури (рамково споразумение Consip) и сключване на договори с доставчици на услуги и цифровизация на болници, класифицирани като DEA I и II ниво)</w:t>
            </w:r>
          </w:p>
          <w:p w14:paraId="2FA49AC0" w14:textId="77777777" w:rsidR="006054AA" w:rsidRDefault="001F7667">
            <w:pPr>
              <w:pStyle w:val="P68B1DB1-Normal36"/>
              <w:spacing w:before="120" w:after="120"/>
              <w:rPr>
                <w:noProof/>
                <w:color w:val="006100"/>
              </w:rPr>
            </w:pPr>
            <w:r>
              <w:rPr>
                <w:noProof/>
              </w:rPr>
              <w:t>Договорите включват закупуването на: център за обработка на данни (КЗЛД), включително ИКТ и всякакви спомагателни дейности, необходими за постигане на компютризация на цялата болнична структура; б) придобиване на хардуерни и/или софтуерни информационни технологии, електромедицински технологии, както и допълнителни технологии и всякакви спомагателни дейности, необходими за компютризация на болничните отделения. Оценката на настоящото равнище на цифровизация, предхождаща осъществяването на интервенцията, дава възможност за прецизиране на тази оценка в зависимост от реалните нужди на всеки регион/болница.</w:t>
            </w:r>
          </w:p>
        </w:tc>
      </w:tr>
      <w:tr w:rsidR="006054AA" w14:paraId="3FD8D62D" w14:textId="77777777">
        <w:trPr>
          <w:trHeight w:val="313"/>
          <w:jc w:val="center"/>
        </w:trPr>
        <w:tc>
          <w:tcPr>
            <w:tcW w:w="1129" w:type="dxa"/>
            <w:shd w:val="clear" w:color="auto" w:fill="C6EFCE"/>
            <w:noWrap/>
            <w:vAlign w:val="center"/>
          </w:tcPr>
          <w:p w14:paraId="7A77C346" w14:textId="77777777" w:rsidR="006054AA" w:rsidRDefault="001F7667">
            <w:pPr>
              <w:pStyle w:val="P68B1DB1-Normal11"/>
              <w:spacing w:before="120" w:after="120"/>
              <w:jc w:val="center"/>
              <w:rPr>
                <w:noProof/>
              </w:rPr>
            </w:pPr>
            <w:r>
              <w:rPr>
                <w:noProof/>
              </w:rPr>
              <w:t>M6C2—8</w:t>
            </w:r>
          </w:p>
        </w:tc>
        <w:tc>
          <w:tcPr>
            <w:tcW w:w="1701" w:type="dxa"/>
            <w:shd w:val="clear" w:color="auto" w:fill="C6EFCE"/>
            <w:noWrap/>
            <w:vAlign w:val="center"/>
          </w:tcPr>
          <w:p w14:paraId="5F8B589A" w14:textId="77777777" w:rsidR="006054AA" w:rsidRDefault="001F7667">
            <w:pPr>
              <w:pStyle w:val="P68B1DB1-Normal36"/>
              <w:spacing w:before="120" w:after="120"/>
              <w:jc w:val="center"/>
              <w:rPr>
                <w:noProof/>
                <w:color w:val="006100"/>
              </w:rPr>
            </w:pPr>
            <w:r>
              <w:rPr>
                <w:noProof/>
              </w:rPr>
              <w:t>Инвестиция 1.1: Цифрова актуализация на технологичното оборудване на болниците</w:t>
            </w:r>
          </w:p>
        </w:tc>
        <w:tc>
          <w:tcPr>
            <w:tcW w:w="1134" w:type="dxa"/>
            <w:shd w:val="clear" w:color="auto" w:fill="C6EFCE"/>
            <w:noWrap/>
            <w:vAlign w:val="center"/>
          </w:tcPr>
          <w:p w14:paraId="7FD2F5AA" w14:textId="77777777" w:rsidR="006054AA" w:rsidRDefault="001F7667">
            <w:pPr>
              <w:pStyle w:val="P68B1DB1-Normal36"/>
              <w:spacing w:before="120" w:after="120"/>
              <w:jc w:val="center"/>
              <w:rPr>
                <w:noProof/>
                <w:color w:val="006100"/>
              </w:rPr>
            </w:pPr>
            <w:r>
              <w:rPr>
                <w:noProof/>
              </w:rPr>
              <w:t>Целеви</w:t>
            </w:r>
          </w:p>
        </w:tc>
        <w:tc>
          <w:tcPr>
            <w:tcW w:w="1560" w:type="dxa"/>
            <w:shd w:val="clear" w:color="auto" w:fill="C6EFCE"/>
            <w:noWrap/>
            <w:vAlign w:val="center"/>
          </w:tcPr>
          <w:p w14:paraId="5B278646" w14:textId="77777777" w:rsidR="006054AA" w:rsidRDefault="001F7667">
            <w:pPr>
              <w:pStyle w:val="P68B1DB1-Normal36"/>
              <w:spacing w:before="120" w:after="120"/>
              <w:jc w:val="center"/>
              <w:rPr>
                <w:rFonts w:eastAsia="Calibri"/>
                <w:noProof/>
              </w:rPr>
            </w:pPr>
            <w:r>
              <w:rPr>
                <w:noProof/>
              </w:rPr>
              <w:t>Болниците са цифровизирани (DEA — отдел „Спешна помощ и приемане“ — ниво I и ниво II)</w:t>
            </w:r>
          </w:p>
        </w:tc>
        <w:tc>
          <w:tcPr>
            <w:tcW w:w="1559" w:type="dxa"/>
            <w:shd w:val="clear" w:color="auto" w:fill="C6EFCE"/>
            <w:noWrap/>
            <w:vAlign w:val="center"/>
          </w:tcPr>
          <w:p w14:paraId="16570DAA" w14:textId="77777777" w:rsidR="006054AA" w:rsidRDefault="001F7667">
            <w:pPr>
              <w:pStyle w:val="P68B1DB1-Normal36"/>
              <w:spacing w:before="120" w:after="120"/>
              <w:jc w:val="center"/>
              <w:rPr>
                <w:noProof/>
                <w:color w:val="006100"/>
              </w:rPr>
            </w:pPr>
            <w:r>
              <w:rPr>
                <w:noProof/>
              </w:rPr>
              <w:t>НЯМА</w:t>
            </w:r>
          </w:p>
        </w:tc>
        <w:tc>
          <w:tcPr>
            <w:tcW w:w="1276" w:type="dxa"/>
            <w:shd w:val="clear" w:color="auto" w:fill="C6EFCE"/>
            <w:noWrap/>
            <w:vAlign w:val="center"/>
          </w:tcPr>
          <w:p w14:paraId="24B3EB41" w14:textId="77777777" w:rsidR="006054AA" w:rsidRDefault="001F7667">
            <w:pPr>
              <w:pStyle w:val="P68B1DB1-Normal36"/>
              <w:spacing w:before="120" w:after="120"/>
              <w:jc w:val="center"/>
              <w:rPr>
                <w:rFonts w:eastAsia="Calibri"/>
                <w:noProof/>
              </w:rPr>
            </w:pPr>
            <w:r>
              <w:rPr>
                <w:noProof/>
              </w:rPr>
              <w:t xml:space="preserve">Брой </w:t>
            </w:r>
          </w:p>
        </w:tc>
        <w:tc>
          <w:tcPr>
            <w:tcW w:w="992" w:type="dxa"/>
            <w:shd w:val="clear" w:color="auto" w:fill="C6EFCE"/>
            <w:noWrap/>
            <w:vAlign w:val="center"/>
          </w:tcPr>
          <w:p w14:paraId="2554F4CE" w14:textId="77777777" w:rsidR="006054AA" w:rsidRDefault="001F7667">
            <w:pPr>
              <w:pStyle w:val="P68B1DB1-Normal36"/>
              <w:spacing w:before="120" w:after="120"/>
              <w:jc w:val="center"/>
              <w:rPr>
                <w:noProof/>
                <w:color w:val="006100"/>
              </w:rPr>
            </w:pPr>
            <w:r>
              <w:rPr>
                <w:noProof/>
              </w:rPr>
              <w:t>0</w:t>
            </w:r>
          </w:p>
        </w:tc>
        <w:tc>
          <w:tcPr>
            <w:tcW w:w="850" w:type="dxa"/>
            <w:shd w:val="clear" w:color="auto" w:fill="C6EFCE"/>
            <w:noWrap/>
            <w:vAlign w:val="center"/>
          </w:tcPr>
          <w:p w14:paraId="474054A8" w14:textId="77777777" w:rsidR="006054AA" w:rsidRDefault="001F7667">
            <w:pPr>
              <w:pStyle w:val="P68B1DB1-Normal36"/>
              <w:spacing w:before="120" w:after="120"/>
              <w:jc w:val="center"/>
              <w:rPr>
                <w:noProof/>
                <w:color w:val="006100"/>
              </w:rPr>
            </w:pPr>
            <w:r>
              <w:rPr>
                <w:noProof/>
              </w:rPr>
              <w:t>280</w:t>
            </w:r>
          </w:p>
        </w:tc>
        <w:tc>
          <w:tcPr>
            <w:tcW w:w="851" w:type="dxa"/>
            <w:shd w:val="clear" w:color="auto" w:fill="C6EFCE"/>
            <w:noWrap/>
            <w:vAlign w:val="center"/>
          </w:tcPr>
          <w:p w14:paraId="09FC985C" w14:textId="77777777" w:rsidR="006054AA" w:rsidRDefault="001F7667">
            <w:pPr>
              <w:pStyle w:val="P68B1DB1-Normal36"/>
              <w:spacing w:before="120" w:after="120"/>
              <w:jc w:val="center"/>
              <w:rPr>
                <w:noProof/>
                <w:color w:val="006100"/>
              </w:rPr>
            </w:pPr>
            <w:r>
              <w:rPr>
                <w:noProof/>
              </w:rPr>
              <w:t>Т4 Г.</w:t>
            </w:r>
          </w:p>
        </w:tc>
        <w:tc>
          <w:tcPr>
            <w:tcW w:w="709" w:type="dxa"/>
            <w:shd w:val="clear" w:color="auto" w:fill="C6EFCE"/>
            <w:noWrap/>
            <w:vAlign w:val="center"/>
          </w:tcPr>
          <w:p w14:paraId="3A6DC768" w14:textId="77777777" w:rsidR="006054AA" w:rsidRDefault="001F7667">
            <w:pPr>
              <w:pStyle w:val="P68B1DB1-Normal36"/>
              <w:spacing w:before="120" w:after="120"/>
              <w:jc w:val="center"/>
              <w:rPr>
                <w:noProof/>
                <w:color w:val="006100"/>
              </w:rPr>
            </w:pPr>
            <w:r>
              <w:rPr>
                <w:noProof/>
              </w:rPr>
              <w:t>2025</w:t>
            </w:r>
          </w:p>
        </w:tc>
        <w:tc>
          <w:tcPr>
            <w:tcW w:w="2835" w:type="dxa"/>
            <w:shd w:val="clear" w:color="auto" w:fill="C6EFCE"/>
            <w:noWrap/>
            <w:vAlign w:val="center"/>
          </w:tcPr>
          <w:p w14:paraId="2087AD49" w14:textId="77777777" w:rsidR="006054AA" w:rsidRDefault="001F7667">
            <w:pPr>
              <w:pStyle w:val="P68B1DB1-Normal36"/>
              <w:spacing w:before="120" w:after="120"/>
              <w:rPr>
                <w:noProof/>
              </w:rPr>
            </w:pPr>
            <w:r>
              <w:rPr>
                <w:noProof/>
              </w:rPr>
              <w:t>Всяка цифровизирана болница разполага с център за обработка на данни (КЗЛД), необходим за компютризация на цялата болнична структура и достатъчно хардуерни и/или софтуерни информационни технологии, електромедицински технологии, както и допълнителни технологии, необходими за компютризация на всяко болнично отделение.</w:t>
            </w:r>
          </w:p>
          <w:p w14:paraId="100F8E75" w14:textId="75EB6615" w:rsidR="006054AA" w:rsidRDefault="001F7667">
            <w:pPr>
              <w:pStyle w:val="P68B1DB1-Normal36"/>
              <w:spacing w:before="120" w:after="120"/>
              <w:rPr>
                <w:noProof/>
                <w:color w:val="006100"/>
              </w:rPr>
            </w:pPr>
            <w:bookmarkStart w:id="5" w:name="_Hlk149126432"/>
            <w:r>
              <w:rPr>
                <w:noProof/>
              </w:rPr>
              <w:t>Инструментите за възлагане на обществени поръчки, предоставени от Consip — в допълнение към приключените до 31/12/2022 г. — са разрешени за допълнителни покупки, както и Mepa/SDAPA.</w:t>
            </w:r>
            <w:bookmarkEnd w:id="5"/>
          </w:p>
        </w:tc>
      </w:tr>
      <w:tr w:rsidR="006054AA" w14:paraId="4537CA75" w14:textId="77777777">
        <w:trPr>
          <w:trHeight w:val="313"/>
          <w:jc w:val="center"/>
        </w:trPr>
        <w:tc>
          <w:tcPr>
            <w:tcW w:w="1129" w:type="dxa"/>
            <w:shd w:val="clear" w:color="auto" w:fill="C6EFCE"/>
            <w:noWrap/>
            <w:vAlign w:val="center"/>
          </w:tcPr>
          <w:p w14:paraId="7C9D549C" w14:textId="77777777" w:rsidR="006054AA" w:rsidRDefault="001F7667">
            <w:pPr>
              <w:pStyle w:val="P68B1DB1-Normal11"/>
              <w:spacing w:before="120" w:after="120"/>
              <w:jc w:val="center"/>
              <w:rPr>
                <w:noProof/>
              </w:rPr>
            </w:pPr>
            <w:r>
              <w:rPr>
                <w:noProof/>
              </w:rPr>
              <w:t>M6C2—9</w:t>
            </w:r>
          </w:p>
        </w:tc>
        <w:tc>
          <w:tcPr>
            <w:tcW w:w="1701" w:type="dxa"/>
            <w:shd w:val="clear" w:color="auto" w:fill="C6EFCE"/>
            <w:noWrap/>
            <w:vAlign w:val="center"/>
          </w:tcPr>
          <w:p w14:paraId="3AC3E3D3" w14:textId="77777777" w:rsidR="006054AA" w:rsidRDefault="001F7667">
            <w:pPr>
              <w:pStyle w:val="P68B1DB1-Normal36"/>
              <w:spacing w:before="120" w:after="120"/>
              <w:jc w:val="center"/>
              <w:rPr>
                <w:noProof/>
                <w:color w:val="006100"/>
              </w:rPr>
            </w:pPr>
            <w:r>
              <w:rPr>
                <w:noProof/>
              </w:rPr>
              <w:t>Инвестиция 1.1: Цифрова актуализация на технологичното оборудване на болниците</w:t>
            </w:r>
          </w:p>
        </w:tc>
        <w:tc>
          <w:tcPr>
            <w:tcW w:w="1134" w:type="dxa"/>
            <w:shd w:val="clear" w:color="auto" w:fill="C6EFCE"/>
            <w:noWrap/>
            <w:vAlign w:val="center"/>
          </w:tcPr>
          <w:p w14:paraId="0807F8F0" w14:textId="77777777" w:rsidR="006054AA" w:rsidRDefault="001F7667">
            <w:pPr>
              <w:pStyle w:val="P68B1DB1-Normal36"/>
              <w:spacing w:before="120" w:after="120"/>
              <w:jc w:val="center"/>
              <w:rPr>
                <w:noProof/>
                <w:color w:val="006100"/>
              </w:rPr>
            </w:pPr>
            <w:r>
              <w:rPr>
                <w:noProof/>
              </w:rPr>
              <w:t>Целеви</w:t>
            </w:r>
          </w:p>
        </w:tc>
        <w:tc>
          <w:tcPr>
            <w:tcW w:w="1560" w:type="dxa"/>
            <w:shd w:val="clear" w:color="auto" w:fill="C6EFCE"/>
            <w:noWrap/>
            <w:vAlign w:val="center"/>
          </w:tcPr>
          <w:p w14:paraId="1DD8D29D" w14:textId="5B2524B1" w:rsidR="006054AA" w:rsidRDefault="001F7667">
            <w:pPr>
              <w:pStyle w:val="P68B1DB1-Normal36"/>
              <w:spacing w:before="120" w:after="120"/>
              <w:jc w:val="center"/>
              <w:rPr>
                <w:noProof/>
              </w:rPr>
            </w:pPr>
            <w:r>
              <w:rPr>
                <w:noProof/>
              </w:rPr>
              <w:t>Допълнителни легла, осигурени в интензивните отделения за интензивно лечение</w:t>
            </w:r>
          </w:p>
        </w:tc>
        <w:tc>
          <w:tcPr>
            <w:tcW w:w="1559" w:type="dxa"/>
            <w:shd w:val="clear" w:color="auto" w:fill="C6EFCE"/>
            <w:noWrap/>
            <w:vAlign w:val="center"/>
          </w:tcPr>
          <w:p w14:paraId="22148736" w14:textId="77777777" w:rsidR="006054AA" w:rsidRDefault="001F7667">
            <w:pPr>
              <w:pStyle w:val="P68B1DB1-Normal36"/>
              <w:spacing w:before="120" w:after="120"/>
              <w:jc w:val="center"/>
              <w:rPr>
                <w:noProof/>
                <w:color w:val="006100"/>
              </w:rPr>
            </w:pPr>
            <w:r>
              <w:rPr>
                <w:noProof/>
              </w:rPr>
              <w:t>НЯМА</w:t>
            </w:r>
          </w:p>
        </w:tc>
        <w:tc>
          <w:tcPr>
            <w:tcW w:w="1276" w:type="dxa"/>
            <w:shd w:val="clear" w:color="auto" w:fill="C6EFCE"/>
            <w:noWrap/>
            <w:vAlign w:val="center"/>
          </w:tcPr>
          <w:p w14:paraId="0893E29C" w14:textId="77777777" w:rsidR="006054AA" w:rsidRDefault="001F7667">
            <w:pPr>
              <w:pStyle w:val="P68B1DB1-Normal36"/>
              <w:spacing w:before="120" w:after="120"/>
              <w:jc w:val="center"/>
              <w:rPr>
                <w:rFonts w:eastAsia="Calibri"/>
                <w:noProof/>
              </w:rPr>
            </w:pPr>
            <w:r>
              <w:rPr>
                <w:noProof/>
              </w:rPr>
              <w:t xml:space="preserve">Брой </w:t>
            </w:r>
          </w:p>
        </w:tc>
        <w:tc>
          <w:tcPr>
            <w:tcW w:w="992" w:type="dxa"/>
            <w:shd w:val="clear" w:color="auto" w:fill="C6EFCE"/>
            <w:noWrap/>
            <w:vAlign w:val="center"/>
          </w:tcPr>
          <w:p w14:paraId="2C6932CB" w14:textId="77777777" w:rsidR="006054AA" w:rsidRDefault="001F7667">
            <w:pPr>
              <w:pStyle w:val="P68B1DB1-Normal36"/>
              <w:spacing w:before="120" w:after="120"/>
              <w:jc w:val="center"/>
              <w:rPr>
                <w:noProof/>
                <w:color w:val="006100"/>
              </w:rPr>
            </w:pPr>
            <w:r>
              <w:rPr>
                <w:noProof/>
              </w:rPr>
              <w:t>0</w:t>
            </w:r>
          </w:p>
        </w:tc>
        <w:tc>
          <w:tcPr>
            <w:tcW w:w="850" w:type="dxa"/>
            <w:shd w:val="clear" w:color="auto" w:fill="C6EFCE"/>
            <w:noWrap/>
            <w:vAlign w:val="center"/>
          </w:tcPr>
          <w:p w14:paraId="5ACE7175" w14:textId="18A932DB" w:rsidR="006054AA" w:rsidRDefault="001F7667">
            <w:pPr>
              <w:pStyle w:val="P68B1DB1-Normal19"/>
              <w:spacing w:before="120" w:after="120"/>
              <w:jc w:val="center"/>
              <w:rPr>
                <w:noProof/>
                <w:color w:val="006100"/>
              </w:rPr>
            </w:pPr>
            <w:r>
              <w:rPr>
                <w:noProof/>
                <w:color w:val="006600"/>
              </w:rPr>
              <w:t>5</w:t>
            </w:r>
            <w:r>
              <w:rPr>
                <w:noProof/>
                <w:color w:val="006100"/>
              </w:rPr>
              <w:t xml:space="preserve"> </w:t>
            </w:r>
            <w:r>
              <w:rPr>
                <w:noProof/>
                <w:color w:val="006600"/>
              </w:rPr>
              <w:t>922</w:t>
            </w:r>
          </w:p>
        </w:tc>
        <w:tc>
          <w:tcPr>
            <w:tcW w:w="851" w:type="dxa"/>
            <w:shd w:val="clear" w:color="auto" w:fill="C6EFCE"/>
            <w:noWrap/>
            <w:vAlign w:val="center"/>
          </w:tcPr>
          <w:p w14:paraId="3CE37BEE" w14:textId="77777777" w:rsidR="006054AA" w:rsidRDefault="001F7667">
            <w:pPr>
              <w:pStyle w:val="P68B1DB1-Normal36"/>
              <w:spacing w:before="120" w:after="120"/>
              <w:jc w:val="center"/>
              <w:rPr>
                <w:noProof/>
                <w:color w:val="006100"/>
              </w:rPr>
            </w:pPr>
            <w:r>
              <w:rPr>
                <w:noProof/>
              </w:rPr>
              <w:t>Т2 Г.</w:t>
            </w:r>
          </w:p>
        </w:tc>
        <w:tc>
          <w:tcPr>
            <w:tcW w:w="709" w:type="dxa"/>
            <w:shd w:val="clear" w:color="auto" w:fill="C6EFCE"/>
            <w:noWrap/>
            <w:vAlign w:val="center"/>
          </w:tcPr>
          <w:p w14:paraId="7E163EE9" w14:textId="77777777" w:rsidR="006054AA" w:rsidRDefault="001F7667">
            <w:pPr>
              <w:pStyle w:val="P68B1DB1-Normal36"/>
              <w:spacing w:before="120" w:after="120"/>
              <w:jc w:val="center"/>
              <w:rPr>
                <w:noProof/>
                <w:color w:val="006100"/>
              </w:rPr>
            </w:pPr>
            <w:r>
              <w:rPr>
                <w:noProof/>
              </w:rPr>
              <w:t>2026</w:t>
            </w:r>
          </w:p>
        </w:tc>
        <w:tc>
          <w:tcPr>
            <w:tcW w:w="2835" w:type="dxa"/>
            <w:shd w:val="clear" w:color="auto" w:fill="C6EFCE"/>
            <w:noWrap/>
            <w:vAlign w:val="center"/>
          </w:tcPr>
          <w:p w14:paraId="36786E9A" w14:textId="4F2C237F" w:rsidR="006054AA" w:rsidRDefault="001F7667">
            <w:pPr>
              <w:pStyle w:val="P68B1DB1-Normal19"/>
              <w:spacing w:before="120" w:after="120"/>
              <w:rPr>
                <w:rFonts w:eastAsia="Calibri"/>
                <w:noProof/>
                <w:color w:val="006600"/>
              </w:rPr>
            </w:pPr>
            <w:r>
              <w:rPr>
                <w:noProof/>
                <w:color w:val="006600"/>
              </w:rPr>
              <w:t>Осигуряването на най-малко 2</w:t>
            </w:r>
            <w:r>
              <w:rPr>
                <w:noProof/>
                <w:color w:val="006100"/>
              </w:rPr>
              <w:t xml:space="preserve"> </w:t>
            </w:r>
            <w:r>
              <w:rPr>
                <w:noProof/>
                <w:color w:val="006600"/>
              </w:rPr>
              <w:t>692 легла за интензивни грижи и 3</w:t>
            </w:r>
            <w:r>
              <w:rPr>
                <w:noProof/>
                <w:color w:val="006100"/>
              </w:rPr>
              <w:t xml:space="preserve"> </w:t>
            </w:r>
            <w:r>
              <w:rPr>
                <w:noProof/>
                <w:color w:val="006600"/>
              </w:rPr>
              <w:t>230 легла в полуинтензивната зона със съответното вентилационно оборудване се прави структурно (което съответства на увеличение с около 60 % на броя на леглата, които са съществували преди пандемията).</w:t>
            </w:r>
          </w:p>
        </w:tc>
      </w:tr>
      <w:tr w:rsidR="006054AA" w14:paraId="50A154FD" w14:textId="77777777">
        <w:trPr>
          <w:trHeight w:val="313"/>
          <w:jc w:val="center"/>
        </w:trPr>
        <w:tc>
          <w:tcPr>
            <w:tcW w:w="1129" w:type="dxa"/>
            <w:shd w:val="clear" w:color="auto" w:fill="C6EFCE"/>
            <w:noWrap/>
            <w:vAlign w:val="center"/>
          </w:tcPr>
          <w:p w14:paraId="085ED368" w14:textId="77777777" w:rsidR="006054AA" w:rsidRDefault="001F7667">
            <w:pPr>
              <w:pStyle w:val="P68B1DB1-Normal11"/>
              <w:spacing w:before="120" w:after="120"/>
              <w:jc w:val="center"/>
              <w:rPr>
                <w:noProof/>
              </w:rPr>
            </w:pPr>
            <w:r>
              <w:rPr>
                <w:noProof/>
              </w:rPr>
              <w:t>M6C2—10</w:t>
            </w:r>
          </w:p>
        </w:tc>
        <w:tc>
          <w:tcPr>
            <w:tcW w:w="1701" w:type="dxa"/>
            <w:shd w:val="clear" w:color="auto" w:fill="C6EFCE"/>
            <w:noWrap/>
            <w:vAlign w:val="center"/>
          </w:tcPr>
          <w:p w14:paraId="38E0FBA6" w14:textId="77777777" w:rsidR="006054AA" w:rsidRDefault="001F7667">
            <w:pPr>
              <w:pStyle w:val="P68B1DB1-Normal36"/>
              <w:spacing w:before="120" w:after="120"/>
              <w:jc w:val="center"/>
              <w:rPr>
                <w:noProof/>
                <w:color w:val="006100"/>
              </w:rPr>
            </w:pPr>
            <w:r>
              <w:rPr>
                <w:noProof/>
              </w:rPr>
              <w:t>Инвестиция 1.2: Към безопасна и устойчива болница</w:t>
            </w:r>
          </w:p>
        </w:tc>
        <w:tc>
          <w:tcPr>
            <w:tcW w:w="1134" w:type="dxa"/>
            <w:shd w:val="clear" w:color="auto" w:fill="C6EFCE"/>
            <w:noWrap/>
            <w:vAlign w:val="center"/>
          </w:tcPr>
          <w:p w14:paraId="2A22D1FE" w14:textId="77777777" w:rsidR="006054AA" w:rsidRDefault="001F7667">
            <w:pPr>
              <w:pStyle w:val="P68B1DB1-Normal36"/>
              <w:spacing w:before="120" w:after="120"/>
              <w:jc w:val="center"/>
              <w:rPr>
                <w:noProof/>
                <w:color w:val="006100"/>
              </w:rPr>
            </w:pPr>
            <w:r>
              <w:rPr>
                <w:noProof/>
              </w:rPr>
              <w:t>Целеви</w:t>
            </w:r>
          </w:p>
        </w:tc>
        <w:tc>
          <w:tcPr>
            <w:tcW w:w="1560" w:type="dxa"/>
            <w:shd w:val="clear" w:color="auto" w:fill="C6EFCE"/>
            <w:noWrap/>
            <w:vAlign w:val="center"/>
          </w:tcPr>
          <w:p w14:paraId="14DECA14" w14:textId="77777777" w:rsidR="006054AA" w:rsidRDefault="001F7667">
            <w:pPr>
              <w:pStyle w:val="P68B1DB1-Normal36"/>
              <w:spacing w:before="120" w:after="120"/>
              <w:jc w:val="center"/>
              <w:rPr>
                <w:rFonts w:eastAsia="Calibri"/>
                <w:noProof/>
              </w:rPr>
            </w:pPr>
            <w:r>
              <w:rPr>
                <w:noProof/>
              </w:rPr>
              <w:t>Приключват се антисеизмичните интервенции в болнични заведения</w:t>
            </w:r>
          </w:p>
        </w:tc>
        <w:tc>
          <w:tcPr>
            <w:tcW w:w="1559" w:type="dxa"/>
            <w:shd w:val="clear" w:color="auto" w:fill="C6EFCE"/>
            <w:noWrap/>
            <w:vAlign w:val="center"/>
          </w:tcPr>
          <w:p w14:paraId="41FB1BB6" w14:textId="77777777" w:rsidR="006054AA" w:rsidRDefault="001F7667">
            <w:pPr>
              <w:pStyle w:val="P68B1DB1-Normal36"/>
              <w:spacing w:before="120" w:after="120"/>
              <w:jc w:val="center"/>
              <w:rPr>
                <w:noProof/>
                <w:color w:val="006100"/>
              </w:rPr>
            </w:pPr>
            <w:r>
              <w:rPr>
                <w:noProof/>
              </w:rPr>
              <w:t>НЯМА</w:t>
            </w:r>
          </w:p>
        </w:tc>
        <w:tc>
          <w:tcPr>
            <w:tcW w:w="1276" w:type="dxa"/>
            <w:shd w:val="clear" w:color="auto" w:fill="C6EFCE"/>
            <w:noWrap/>
            <w:vAlign w:val="center"/>
          </w:tcPr>
          <w:p w14:paraId="5962E2AB" w14:textId="77777777" w:rsidR="006054AA" w:rsidRDefault="001F7667">
            <w:pPr>
              <w:pStyle w:val="P68B1DB1-Normal36"/>
              <w:spacing w:before="120" w:after="120"/>
              <w:jc w:val="center"/>
              <w:rPr>
                <w:rFonts w:eastAsia="Calibri"/>
                <w:noProof/>
              </w:rPr>
            </w:pPr>
            <w:r>
              <w:rPr>
                <w:noProof/>
              </w:rPr>
              <w:t xml:space="preserve">Брой </w:t>
            </w:r>
          </w:p>
        </w:tc>
        <w:tc>
          <w:tcPr>
            <w:tcW w:w="992" w:type="dxa"/>
            <w:shd w:val="clear" w:color="auto" w:fill="C6EFCE"/>
            <w:noWrap/>
            <w:vAlign w:val="center"/>
          </w:tcPr>
          <w:p w14:paraId="419E93E3" w14:textId="77777777" w:rsidR="006054AA" w:rsidRDefault="001F7667">
            <w:pPr>
              <w:pStyle w:val="P68B1DB1-Normal36"/>
              <w:spacing w:before="120" w:after="120"/>
              <w:jc w:val="center"/>
              <w:rPr>
                <w:noProof/>
                <w:color w:val="006100"/>
              </w:rPr>
            </w:pPr>
            <w:r>
              <w:rPr>
                <w:noProof/>
              </w:rPr>
              <w:t>0</w:t>
            </w:r>
          </w:p>
        </w:tc>
        <w:tc>
          <w:tcPr>
            <w:tcW w:w="850" w:type="dxa"/>
            <w:shd w:val="clear" w:color="auto" w:fill="C6EFCE"/>
            <w:noWrap/>
            <w:vAlign w:val="center"/>
          </w:tcPr>
          <w:p w14:paraId="7B9C362A" w14:textId="10F3809D" w:rsidR="006054AA" w:rsidRDefault="001F7667">
            <w:pPr>
              <w:pStyle w:val="P68B1DB1-Normal36"/>
              <w:spacing w:before="120" w:after="120"/>
              <w:jc w:val="center"/>
              <w:rPr>
                <w:noProof/>
              </w:rPr>
            </w:pPr>
            <w:r>
              <w:rPr>
                <w:noProof/>
              </w:rPr>
              <w:t>84</w:t>
            </w:r>
          </w:p>
        </w:tc>
        <w:tc>
          <w:tcPr>
            <w:tcW w:w="851" w:type="dxa"/>
            <w:shd w:val="clear" w:color="auto" w:fill="C6EFCE"/>
            <w:noWrap/>
            <w:vAlign w:val="center"/>
          </w:tcPr>
          <w:p w14:paraId="32D6ED22" w14:textId="77777777" w:rsidR="006054AA" w:rsidRDefault="001F7667">
            <w:pPr>
              <w:pStyle w:val="P68B1DB1-Normal36"/>
              <w:spacing w:before="120" w:after="120"/>
              <w:jc w:val="center"/>
              <w:rPr>
                <w:noProof/>
                <w:color w:val="006100"/>
              </w:rPr>
            </w:pPr>
            <w:r>
              <w:rPr>
                <w:noProof/>
              </w:rPr>
              <w:t>Т2 Г.</w:t>
            </w:r>
          </w:p>
        </w:tc>
        <w:tc>
          <w:tcPr>
            <w:tcW w:w="709" w:type="dxa"/>
            <w:shd w:val="clear" w:color="auto" w:fill="C6EFCE"/>
            <w:noWrap/>
            <w:vAlign w:val="center"/>
          </w:tcPr>
          <w:p w14:paraId="7A53FF33" w14:textId="77777777" w:rsidR="006054AA" w:rsidRDefault="001F7667">
            <w:pPr>
              <w:pStyle w:val="P68B1DB1-Normal36"/>
              <w:spacing w:before="120" w:after="120"/>
              <w:jc w:val="center"/>
              <w:rPr>
                <w:noProof/>
                <w:color w:val="006100"/>
              </w:rPr>
            </w:pPr>
            <w:r>
              <w:rPr>
                <w:noProof/>
              </w:rPr>
              <w:t>2026</w:t>
            </w:r>
          </w:p>
        </w:tc>
        <w:tc>
          <w:tcPr>
            <w:tcW w:w="2835" w:type="dxa"/>
            <w:shd w:val="clear" w:color="auto" w:fill="C6EFCE"/>
            <w:noWrap/>
            <w:vAlign w:val="center"/>
          </w:tcPr>
          <w:p w14:paraId="03723D2B" w14:textId="7066FF54" w:rsidR="006054AA" w:rsidRDefault="001F7667">
            <w:pPr>
              <w:pStyle w:val="P68B1DB1-Normal36"/>
              <w:spacing w:before="120" w:after="120"/>
              <w:rPr>
                <w:noProof/>
              </w:rPr>
            </w:pPr>
            <w:r>
              <w:rPr>
                <w:noProof/>
              </w:rPr>
              <w:t>Завършени са най-малко 84 противосеизмични интервенции в болнични заведения, за да бъдат приведени в съответствие с антисеизмичните разпоредби.</w:t>
            </w:r>
          </w:p>
        </w:tc>
      </w:tr>
      <w:tr w:rsidR="006054AA" w14:paraId="48D5EC61" w14:textId="77777777">
        <w:trPr>
          <w:trHeight w:val="313"/>
          <w:jc w:val="center"/>
        </w:trPr>
        <w:tc>
          <w:tcPr>
            <w:tcW w:w="1129" w:type="dxa"/>
            <w:shd w:val="clear" w:color="auto" w:fill="C6EFCE"/>
            <w:noWrap/>
            <w:vAlign w:val="center"/>
          </w:tcPr>
          <w:p w14:paraId="58465ADB" w14:textId="77777777" w:rsidR="006054AA" w:rsidRDefault="001F7667">
            <w:pPr>
              <w:pStyle w:val="P68B1DB1-Normal11"/>
              <w:jc w:val="center"/>
              <w:rPr>
                <w:noProof/>
              </w:rPr>
            </w:pPr>
            <w:r>
              <w:rPr>
                <w:noProof/>
              </w:rPr>
              <w:t>M6C2—10 bis</w:t>
            </w:r>
          </w:p>
        </w:tc>
        <w:tc>
          <w:tcPr>
            <w:tcW w:w="1701" w:type="dxa"/>
            <w:shd w:val="clear" w:color="auto" w:fill="C6EFCE"/>
            <w:noWrap/>
            <w:vAlign w:val="center"/>
          </w:tcPr>
          <w:p w14:paraId="285F1CBF" w14:textId="5D8CDE5D" w:rsidR="006054AA" w:rsidRDefault="001F7667">
            <w:pPr>
              <w:pStyle w:val="P68B1DB1-Normal36"/>
              <w:spacing w:before="120" w:after="120" w:line="276" w:lineRule="auto"/>
              <w:jc w:val="center"/>
              <w:rPr>
                <w:noProof/>
              </w:rPr>
            </w:pPr>
            <w:r>
              <w:rPr>
                <w:noProof/>
              </w:rPr>
              <w:t>Инвестиция 1.2: Към безопасна и устойчива болница</w:t>
            </w:r>
          </w:p>
        </w:tc>
        <w:tc>
          <w:tcPr>
            <w:tcW w:w="1134" w:type="dxa"/>
            <w:shd w:val="clear" w:color="auto" w:fill="C6EFCE"/>
            <w:noWrap/>
            <w:vAlign w:val="center"/>
          </w:tcPr>
          <w:p w14:paraId="63DE860E" w14:textId="77777777" w:rsidR="006054AA" w:rsidRDefault="001F7667">
            <w:pPr>
              <w:pStyle w:val="P68B1DB1-Normal36"/>
              <w:jc w:val="center"/>
              <w:rPr>
                <w:noProof/>
              </w:rPr>
            </w:pPr>
            <w:r>
              <w:rPr>
                <w:noProof/>
              </w:rPr>
              <w:t xml:space="preserve">Целеви </w:t>
            </w:r>
          </w:p>
        </w:tc>
        <w:tc>
          <w:tcPr>
            <w:tcW w:w="1560" w:type="dxa"/>
            <w:shd w:val="clear" w:color="auto" w:fill="C6EFCE"/>
            <w:noWrap/>
            <w:vAlign w:val="center"/>
          </w:tcPr>
          <w:p w14:paraId="6AC9A98A" w14:textId="77777777" w:rsidR="006054AA" w:rsidRDefault="001F7667">
            <w:pPr>
              <w:pStyle w:val="P68B1DB1-Normal36"/>
              <w:spacing w:before="120" w:after="120"/>
              <w:jc w:val="center"/>
              <w:rPr>
                <w:rFonts w:eastAsia="Calibri"/>
                <w:noProof/>
              </w:rPr>
            </w:pPr>
            <w:r>
              <w:rPr>
                <w:noProof/>
              </w:rPr>
              <w:t>Изплащане на средства от Механизма за възстановяване и устойчивост за проекти по член 20 от Финансовия закон 67/88 „Здраве строителство“</w:t>
            </w:r>
          </w:p>
        </w:tc>
        <w:tc>
          <w:tcPr>
            <w:tcW w:w="1559" w:type="dxa"/>
            <w:shd w:val="clear" w:color="auto" w:fill="C6EFCE"/>
            <w:noWrap/>
            <w:vAlign w:val="center"/>
          </w:tcPr>
          <w:p w14:paraId="557A06E5" w14:textId="77777777" w:rsidR="006054AA" w:rsidRDefault="001F7667">
            <w:pPr>
              <w:pStyle w:val="P68B1DB1-Normal36"/>
              <w:jc w:val="center"/>
              <w:rPr>
                <w:noProof/>
              </w:rPr>
            </w:pPr>
            <w:r>
              <w:rPr>
                <w:noProof/>
              </w:rPr>
              <w:t>НЯМА</w:t>
            </w:r>
          </w:p>
        </w:tc>
        <w:tc>
          <w:tcPr>
            <w:tcW w:w="1276" w:type="dxa"/>
            <w:shd w:val="clear" w:color="auto" w:fill="C6EFCE"/>
            <w:noWrap/>
            <w:vAlign w:val="center"/>
          </w:tcPr>
          <w:p w14:paraId="45677175" w14:textId="77777777" w:rsidR="006054AA" w:rsidRDefault="001F7667">
            <w:pPr>
              <w:pStyle w:val="P68B1DB1-Normal36"/>
              <w:jc w:val="center"/>
              <w:rPr>
                <w:rFonts w:eastAsia="Calibri"/>
                <w:noProof/>
              </w:rPr>
            </w:pPr>
            <w:r>
              <w:rPr>
                <w:noProof/>
              </w:rPr>
              <w:t xml:space="preserve">Проценти </w:t>
            </w:r>
          </w:p>
        </w:tc>
        <w:tc>
          <w:tcPr>
            <w:tcW w:w="992" w:type="dxa"/>
            <w:shd w:val="clear" w:color="auto" w:fill="C6EFCE"/>
            <w:noWrap/>
            <w:vAlign w:val="center"/>
          </w:tcPr>
          <w:p w14:paraId="2C786F6B" w14:textId="77777777" w:rsidR="006054AA" w:rsidRDefault="001F7667">
            <w:pPr>
              <w:pStyle w:val="P68B1DB1-Normal36"/>
              <w:jc w:val="center"/>
              <w:rPr>
                <w:noProof/>
              </w:rPr>
            </w:pPr>
            <w:r>
              <w:rPr>
                <w:noProof/>
              </w:rPr>
              <w:t>0</w:t>
            </w:r>
          </w:p>
        </w:tc>
        <w:tc>
          <w:tcPr>
            <w:tcW w:w="850" w:type="dxa"/>
            <w:shd w:val="clear" w:color="auto" w:fill="C6EFCE"/>
            <w:noWrap/>
            <w:vAlign w:val="center"/>
          </w:tcPr>
          <w:p w14:paraId="23573483" w14:textId="7A22B824" w:rsidR="006054AA" w:rsidRDefault="001F7667">
            <w:pPr>
              <w:pStyle w:val="P68B1DB1-Normal36"/>
              <w:jc w:val="center"/>
              <w:rPr>
                <w:noProof/>
              </w:rPr>
            </w:pPr>
            <w:r>
              <w:rPr>
                <w:noProof/>
              </w:rPr>
              <w:t xml:space="preserve">90 %  </w:t>
            </w:r>
          </w:p>
        </w:tc>
        <w:tc>
          <w:tcPr>
            <w:tcW w:w="851" w:type="dxa"/>
            <w:shd w:val="clear" w:color="auto" w:fill="C6EFCE"/>
            <w:noWrap/>
            <w:vAlign w:val="center"/>
          </w:tcPr>
          <w:p w14:paraId="63865ADB" w14:textId="77777777" w:rsidR="006054AA" w:rsidRDefault="001F7667">
            <w:pPr>
              <w:pStyle w:val="P68B1DB1-Normal36"/>
              <w:jc w:val="center"/>
              <w:rPr>
                <w:noProof/>
              </w:rPr>
            </w:pPr>
            <w:r>
              <w:rPr>
                <w:noProof/>
              </w:rPr>
              <w:t>Т2 Г.</w:t>
            </w:r>
          </w:p>
        </w:tc>
        <w:tc>
          <w:tcPr>
            <w:tcW w:w="709" w:type="dxa"/>
            <w:shd w:val="clear" w:color="auto" w:fill="C6EFCE"/>
            <w:noWrap/>
            <w:vAlign w:val="center"/>
          </w:tcPr>
          <w:p w14:paraId="34587886" w14:textId="77777777" w:rsidR="006054AA" w:rsidRDefault="001F7667">
            <w:pPr>
              <w:pStyle w:val="P68B1DB1-Normal36"/>
              <w:jc w:val="center"/>
              <w:rPr>
                <w:noProof/>
              </w:rPr>
            </w:pPr>
            <w:r>
              <w:rPr>
                <w:noProof/>
              </w:rPr>
              <w:t>2026</w:t>
            </w:r>
          </w:p>
        </w:tc>
        <w:tc>
          <w:tcPr>
            <w:tcW w:w="2835" w:type="dxa"/>
            <w:shd w:val="clear" w:color="auto" w:fill="C6EFCE"/>
            <w:noWrap/>
            <w:vAlign w:val="center"/>
          </w:tcPr>
          <w:p w14:paraId="411474E9" w14:textId="78C3AFE4" w:rsidR="006054AA" w:rsidRDefault="001F7667">
            <w:pPr>
              <w:pStyle w:val="P68B1DB1-Normal19"/>
              <w:rPr>
                <w:rFonts w:eastAsia="Calibri"/>
                <w:noProof/>
                <w:color w:val="006600"/>
              </w:rPr>
            </w:pPr>
            <w:r>
              <w:rPr>
                <w:noProof/>
                <w:color w:val="006600"/>
              </w:rPr>
              <w:t>Най-малко 90 % от 250</w:t>
            </w:r>
            <w:r>
              <w:rPr>
                <w:noProof/>
                <w:color w:val="006100"/>
              </w:rPr>
              <w:t xml:space="preserve"> </w:t>
            </w:r>
            <w:r>
              <w:rPr>
                <w:noProof/>
                <w:color w:val="006600"/>
              </w:rPr>
              <w:t>000 EUR</w:t>
            </w:r>
            <w:r>
              <w:rPr>
                <w:noProof/>
                <w:color w:val="006100"/>
              </w:rPr>
              <w:t xml:space="preserve"> </w:t>
            </w:r>
            <w:r>
              <w:rPr>
                <w:noProof/>
                <w:color w:val="006600"/>
              </w:rPr>
              <w:t>000 са отпуснати за проекти за преструктуриране и модернизиране на болници, свързани с програмни споразумения съгласно член 20л, параграф 67/88, и се изпълняват от Министерството на здравеопазването със съответния регион.</w:t>
            </w:r>
          </w:p>
        </w:tc>
      </w:tr>
      <w:tr w:rsidR="006054AA" w14:paraId="48470D11" w14:textId="77777777">
        <w:trPr>
          <w:trHeight w:val="313"/>
          <w:jc w:val="center"/>
        </w:trPr>
        <w:tc>
          <w:tcPr>
            <w:tcW w:w="1129" w:type="dxa"/>
            <w:shd w:val="clear" w:color="auto" w:fill="C6EFCE"/>
            <w:noWrap/>
            <w:vAlign w:val="center"/>
          </w:tcPr>
          <w:p w14:paraId="51DA27FE" w14:textId="77777777" w:rsidR="006054AA" w:rsidRDefault="001F7667">
            <w:pPr>
              <w:pStyle w:val="P68B1DB1-Normal11"/>
              <w:spacing w:before="120" w:after="120"/>
              <w:jc w:val="center"/>
              <w:rPr>
                <w:noProof/>
              </w:rPr>
            </w:pPr>
            <w:r>
              <w:rPr>
                <w:noProof/>
              </w:rPr>
              <w:t>M6C2—11</w:t>
            </w:r>
          </w:p>
        </w:tc>
        <w:tc>
          <w:tcPr>
            <w:tcW w:w="1701" w:type="dxa"/>
            <w:shd w:val="clear" w:color="auto" w:fill="C6EFCE"/>
            <w:noWrap/>
            <w:vAlign w:val="center"/>
          </w:tcPr>
          <w:p w14:paraId="393D248C" w14:textId="77777777" w:rsidR="006054AA" w:rsidRDefault="001F7667">
            <w:pPr>
              <w:pStyle w:val="P68B1DB1-Normal36"/>
              <w:spacing w:before="120" w:after="120"/>
              <w:jc w:val="center"/>
              <w:rPr>
                <w:noProof/>
                <w:color w:val="006100"/>
              </w:rPr>
            </w:pPr>
            <w:r>
              <w:rPr>
                <w:noProof/>
              </w:rPr>
              <w:t>Инвестиция 1.3: Укрепване на технологичната инфраструктура и на инструментите за събиране, обработка на данни, анализ и симулация на данни</w:t>
            </w:r>
          </w:p>
        </w:tc>
        <w:tc>
          <w:tcPr>
            <w:tcW w:w="1134" w:type="dxa"/>
            <w:shd w:val="clear" w:color="auto" w:fill="C6EFCE"/>
            <w:noWrap/>
            <w:vAlign w:val="center"/>
          </w:tcPr>
          <w:p w14:paraId="79AFF090" w14:textId="77777777" w:rsidR="006054AA" w:rsidRDefault="001F7667">
            <w:pPr>
              <w:pStyle w:val="P68B1DB1-Normal36"/>
              <w:spacing w:before="120" w:after="120"/>
              <w:jc w:val="center"/>
              <w:rPr>
                <w:noProof/>
                <w:color w:val="006100"/>
              </w:rPr>
            </w:pPr>
            <w:r>
              <w:rPr>
                <w:noProof/>
              </w:rPr>
              <w:t>Целеви</w:t>
            </w:r>
          </w:p>
        </w:tc>
        <w:tc>
          <w:tcPr>
            <w:tcW w:w="1560" w:type="dxa"/>
            <w:shd w:val="clear" w:color="auto" w:fill="C6EFCE"/>
            <w:noWrap/>
            <w:vAlign w:val="center"/>
          </w:tcPr>
          <w:p w14:paraId="1DB2ED58" w14:textId="3D778920" w:rsidR="006054AA" w:rsidRDefault="001F7667">
            <w:pPr>
              <w:pStyle w:val="P68B1DB1-Normal36"/>
              <w:spacing w:before="120" w:after="120"/>
              <w:jc w:val="center"/>
              <w:rPr>
                <w:noProof/>
              </w:rPr>
            </w:pPr>
            <w:r>
              <w:rPr>
                <w:noProof/>
              </w:rPr>
              <w:t>Общопрактикуващи лекари, които захранват електронното здравно досие.</w:t>
            </w:r>
          </w:p>
        </w:tc>
        <w:tc>
          <w:tcPr>
            <w:tcW w:w="1559" w:type="dxa"/>
            <w:shd w:val="clear" w:color="auto" w:fill="C6EFCE"/>
            <w:noWrap/>
            <w:vAlign w:val="center"/>
          </w:tcPr>
          <w:p w14:paraId="744801FC" w14:textId="77777777" w:rsidR="006054AA" w:rsidRDefault="001F7667">
            <w:pPr>
              <w:pStyle w:val="P68B1DB1-Normal36"/>
              <w:spacing w:before="120" w:after="120"/>
              <w:jc w:val="center"/>
              <w:rPr>
                <w:noProof/>
                <w:color w:val="006100"/>
              </w:rPr>
            </w:pPr>
            <w:r>
              <w:rPr>
                <w:noProof/>
              </w:rPr>
              <w:t>НЯМА</w:t>
            </w:r>
          </w:p>
        </w:tc>
        <w:tc>
          <w:tcPr>
            <w:tcW w:w="1276" w:type="dxa"/>
            <w:shd w:val="clear" w:color="auto" w:fill="C6EFCE"/>
            <w:noWrap/>
            <w:vAlign w:val="center"/>
          </w:tcPr>
          <w:p w14:paraId="09812985" w14:textId="77777777" w:rsidR="006054AA" w:rsidRDefault="001F7667">
            <w:pPr>
              <w:pStyle w:val="P68B1DB1-Normal36"/>
              <w:spacing w:before="120" w:after="120"/>
              <w:jc w:val="center"/>
              <w:rPr>
                <w:rFonts w:eastAsia="Calibri"/>
                <w:noProof/>
              </w:rPr>
            </w:pPr>
            <w:r>
              <w:rPr>
                <w:noProof/>
              </w:rPr>
              <w:t xml:space="preserve">Проценти </w:t>
            </w:r>
          </w:p>
        </w:tc>
        <w:tc>
          <w:tcPr>
            <w:tcW w:w="992" w:type="dxa"/>
            <w:shd w:val="clear" w:color="auto" w:fill="C6EFCE"/>
            <w:noWrap/>
            <w:vAlign w:val="center"/>
          </w:tcPr>
          <w:p w14:paraId="3B22884B" w14:textId="77777777" w:rsidR="006054AA" w:rsidRDefault="001F7667">
            <w:pPr>
              <w:pStyle w:val="P68B1DB1-Normal36"/>
              <w:spacing w:before="120" w:after="120"/>
              <w:jc w:val="center"/>
              <w:rPr>
                <w:noProof/>
                <w:color w:val="006100"/>
              </w:rPr>
            </w:pPr>
            <w:r>
              <w:rPr>
                <w:noProof/>
              </w:rPr>
              <w:t>0</w:t>
            </w:r>
          </w:p>
        </w:tc>
        <w:tc>
          <w:tcPr>
            <w:tcW w:w="850" w:type="dxa"/>
            <w:shd w:val="clear" w:color="auto" w:fill="C6EFCE"/>
            <w:noWrap/>
            <w:vAlign w:val="center"/>
          </w:tcPr>
          <w:p w14:paraId="36D368D5" w14:textId="77777777" w:rsidR="006054AA" w:rsidRDefault="001F7667">
            <w:pPr>
              <w:pStyle w:val="P68B1DB1-Normal36"/>
              <w:spacing w:before="120" w:after="120"/>
              <w:jc w:val="center"/>
              <w:rPr>
                <w:noProof/>
                <w:color w:val="006100"/>
              </w:rPr>
            </w:pPr>
            <w:r>
              <w:rPr>
                <w:noProof/>
              </w:rPr>
              <w:t>85</w:t>
            </w:r>
          </w:p>
        </w:tc>
        <w:tc>
          <w:tcPr>
            <w:tcW w:w="851" w:type="dxa"/>
            <w:shd w:val="clear" w:color="auto" w:fill="C6EFCE"/>
            <w:noWrap/>
            <w:vAlign w:val="center"/>
          </w:tcPr>
          <w:p w14:paraId="67698712" w14:textId="77777777" w:rsidR="006054AA" w:rsidRDefault="001F7667">
            <w:pPr>
              <w:pStyle w:val="P68B1DB1-Normal36"/>
              <w:spacing w:before="120" w:after="120"/>
              <w:jc w:val="center"/>
              <w:rPr>
                <w:noProof/>
                <w:color w:val="006100"/>
              </w:rPr>
            </w:pPr>
            <w:r>
              <w:rPr>
                <w:noProof/>
              </w:rPr>
              <w:t>Т4 Г.</w:t>
            </w:r>
          </w:p>
        </w:tc>
        <w:tc>
          <w:tcPr>
            <w:tcW w:w="709" w:type="dxa"/>
            <w:shd w:val="clear" w:color="auto" w:fill="C6EFCE"/>
            <w:noWrap/>
            <w:vAlign w:val="center"/>
          </w:tcPr>
          <w:p w14:paraId="566FB99F" w14:textId="77777777" w:rsidR="006054AA" w:rsidRDefault="001F7667">
            <w:pPr>
              <w:pStyle w:val="P68B1DB1-Normal36"/>
              <w:spacing w:before="120" w:after="120"/>
              <w:jc w:val="center"/>
              <w:rPr>
                <w:noProof/>
                <w:color w:val="006100"/>
              </w:rPr>
            </w:pPr>
            <w:r>
              <w:rPr>
                <w:noProof/>
              </w:rPr>
              <w:t>2025</w:t>
            </w:r>
          </w:p>
        </w:tc>
        <w:tc>
          <w:tcPr>
            <w:tcW w:w="2835" w:type="dxa"/>
            <w:shd w:val="clear" w:color="auto" w:fill="C6EFCE"/>
            <w:noWrap/>
            <w:vAlign w:val="center"/>
          </w:tcPr>
          <w:p w14:paraId="1730DAD0" w14:textId="77777777" w:rsidR="006054AA" w:rsidRDefault="001F7667">
            <w:pPr>
              <w:pStyle w:val="P68B1DB1-Normal36"/>
              <w:spacing w:before="120" w:after="120"/>
              <w:rPr>
                <w:noProof/>
              </w:rPr>
            </w:pPr>
            <w:r>
              <w:rPr>
                <w:noProof/>
              </w:rPr>
              <w:t>Тази цел се постига чрез увеличаване на броя на видовете цифрови документи, цифровизирани в ЕЗД, и чрез специализирана подкрепа и обучение за повишаване на цифровите умения на общопрактикуващите лекари в цялата държава.</w:t>
            </w:r>
          </w:p>
        </w:tc>
      </w:tr>
      <w:tr w:rsidR="006054AA" w14:paraId="72A25B65" w14:textId="77777777">
        <w:trPr>
          <w:trHeight w:val="313"/>
          <w:jc w:val="center"/>
        </w:trPr>
        <w:tc>
          <w:tcPr>
            <w:tcW w:w="1129" w:type="dxa"/>
            <w:shd w:val="clear" w:color="auto" w:fill="C6EFCE"/>
            <w:noWrap/>
            <w:vAlign w:val="center"/>
          </w:tcPr>
          <w:p w14:paraId="68CD2528" w14:textId="77777777" w:rsidR="006054AA" w:rsidRDefault="001F7667">
            <w:pPr>
              <w:pStyle w:val="P68B1DB1-Normal11"/>
              <w:spacing w:before="120" w:after="120"/>
              <w:jc w:val="center"/>
              <w:rPr>
                <w:noProof/>
              </w:rPr>
            </w:pPr>
            <w:r>
              <w:rPr>
                <w:noProof/>
              </w:rPr>
              <w:t>M6C2—12</w:t>
            </w:r>
          </w:p>
        </w:tc>
        <w:tc>
          <w:tcPr>
            <w:tcW w:w="1701" w:type="dxa"/>
            <w:shd w:val="clear" w:color="auto" w:fill="C6EFCE"/>
            <w:noWrap/>
            <w:vAlign w:val="center"/>
          </w:tcPr>
          <w:p w14:paraId="21176386" w14:textId="77777777" w:rsidR="006054AA" w:rsidRDefault="001F7667">
            <w:pPr>
              <w:pStyle w:val="P68B1DB1-Normal36"/>
              <w:spacing w:before="120" w:after="120"/>
              <w:jc w:val="center"/>
              <w:rPr>
                <w:noProof/>
                <w:color w:val="006100"/>
              </w:rPr>
            </w:pPr>
            <w:r>
              <w:rPr>
                <w:noProof/>
              </w:rPr>
              <w:t>Инвестиция 1.3: Укрепване на технологичната инфраструктура и на инструментите за събиране, обработка на данни, анализ и симулация на данни</w:t>
            </w:r>
          </w:p>
        </w:tc>
        <w:tc>
          <w:tcPr>
            <w:tcW w:w="1134" w:type="dxa"/>
            <w:shd w:val="clear" w:color="auto" w:fill="C6EFCE"/>
            <w:noWrap/>
            <w:vAlign w:val="center"/>
          </w:tcPr>
          <w:p w14:paraId="1951C60D" w14:textId="77777777" w:rsidR="006054AA" w:rsidRDefault="001F7667">
            <w:pPr>
              <w:pStyle w:val="P68B1DB1-Normal36"/>
              <w:spacing w:before="120" w:after="120"/>
              <w:jc w:val="center"/>
              <w:rPr>
                <w:noProof/>
                <w:color w:val="006100"/>
              </w:rPr>
            </w:pPr>
            <w:r>
              <w:rPr>
                <w:noProof/>
              </w:rPr>
              <w:t>Ключов етап</w:t>
            </w:r>
          </w:p>
        </w:tc>
        <w:tc>
          <w:tcPr>
            <w:tcW w:w="1560" w:type="dxa"/>
            <w:shd w:val="clear" w:color="auto" w:fill="C6EFCE"/>
            <w:noWrap/>
            <w:vAlign w:val="center"/>
          </w:tcPr>
          <w:p w14:paraId="4F820A1C" w14:textId="01412897" w:rsidR="006054AA" w:rsidRDefault="001F7667">
            <w:pPr>
              <w:pStyle w:val="P68B1DB1-Normal36"/>
              <w:spacing w:before="120" w:after="120"/>
              <w:jc w:val="center"/>
              <w:rPr>
                <w:noProof/>
              </w:rPr>
            </w:pPr>
            <w:r>
              <w:rPr>
                <w:noProof/>
              </w:rPr>
              <w:t>Системата за здравноосигурителни карти и инфраструктурата за оперативна съвместимост на електронното здравно досие са напълно оперативни.</w:t>
            </w:r>
          </w:p>
        </w:tc>
        <w:tc>
          <w:tcPr>
            <w:tcW w:w="1559" w:type="dxa"/>
            <w:shd w:val="clear" w:color="auto" w:fill="C6EFCE"/>
            <w:noWrap/>
            <w:vAlign w:val="center"/>
          </w:tcPr>
          <w:p w14:paraId="4ACABC2C" w14:textId="77777777" w:rsidR="006054AA" w:rsidRDefault="001F7667">
            <w:pPr>
              <w:pStyle w:val="P68B1DB1-Normal10"/>
              <w:spacing w:before="120" w:after="120"/>
              <w:jc w:val="center"/>
              <w:rPr>
                <w:noProof/>
                <w:sz w:val="20"/>
              </w:rPr>
            </w:pPr>
            <w:r>
              <w:rPr>
                <w:noProof/>
                <w:color w:val="006600"/>
                <w:sz w:val="20"/>
              </w:rPr>
              <w:t>Влизане в експлоатация на системата на здравноосигурителната карта</w:t>
            </w:r>
            <w:r>
              <w:rPr>
                <w:noProof/>
              </w:rPr>
              <w:t xml:space="preserve"> </w:t>
            </w:r>
            <w:r>
              <w:rPr>
                <w:noProof/>
              </w:rPr>
              <w:br/>
            </w:r>
            <w:r>
              <w:rPr>
                <w:noProof/>
                <w:color w:val="006600"/>
                <w:sz w:val="20"/>
              </w:rPr>
              <w:t>и на инфраструктурата за оперативна съвместимост на ЕЗД.</w:t>
            </w:r>
          </w:p>
        </w:tc>
        <w:tc>
          <w:tcPr>
            <w:tcW w:w="1276" w:type="dxa"/>
            <w:shd w:val="clear" w:color="auto" w:fill="C6EFCE"/>
            <w:noWrap/>
            <w:vAlign w:val="center"/>
          </w:tcPr>
          <w:p w14:paraId="5EA1C251" w14:textId="77777777" w:rsidR="006054AA" w:rsidRDefault="001F7667">
            <w:pPr>
              <w:pStyle w:val="P68B1DB1-Normal36"/>
              <w:spacing w:before="120" w:after="120"/>
              <w:jc w:val="center"/>
              <w:rPr>
                <w:noProof/>
                <w:color w:val="006100"/>
              </w:rPr>
            </w:pPr>
            <w:r>
              <w:rPr>
                <w:noProof/>
              </w:rPr>
              <w:t>НЯМА</w:t>
            </w:r>
          </w:p>
        </w:tc>
        <w:tc>
          <w:tcPr>
            <w:tcW w:w="992" w:type="dxa"/>
            <w:shd w:val="clear" w:color="auto" w:fill="C6EFCE"/>
            <w:noWrap/>
            <w:vAlign w:val="center"/>
          </w:tcPr>
          <w:p w14:paraId="7EA89190" w14:textId="77777777" w:rsidR="006054AA" w:rsidRDefault="001F7667">
            <w:pPr>
              <w:pStyle w:val="P68B1DB1-Normal36"/>
              <w:spacing w:before="120" w:after="120"/>
              <w:jc w:val="center"/>
              <w:rPr>
                <w:noProof/>
                <w:color w:val="006100"/>
              </w:rPr>
            </w:pPr>
            <w:r>
              <w:rPr>
                <w:noProof/>
              </w:rPr>
              <w:t>НЯМА</w:t>
            </w:r>
          </w:p>
        </w:tc>
        <w:tc>
          <w:tcPr>
            <w:tcW w:w="850" w:type="dxa"/>
            <w:shd w:val="clear" w:color="auto" w:fill="C6EFCE"/>
            <w:noWrap/>
            <w:vAlign w:val="center"/>
          </w:tcPr>
          <w:p w14:paraId="23E52FFC" w14:textId="77777777" w:rsidR="006054AA" w:rsidRDefault="001F7667">
            <w:pPr>
              <w:pStyle w:val="P68B1DB1-Normal36"/>
              <w:spacing w:before="120" w:after="120"/>
              <w:jc w:val="center"/>
              <w:rPr>
                <w:noProof/>
                <w:color w:val="006100"/>
              </w:rPr>
            </w:pPr>
            <w:r>
              <w:rPr>
                <w:noProof/>
              </w:rPr>
              <w:t>НЯМА</w:t>
            </w:r>
          </w:p>
        </w:tc>
        <w:tc>
          <w:tcPr>
            <w:tcW w:w="851" w:type="dxa"/>
            <w:shd w:val="clear" w:color="auto" w:fill="C6EFCE"/>
            <w:noWrap/>
            <w:vAlign w:val="center"/>
          </w:tcPr>
          <w:p w14:paraId="2A6E94F7" w14:textId="77777777" w:rsidR="006054AA" w:rsidRDefault="001F7667">
            <w:pPr>
              <w:pStyle w:val="P68B1DB1-Normal36"/>
              <w:spacing w:before="120" w:after="120"/>
              <w:jc w:val="center"/>
              <w:rPr>
                <w:noProof/>
                <w:color w:val="006100"/>
              </w:rPr>
            </w:pPr>
            <w:r>
              <w:rPr>
                <w:noProof/>
              </w:rPr>
              <w:t>Т2 Г.</w:t>
            </w:r>
          </w:p>
        </w:tc>
        <w:tc>
          <w:tcPr>
            <w:tcW w:w="709" w:type="dxa"/>
            <w:shd w:val="clear" w:color="auto" w:fill="C6EFCE"/>
            <w:noWrap/>
            <w:vAlign w:val="center"/>
          </w:tcPr>
          <w:p w14:paraId="6F5586F8" w14:textId="77777777" w:rsidR="006054AA" w:rsidRDefault="001F7667">
            <w:pPr>
              <w:pStyle w:val="P68B1DB1-Normal36"/>
              <w:spacing w:before="120" w:after="120"/>
              <w:jc w:val="center"/>
              <w:rPr>
                <w:noProof/>
                <w:color w:val="006100"/>
              </w:rPr>
            </w:pPr>
            <w:r>
              <w:rPr>
                <w:noProof/>
              </w:rPr>
              <w:t>2026</w:t>
            </w:r>
          </w:p>
        </w:tc>
        <w:tc>
          <w:tcPr>
            <w:tcW w:w="2835" w:type="dxa"/>
            <w:shd w:val="clear" w:color="auto" w:fill="C6EFCE"/>
            <w:noWrap/>
            <w:vAlign w:val="center"/>
          </w:tcPr>
          <w:p w14:paraId="3F27BD9F" w14:textId="77777777" w:rsidR="006054AA" w:rsidRDefault="001F7667">
            <w:pPr>
              <w:pStyle w:val="P68B1DB1-Normal36"/>
              <w:spacing w:before="120" w:after="120"/>
              <w:rPr>
                <w:rFonts w:eastAsia="Calibri"/>
                <w:noProof/>
              </w:rPr>
            </w:pPr>
            <w:r>
              <w:rPr>
                <w:noProof/>
              </w:rPr>
              <w:t>Въвеждане в експлоатация на системата на здравноосигурителната карта и на инфраструктурата за оперативна съвместимост на електронните здравни досиета: Въвеждане на централно хранилище, платформа за оперативна съвместимост и услуги в съответствие със стандарта за ресурсите за оперативна съвместимост в областта на бързото здравно обслужване, като се използва вече съществуващият опит в тази област и се гарантират стандарти за съхранение, безопасност и оперативна съвместимост.</w:t>
            </w:r>
          </w:p>
        </w:tc>
      </w:tr>
      <w:tr w:rsidR="006054AA" w14:paraId="4B518E1D"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91B57" w14:textId="77777777" w:rsidR="006054AA" w:rsidRDefault="001F7667">
            <w:pPr>
              <w:pStyle w:val="P68B1DB1-Normal11"/>
              <w:spacing w:before="120" w:after="120"/>
              <w:jc w:val="center"/>
              <w:rPr>
                <w:noProof/>
              </w:rPr>
            </w:pPr>
            <w:r>
              <w:rPr>
                <w:noProof/>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AB6F0" w14:textId="77777777" w:rsidR="006054AA" w:rsidRDefault="001F7667">
            <w:pPr>
              <w:pStyle w:val="P68B1DB1-Normal36"/>
              <w:spacing w:before="120" w:after="120"/>
              <w:jc w:val="center"/>
              <w:rPr>
                <w:noProof/>
                <w:color w:val="006100"/>
              </w:rPr>
            </w:pPr>
            <w:r>
              <w:rPr>
                <w:noProof/>
              </w:rPr>
              <w:t>Инвестиция 1.3: Укрепване на технологичната инфраструктура и на инструментите за събиране, обработка на данни, анализ и симулация на данни</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90953" w14:textId="77777777" w:rsidR="006054AA" w:rsidRDefault="001F7667">
            <w:pPr>
              <w:pStyle w:val="P68B1DB1-Normal36"/>
              <w:spacing w:before="120" w:after="120"/>
              <w:jc w:val="center"/>
              <w:rPr>
                <w:noProof/>
                <w:color w:val="006100"/>
              </w:rPr>
            </w:pPr>
            <w:r>
              <w:rPr>
                <w:noProof/>
              </w:rPr>
              <w:t>Целеви</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7A3D3" w14:textId="77777777" w:rsidR="006054AA" w:rsidRDefault="001F7667">
            <w:pPr>
              <w:pStyle w:val="P68B1DB1-Normal36"/>
              <w:spacing w:before="120" w:after="120"/>
              <w:jc w:val="center"/>
              <w:rPr>
                <w:rFonts w:eastAsia="Calibri"/>
                <w:noProof/>
              </w:rPr>
            </w:pPr>
            <w:r>
              <w:rPr>
                <w:noProof/>
              </w:rPr>
              <w:t>Всички региони са приели и използват ЕЗД</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1493FE" w14:textId="77777777" w:rsidR="006054AA" w:rsidRDefault="001F7667">
            <w:pPr>
              <w:pStyle w:val="P68B1DB1-Normal36"/>
              <w:spacing w:before="120" w:after="120"/>
              <w:jc w:val="center"/>
              <w:rPr>
                <w:noProof/>
                <w:color w:val="006100"/>
              </w:rPr>
            </w:pPr>
            <w:r>
              <w:rPr>
                <w:noProof/>
              </w:rPr>
              <w:t>НЯМА</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E55E8" w14:textId="77777777" w:rsidR="006054AA" w:rsidRDefault="001F7667">
            <w:pPr>
              <w:pStyle w:val="P68B1DB1-Normal36"/>
              <w:spacing w:before="120" w:after="120"/>
              <w:jc w:val="center"/>
              <w:rPr>
                <w:rFonts w:eastAsia="Arial"/>
                <w:noProof/>
              </w:rPr>
            </w:pPr>
            <w:r>
              <w:rPr>
                <w:noProof/>
              </w:rPr>
              <w:t>Брой</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8EEF" w14:textId="77777777" w:rsidR="006054AA" w:rsidRDefault="001F7667">
            <w:pPr>
              <w:pStyle w:val="P68B1DB1-Normal36"/>
              <w:spacing w:before="120" w:after="120"/>
              <w:jc w:val="center"/>
              <w:rPr>
                <w:noProof/>
                <w:color w:val="006100"/>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221EA5" w14:textId="77777777" w:rsidR="006054AA" w:rsidRDefault="001F7667">
            <w:pPr>
              <w:pStyle w:val="P68B1DB1-Normal36"/>
              <w:spacing w:before="120" w:after="120"/>
              <w:jc w:val="center"/>
              <w:rPr>
                <w:noProof/>
                <w:color w:val="006100"/>
              </w:rPr>
            </w:pPr>
            <w:r>
              <w:rPr>
                <w:noProof/>
              </w:rPr>
              <w:t>21</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E8626" w14:textId="77777777" w:rsidR="006054AA" w:rsidRDefault="001F7667">
            <w:pPr>
              <w:pStyle w:val="P68B1DB1-Normal36"/>
              <w:spacing w:before="120" w:after="120"/>
              <w:jc w:val="center"/>
              <w:rPr>
                <w:noProof/>
                <w:color w:val="006100"/>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D09FC" w14:textId="77777777" w:rsidR="006054AA" w:rsidRDefault="001F7667">
            <w:pPr>
              <w:pStyle w:val="P68B1DB1-Normal36"/>
              <w:spacing w:before="120" w:after="120"/>
              <w:jc w:val="center"/>
              <w:rPr>
                <w:noProof/>
                <w:color w:val="006100"/>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5D5B3D" w14:textId="77777777" w:rsidR="006054AA" w:rsidRDefault="001F7667">
            <w:pPr>
              <w:pStyle w:val="P68B1DB1-Normal36"/>
              <w:spacing w:before="120" w:after="120"/>
              <w:rPr>
                <w:noProof/>
              </w:rPr>
            </w:pPr>
            <w:r>
              <w:rPr>
                <w:noProof/>
              </w:rPr>
              <w:t xml:space="preserve">Всички региони създават, използват и качват цифрови местни документи в ЕЗД. По-специално планът обхваща:        </w:t>
            </w:r>
          </w:p>
          <w:p w14:paraId="79D4C8A2" w14:textId="09B0D162" w:rsidR="006054AA" w:rsidRDefault="001F7667">
            <w:pPr>
              <w:pStyle w:val="P68B1DB1-Normal36"/>
              <w:spacing w:before="120" w:after="120"/>
              <w:rPr>
                <w:rFonts w:eastAsia="Calibri"/>
                <w:noProof/>
              </w:rPr>
            </w:pPr>
            <w:r>
              <w:rPr>
                <w:noProof/>
              </w:rPr>
              <w:t>— Цифровите документи се качват в ЕЗД, както е посочено в постановлението от 18 май 2022 г. и последващите укази относно съдържанието на ЕЗД.</w:t>
            </w:r>
          </w:p>
          <w:p w14:paraId="6C75799B" w14:textId="77777777" w:rsidR="006054AA" w:rsidRDefault="001F7667">
            <w:pPr>
              <w:pStyle w:val="P68B1DB1-Normal36"/>
              <w:spacing w:before="120" w:after="120"/>
              <w:rPr>
                <w:noProof/>
              </w:rPr>
            </w:pPr>
            <w:r>
              <w:rPr>
                <w:noProof/>
              </w:rPr>
              <w:t xml:space="preserve">— Финансова подкрепа за доставчиците на здравно обслужване, за да актуализират своето оборудване и да гарантират, че данните, метаданните и документацията за здравното обслужване се генерират като цифрови.    </w:t>
            </w:r>
          </w:p>
          <w:p w14:paraId="27E5A932" w14:textId="39D31367" w:rsidR="006054AA" w:rsidRDefault="001F7667">
            <w:pPr>
              <w:pStyle w:val="P68B1DB1-Normal36"/>
              <w:spacing w:before="120" w:after="120"/>
              <w:rPr>
                <w:noProof/>
              </w:rPr>
            </w:pPr>
            <w:r>
              <w:rPr>
                <w:noProof/>
              </w:rPr>
              <w:t xml:space="preserve">— Финансова подкрепа за доставчиците на здравно обслужване, които желаят да приемат националната платформа, оперативната съвместимост и стандартите UI/UX.  </w:t>
            </w:r>
          </w:p>
          <w:p w14:paraId="0A2512DE" w14:textId="06710B81" w:rsidR="006054AA" w:rsidRDefault="001F7667">
            <w:pPr>
              <w:pStyle w:val="P68B1DB1-Normal36"/>
              <w:spacing w:before="120" w:after="120"/>
              <w:rPr>
                <w:rFonts w:eastAsia="Calibri"/>
                <w:noProof/>
              </w:rPr>
            </w:pPr>
            <w:r>
              <w:rPr>
                <w:noProof/>
              </w:rPr>
              <w:t>— Подкрепа за компетентностите (човешки капитал) за доставчиците на здравно обслужване и регионалните здравни органи за осъществяване на инфраструктурни промени и промени в данните с цел приемане на националното електронно здравно досие.</w:t>
            </w:r>
          </w:p>
        </w:tc>
      </w:tr>
      <w:tr w:rsidR="006054AA" w14:paraId="3020EA7C" w14:textId="77777777">
        <w:trPr>
          <w:trHeight w:val="313"/>
          <w:jc w:val="center"/>
        </w:trPr>
        <w:tc>
          <w:tcPr>
            <w:tcW w:w="1129" w:type="dxa"/>
            <w:shd w:val="clear" w:color="auto" w:fill="C6EFCE"/>
            <w:noWrap/>
            <w:vAlign w:val="center"/>
          </w:tcPr>
          <w:p w14:paraId="12C5C29C" w14:textId="77777777" w:rsidR="006054AA" w:rsidRDefault="001F7667">
            <w:pPr>
              <w:pStyle w:val="P68B1DB1-Normal11"/>
              <w:spacing w:before="120" w:after="120"/>
              <w:jc w:val="center"/>
              <w:rPr>
                <w:noProof/>
              </w:rPr>
            </w:pPr>
            <w:r>
              <w:rPr>
                <w:noProof/>
              </w:rPr>
              <w:t>M6C2—14</w:t>
            </w:r>
          </w:p>
        </w:tc>
        <w:tc>
          <w:tcPr>
            <w:tcW w:w="1701" w:type="dxa"/>
            <w:shd w:val="clear" w:color="auto" w:fill="C6EFCE"/>
            <w:noWrap/>
            <w:vAlign w:val="center"/>
          </w:tcPr>
          <w:p w14:paraId="47C78681" w14:textId="77777777" w:rsidR="006054AA" w:rsidRDefault="001F7667">
            <w:pPr>
              <w:pStyle w:val="P68B1DB1-Normal36"/>
              <w:spacing w:before="120" w:after="120"/>
              <w:jc w:val="center"/>
              <w:rPr>
                <w:noProof/>
                <w:color w:val="006100"/>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tc>
        <w:tc>
          <w:tcPr>
            <w:tcW w:w="1134" w:type="dxa"/>
            <w:shd w:val="clear" w:color="auto" w:fill="C6EFCE"/>
            <w:noWrap/>
            <w:vAlign w:val="center"/>
          </w:tcPr>
          <w:p w14:paraId="4C7FE6AB" w14:textId="77777777" w:rsidR="006054AA" w:rsidRDefault="001F7667">
            <w:pPr>
              <w:pStyle w:val="P68B1DB1-Normal36"/>
              <w:spacing w:before="120" w:after="120"/>
              <w:jc w:val="center"/>
              <w:rPr>
                <w:noProof/>
                <w:color w:val="006100"/>
              </w:rPr>
            </w:pPr>
            <w:r>
              <w:rPr>
                <w:noProof/>
              </w:rPr>
              <w:t>Целеви</w:t>
            </w:r>
          </w:p>
        </w:tc>
        <w:tc>
          <w:tcPr>
            <w:tcW w:w="1560" w:type="dxa"/>
            <w:shd w:val="clear" w:color="auto" w:fill="C6EFCE"/>
            <w:noWrap/>
            <w:vAlign w:val="center"/>
          </w:tcPr>
          <w:p w14:paraId="450ABDA9" w14:textId="02EC35A8" w:rsidR="006054AA" w:rsidRDefault="001F7667">
            <w:pPr>
              <w:pStyle w:val="P68B1DB1-Normal36"/>
              <w:spacing w:before="120" w:after="120"/>
              <w:jc w:val="center"/>
              <w:rPr>
                <w:noProof/>
              </w:rPr>
            </w:pPr>
            <w:r>
              <w:rPr>
                <w:noProof/>
              </w:rPr>
              <w:t>Отпускат се стипендии за специфично обучение по обща медицина.</w:t>
            </w:r>
          </w:p>
        </w:tc>
        <w:tc>
          <w:tcPr>
            <w:tcW w:w="1559" w:type="dxa"/>
            <w:shd w:val="clear" w:color="auto" w:fill="C6EFCE"/>
            <w:noWrap/>
            <w:vAlign w:val="center"/>
          </w:tcPr>
          <w:p w14:paraId="481AD615" w14:textId="77777777" w:rsidR="006054AA" w:rsidRDefault="001F7667">
            <w:pPr>
              <w:pStyle w:val="P68B1DB1-Normal36"/>
              <w:spacing w:before="120" w:after="120"/>
              <w:jc w:val="center"/>
              <w:rPr>
                <w:noProof/>
                <w:color w:val="006100"/>
              </w:rPr>
            </w:pPr>
            <w:r>
              <w:rPr>
                <w:noProof/>
              </w:rPr>
              <w:t>НЯМА</w:t>
            </w:r>
          </w:p>
        </w:tc>
        <w:tc>
          <w:tcPr>
            <w:tcW w:w="1276" w:type="dxa"/>
            <w:shd w:val="clear" w:color="auto" w:fill="C6EFCE"/>
            <w:noWrap/>
            <w:vAlign w:val="center"/>
          </w:tcPr>
          <w:p w14:paraId="4893CDBA" w14:textId="77777777" w:rsidR="006054AA" w:rsidRDefault="001F7667">
            <w:pPr>
              <w:pStyle w:val="P68B1DB1-Normal36"/>
              <w:spacing w:before="120" w:after="120"/>
              <w:jc w:val="center"/>
              <w:rPr>
                <w:rFonts w:eastAsia="Calibri"/>
                <w:noProof/>
              </w:rPr>
            </w:pPr>
            <w:r>
              <w:rPr>
                <w:noProof/>
              </w:rPr>
              <w:t xml:space="preserve">Брой </w:t>
            </w:r>
          </w:p>
        </w:tc>
        <w:tc>
          <w:tcPr>
            <w:tcW w:w="992" w:type="dxa"/>
            <w:shd w:val="clear" w:color="auto" w:fill="C6EFCE"/>
            <w:noWrap/>
            <w:vAlign w:val="center"/>
          </w:tcPr>
          <w:p w14:paraId="69483A33" w14:textId="77777777" w:rsidR="006054AA" w:rsidRDefault="001F7667">
            <w:pPr>
              <w:pStyle w:val="P68B1DB1-Normal36"/>
              <w:spacing w:before="120" w:after="120"/>
              <w:jc w:val="center"/>
              <w:rPr>
                <w:noProof/>
                <w:color w:val="006100"/>
              </w:rPr>
            </w:pPr>
            <w:r>
              <w:rPr>
                <w:noProof/>
              </w:rPr>
              <w:t>0</w:t>
            </w:r>
          </w:p>
        </w:tc>
        <w:tc>
          <w:tcPr>
            <w:tcW w:w="850" w:type="dxa"/>
            <w:shd w:val="clear" w:color="auto" w:fill="C6EFCE"/>
            <w:noWrap/>
            <w:vAlign w:val="center"/>
          </w:tcPr>
          <w:p w14:paraId="12EDAA5F" w14:textId="10222395" w:rsidR="006054AA" w:rsidRDefault="001F7667">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851" w:type="dxa"/>
            <w:shd w:val="clear" w:color="auto" w:fill="C6EFCE"/>
            <w:noWrap/>
            <w:vAlign w:val="center"/>
          </w:tcPr>
          <w:p w14:paraId="42ADAAF2" w14:textId="77777777" w:rsidR="006054AA" w:rsidRDefault="001F7667">
            <w:pPr>
              <w:pStyle w:val="P68B1DB1-Normal36"/>
              <w:spacing w:before="120" w:after="120"/>
              <w:jc w:val="center"/>
              <w:rPr>
                <w:noProof/>
                <w:color w:val="006100"/>
              </w:rPr>
            </w:pPr>
            <w:r>
              <w:rPr>
                <w:noProof/>
              </w:rPr>
              <w:t>Т2 Г.</w:t>
            </w:r>
          </w:p>
        </w:tc>
        <w:tc>
          <w:tcPr>
            <w:tcW w:w="709" w:type="dxa"/>
            <w:shd w:val="clear" w:color="auto" w:fill="C6EFCE"/>
            <w:noWrap/>
            <w:vAlign w:val="center"/>
          </w:tcPr>
          <w:p w14:paraId="1B83D4BE" w14:textId="77777777" w:rsidR="006054AA" w:rsidRDefault="001F7667">
            <w:pPr>
              <w:pStyle w:val="P68B1DB1-Normal36"/>
              <w:spacing w:before="120" w:after="120"/>
              <w:jc w:val="center"/>
              <w:rPr>
                <w:noProof/>
                <w:color w:val="006100"/>
              </w:rPr>
            </w:pPr>
            <w:r>
              <w:rPr>
                <w:noProof/>
              </w:rPr>
              <w:t>2023</w:t>
            </w:r>
          </w:p>
        </w:tc>
        <w:tc>
          <w:tcPr>
            <w:tcW w:w="2835" w:type="dxa"/>
            <w:shd w:val="clear" w:color="auto" w:fill="C6EFCE"/>
            <w:noWrap/>
            <w:vAlign w:val="center"/>
          </w:tcPr>
          <w:p w14:paraId="2B8533CC" w14:textId="77777777" w:rsidR="006054AA" w:rsidRDefault="001F7667">
            <w:pPr>
              <w:pStyle w:val="P68B1DB1-Normal36"/>
              <w:spacing w:before="120" w:after="120"/>
              <w:rPr>
                <w:rFonts w:eastAsia="Calibri"/>
                <w:noProof/>
              </w:rPr>
            </w:pPr>
            <w:r>
              <w:rPr>
                <w:noProof/>
              </w:rPr>
              <w:t>Тази инвестиция увеличава стипендиите за специфичния курс по обща медицина, като гарантира завършването на 3 тригодишни цикъла на обучение;</w:t>
            </w:r>
          </w:p>
        </w:tc>
      </w:tr>
      <w:tr w:rsidR="006054AA" w14:paraId="5C9B3B3B" w14:textId="77777777">
        <w:trPr>
          <w:trHeight w:val="313"/>
          <w:jc w:val="center"/>
        </w:trPr>
        <w:tc>
          <w:tcPr>
            <w:tcW w:w="1129" w:type="dxa"/>
            <w:shd w:val="clear" w:color="auto" w:fill="C6EFCE"/>
            <w:noWrap/>
            <w:vAlign w:val="center"/>
          </w:tcPr>
          <w:p w14:paraId="79D0548F" w14:textId="77777777" w:rsidR="006054AA" w:rsidRDefault="001F7667">
            <w:pPr>
              <w:pStyle w:val="P68B1DB1-Normal11"/>
              <w:spacing w:before="120" w:after="120"/>
              <w:jc w:val="center"/>
              <w:rPr>
                <w:noProof/>
              </w:rPr>
            </w:pPr>
            <w:r>
              <w:rPr>
                <w:noProof/>
              </w:rPr>
              <w:t>M6C2—15</w:t>
            </w:r>
          </w:p>
        </w:tc>
        <w:tc>
          <w:tcPr>
            <w:tcW w:w="1701" w:type="dxa"/>
            <w:shd w:val="clear" w:color="auto" w:fill="C6EFCE"/>
            <w:noWrap/>
            <w:vAlign w:val="center"/>
          </w:tcPr>
          <w:p w14:paraId="4848F706" w14:textId="77777777" w:rsidR="006054AA" w:rsidRDefault="001F7667">
            <w:pPr>
              <w:pStyle w:val="P68B1DB1-Normal36"/>
              <w:spacing w:before="120" w:after="120"/>
              <w:jc w:val="center"/>
              <w:rPr>
                <w:noProof/>
                <w:color w:val="006100"/>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tc>
        <w:tc>
          <w:tcPr>
            <w:tcW w:w="1134" w:type="dxa"/>
            <w:shd w:val="clear" w:color="auto" w:fill="C6EFCE"/>
            <w:noWrap/>
            <w:vAlign w:val="center"/>
          </w:tcPr>
          <w:p w14:paraId="32396B6F" w14:textId="77777777" w:rsidR="006054AA" w:rsidRDefault="001F7667">
            <w:pPr>
              <w:pStyle w:val="P68B1DB1-Normal36"/>
              <w:spacing w:before="120" w:after="120"/>
              <w:jc w:val="center"/>
              <w:rPr>
                <w:noProof/>
                <w:color w:val="006100"/>
              </w:rPr>
            </w:pPr>
            <w:r>
              <w:rPr>
                <w:noProof/>
              </w:rPr>
              <w:t>Целеви</w:t>
            </w:r>
          </w:p>
        </w:tc>
        <w:tc>
          <w:tcPr>
            <w:tcW w:w="1560" w:type="dxa"/>
            <w:shd w:val="clear" w:color="auto" w:fill="C6EFCE"/>
            <w:noWrap/>
            <w:vAlign w:val="center"/>
          </w:tcPr>
          <w:p w14:paraId="5FDB5B63" w14:textId="77777777" w:rsidR="006054AA" w:rsidRDefault="001F7667">
            <w:pPr>
              <w:pStyle w:val="P68B1DB1-Normal36"/>
              <w:spacing w:before="120" w:after="120"/>
              <w:jc w:val="center"/>
              <w:rPr>
                <w:noProof/>
              </w:rPr>
            </w:pPr>
            <w:r>
              <w:rPr>
                <w:noProof/>
              </w:rPr>
              <w:t>Отпускат се допълнителни стипендии за специфично обучение по обща медицина.</w:t>
            </w:r>
          </w:p>
        </w:tc>
        <w:tc>
          <w:tcPr>
            <w:tcW w:w="1559" w:type="dxa"/>
            <w:shd w:val="clear" w:color="auto" w:fill="C6EFCE"/>
            <w:noWrap/>
            <w:vAlign w:val="center"/>
          </w:tcPr>
          <w:p w14:paraId="7D4DCB8A" w14:textId="77777777" w:rsidR="006054AA" w:rsidRDefault="001F7667">
            <w:pPr>
              <w:pStyle w:val="P68B1DB1-Normal36"/>
              <w:spacing w:before="120" w:after="120"/>
              <w:jc w:val="center"/>
              <w:rPr>
                <w:noProof/>
                <w:color w:val="006100"/>
              </w:rPr>
            </w:pPr>
            <w:r>
              <w:rPr>
                <w:noProof/>
              </w:rPr>
              <w:t>НЯМА</w:t>
            </w:r>
          </w:p>
        </w:tc>
        <w:tc>
          <w:tcPr>
            <w:tcW w:w="1276" w:type="dxa"/>
            <w:shd w:val="clear" w:color="auto" w:fill="C6EFCE"/>
            <w:noWrap/>
            <w:vAlign w:val="center"/>
          </w:tcPr>
          <w:p w14:paraId="2C866086" w14:textId="77777777" w:rsidR="006054AA" w:rsidRDefault="001F7667">
            <w:pPr>
              <w:pStyle w:val="P68B1DB1-Normal36"/>
              <w:spacing w:before="120" w:after="120"/>
              <w:jc w:val="center"/>
              <w:rPr>
                <w:rFonts w:eastAsia="Calibri"/>
                <w:noProof/>
              </w:rPr>
            </w:pPr>
            <w:r>
              <w:rPr>
                <w:noProof/>
              </w:rPr>
              <w:t xml:space="preserve">Брой </w:t>
            </w:r>
          </w:p>
        </w:tc>
        <w:tc>
          <w:tcPr>
            <w:tcW w:w="992" w:type="dxa"/>
            <w:shd w:val="clear" w:color="auto" w:fill="C6EFCE"/>
            <w:noWrap/>
            <w:vAlign w:val="center"/>
          </w:tcPr>
          <w:p w14:paraId="3A31C408" w14:textId="271E7FE0" w:rsidR="006054AA" w:rsidRDefault="001F7667">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850" w:type="dxa"/>
            <w:shd w:val="clear" w:color="auto" w:fill="C6EFCE"/>
            <w:noWrap/>
            <w:vAlign w:val="center"/>
          </w:tcPr>
          <w:p w14:paraId="223A2819" w14:textId="5A3DE903" w:rsidR="006054AA" w:rsidRDefault="001F7667">
            <w:pPr>
              <w:pStyle w:val="P68B1DB1-Normal19"/>
              <w:spacing w:before="120" w:after="120"/>
              <w:jc w:val="center"/>
              <w:rPr>
                <w:noProof/>
                <w:color w:val="006100"/>
              </w:rPr>
            </w:pPr>
            <w:r>
              <w:rPr>
                <w:noProof/>
                <w:color w:val="006600"/>
              </w:rPr>
              <w:t>2</w:t>
            </w:r>
            <w:r>
              <w:rPr>
                <w:noProof/>
                <w:color w:val="006100"/>
              </w:rPr>
              <w:t xml:space="preserve"> </w:t>
            </w:r>
            <w:r>
              <w:rPr>
                <w:noProof/>
                <w:color w:val="006600"/>
              </w:rPr>
              <w:t>700</w:t>
            </w:r>
          </w:p>
        </w:tc>
        <w:tc>
          <w:tcPr>
            <w:tcW w:w="851" w:type="dxa"/>
            <w:shd w:val="clear" w:color="auto" w:fill="C6EFCE"/>
            <w:noWrap/>
            <w:vAlign w:val="center"/>
          </w:tcPr>
          <w:p w14:paraId="2C20FB9C" w14:textId="77777777" w:rsidR="006054AA" w:rsidRDefault="001F7667">
            <w:pPr>
              <w:pStyle w:val="P68B1DB1-Normal36"/>
              <w:spacing w:before="120" w:after="120"/>
              <w:jc w:val="center"/>
              <w:rPr>
                <w:noProof/>
                <w:color w:val="006100"/>
              </w:rPr>
            </w:pPr>
            <w:r>
              <w:rPr>
                <w:noProof/>
              </w:rPr>
              <w:t>Т2 Г.</w:t>
            </w:r>
          </w:p>
        </w:tc>
        <w:tc>
          <w:tcPr>
            <w:tcW w:w="709" w:type="dxa"/>
            <w:shd w:val="clear" w:color="auto" w:fill="C6EFCE"/>
            <w:noWrap/>
            <w:vAlign w:val="center"/>
          </w:tcPr>
          <w:p w14:paraId="08614FD0" w14:textId="77777777" w:rsidR="006054AA" w:rsidRDefault="001F7667">
            <w:pPr>
              <w:pStyle w:val="P68B1DB1-Normal36"/>
              <w:spacing w:before="120" w:after="120"/>
              <w:jc w:val="center"/>
              <w:rPr>
                <w:noProof/>
                <w:color w:val="006100"/>
              </w:rPr>
            </w:pPr>
            <w:r>
              <w:rPr>
                <w:noProof/>
              </w:rPr>
              <w:t>2024</w:t>
            </w:r>
          </w:p>
        </w:tc>
        <w:tc>
          <w:tcPr>
            <w:tcW w:w="2835" w:type="dxa"/>
            <w:shd w:val="clear" w:color="auto" w:fill="C6EFCE"/>
            <w:noWrap/>
            <w:vAlign w:val="center"/>
          </w:tcPr>
          <w:p w14:paraId="183FA4A0" w14:textId="77777777" w:rsidR="006054AA" w:rsidRDefault="001F7667">
            <w:pPr>
              <w:pStyle w:val="P68B1DB1-Normal36"/>
              <w:spacing w:before="120" w:after="120"/>
              <w:rPr>
                <w:rFonts w:eastAsia="Calibri"/>
                <w:noProof/>
              </w:rPr>
            </w:pPr>
            <w:r>
              <w:rPr>
                <w:noProof/>
              </w:rPr>
              <w:t>С тази инвестиция се увеличават стипендиите за конкретния курс по обща медицина, като се гарантира завършването на 3 тригодишни цикъла на обучение.</w:t>
            </w:r>
          </w:p>
        </w:tc>
      </w:tr>
      <w:tr w:rsidR="006054AA" w14:paraId="4D87EC04" w14:textId="77777777">
        <w:trPr>
          <w:trHeight w:val="313"/>
          <w:jc w:val="center"/>
        </w:trPr>
        <w:tc>
          <w:tcPr>
            <w:tcW w:w="1129" w:type="dxa"/>
            <w:shd w:val="clear" w:color="auto" w:fill="C6EFCE"/>
            <w:noWrap/>
            <w:vAlign w:val="center"/>
          </w:tcPr>
          <w:p w14:paraId="01AE9816" w14:textId="1C4A8D7D" w:rsidR="006054AA" w:rsidRDefault="001F7667">
            <w:pPr>
              <w:pStyle w:val="P68B1DB1-Normal11"/>
              <w:spacing w:before="120" w:after="120"/>
              <w:jc w:val="center"/>
              <w:rPr>
                <w:noProof/>
              </w:rPr>
            </w:pPr>
            <w:r>
              <w:rPr>
                <w:noProof/>
              </w:rPr>
              <w:t>M6C2—16</w:t>
            </w:r>
          </w:p>
        </w:tc>
        <w:tc>
          <w:tcPr>
            <w:tcW w:w="1701" w:type="dxa"/>
            <w:shd w:val="clear" w:color="auto" w:fill="C6EFCE"/>
            <w:noWrap/>
            <w:vAlign w:val="center"/>
          </w:tcPr>
          <w:p w14:paraId="220D3260" w14:textId="77777777" w:rsidR="006054AA" w:rsidRDefault="001F7667">
            <w:pPr>
              <w:pStyle w:val="P68B1DB1-Normal36"/>
              <w:spacing w:before="120" w:after="120"/>
              <w:jc w:val="center"/>
              <w:rPr>
                <w:noProof/>
                <w:color w:val="006100"/>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tc>
        <w:tc>
          <w:tcPr>
            <w:tcW w:w="1134" w:type="dxa"/>
            <w:shd w:val="clear" w:color="auto" w:fill="C6EFCE"/>
            <w:noWrap/>
            <w:vAlign w:val="center"/>
          </w:tcPr>
          <w:p w14:paraId="6F52510F" w14:textId="77777777" w:rsidR="006054AA" w:rsidRDefault="001F7667">
            <w:pPr>
              <w:pStyle w:val="P68B1DB1-Normal36"/>
              <w:spacing w:before="120" w:after="120"/>
              <w:jc w:val="center"/>
              <w:rPr>
                <w:noProof/>
                <w:color w:val="006100"/>
              </w:rPr>
            </w:pPr>
            <w:r>
              <w:rPr>
                <w:noProof/>
              </w:rPr>
              <w:t>Целеви</w:t>
            </w:r>
          </w:p>
        </w:tc>
        <w:tc>
          <w:tcPr>
            <w:tcW w:w="1560" w:type="dxa"/>
            <w:shd w:val="clear" w:color="auto" w:fill="C6EFCE"/>
            <w:noWrap/>
            <w:vAlign w:val="center"/>
          </w:tcPr>
          <w:p w14:paraId="43FCA888" w14:textId="52E4DA8B" w:rsidR="006054AA" w:rsidRDefault="001F7667">
            <w:pPr>
              <w:pStyle w:val="P68B1DB1-Normal36"/>
              <w:spacing w:before="120" w:after="120"/>
              <w:jc w:val="center"/>
              <w:rPr>
                <w:noProof/>
                <w:color w:val="006100"/>
              </w:rPr>
            </w:pPr>
            <w:r>
              <w:rPr>
                <w:noProof/>
              </w:rPr>
              <w:t>Обучение по управленски и цифрови умения, предоставяно на служителите на Националната здравна служба</w:t>
            </w:r>
          </w:p>
        </w:tc>
        <w:tc>
          <w:tcPr>
            <w:tcW w:w="1559" w:type="dxa"/>
            <w:shd w:val="clear" w:color="auto" w:fill="C6EFCE"/>
            <w:noWrap/>
            <w:vAlign w:val="center"/>
          </w:tcPr>
          <w:p w14:paraId="4EDA3B74" w14:textId="77777777" w:rsidR="006054AA" w:rsidRDefault="001F7667">
            <w:pPr>
              <w:pStyle w:val="P68B1DB1-Normal36"/>
              <w:spacing w:before="120" w:after="120"/>
              <w:jc w:val="center"/>
              <w:rPr>
                <w:noProof/>
                <w:color w:val="006100"/>
              </w:rPr>
            </w:pPr>
            <w:r>
              <w:rPr>
                <w:noProof/>
              </w:rPr>
              <w:t>НЯМА</w:t>
            </w:r>
          </w:p>
        </w:tc>
        <w:tc>
          <w:tcPr>
            <w:tcW w:w="1276" w:type="dxa"/>
            <w:shd w:val="clear" w:color="auto" w:fill="C6EFCE"/>
            <w:noWrap/>
            <w:vAlign w:val="center"/>
          </w:tcPr>
          <w:p w14:paraId="2527A703" w14:textId="77777777" w:rsidR="006054AA" w:rsidRDefault="001F7667">
            <w:pPr>
              <w:pStyle w:val="P68B1DB1-Normal36"/>
              <w:spacing w:before="120" w:after="120"/>
              <w:jc w:val="center"/>
              <w:rPr>
                <w:noProof/>
                <w:color w:val="006100"/>
              </w:rPr>
            </w:pPr>
            <w:r>
              <w:rPr>
                <w:noProof/>
              </w:rPr>
              <w:t>Брой</w:t>
            </w:r>
          </w:p>
        </w:tc>
        <w:tc>
          <w:tcPr>
            <w:tcW w:w="992" w:type="dxa"/>
            <w:shd w:val="clear" w:color="auto" w:fill="C6EFCE"/>
            <w:noWrap/>
            <w:vAlign w:val="center"/>
          </w:tcPr>
          <w:p w14:paraId="7D3ED7B5" w14:textId="77777777" w:rsidR="006054AA" w:rsidRDefault="001F7667">
            <w:pPr>
              <w:pStyle w:val="P68B1DB1-Normal36"/>
              <w:spacing w:before="120" w:after="120"/>
              <w:jc w:val="center"/>
              <w:rPr>
                <w:noProof/>
                <w:color w:val="006100"/>
              </w:rPr>
            </w:pPr>
            <w:r>
              <w:rPr>
                <w:noProof/>
              </w:rPr>
              <w:t>0</w:t>
            </w:r>
          </w:p>
        </w:tc>
        <w:tc>
          <w:tcPr>
            <w:tcW w:w="850" w:type="dxa"/>
            <w:shd w:val="clear" w:color="auto" w:fill="C6EFCE"/>
            <w:noWrap/>
            <w:vAlign w:val="center"/>
          </w:tcPr>
          <w:p w14:paraId="6EE62EBE" w14:textId="536BD567" w:rsidR="006054AA" w:rsidRDefault="001F7667">
            <w:pPr>
              <w:pStyle w:val="P68B1DB1-Normal19"/>
              <w:spacing w:before="120" w:after="120"/>
              <w:jc w:val="center"/>
              <w:rPr>
                <w:noProof/>
                <w:color w:val="006100"/>
              </w:rPr>
            </w:pPr>
            <w:r>
              <w:rPr>
                <w:noProof/>
                <w:color w:val="006600"/>
              </w:rPr>
              <w:t>4</w:t>
            </w:r>
            <w:r>
              <w:rPr>
                <w:noProof/>
                <w:color w:val="006100"/>
              </w:rPr>
              <w:t xml:space="preserve"> </w:t>
            </w:r>
            <w:r>
              <w:rPr>
                <w:noProof/>
                <w:color w:val="006600"/>
              </w:rPr>
              <w:t>500</w:t>
            </w:r>
          </w:p>
        </w:tc>
        <w:tc>
          <w:tcPr>
            <w:tcW w:w="851" w:type="dxa"/>
            <w:shd w:val="clear" w:color="auto" w:fill="C6EFCE"/>
            <w:noWrap/>
            <w:vAlign w:val="center"/>
          </w:tcPr>
          <w:p w14:paraId="0F9C0FC2" w14:textId="77777777" w:rsidR="006054AA" w:rsidRDefault="001F7667">
            <w:pPr>
              <w:pStyle w:val="P68B1DB1-Normal36"/>
              <w:spacing w:before="120" w:after="120"/>
              <w:jc w:val="center"/>
              <w:rPr>
                <w:noProof/>
                <w:color w:val="006100"/>
              </w:rPr>
            </w:pPr>
            <w:r>
              <w:rPr>
                <w:noProof/>
              </w:rPr>
              <w:t>Т2 Г.</w:t>
            </w:r>
          </w:p>
        </w:tc>
        <w:tc>
          <w:tcPr>
            <w:tcW w:w="709" w:type="dxa"/>
            <w:shd w:val="clear" w:color="auto" w:fill="C6EFCE"/>
            <w:noWrap/>
            <w:vAlign w:val="center"/>
          </w:tcPr>
          <w:p w14:paraId="71154C22" w14:textId="77777777" w:rsidR="006054AA" w:rsidRDefault="001F7667">
            <w:pPr>
              <w:pStyle w:val="P68B1DB1-Normal36"/>
              <w:spacing w:before="120" w:after="120"/>
              <w:jc w:val="center"/>
              <w:rPr>
                <w:noProof/>
                <w:color w:val="006100"/>
              </w:rPr>
            </w:pPr>
            <w:r>
              <w:rPr>
                <w:noProof/>
              </w:rPr>
              <w:t>2026</w:t>
            </w:r>
          </w:p>
        </w:tc>
        <w:tc>
          <w:tcPr>
            <w:tcW w:w="2835" w:type="dxa"/>
            <w:shd w:val="clear" w:color="auto" w:fill="C6EFCE"/>
            <w:noWrap/>
            <w:vAlign w:val="center"/>
          </w:tcPr>
          <w:p w14:paraId="59169934" w14:textId="2E3B365B" w:rsidR="006054AA" w:rsidRDefault="001F7667">
            <w:pPr>
              <w:pStyle w:val="P68B1DB1-Normal19"/>
              <w:spacing w:before="120" w:after="120"/>
              <w:rPr>
                <w:noProof/>
              </w:rPr>
            </w:pPr>
            <w:r>
              <w:rPr>
                <w:noProof/>
                <w:color w:val="006600"/>
              </w:rPr>
              <w:t>Обучение по управленски и цифрови умения се предоставя на 4</w:t>
            </w:r>
            <w:r>
              <w:rPr>
                <w:noProof/>
                <w:color w:val="006100"/>
              </w:rPr>
              <w:t xml:space="preserve"> </w:t>
            </w:r>
            <w:r>
              <w:rPr>
                <w:noProof/>
                <w:color w:val="006600"/>
              </w:rPr>
              <w:t>500 служители на Националната здравна служба.</w:t>
            </w:r>
          </w:p>
          <w:p w14:paraId="53004C9C" w14:textId="77777777" w:rsidR="006054AA" w:rsidRDefault="001F7667">
            <w:pPr>
              <w:pStyle w:val="P68B1DB1-Normal36"/>
              <w:spacing w:before="120" w:after="120"/>
              <w:rPr>
                <w:rFonts w:eastAsia="Calibri"/>
                <w:noProof/>
              </w:rPr>
            </w:pPr>
            <w:r>
              <w:rPr>
                <w:noProof/>
              </w:rPr>
              <w:t>Тази инвестиция ще активира курс за обучение на персонала с висши функции в рамките на органите на Националната здравна служба, за да им се даде възможност да придобият необходимите управленски и цифрови умения и способности, за да се справят с настоящите и бъдещите предизвикателства в областта на здравеопазването в интегрирана, устойчива, иновативна, гъвкава и ориентирана към резултатите перспектива.</w:t>
            </w:r>
          </w:p>
        </w:tc>
      </w:tr>
      <w:tr w:rsidR="006054AA" w14:paraId="7B8A8A3B" w14:textId="77777777">
        <w:trPr>
          <w:trHeight w:val="313"/>
          <w:jc w:val="center"/>
        </w:trPr>
        <w:tc>
          <w:tcPr>
            <w:tcW w:w="1129" w:type="dxa"/>
            <w:shd w:val="clear" w:color="auto" w:fill="C6EFCE"/>
            <w:noWrap/>
            <w:vAlign w:val="center"/>
          </w:tcPr>
          <w:p w14:paraId="72762C24" w14:textId="77777777" w:rsidR="006054AA" w:rsidRDefault="001F7667">
            <w:pPr>
              <w:pStyle w:val="P68B1DB1-Normal36"/>
              <w:spacing w:before="120" w:after="120"/>
              <w:jc w:val="center"/>
              <w:rPr>
                <w:rFonts w:eastAsia="Calibri"/>
                <w:noProof/>
              </w:rPr>
            </w:pPr>
            <w:r>
              <w:rPr>
                <w:noProof/>
              </w:rPr>
              <w:t>M6C2—17</w:t>
            </w:r>
          </w:p>
        </w:tc>
        <w:tc>
          <w:tcPr>
            <w:tcW w:w="1701" w:type="dxa"/>
            <w:shd w:val="clear" w:color="auto" w:fill="C6EFCE"/>
            <w:noWrap/>
            <w:vAlign w:val="center"/>
          </w:tcPr>
          <w:p w14:paraId="3A88675A" w14:textId="77777777" w:rsidR="006054AA" w:rsidRDefault="001F7667">
            <w:pPr>
              <w:pStyle w:val="P68B1DB1-Normal36"/>
              <w:spacing w:before="120" w:after="120"/>
              <w:jc w:val="center"/>
              <w:rPr>
                <w:rFonts w:eastAsia="Calibri"/>
                <w:noProof/>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tc>
        <w:tc>
          <w:tcPr>
            <w:tcW w:w="1134" w:type="dxa"/>
            <w:shd w:val="clear" w:color="auto" w:fill="C6EFCE"/>
            <w:noWrap/>
            <w:vAlign w:val="center"/>
          </w:tcPr>
          <w:p w14:paraId="1DF1AE5B" w14:textId="77777777" w:rsidR="006054AA" w:rsidRDefault="001F7667">
            <w:pPr>
              <w:pStyle w:val="P68B1DB1-Normal36"/>
              <w:spacing w:before="120" w:after="120"/>
              <w:jc w:val="center"/>
              <w:rPr>
                <w:rFonts w:eastAsia="Calibri"/>
                <w:noProof/>
              </w:rPr>
            </w:pPr>
            <w:r>
              <w:rPr>
                <w:noProof/>
              </w:rPr>
              <w:t>Целеви</w:t>
            </w:r>
          </w:p>
        </w:tc>
        <w:tc>
          <w:tcPr>
            <w:tcW w:w="1560" w:type="dxa"/>
            <w:shd w:val="clear" w:color="auto" w:fill="C6EFCE"/>
            <w:noWrap/>
            <w:vAlign w:val="center"/>
          </w:tcPr>
          <w:p w14:paraId="5BBA978C" w14:textId="77777777" w:rsidR="006054AA" w:rsidRDefault="001F7667">
            <w:pPr>
              <w:pStyle w:val="P68B1DB1-Normal36"/>
              <w:spacing w:before="120" w:after="120"/>
              <w:jc w:val="center"/>
              <w:rPr>
                <w:rFonts w:eastAsia="Calibri"/>
                <w:noProof/>
              </w:rPr>
            </w:pPr>
            <w:r>
              <w:rPr>
                <w:noProof/>
              </w:rPr>
              <w:t>Брой финансирани договори за медицинско — специализирано обучение</w:t>
            </w:r>
          </w:p>
        </w:tc>
        <w:tc>
          <w:tcPr>
            <w:tcW w:w="1559" w:type="dxa"/>
            <w:shd w:val="clear" w:color="auto" w:fill="C6EFCE"/>
            <w:noWrap/>
            <w:vAlign w:val="center"/>
          </w:tcPr>
          <w:p w14:paraId="2054C26F" w14:textId="77777777" w:rsidR="006054AA" w:rsidRDefault="001F7667">
            <w:pPr>
              <w:pStyle w:val="P68B1DB1-Normal36"/>
              <w:spacing w:before="120" w:after="120"/>
              <w:jc w:val="center"/>
              <w:rPr>
                <w:rFonts w:eastAsia="Calibri"/>
                <w:noProof/>
              </w:rPr>
            </w:pPr>
            <w:r>
              <w:rPr>
                <w:noProof/>
              </w:rPr>
              <w:t>НЯМА</w:t>
            </w:r>
          </w:p>
        </w:tc>
        <w:tc>
          <w:tcPr>
            <w:tcW w:w="1276" w:type="dxa"/>
            <w:shd w:val="clear" w:color="auto" w:fill="C6EFCE"/>
            <w:noWrap/>
            <w:vAlign w:val="center"/>
          </w:tcPr>
          <w:p w14:paraId="6EB3D75D" w14:textId="77777777" w:rsidR="006054AA" w:rsidRDefault="001F7667">
            <w:pPr>
              <w:pStyle w:val="P68B1DB1-Normal36"/>
              <w:spacing w:before="120" w:after="120"/>
              <w:jc w:val="center"/>
              <w:rPr>
                <w:rFonts w:eastAsia="Calibri"/>
                <w:noProof/>
              </w:rPr>
            </w:pPr>
            <w:r>
              <w:rPr>
                <w:noProof/>
              </w:rPr>
              <w:t>Брой</w:t>
            </w:r>
          </w:p>
        </w:tc>
        <w:tc>
          <w:tcPr>
            <w:tcW w:w="992" w:type="dxa"/>
            <w:shd w:val="clear" w:color="auto" w:fill="C6EFCE"/>
            <w:noWrap/>
            <w:vAlign w:val="center"/>
          </w:tcPr>
          <w:p w14:paraId="045A1016" w14:textId="77777777" w:rsidR="006054AA" w:rsidRDefault="001F7667">
            <w:pPr>
              <w:pStyle w:val="P68B1DB1-Normal36"/>
              <w:spacing w:before="120" w:after="120"/>
              <w:jc w:val="center"/>
              <w:rPr>
                <w:rFonts w:eastAsia="Calibri"/>
                <w:noProof/>
              </w:rPr>
            </w:pPr>
            <w:r>
              <w:rPr>
                <w:noProof/>
              </w:rPr>
              <w:t>0</w:t>
            </w:r>
          </w:p>
        </w:tc>
        <w:tc>
          <w:tcPr>
            <w:tcW w:w="850" w:type="dxa"/>
            <w:shd w:val="clear" w:color="auto" w:fill="C6EFCE"/>
            <w:noWrap/>
            <w:vAlign w:val="center"/>
          </w:tcPr>
          <w:p w14:paraId="0E27D4DE" w14:textId="2F1340EB" w:rsidR="006054AA" w:rsidRDefault="001F7667">
            <w:pPr>
              <w:pStyle w:val="P68B1DB1-Normal19"/>
              <w:spacing w:before="120" w:after="120"/>
              <w:jc w:val="center"/>
              <w:rPr>
                <w:rFonts w:eastAsia="Calibri"/>
                <w:noProof/>
                <w:color w:val="006600"/>
              </w:rPr>
            </w:pPr>
            <w:r>
              <w:rPr>
                <w:noProof/>
                <w:color w:val="006600"/>
              </w:rPr>
              <w:t>4</w:t>
            </w:r>
            <w:r>
              <w:rPr>
                <w:noProof/>
                <w:color w:val="006100"/>
              </w:rPr>
              <w:t xml:space="preserve"> </w:t>
            </w:r>
            <w:r>
              <w:rPr>
                <w:noProof/>
                <w:color w:val="006600"/>
              </w:rPr>
              <w:t>200</w:t>
            </w:r>
          </w:p>
        </w:tc>
        <w:tc>
          <w:tcPr>
            <w:tcW w:w="851" w:type="dxa"/>
            <w:shd w:val="clear" w:color="auto" w:fill="C6EFCE"/>
            <w:noWrap/>
            <w:vAlign w:val="center"/>
          </w:tcPr>
          <w:p w14:paraId="291DF6F5" w14:textId="77777777" w:rsidR="006054AA" w:rsidRDefault="001F7667">
            <w:pPr>
              <w:pStyle w:val="P68B1DB1-Normal36"/>
              <w:spacing w:before="120" w:after="120"/>
              <w:jc w:val="center"/>
              <w:rPr>
                <w:rFonts w:eastAsia="Calibri"/>
                <w:noProof/>
              </w:rPr>
            </w:pPr>
            <w:r>
              <w:rPr>
                <w:noProof/>
              </w:rPr>
              <w:t>Т2 Г.</w:t>
            </w:r>
          </w:p>
        </w:tc>
        <w:tc>
          <w:tcPr>
            <w:tcW w:w="709" w:type="dxa"/>
            <w:shd w:val="clear" w:color="auto" w:fill="C6EFCE"/>
            <w:noWrap/>
            <w:vAlign w:val="center"/>
          </w:tcPr>
          <w:p w14:paraId="7D97D238" w14:textId="77777777" w:rsidR="006054AA" w:rsidRDefault="001F7667">
            <w:pPr>
              <w:pStyle w:val="P68B1DB1-Normal36"/>
              <w:spacing w:before="120" w:after="120"/>
              <w:jc w:val="center"/>
              <w:rPr>
                <w:rFonts w:eastAsia="Calibri"/>
                <w:noProof/>
              </w:rPr>
            </w:pPr>
            <w:r>
              <w:rPr>
                <w:noProof/>
              </w:rPr>
              <w:t>2026</w:t>
            </w:r>
          </w:p>
        </w:tc>
        <w:tc>
          <w:tcPr>
            <w:tcW w:w="2835" w:type="dxa"/>
            <w:shd w:val="clear" w:color="auto" w:fill="C6EFCE"/>
            <w:noWrap/>
            <w:vAlign w:val="center"/>
          </w:tcPr>
          <w:p w14:paraId="4468978B" w14:textId="08CAA92D" w:rsidR="006054AA" w:rsidRDefault="001F7667">
            <w:pPr>
              <w:pStyle w:val="P68B1DB1-Normal19"/>
              <w:spacing w:before="120" w:after="120"/>
              <w:rPr>
                <w:rFonts w:eastAsia="Calibri"/>
                <w:noProof/>
                <w:color w:val="006600"/>
              </w:rPr>
            </w:pPr>
            <w:r>
              <w:rPr>
                <w:noProof/>
                <w:color w:val="006600"/>
              </w:rPr>
              <w:t>Тази инвестиция осигурява финансирането на договори за специализирано медицинско обучение, което ще позволи финансирането на още 4</w:t>
            </w:r>
            <w:r>
              <w:rPr>
                <w:noProof/>
                <w:color w:val="006100"/>
              </w:rPr>
              <w:t xml:space="preserve"> </w:t>
            </w:r>
            <w:r>
              <w:rPr>
                <w:noProof/>
                <w:color w:val="006600"/>
              </w:rPr>
              <w:t>200 договора за обучение за пълен цикъл на обучение (5 години).</w:t>
            </w:r>
          </w:p>
        </w:tc>
      </w:tr>
    </w:tbl>
    <w:p w14:paraId="513DF4F3" w14:textId="77777777" w:rsidR="006054AA" w:rsidRDefault="006054AA">
      <w:pPr>
        <w:pStyle w:val="Text1"/>
        <w:ind w:left="0"/>
        <w:rPr>
          <w:rFonts w:eastAsiaTheme="majorEastAsia"/>
          <w:b/>
          <w:smallCaps/>
          <w:noProof/>
        </w:rPr>
        <w:sectPr w:rsidR="006054AA" w:rsidSect="00CC151E">
          <w:headerReference w:type="even" r:id="rId380"/>
          <w:headerReference w:type="default" r:id="rId381"/>
          <w:footerReference w:type="even" r:id="rId382"/>
          <w:footerReference w:type="default" r:id="rId383"/>
          <w:headerReference w:type="first" r:id="rId384"/>
          <w:footerReference w:type="first" r:id="rId385"/>
          <w:pgSz w:w="16839" w:h="11907" w:orient="landscape"/>
          <w:pgMar w:top="1440" w:right="1440" w:bottom="1440" w:left="1440" w:header="567" w:footer="567" w:gutter="0"/>
          <w:cols w:space="720"/>
          <w:docGrid w:linePitch="360"/>
        </w:sectPr>
      </w:pPr>
    </w:p>
    <w:p w14:paraId="17D35748" w14:textId="49B30A64" w:rsidR="006054AA" w:rsidRDefault="004D152D" w:rsidP="001F7667">
      <w:pPr>
        <w:pStyle w:val="Heading2"/>
        <w:numPr>
          <w:ilvl w:val="0"/>
          <w:numId w:val="0"/>
        </w:numPr>
        <w:spacing w:before="0"/>
        <w:rPr>
          <w:noProof/>
        </w:rPr>
      </w:pPr>
      <w:r>
        <w:rPr>
          <w:noProof/>
          <w:lang w:val="bg-BG"/>
        </w:rPr>
        <w:t>Р</w:t>
      </w:r>
      <w:r w:rsidR="001F7667">
        <w:rPr>
          <w:noProof/>
          <w:lang w:val="bg-BG"/>
        </w:rPr>
        <w:t xml:space="preserve">. </w:t>
      </w:r>
      <w:r w:rsidR="001F7667">
        <w:rPr>
          <w:noProof/>
        </w:rPr>
        <w:t>МИСИЯ 7: REPowerEU</w:t>
      </w:r>
    </w:p>
    <w:p w14:paraId="7E53E370" w14:textId="693937AE" w:rsidR="006054AA" w:rsidRDefault="001F7667">
      <w:pPr>
        <w:pStyle w:val="paragraph"/>
        <w:spacing w:before="0" w:beforeAutospacing="0" w:after="120" w:afterAutospacing="0"/>
        <w:jc w:val="both"/>
        <w:textAlignment w:val="baseline"/>
        <w:rPr>
          <w:noProof/>
        </w:rPr>
      </w:pPr>
      <w:r>
        <w:rPr>
          <w:noProof/>
        </w:rPr>
        <w:t>Главата за REPowerEU има за цел да укрепи разпределителните преносни и разпределителни мрежи, включително тези, свързани с природния газ; ускоряване на производството на енергия от възобновяеми източници, намаляване на търсенето на енергия, повишаване на енергийната ефективност и създаване на умения в публичния и частния сектор за екологичния преход; насърчаване на веригите за създаване на стойност в областта на енергията от възобновяеми източници и водорода чрез мерки за улесняване на достъпа до кредити и данъчни кредити.</w:t>
      </w:r>
    </w:p>
    <w:p w14:paraId="522CD23B" w14:textId="2DDB93C6" w:rsidR="006054AA" w:rsidRDefault="001F7667">
      <w:pPr>
        <w:pStyle w:val="paragraph"/>
        <w:spacing w:before="0" w:beforeAutospacing="0" w:after="120" w:afterAutospacing="0"/>
        <w:jc w:val="both"/>
        <w:textAlignment w:val="baseline"/>
        <w:rPr>
          <w:noProof/>
        </w:rPr>
      </w:pPr>
      <w:r>
        <w:rPr>
          <w:noProof/>
        </w:rPr>
        <w:t>Компонентът е насочен към специфичните за държавата препоръки, отправени към Италия през 2022 г. и 2023 г. По-специално тя има за цел да ускори разгръщането на допълнителен капацитет за енергия от възобновяеми източници чрез инвестиране в големи проекти за междусистемна електроенергийна свързаност (а именно два междусистемни електропроводи, свързващи Сардиния и Сицилия с континенталната част, и три междусистемни електропроводи между Австрия, Словения и Италия), модернизиране на националната преносна мрежа и рационализиране на процедурите за издаване на разрешения. То допринася за увеличаване на капацитета за вътрешен пренос на газ с цел преодоляване на затрудненията, диверсифициране на вноса на енергия и укрепване на сигурността на доставките. Тя насърчава устойчивата мобилност чрез намаляване на вредните за околната среда субсидии и укрепване на железопътния парк. Тя спомага за намаляване на зависимостта от изкопаеми горива чрез електрифициране на потреблението на домакинствата и повишаване на устойчивостта на мрежата. Тя допринася за повишаване на енергийната ефективност в жилищния и корпоративния сектор, включително чрез целенасочени схеми за стимулиране и финансови инструменти. И накрая, тя включва реформи и инвестиции за подобряване на предоставянето и придобиването на уменията, необходими за екологичния преход — както в частния, така и в публичния сектор.</w:t>
      </w:r>
    </w:p>
    <w:p w14:paraId="7A192329" w14:textId="59794F5A" w:rsidR="006054AA" w:rsidRDefault="001F7667">
      <w:pPr>
        <w:pStyle w:val="paragraph"/>
        <w:spacing w:before="0" w:beforeAutospacing="0" w:after="120" w:afterAutospacing="0"/>
        <w:jc w:val="both"/>
        <w:textAlignment w:val="baseline"/>
        <w:rPr>
          <w:rFonts w:eastAsia="Calibri"/>
          <w:noProof/>
        </w:rPr>
      </w:pPr>
      <w:r>
        <w:rPr>
          <w:noProof/>
        </w:rPr>
        <w:t>Девет проекта имат трансгранично измерение. Три от тях имат пряко трансгранично въздействие: 1) инвестиция, насочена към увеличаване на номиналния капацитет на съществуващите електроенергийни междусистемни връзки между Италия, Австрия и Словения; 2) инвестиция, допринасяща за изграждането на електроенергийна междусистемна връзка между Сардиния, Корсика и Тоскана; 3) инвестиция в компресорна станция, която увеличава износа на газ към Централна Европа. Други проекти непряко облагодетелстват трансграничните държави членки, като се справят с вътрешните затруднения при преноса и разпределението на енергия и повишават ефективността и устойчивостта на мрежата.</w:t>
      </w:r>
    </w:p>
    <w:p w14:paraId="6ED85939" w14:textId="4DD3F082" w:rsidR="006054AA" w:rsidRDefault="001F7667">
      <w:pPr>
        <w:spacing w:after="120"/>
        <w:jc w:val="both"/>
        <w:rPr>
          <w:noProof/>
        </w:rPr>
      </w:pPr>
      <w:r>
        <w:rPr>
          <w:noProof/>
        </w:rPr>
        <w:t xml:space="preserve">Очаква се никоя мярка в този компонент да не нанася значителни вреди на екологичните цели по смисъла на член 17 от Регламент (ЕС) 2020/852, като се вземе предвид описанието на мерките и стъпките за смекчаване, определени в плана за възстановяване и устойчивост в съответствие с техническите насоки за ненанасяне на значителни вреди </w:t>
      </w:r>
      <w:r>
        <w:rPr>
          <w:noProof/>
          <w:color w:val="000000" w:themeColor="text1"/>
        </w:rPr>
        <w:t>(C (</w:t>
      </w:r>
      <w:r>
        <w:rPr>
          <w:noProof/>
        </w:rPr>
        <w:t>2023) 6454 final</w:t>
      </w:r>
      <w:r>
        <w:rPr>
          <w:noProof/>
          <w:color w:val="000000" w:themeColor="text1"/>
        </w:rPr>
        <w:t>)</w:t>
      </w:r>
      <w:r>
        <w:rPr>
          <w:noProof/>
        </w:rPr>
        <w:t>, докато принципът за ненанасяне на значителни вреди не се прилага за инвестиция 11 — Адриатическа линия, фаза 1 (компресорна станция Sulmona и газопровод Sestino-Minerbio) и инвестиция 12 — Трансгранична инфраструктура за износ на газ, в съответствие с член 21в, параграф 6, буква е) от Регламент (ЕС) 2021/241.</w:t>
      </w:r>
    </w:p>
    <w:p w14:paraId="453D7599" w14:textId="17843FD2" w:rsidR="006054AA" w:rsidRDefault="004D152D">
      <w:pPr>
        <w:pStyle w:val="Heading3"/>
        <w:numPr>
          <w:ilvl w:val="0"/>
          <w:numId w:val="0"/>
        </w:numPr>
        <w:spacing w:before="0"/>
        <w:ind w:left="850" w:hanging="850"/>
        <w:rPr>
          <w:b/>
          <w:i w:val="0"/>
          <w:noProof/>
          <w:u w:val="single"/>
        </w:rPr>
      </w:pPr>
      <w:r>
        <w:rPr>
          <w:b/>
          <w:i w:val="0"/>
          <w:noProof/>
          <w:u w:val="single"/>
          <w:lang w:val="bg-BG"/>
        </w:rPr>
        <w:t>Р</w:t>
      </w:r>
      <w:r w:rsidR="001F7667">
        <w:rPr>
          <w:b/>
          <w:i w:val="0"/>
          <w:noProof/>
          <w:u w:val="single"/>
        </w:rPr>
        <w:t xml:space="preserve">1 </w:t>
      </w:r>
      <w:r w:rsidR="001F7667">
        <w:rPr>
          <w:noProof/>
        </w:rPr>
        <w:tab/>
      </w:r>
      <w:r w:rsidR="001F7667">
        <w:rPr>
          <w:b/>
          <w:i w:val="0"/>
          <w:noProof/>
          <w:u w:val="single"/>
        </w:rPr>
        <w:t>Описание на реформите и инвестициите за безвъзмездна финансова подкрепа</w:t>
      </w:r>
    </w:p>
    <w:p w14:paraId="39E6FE7D" w14:textId="6F2B7823" w:rsidR="006054AA" w:rsidRDefault="001F7667">
      <w:pPr>
        <w:pStyle w:val="Heading4"/>
        <w:numPr>
          <w:ilvl w:val="3"/>
          <w:numId w:val="0"/>
        </w:numPr>
        <w:rPr>
          <w:rStyle w:val="normaltextrun"/>
          <w:b/>
          <w:noProof/>
        </w:rPr>
      </w:pPr>
      <w:r>
        <w:rPr>
          <w:rStyle w:val="normaltextrun"/>
          <w:b/>
          <w:noProof/>
        </w:rPr>
        <w:t xml:space="preserve">Реформа 1. Рационализиране на процедурите за издаване на разрешения за енергия от възобновяеми източници на централно и местно равнище </w:t>
      </w:r>
    </w:p>
    <w:p w14:paraId="5487FC06" w14:textId="5B3DC0F4" w:rsidR="006054AA" w:rsidRDefault="001F7667">
      <w:pPr>
        <w:pStyle w:val="Text1"/>
        <w:spacing w:before="0"/>
        <w:ind w:left="0"/>
        <w:rPr>
          <w:noProof/>
        </w:rPr>
      </w:pPr>
      <w:r>
        <w:rPr>
          <w:noProof/>
        </w:rPr>
        <w:t>Целта на тази реформа е да се консолидира и рационализира съществуващото законодателство и разпоредби, уреждащи внедряването на възобновяеми енергийни източници.</w:t>
      </w:r>
    </w:p>
    <w:p w14:paraId="3E16A519" w14:textId="13ACFCEC" w:rsidR="006054AA" w:rsidRDefault="001F7667">
      <w:pPr>
        <w:pStyle w:val="Text1"/>
        <w:spacing w:before="0"/>
        <w:ind w:left="0"/>
        <w:rPr>
          <w:noProof/>
        </w:rPr>
      </w:pPr>
      <w:r>
        <w:rPr>
          <w:noProof/>
        </w:rPr>
        <w:t xml:space="preserve">Реформата се състои в приемането и влизането в сила на единен първичен законодателен акт (известен също като </w:t>
      </w:r>
      <w:r>
        <w:rPr>
          <w:i/>
          <w:noProof/>
        </w:rPr>
        <w:t>Testo Unico</w:t>
      </w:r>
      <w:r>
        <w:rPr>
          <w:noProof/>
        </w:rPr>
        <w:t>), който събира, обобщава и консолидира всички норми, регулиращи внедряването на възобновяеми енергийни източници, и заменя цялото приложимо предишно законодателство. Законодателният акт определя също така принципи за рационализиране и хармонизиране на процедурите за издаване на разрешения за възобновяеми енергийни източници на поднационално равнище.</w:t>
      </w:r>
    </w:p>
    <w:p w14:paraId="045822D3" w14:textId="55B8CC90" w:rsidR="006054AA" w:rsidRDefault="001F7667">
      <w:pPr>
        <w:pStyle w:val="Text1"/>
        <w:spacing w:before="0"/>
        <w:ind w:left="0"/>
        <w:rPr>
          <w:noProof/>
        </w:rPr>
      </w:pPr>
      <w:r>
        <w:rPr>
          <w:i/>
          <w:noProof/>
        </w:rPr>
        <w:t xml:space="preserve">Testo Unico </w:t>
      </w:r>
      <w:r>
        <w:rPr>
          <w:noProof/>
        </w:rPr>
        <w:t>има следните ключови приоритети:</w:t>
      </w:r>
    </w:p>
    <w:p w14:paraId="443C9A4C" w14:textId="0CB051C4" w:rsidR="006054AA" w:rsidRDefault="001F7667">
      <w:pPr>
        <w:pStyle w:val="Text1"/>
        <w:numPr>
          <w:ilvl w:val="0"/>
          <w:numId w:val="30"/>
        </w:numPr>
        <w:spacing w:before="0"/>
        <w:rPr>
          <w:noProof/>
        </w:rPr>
      </w:pPr>
      <w:r>
        <w:rPr>
          <w:noProof/>
        </w:rPr>
        <w:t>Определяне на „зони за ускорено внедряване на енергия от възобновяеми източници“ в съответствие с преразгледаната Директива за енергията от възобновяеми източници. Тези зони се определят също така в съответствие с морските пространствени планове за ускоряване на внедряването на вятърна енергия от разположени в морето инсталации.</w:t>
      </w:r>
    </w:p>
    <w:p w14:paraId="63F81E70" w14:textId="6F8365E3" w:rsidR="006054AA" w:rsidRDefault="001F7667">
      <w:pPr>
        <w:pStyle w:val="Text1"/>
        <w:numPr>
          <w:ilvl w:val="0"/>
          <w:numId w:val="30"/>
        </w:numPr>
        <w:spacing w:before="0"/>
        <w:rPr>
          <w:noProof/>
        </w:rPr>
      </w:pPr>
      <w:r>
        <w:rPr>
          <w:noProof/>
        </w:rPr>
        <w:t xml:space="preserve">Определяне на принципи за рационализиране и хармонизиране на поднационалните процедури за издаване на разрешения за възобновяеми енергийни източници. По-специално, </w:t>
      </w:r>
      <w:r>
        <w:rPr>
          <w:i/>
          <w:noProof/>
        </w:rPr>
        <w:t>Testo Unico</w:t>
      </w:r>
      <w:r>
        <w:rPr>
          <w:noProof/>
        </w:rPr>
        <w:t xml:space="preserve"> определя „правила за таван“, т.е. регионите не могат да прилагат по-строги правила за издаване на разрешения от тези, предвидени в националното законодателство.  </w:t>
      </w:r>
    </w:p>
    <w:p w14:paraId="5920AF27" w14:textId="3C030B23" w:rsidR="006054AA" w:rsidRDefault="001F7667">
      <w:pPr>
        <w:pStyle w:val="Text1"/>
        <w:numPr>
          <w:ilvl w:val="0"/>
          <w:numId w:val="30"/>
        </w:numPr>
        <w:spacing w:before="0"/>
        <w:rPr>
          <w:noProof/>
        </w:rPr>
      </w:pPr>
      <w:r>
        <w:rPr>
          <w:noProof/>
        </w:rPr>
        <w:t xml:space="preserve">Гарантиране на създаването и привеждането в действие на единна цифрова платформа за получаване на всички разрешения на национално и регионално равнище, необходими за инсталирането и внедряването на възобновяеми енергийни източници. По-специално </w:t>
      </w:r>
      <w:r>
        <w:rPr>
          <w:i/>
          <w:noProof/>
        </w:rPr>
        <w:t xml:space="preserve">Testo Unico </w:t>
      </w:r>
      <w:r>
        <w:rPr>
          <w:noProof/>
        </w:rPr>
        <w:t>гарантира, че платформата е изградена въз основа на принципа на еднократност, съгласно който от заявителите се изисква да предоставят същата информация или документи на публичните институции само веднъж.</w:t>
      </w:r>
    </w:p>
    <w:p w14:paraId="4628866A" w14:textId="6D9A3035" w:rsidR="006054AA" w:rsidRDefault="001F7667">
      <w:pPr>
        <w:pStyle w:val="Heading4"/>
        <w:numPr>
          <w:ilvl w:val="3"/>
          <w:numId w:val="0"/>
        </w:numPr>
        <w:rPr>
          <w:rStyle w:val="normaltextrun"/>
          <w:b/>
          <w:noProof/>
        </w:rPr>
      </w:pPr>
      <w:r>
        <w:rPr>
          <w:rStyle w:val="normaltextrun"/>
          <w:b/>
          <w:noProof/>
        </w:rPr>
        <w:t>Реформа 2. Намаляване на вредните за околната среда субсидии</w:t>
      </w:r>
    </w:p>
    <w:p w14:paraId="65CDC7D3" w14:textId="77777777" w:rsidR="006054AA" w:rsidRDefault="001F7667">
      <w:pPr>
        <w:spacing w:after="120"/>
        <w:jc w:val="both"/>
        <w:rPr>
          <w:noProof/>
        </w:rPr>
      </w:pPr>
      <w:r>
        <w:rPr>
          <w:noProof/>
        </w:rPr>
        <w:t xml:space="preserve">Целта на тази реформа е да доведе до намаляване на вредните за околната среда субсидии въз основа на годишния каталог на вредните за околната среда субсидии, публикуван от MASE. </w:t>
      </w:r>
    </w:p>
    <w:p w14:paraId="01EA80B3" w14:textId="7850BB5E" w:rsidR="006054AA" w:rsidRDefault="001F7667">
      <w:pPr>
        <w:pStyle w:val="Heading4"/>
        <w:numPr>
          <w:ilvl w:val="3"/>
          <w:numId w:val="0"/>
        </w:numPr>
        <w:ind w:left="850" w:hanging="850"/>
        <w:rPr>
          <w:rStyle w:val="normaltextrun"/>
          <w:b/>
          <w:noProof/>
        </w:rPr>
      </w:pPr>
      <w:r>
        <w:rPr>
          <w:rStyle w:val="normaltextrun"/>
          <w:b/>
          <w:noProof/>
        </w:rPr>
        <w:t>Реформа 3. Намаляване на разходите за свързване към газовата мрежа за биометан</w:t>
      </w:r>
    </w:p>
    <w:p w14:paraId="56D37B6C" w14:textId="0FE146EC" w:rsidR="006054AA" w:rsidRDefault="001F7667">
      <w:pPr>
        <w:pStyle w:val="Text1"/>
        <w:spacing w:before="0"/>
        <w:ind w:left="0"/>
        <w:rPr>
          <w:noProof/>
        </w:rPr>
      </w:pPr>
      <w:r>
        <w:rPr>
          <w:noProof/>
        </w:rPr>
        <w:t>Целта на реформата е да се улесни включването на биометана в енергийната система и енергийния пазар и да се създаде нов устойчив капацитет за производство на биометан в съответствие с Директива (ЕС) 2018/2001 (Директива за енергията от възобновяеми източници) и делегираните актове към нея. Целта е да се насърчи гъвкавостта и ефективността на мрежата за природен газ, като се улесни преобразуването в биометан. Очаква се повишаването на гъвкавостта и ефективността да допринесе за декарбонизацията на енергийната система и за енергийната независимост.</w:t>
      </w:r>
    </w:p>
    <w:p w14:paraId="0CEC7D7F" w14:textId="1F7DB292" w:rsidR="006054AA" w:rsidRDefault="001F7667">
      <w:pPr>
        <w:pStyle w:val="Text1"/>
        <w:spacing w:before="0"/>
        <w:ind w:left="0"/>
        <w:rPr>
          <w:noProof/>
        </w:rPr>
      </w:pPr>
      <w:r>
        <w:rPr>
          <w:noProof/>
        </w:rPr>
        <w:t>Изпълнението на реформата (1) намалява разходите за свързване на устойчивите инсталации за производство на биометан и (2) насърчава инвестициите, насочени изключително към навлизането на устойчив биометан в мрежите за природен газ. Реформата благоприятства: I) по-голяма интеграция между преносните и разпределителните мрежи; II) въвеждане на механизми за споделяне на разходите за инвестиции за свързване към мрежата. Тези механизми прехвърлят разходите от производителя на биометан към цялата общност, която се възползва от устойчивия биометан.</w:t>
      </w:r>
    </w:p>
    <w:p w14:paraId="6920BB39" w14:textId="00309181" w:rsidR="006054AA" w:rsidRDefault="001F7667">
      <w:pPr>
        <w:pStyle w:val="P68B1DB1-Heading437"/>
        <w:numPr>
          <w:ilvl w:val="0"/>
          <w:numId w:val="0"/>
        </w:numPr>
        <w:rPr>
          <w:noProof/>
        </w:rPr>
      </w:pPr>
      <w:r>
        <w:rPr>
          <w:noProof/>
        </w:rPr>
        <w:t>Реформа 4. Намаляване на финансовия риск, свързан със СЗЕ за възобновяеми енергийни източници (споразумения за закупуване на електроенергия)</w:t>
      </w:r>
    </w:p>
    <w:p w14:paraId="539096E8" w14:textId="4C4834BD" w:rsidR="006054AA" w:rsidRDefault="001F7667">
      <w:pPr>
        <w:pStyle w:val="Text1"/>
        <w:spacing w:before="0"/>
        <w:ind w:left="0"/>
        <w:rPr>
          <w:noProof/>
        </w:rPr>
      </w:pPr>
      <w:r>
        <w:rPr>
          <w:noProof/>
        </w:rPr>
        <w:t xml:space="preserve">Целта на реформата е да се създаде система от гаранции за намаляване на финансовия риск, свързан със споразуменията за закупуване на електроенергия от възобновяеми източници, със срок на действие най-малко три години. </w:t>
      </w:r>
    </w:p>
    <w:p w14:paraId="7D116E4F" w14:textId="77777777" w:rsidR="006054AA" w:rsidRDefault="001F7667">
      <w:pPr>
        <w:pStyle w:val="Text1"/>
        <w:spacing w:before="0"/>
        <w:ind w:left="0"/>
        <w:rPr>
          <w:noProof/>
        </w:rPr>
      </w:pPr>
      <w:r>
        <w:rPr>
          <w:noProof/>
        </w:rPr>
        <w:t xml:space="preserve">Реформата: </w:t>
      </w:r>
    </w:p>
    <w:p w14:paraId="1B16BA98" w14:textId="77777777" w:rsidR="006054AA" w:rsidRDefault="001F7667">
      <w:pPr>
        <w:pStyle w:val="Text1"/>
        <w:numPr>
          <w:ilvl w:val="0"/>
          <w:numId w:val="36"/>
        </w:numPr>
        <w:spacing w:before="0"/>
        <w:rPr>
          <w:noProof/>
        </w:rPr>
      </w:pPr>
      <w:r>
        <w:rPr>
          <w:noProof/>
        </w:rPr>
        <w:t xml:space="preserve">изискват от всеки оператор да гарантира частично покритие на насрещната стойност на споразуменията за закупуване на електроенергия чрез гаранционни инструменти, предоставени на пазара на електроенергия; </w:t>
      </w:r>
    </w:p>
    <w:p w14:paraId="22793A31" w14:textId="6BD2A92C" w:rsidR="006054AA" w:rsidRDefault="001F7667">
      <w:pPr>
        <w:pStyle w:val="Text1"/>
        <w:numPr>
          <w:ilvl w:val="0"/>
          <w:numId w:val="36"/>
        </w:numPr>
        <w:spacing w:before="0"/>
        <w:rPr>
          <w:noProof/>
        </w:rPr>
      </w:pPr>
      <w:r>
        <w:rPr>
          <w:noProof/>
        </w:rPr>
        <w:t>въвежда мерки за намаляване на риска от неизпълнение, включително изисквания и ограничения за оферента и регулаторни санкции в случай на неизпълнение от страна на производителя;</w:t>
      </w:r>
    </w:p>
    <w:p w14:paraId="6C8AC32A" w14:textId="6C12017F" w:rsidR="006054AA" w:rsidRDefault="001F7667">
      <w:pPr>
        <w:pStyle w:val="Text1"/>
        <w:numPr>
          <w:ilvl w:val="0"/>
          <w:numId w:val="36"/>
        </w:numPr>
        <w:spacing w:before="0"/>
        <w:rPr>
          <w:noProof/>
        </w:rPr>
      </w:pPr>
      <w:r>
        <w:rPr>
          <w:noProof/>
        </w:rPr>
        <w:t xml:space="preserve">определяне на институционален субект, който да поеме ролята на продавач/купувач от последна инстанция, който да поеме от неизправния контрагент и да гарантира изпълнението на задълженията, поети по отношение на изпълняващия контрагент.  </w:t>
      </w:r>
    </w:p>
    <w:p w14:paraId="22572316" w14:textId="6F71CA18" w:rsidR="006054AA" w:rsidRDefault="001F7667">
      <w:pPr>
        <w:pStyle w:val="P68B1DB1-Heading437"/>
        <w:numPr>
          <w:ilvl w:val="3"/>
          <w:numId w:val="0"/>
        </w:numPr>
        <w:ind w:left="850" w:hanging="850"/>
        <w:rPr>
          <w:noProof/>
        </w:rPr>
      </w:pPr>
      <w:r>
        <w:rPr>
          <w:noProof/>
        </w:rPr>
        <w:t>Реформа 5. План за нови умения — преход</w:t>
      </w:r>
    </w:p>
    <w:p w14:paraId="01017212" w14:textId="7970938A" w:rsidR="006054AA" w:rsidRDefault="001F7667">
      <w:pPr>
        <w:spacing w:after="120"/>
        <w:jc w:val="both"/>
        <w:rPr>
          <w:noProof/>
        </w:rPr>
      </w:pPr>
      <w:r>
        <w:rPr>
          <w:noProof/>
        </w:rPr>
        <w:t xml:space="preserve">Целта на реформата е да се актуализира регулаторната рамка за обучение и да се приведат в действие инструментите за борба с несъответствието между търсените и предлаганите умения. Реформата актуализира новия план за уменията, приет с указ от 14 декември 2021 г. и публикуван в Gazzetta Ufficiale № 307 от 28 декември 2021 г. Целта е да се укрепят механизмите, свързващи планирането на курсовете за обучение с нуждите на пазара на труда, с конкретната цел за по-добро придружаване на екологичния и цифровия преход, чрез участието на съответните участници в специални пактове за умения. Целта на реформата ще засили ролята на частния сектор в обучението и ще подобри признаването на уменията, включително уменията, придобити на работното място и чрез кратки модули за обучение. Пилотните проекти по Инвестиции [10] предшестват реформата и резултатите от тях се вземат предвид при разработването и изпълнението на реформата. </w:t>
      </w:r>
    </w:p>
    <w:p w14:paraId="6FDD71A2" w14:textId="24E7571B" w:rsidR="006054AA" w:rsidRDefault="001F7667">
      <w:pPr>
        <w:spacing w:after="120"/>
        <w:jc w:val="both"/>
        <w:rPr>
          <w:noProof/>
        </w:rPr>
      </w:pPr>
      <w:r>
        <w:rPr>
          <w:noProof/>
          <w:color w:val="000000" w:themeColor="text1"/>
        </w:rPr>
        <w:t xml:space="preserve">Обучението, подкрепено от тази реформа, не е свързано със: </w:t>
      </w:r>
      <w:r>
        <w:rPr>
          <w:noProof/>
        </w:rPr>
        <w:t>I) дейности и активи, свързани с изкопаеми горива, включително използване надолу по веригата</w:t>
      </w:r>
      <w:r>
        <w:rPr>
          <w:rStyle w:val="FootnoteReference"/>
          <w:noProof/>
        </w:rPr>
        <w:footnoteReference w:id="123"/>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noProof/>
        </w:rPr>
        <w:footnoteReference w:id="124"/>
      </w:r>
      <w:r>
        <w:rPr>
          <w:noProof/>
        </w:rPr>
        <w:t>, iii) дейности и активи, свързани с депа за отпадъци, инсинератори</w:t>
      </w:r>
      <w:r>
        <w:rPr>
          <w:rStyle w:val="FootnoteReference"/>
          <w:noProof/>
        </w:rPr>
        <w:footnoteReference w:id="125"/>
      </w:r>
      <w:r>
        <w:rPr>
          <w:noProof/>
        </w:rPr>
        <w:t xml:space="preserve"> и инсталации за механично-биологично третиране</w:t>
      </w:r>
      <w:r>
        <w:rPr>
          <w:rStyle w:val="FootnoteReference"/>
          <w:noProof/>
        </w:rPr>
        <w:footnoteReference w:id="126"/>
      </w:r>
      <w:r>
        <w:rPr>
          <w:noProof/>
        </w:rPr>
        <w:t>.</w:t>
      </w:r>
      <w:r>
        <w:rPr>
          <w:noProof/>
          <w:color w:val="000000" w:themeColor="text1"/>
        </w:rPr>
        <w:t> Освен това в заданието се изисква да могат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7685E201" w14:textId="46CD6203" w:rsidR="006054AA" w:rsidRDefault="001F7667">
      <w:pPr>
        <w:pStyle w:val="Heading4"/>
        <w:numPr>
          <w:ilvl w:val="3"/>
          <w:numId w:val="0"/>
        </w:numPr>
        <w:ind w:left="850" w:hanging="850"/>
        <w:rPr>
          <w:rStyle w:val="normaltextrun"/>
          <w:b/>
          <w:noProof/>
        </w:rPr>
      </w:pPr>
      <w:r>
        <w:rPr>
          <w:rStyle w:val="normaltextrun"/>
          <w:b/>
          <w:noProof/>
        </w:rPr>
        <w:t>Инвестиция 1. Разширена мярка: Укрепване на интелигентните мрежи</w:t>
      </w:r>
    </w:p>
    <w:p w14:paraId="2848A292" w14:textId="0E1AF4D4" w:rsidR="006054AA" w:rsidRDefault="001F7667">
      <w:pPr>
        <w:pStyle w:val="Text1"/>
        <w:spacing w:before="0"/>
        <w:ind w:left="0"/>
        <w:rPr>
          <w:noProof/>
        </w:rPr>
      </w:pPr>
      <w:r>
        <w:rPr>
          <w:noProof/>
        </w:rPr>
        <w:t xml:space="preserve">Целта на тази инвестиция е да се увеличат инвестициите 2.1 (Укрепване на интелигентните мрежи) в рамките на мисия 2, компонент 2. Мащабните инвестиции се състоят от интервенции в участъци от мрежата за средно и ниско напрежение, като по този начин електрифицират потреблението на енергия на най-малко 230 000 повече жители, отколкото вече е предвидено в съществуващата мярка. Съществуващата инвестиция и разширената част заедно ще електрифицират потреблението на най-малко 1 730 000 жители. </w:t>
      </w:r>
    </w:p>
    <w:p w14:paraId="5E1F0903" w14:textId="30F145D5" w:rsidR="006054AA" w:rsidRDefault="001F7667">
      <w:pPr>
        <w:pStyle w:val="Heading4"/>
        <w:numPr>
          <w:ilvl w:val="0"/>
          <w:numId w:val="0"/>
        </w:numPr>
        <w:ind w:left="850" w:hanging="850"/>
        <w:rPr>
          <w:rStyle w:val="normaltextrun"/>
          <w:b/>
          <w:noProof/>
        </w:rPr>
      </w:pPr>
      <w:r>
        <w:rPr>
          <w:rStyle w:val="normaltextrun"/>
          <w:b/>
          <w:noProof/>
        </w:rPr>
        <w:t>Инвестиция 2. Мярка за разрастване: Интервенции за повишаване на устойчивостта на електроенергийната мрежа</w:t>
      </w:r>
    </w:p>
    <w:p w14:paraId="67A998D2" w14:textId="0C5CC4C9" w:rsidR="006054AA" w:rsidRDefault="001F7667">
      <w:pPr>
        <w:pStyle w:val="Text1"/>
        <w:spacing w:before="0"/>
        <w:ind w:left="0"/>
        <w:rPr>
          <w:noProof/>
        </w:rPr>
      </w:pPr>
      <w:r>
        <w:rPr>
          <w:noProof/>
        </w:rPr>
        <w:t>Тези инвестиции увеличават инвестициите 2.2 по компонент 2 на Мисия 2. Увеличената инвестиция се състои от интервенции за подобряване на устойчивостта на поне 648 km електроенергийна мрежа в по-голяма степен от вече предвиденото в съществуващата мярка. Прилагат се същите условия, които вече са предвидени в съществуващата мярка. Съществуващите инвестиции и мащабните инвестиции заедно подобряват устойчивостта от най-малко 4 648 km.</w:t>
      </w:r>
    </w:p>
    <w:p w14:paraId="207053E4" w14:textId="3D29B69C" w:rsidR="006054AA" w:rsidRDefault="001F7667">
      <w:pPr>
        <w:pStyle w:val="P68B1DB1-Heading437"/>
        <w:numPr>
          <w:ilvl w:val="0"/>
          <w:numId w:val="0"/>
        </w:numPr>
        <w:rPr>
          <w:noProof/>
        </w:rPr>
      </w:pPr>
      <w:r>
        <w:rPr>
          <w:noProof/>
        </w:rPr>
        <w:t>Инвестиция 3. Мярка за разрастване: Производство на водород в изоставени промишлени терени (водородни долини)</w:t>
      </w:r>
    </w:p>
    <w:p w14:paraId="5A0B541D" w14:textId="5CE8E48E" w:rsidR="006054AA" w:rsidRDefault="001F7667">
      <w:pPr>
        <w:pStyle w:val="Text1"/>
        <w:spacing w:before="0"/>
        <w:ind w:left="0"/>
        <w:rPr>
          <w:noProof/>
        </w:rPr>
      </w:pPr>
      <w:r>
        <w:rPr>
          <w:noProof/>
        </w:rPr>
        <w:t xml:space="preserve">Тази инвестиция е версия за разрастване на инвестиция 3.1 в рамките на мисия 2, компонент 2 от плана за възстановяване и устойчивост на Италия. Мащабната инвестиция се състои в завършването на още 2 проекта за производство на водород в изоставени промишлени зони, отколкото вече е предвидено в съществуващата мярка. Съществуващите инвестиции и мащабните инвестиции заедно подкрепят завършването на най-малко 12 проекта. </w:t>
      </w:r>
    </w:p>
    <w:p w14:paraId="6B98C51C" w14:textId="434E4F06" w:rsidR="006054AA" w:rsidRDefault="001F7667">
      <w:pPr>
        <w:pStyle w:val="Text1"/>
        <w:spacing w:before="0"/>
        <w:ind w:left="0"/>
        <w:rPr>
          <w:noProof/>
        </w:rPr>
      </w:pPr>
      <w:r>
        <w:rPr>
          <w:noProof/>
        </w:rPr>
        <w:t>Мярката подпомага само производството на водород от възобновяеми източници въз основа на електролиза в съответствие с Директива (ЕС) 2018/2001 (Директива за енергията от възобновяеми източници) и делегираните актове към нея. Прилагат се всички други условия, които вече са предвидени в съществуващата мярка.</w:t>
      </w:r>
    </w:p>
    <w:p w14:paraId="0F835446" w14:textId="034C3AC1" w:rsidR="006054AA" w:rsidRDefault="001F7667">
      <w:pPr>
        <w:pStyle w:val="P68B1DB1-Heading437"/>
        <w:numPr>
          <w:ilvl w:val="0"/>
          <w:numId w:val="0"/>
        </w:numPr>
        <w:ind w:left="850" w:hanging="850"/>
        <w:rPr>
          <w:noProof/>
        </w:rPr>
      </w:pPr>
      <w:r>
        <w:rPr>
          <w:noProof/>
        </w:rPr>
        <w:t>Инвестиция 4. Връзка Тиренян</w:t>
      </w:r>
    </w:p>
    <w:p w14:paraId="005B7781" w14:textId="634D035D" w:rsidR="006054AA" w:rsidRDefault="001F7667">
      <w:pPr>
        <w:pStyle w:val="Text1"/>
        <w:spacing w:before="0"/>
        <w:ind w:left="0"/>
        <w:rPr>
          <w:noProof/>
        </w:rPr>
      </w:pPr>
      <w:r>
        <w:rPr>
          <w:noProof/>
        </w:rPr>
        <w:t>Целта на тази инвестиция е да се разшири инфраструктурата за пренос на електроенергия, за да се даде възможност за събиране на мощности от възобновяеми енергийни източници в Южна Италия и интегрирането ѝ в националната преносна мрежа.</w:t>
      </w:r>
    </w:p>
    <w:p w14:paraId="6E35C249" w14:textId="4B95EEE1" w:rsidR="006054AA" w:rsidRDefault="001F7667">
      <w:pPr>
        <w:pStyle w:val="Text1"/>
        <w:spacing w:before="0"/>
        <w:ind w:left="0"/>
        <w:rPr>
          <w:noProof/>
        </w:rPr>
      </w:pPr>
      <w:r>
        <w:rPr>
          <w:noProof/>
        </w:rPr>
        <w:t>Тази инвестиция подкрепя изграждането на „Тиренската връзка „, и по-специално на междусистемната връзка „Изток“ между Сицилия и Кампания. Инвестицията финансира инсталирането на 514 km подводни кабели за постоянен ток от точка до точка (ПТВН) между Eboli и Caracoli. Изпълнението на инвестицията трябва да приключи до 31 август 2026 г.</w:t>
      </w:r>
    </w:p>
    <w:p w14:paraId="5D1B94D1" w14:textId="114FF4CF" w:rsidR="006054AA" w:rsidRDefault="001F7667">
      <w:pPr>
        <w:pStyle w:val="P68B1DB1-Heading437"/>
        <w:numPr>
          <w:ilvl w:val="0"/>
          <w:numId w:val="0"/>
        </w:numPr>
        <w:ind w:left="850" w:hanging="850"/>
        <w:rPr>
          <w:noProof/>
        </w:rPr>
      </w:pPr>
      <w:r>
        <w:rPr>
          <w:noProof/>
        </w:rPr>
        <w:t>Инвестиция 5. SA.CO.I.3</w:t>
      </w:r>
    </w:p>
    <w:p w14:paraId="20392F5A" w14:textId="23869E6E" w:rsidR="006054AA" w:rsidRDefault="001F7667">
      <w:pPr>
        <w:pStyle w:val="Text1"/>
        <w:spacing w:before="0"/>
        <w:ind w:left="0"/>
        <w:rPr>
          <w:noProof/>
        </w:rPr>
      </w:pPr>
      <w:r>
        <w:rPr>
          <w:noProof/>
        </w:rPr>
        <w:t>Целта на тази инвестиция е да се модернизира инфраструктурата за пренос на електроенергия, свързваща Сардиния с останалата част на Италия, през Корсика, за да се даде възможност за събиране на мощности от възобновяеми енергийни източници в Сардиния и интегрирането ѝ в националната преносна мрежа.</w:t>
      </w:r>
    </w:p>
    <w:p w14:paraId="33E955FD" w14:textId="23BF5B29" w:rsidR="006054AA" w:rsidRDefault="001F7667">
      <w:pPr>
        <w:pStyle w:val="Text1"/>
        <w:spacing w:before="0"/>
        <w:ind w:left="0"/>
        <w:rPr>
          <w:noProof/>
        </w:rPr>
      </w:pPr>
      <w:r>
        <w:rPr>
          <w:noProof/>
        </w:rPr>
        <w:t>Тази цел на инвестицията е да се подкрепи изграждането на проекта за междусистемна връзка „Сардиния — Корсика-Италия 3“. Той се състои в завършване на изграждането на черупките на преобразувателните станции в Кодронинос, Сардиния и в Сувенто, Тоскана. „Корпуси“ е външната инфраструктура на компресорните станции и не включва машини или друго оборудване, които трябва да бъдат инсталирани в тях след приключване на инвестицията. Изпълнението на инвестицията трябва да приключи до 31 август 2026 г.</w:t>
      </w:r>
    </w:p>
    <w:p w14:paraId="52767708" w14:textId="03513092" w:rsidR="006054AA" w:rsidRDefault="001F7667">
      <w:pPr>
        <w:pStyle w:val="P68B1DB1-Heading437"/>
        <w:numPr>
          <w:ilvl w:val="0"/>
          <w:numId w:val="0"/>
        </w:numPr>
        <w:rPr>
          <w:noProof/>
        </w:rPr>
      </w:pPr>
      <w:r>
        <w:rPr>
          <w:noProof/>
        </w:rPr>
        <w:t>Инвестиция 6. Проекти за трансгранични електроенергийни междусистемни връзки между Италия и съседни държави</w:t>
      </w:r>
    </w:p>
    <w:p w14:paraId="170AB7F0" w14:textId="19977BAA" w:rsidR="006054AA" w:rsidRDefault="001F7667">
      <w:pPr>
        <w:pStyle w:val="Text1"/>
        <w:spacing w:before="0"/>
        <w:ind w:left="0"/>
        <w:rPr>
          <w:noProof/>
        </w:rPr>
      </w:pPr>
      <w:r>
        <w:rPr>
          <w:noProof/>
        </w:rPr>
        <w:t xml:space="preserve">Целта на тази инвестиция е да се разшири и модернизира инфраструктурата за пренос на електроенергия между Италия, Австрия и Словения. По-специално инвестицията се състои в завършването на следните трансгранични междусистемни електропроводи: </w:t>
      </w:r>
    </w:p>
    <w:p w14:paraId="525E4EFD" w14:textId="29317D6C" w:rsidR="006054AA" w:rsidRDefault="001F7667">
      <w:pPr>
        <w:pStyle w:val="Text1"/>
        <w:numPr>
          <w:ilvl w:val="0"/>
          <w:numId w:val="28"/>
        </w:numPr>
        <w:spacing w:before="0"/>
        <w:rPr>
          <w:noProof/>
        </w:rPr>
      </w:pPr>
      <w:r>
        <w:rPr>
          <w:noProof/>
        </w:rPr>
        <w:t>„Somplago (Италия) — Würmlach (Австрия), увеличаване на номиналната мощност на съществуващите междусистемни електропроводи с 300 MW;</w:t>
      </w:r>
    </w:p>
    <w:p w14:paraId="000DCAFE" w14:textId="3FDBBF81" w:rsidR="006054AA" w:rsidRDefault="001F7667">
      <w:pPr>
        <w:pStyle w:val="Text1"/>
        <w:numPr>
          <w:ilvl w:val="0"/>
          <w:numId w:val="28"/>
        </w:numPr>
        <w:spacing w:before="0"/>
        <w:rPr>
          <w:noProof/>
        </w:rPr>
      </w:pPr>
      <w:r>
        <w:rPr>
          <w:noProof/>
        </w:rPr>
        <w:t>„Zaule (Италия) -Dekani (Словения)“</w:t>
      </w:r>
    </w:p>
    <w:p w14:paraId="4F18A2AE" w14:textId="7E0CCFF0" w:rsidR="006054AA" w:rsidRDefault="001F7667">
      <w:pPr>
        <w:pStyle w:val="Text1"/>
        <w:numPr>
          <w:ilvl w:val="0"/>
          <w:numId w:val="28"/>
        </w:numPr>
        <w:spacing w:before="0"/>
        <w:rPr>
          <w:noProof/>
        </w:rPr>
      </w:pPr>
      <w:r>
        <w:rPr>
          <w:noProof/>
        </w:rPr>
        <w:t>„Redipuglia (Италия) — Vrtojba (Словения)“</w:t>
      </w:r>
    </w:p>
    <w:p w14:paraId="76AE3EB9" w14:textId="2551E5B4" w:rsidR="006054AA" w:rsidRDefault="001F7667">
      <w:pPr>
        <w:pStyle w:val="Text1"/>
        <w:spacing w:before="0"/>
        <w:ind w:left="0"/>
        <w:rPr>
          <w:noProof/>
        </w:rPr>
      </w:pPr>
      <w:r>
        <w:rPr>
          <w:noProof/>
        </w:rPr>
        <w:t>При приключване на работите по междусистемните връзки Zaule-Dekani и Redipuglia-Vrtojba кумулативният номинален капацитет на междусистемните електропроводи между Италия и Словения се увеличава с 250 MW.</w:t>
      </w:r>
    </w:p>
    <w:p w14:paraId="4B8D526C" w14:textId="0A5F2DC8" w:rsidR="006054AA" w:rsidRDefault="001F7667">
      <w:pPr>
        <w:pStyle w:val="Text1"/>
        <w:spacing w:before="0"/>
        <w:ind w:left="0"/>
        <w:rPr>
          <w:noProof/>
        </w:rPr>
      </w:pPr>
      <w:r>
        <w:rPr>
          <w:noProof/>
        </w:rPr>
        <w:t>Инвестицията покрива само завършването на частта от междусистемната връзка от италианска страна до 31 август 2026 г. При завършване на строителните работи инфраструктурата е готова за въвеждане в експлоатация след завършване и привеждане в действие на останалата част от инфраструктурата от страна на Австрия и Словения.</w:t>
      </w:r>
    </w:p>
    <w:p w14:paraId="15ECF94E" w14:textId="69B8D4F7" w:rsidR="006054AA" w:rsidRDefault="001F7667">
      <w:pPr>
        <w:pStyle w:val="Text1"/>
        <w:spacing w:before="0"/>
        <w:ind w:left="0"/>
        <w:rPr>
          <w:noProof/>
        </w:rPr>
      </w:pPr>
      <w:r>
        <w:rPr>
          <w:noProof/>
        </w:rPr>
        <w:t xml:space="preserve">За да се избегне рискът от свръхкомпенсация, до 31 август 2026 г. Италия представя на Комисията доклад. Докладът показва, че освобождаванията от правилата на енергийния пазар, предоставени на трите междусистемни електропровода, все още са обосновани. Освен това тя оценява дали са въведени подходящи предпазни мерки, за да се гарантира, че условията на член 63, параграф 1 от Регламент (ЕС) 2019/943 за електроенергията все още са изпълнени. В оценката се разглежда степента, в която съответните европейски и публични средства оказват въздействие върху условията, свързани с рисковия характер на проектите. </w:t>
      </w:r>
    </w:p>
    <w:p w14:paraId="4DEE24E6" w14:textId="70DD4FE5" w:rsidR="006054AA" w:rsidRDefault="001F7667">
      <w:pPr>
        <w:pStyle w:val="P68B1DB1-Heading437"/>
        <w:numPr>
          <w:ilvl w:val="0"/>
          <w:numId w:val="0"/>
        </w:numPr>
        <w:rPr>
          <w:noProof/>
        </w:rPr>
      </w:pPr>
      <w:r>
        <w:rPr>
          <w:noProof/>
        </w:rPr>
        <w:t xml:space="preserve">Инвестиция 7. Интелигентна национална преносна мрежа </w:t>
      </w:r>
    </w:p>
    <w:p w14:paraId="43116AA8" w14:textId="48019067" w:rsidR="006054AA" w:rsidRDefault="001F7667">
      <w:pPr>
        <w:pStyle w:val="Text1"/>
        <w:spacing w:before="0"/>
        <w:ind w:left="0"/>
        <w:rPr>
          <w:noProof/>
        </w:rPr>
      </w:pPr>
      <w:r>
        <w:rPr>
          <w:noProof/>
        </w:rPr>
        <w:t>Целта на инвестицията е да се цифровизира националната преносна мрежа (NTG) и да се подобри системата за управление и контрол, управлявана от оператора на преносната система. Инвестицията е насочена както към преносната мрежа, така и към нейните софтуерни компоненти и улеснява интегрирането на потребителите и произвеждащите потребители в енергийния пазар, ускорява внедряването на възобновяеми енергийни източници и повишава устойчивостта на мрежата.</w:t>
      </w:r>
    </w:p>
    <w:p w14:paraId="66EC5B6A" w14:textId="28B38513" w:rsidR="006054AA" w:rsidRDefault="001F7667">
      <w:pPr>
        <w:pStyle w:val="Text1"/>
        <w:spacing w:before="0"/>
        <w:ind w:left="0"/>
        <w:rPr>
          <w:noProof/>
        </w:rPr>
      </w:pPr>
      <w:r>
        <w:rPr>
          <w:noProof/>
        </w:rPr>
        <w:t>Инвестицията включва следното:</w:t>
      </w:r>
    </w:p>
    <w:p w14:paraId="643CC1A2" w14:textId="43890D01" w:rsidR="006054AA" w:rsidRDefault="001F7667">
      <w:pPr>
        <w:pStyle w:val="Text1"/>
        <w:numPr>
          <w:ilvl w:val="0"/>
          <w:numId w:val="29"/>
        </w:numPr>
        <w:spacing w:before="0"/>
        <w:rPr>
          <w:noProof/>
        </w:rPr>
      </w:pPr>
      <w:r>
        <w:rPr>
          <w:noProof/>
        </w:rPr>
        <w:t>инсталиране на защитен протокол 104 в поне 250 електрически станции. При инсталирането и във взаимодействие с архитектурата на информационните и комуникационните технологии (ИКТ) всички данни се предават през централната система за управление и контрол.</w:t>
      </w:r>
    </w:p>
    <w:p w14:paraId="64DD29D5" w14:textId="5706ED17" w:rsidR="006054AA" w:rsidRDefault="001F7667">
      <w:pPr>
        <w:pStyle w:val="Text1"/>
        <w:numPr>
          <w:ilvl w:val="0"/>
          <w:numId w:val="29"/>
        </w:numPr>
        <w:spacing w:before="0"/>
        <w:rPr>
          <w:noProof/>
        </w:rPr>
      </w:pPr>
      <w:r>
        <w:rPr>
          <w:noProof/>
        </w:rPr>
        <w:t>Инсталиране на 5G оборудване или ИКТ архитектура в поне 40 електрически станции.</w:t>
      </w:r>
    </w:p>
    <w:p w14:paraId="0E3410AF" w14:textId="6EBEDB15" w:rsidR="006054AA" w:rsidRDefault="001F7667">
      <w:pPr>
        <w:pStyle w:val="Text1"/>
        <w:numPr>
          <w:ilvl w:val="0"/>
          <w:numId w:val="29"/>
        </w:numPr>
        <w:spacing w:before="0"/>
        <w:rPr>
          <w:noProof/>
        </w:rPr>
      </w:pPr>
      <w:r>
        <w:rPr>
          <w:noProof/>
        </w:rPr>
        <w:t>Инсталиране на промишлена система за наблюдение на интернет на нещата на поне 1 500 електрически пилона за събиране на данни, които могат да бъдат обработвани в системата за управление.</w:t>
      </w:r>
    </w:p>
    <w:p w14:paraId="6FF578C0" w14:textId="39A04F28" w:rsidR="006054AA" w:rsidRDefault="001F7667">
      <w:pPr>
        <w:spacing w:after="120"/>
        <w:jc w:val="both"/>
        <w:rPr>
          <w:noProof/>
        </w:rPr>
      </w:pPr>
      <w:r>
        <w:rPr>
          <w:noProof/>
        </w:rPr>
        <w:t>Оборудването, инсталирано чрез тази инвестиция, когато е необходимо, трябва да отговаря на свързаните с енергията изисквания, определени в съответствие с Директива 2009/125/ЕО за сървъри и съхранение на данни, или компютри и компютърни сървъри или електронни екрани. Инвестицията трябва да демонстрира максимални усилия за прилагане на съответните практики, като например ИТ оборудване и услуги, изброени като „очаквани практики“ в най-новата версия на Европейския кодекс за енергийна ефективност на центровете за данни или в документ CLC TR50600—99—1 „Съоръжения и инфраструктури на центровете за данни — Част 99—1: Препоръчителни практики за енергийно управление“.</w:t>
      </w:r>
    </w:p>
    <w:p w14:paraId="0B43DE95" w14:textId="6EC61DAD" w:rsidR="006054AA" w:rsidRDefault="001F7667">
      <w:pPr>
        <w:pStyle w:val="P68B1DB1-Heading437"/>
        <w:numPr>
          <w:ilvl w:val="3"/>
          <w:numId w:val="0"/>
        </w:numPr>
        <w:ind w:left="850" w:hanging="850"/>
        <w:rPr>
          <w:noProof/>
        </w:rPr>
      </w:pPr>
      <w:r>
        <w:rPr>
          <w:noProof/>
        </w:rPr>
        <w:t>Инвестиция 8. Устойчиви, кръгови и сигурни доставки на суровини от критично значение</w:t>
      </w:r>
    </w:p>
    <w:p w14:paraId="03E3D777" w14:textId="7D739775" w:rsidR="006054AA" w:rsidRDefault="001F7667">
      <w:pPr>
        <w:pStyle w:val="Text1"/>
        <w:spacing w:before="0"/>
        <w:ind w:left="0"/>
        <w:rPr>
          <w:noProof/>
        </w:rPr>
      </w:pPr>
      <w:r>
        <w:rPr>
          <w:noProof/>
        </w:rPr>
        <w:t xml:space="preserve">Целта на тази инвестиция е да се подкрепи възстановяването и рециклирането на суровини от изключителна важност, а оттам и веригите за създаване на стойност в суровините от изключителна важност и технологиите, свързани с екологичния преход. </w:t>
      </w:r>
    </w:p>
    <w:p w14:paraId="5D02A7C3" w14:textId="3A0805C7" w:rsidR="006054AA" w:rsidRDefault="001F7667">
      <w:pPr>
        <w:pStyle w:val="Text1"/>
        <w:spacing w:before="0"/>
        <w:ind w:left="0"/>
        <w:rPr>
          <w:noProof/>
        </w:rPr>
      </w:pPr>
      <w:r>
        <w:rPr>
          <w:noProof/>
        </w:rPr>
        <w:t xml:space="preserve">Инвестицията има четири основни направления на действие: </w:t>
      </w:r>
    </w:p>
    <w:p w14:paraId="345D9D97" w14:textId="79762EE9" w:rsidR="006054AA" w:rsidRDefault="001F7667">
      <w:pPr>
        <w:pStyle w:val="Text1"/>
        <w:numPr>
          <w:ilvl w:val="0"/>
          <w:numId w:val="136"/>
        </w:numPr>
        <w:spacing w:before="0"/>
        <w:rPr>
          <w:noProof/>
        </w:rPr>
      </w:pPr>
      <w:r>
        <w:rPr>
          <w:noProof/>
        </w:rPr>
        <w:t xml:space="preserve">Екопроектиране: целта на тази линия на намеса е да се разберат нуждите от суровини от изключителна важност и потенциалът на екопроектирането за намаляване на търсенето на суровини от изключителна важност, като се благоприятства кръгов подход на промишлените вериги на доставки, свързани с енергийния преход. </w:t>
      </w:r>
    </w:p>
    <w:p w14:paraId="0F9D9943" w14:textId="2C6B600E" w:rsidR="006054AA" w:rsidRDefault="001F7667">
      <w:pPr>
        <w:pStyle w:val="Text1"/>
        <w:spacing w:before="0"/>
        <w:ind w:left="720"/>
        <w:rPr>
          <w:noProof/>
        </w:rPr>
      </w:pPr>
      <w:r>
        <w:rPr>
          <w:noProof/>
        </w:rPr>
        <w:t>Очакваните резултати от този вид дейност са доклад, в който се анализират бъдещите нужди от суровини от критично значение. В доклада се оценява потенциалът на екопроектирането за намаляване на търсенето и благоприятстване на възможността за рециклиране на суровини от критично значение.</w:t>
      </w:r>
    </w:p>
    <w:p w14:paraId="053A9C00" w14:textId="15B5DE37" w:rsidR="006054AA" w:rsidRDefault="001F7667">
      <w:pPr>
        <w:pStyle w:val="Text1"/>
        <w:numPr>
          <w:ilvl w:val="0"/>
          <w:numId w:val="27"/>
        </w:numPr>
        <w:spacing w:before="0"/>
        <w:rPr>
          <w:noProof/>
        </w:rPr>
      </w:pPr>
      <w:r>
        <w:rPr>
          <w:noProof/>
        </w:rPr>
        <w:t>Проекти в областта на НИРД, насочени към екопроектирането и подобряването на събирането, логистиката и рециклирането на отпадъци от електрическо и електронно оборудване, включително лопатки за вятърни турбини и фотоволтаични панели. Проектите са насочени към следните 3 направления на научноизследователска и развойна дейност и иновации:</w:t>
      </w:r>
    </w:p>
    <w:p w14:paraId="1BDD6CC8" w14:textId="77777777" w:rsidR="006054AA" w:rsidRDefault="001F7667">
      <w:pPr>
        <w:pStyle w:val="Text1"/>
        <w:numPr>
          <w:ilvl w:val="1"/>
          <w:numId w:val="27"/>
        </w:numPr>
        <w:spacing w:before="0"/>
        <w:rPr>
          <w:noProof/>
        </w:rPr>
      </w:pPr>
      <w:r>
        <w:rPr>
          <w:noProof/>
        </w:rPr>
        <w:t>Нови или усъвършенствани технологии, информационни системи и бизнес методи за оползотворяване, рециклиране и третиране на отпадъци от критични и стратегически суровини;</w:t>
      </w:r>
    </w:p>
    <w:p w14:paraId="50FD92AD" w14:textId="77777777" w:rsidR="006054AA" w:rsidRDefault="001F7667">
      <w:pPr>
        <w:pStyle w:val="ListParagraph"/>
        <w:numPr>
          <w:ilvl w:val="1"/>
          <w:numId w:val="27"/>
        </w:numPr>
        <w:spacing w:before="0"/>
        <w:contextualSpacing w:val="0"/>
        <w:rPr>
          <w:noProof/>
        </w:rPr>
      </w:pPr>
      <w:r>
        <w:rPr>
          <w:noProof/>
        </w:rPr>
        <w:t xml:space="preserve">Интегриране на екопроектирането в производството на сложни продукти и системи, както и в процесите на пазара и потреблението; </w:t>
      </w:r>
    </w:p>
    <w:p w14:paraId="7EC415D0" w14:textId="06D5BE98" w:rsidR="006054AA" w:rsidRDefault="001F7667">
      <w:pPr>
        <w:pStyle w:val="ListParagraph"/>
        <w:numPr>
          <w:ilvl w:val="1"/>
          <w:numId w:val="27"/>
        </w:numPr>
        <w:spacing w:before="0"/>
        <w:contextualSpacing w:val="0"/>
        <w:rPr>
          <w:noProof/>
        </w:rPr>
      </w:pPr>
      <w:r>
        <w:rPr>
          <w:noProof/>
        </w:rPr>
        <w:t>Оптимизиране на събирането и сортирането на градските отпадъци и сортиране, за да се гарантира последователно и висококачествено снабдяване със суровини от критично значение за миннодобивните дейности в градски условия.</w:t>
      </w:r>
    </w:p>
    <w:p w14:paraId="7462A610" w14:textId="07B7AE09" w:rsidR="006054AA" w:rsidRDefault="001F7667">
      <w:pPr>
        <w:pStyle w:val="Text1"/>
        <w:numPr>
          <w:ilvl w:val="0"/>
          <w:numId w:val="27"/>
        </w:numPr>
        <w:spacing w:before="0"/>
        <w:rPr>
          <w:noProof/>
        </w:rPr>
      </w:pPr>
      <w:r>
        <w:rPr>
          <w:noProof/>
        </w:rPr>
        <w:t>Градско минно дело: целта на тази линия на намеса е да се оцени потенциалът на градските минни дейности и на вече съществуващите отпадъци от преустановени минни дейности.</w:t>
      </w:r>
    </w:p>
    <w:p w14:paraId="73A6EAC1" w14:textId="0789B9A3" w:rsidR="006054AA" w:rsidRDefault="001F7667">
      <w:pPr>
        <w:pStyle w:val="Text1"/>
        <w:spacing w:before="0"/>
        <w:ind w:left="720"/>
        <w:rPr>
          <w:noProof/>
        </w:rPr>
      </w:pPr>
      <w:r>
        <w:rPr>
          <w:noProof/>
        </w:rPr>
        <w:t>Очакваните резултати за тази линия на дейност са публична база данни (географска информационна система), която дава възможност за геолокализация и визуализиране на разпределението на подлежащи на рециклиране ресурси или материали, разпръснати в градска среда (градски мини), както и на съществуващите отпадъци в изоставени мини.</w:t>
      </w:r>
    </w:p>
    <w:p w14:paraId="1770AEAD" w14:textId="5BC8FAD7" w:rsidR="006054AA" w:rsidRDefault="001F7667">
      <w:pPr>
        <w:pStyle w:val="Text1"/>
        <w:numPr>
          <w:ilvl w:val="0"/>
          <w:numId w:val="27"/>
        </w:numPr>
        <w:spacing w:before="0"/>
        <w:rPr>
          <w:noProof/>
        </w:rPr>
      </w:pPr>
      <w:r>
        <w:rPr>
          <w:noProof/>
        </w:rPr>
        <w:t>Създаване или оборудване на технологичен център за градско минно дело и екодизайн. Центърът е мрежа от лаборатории, която благоприятства взаимодействието между частните дружества и научноизследователските институции с цел подобряване на оползотворяването и рециклирането от веригата на доставки на сложни продукти и суровини с нисък процент на рециклиране в края на жизнения цикъл (EOL-RIR), свързани с екологичния преход (включително литий, неодим и силициев метал).</w:t>
      </w:r>
    </w:p>
    <w:p w14:paraId="27477CDB" w14:textId="7F5F4903" w:rsidR="006054AA" w:rsidRDefault="001F7667">
      <w:pPr>
        <w:pStyle w:val="Text1"/>
        <w:spacing w:before="0"/>
        <w:ind w:left="720"/>
        <w:rPr>
          <w:noProof/>
        </w:rPr>
      </w:pPr>
      <w:r>
        <w:rPr>
          <w:noProof/>
        </w:rPr>
        <w:t>Очакваният резултат за този вид дейност е оборудването на тези лаборатории.</w:t>
      </w:r>
    </w:p>
    <w:p w14:paraId="66A532F1" w14:textId="02084917" w:rsidR="006054AA" w:rsidRDefault="001F7667">
      <w:pPr>
        <w:pStyle w:val="P68B1DB1-Heading437"/>
        <w:numPr>
          <w:ilvl w:val="3"/>
          <w:numId w:val="0"/>
        </w:numPr>
        <w:rPr>
          <w:noProof/>
        </w:rPr>
      </w:pPr>
      <w:r>
        <w:rPr>
          <w:noProof/>
        </w:rPr>
        <w:t>Инвестиция 9. Мярка за разрастване: предоставяне на техническа помощ и укрепване на изграждането на капацитет за изпълнението на италианския план за възстановяване и устойчивост</w:t>
      </w:r>
    </w:p>
    <w:p w14:paraId="7E811563" w14:textId="26098330" w:rsidR="006054AA" w:rsidRDefault="001F7667">
      <w:pPr>
        <w:spacing w:after="120"/>
        <w:ind w:right="-45"/>
        <w:jc w:val="both"/>
        <w:rPr>
          <w:noProof/>
        </w:rPr>
      </w:pPr>
      <w:r>
        <w:rPr>
          <w:noProof/>
        </w:rPr>
        <w:t xml:space="preserve">Тези инвестиции увеличават инвестициите 1.9 в мисия 1, компонент 1 от плана за възстановяване и устойчивост на Италия. </w:t>
      </w:r>
    </w:p>
    <w:p w14:paraId="4E7F1728" w14:textId="2097165C" w:rsidR="006054AA" w:rsidRDefault="001F7667">
      <w:pPr>
        <w:spacing w:after="120"/>
        <w:ind w:right="-45"/>
        <w:jc w:val="both"/>
        <w:rPr>
          <w:noProof/>
        </w:rPr>
      </w:pPr>
      <w:r>
        <w:rPr>
          <w:noProof/>
        </w:rPr>
        <w:t>Тази мярка увеличава съществуващите инвестиции, като допълва съществуващата програма за обучение, предоставена на платформата за обучение www.syllabus.gov.it</w:t>
      </w:r>
      <w:hyperlink r:id="rId386">
        <w:r>
          <w:rPr>
            <w:rStyle w:val="Hyperlink"/>
            <w:noProof/>
          </w:rPr>
          <w:t>,</w:t>
        </w:r>
      </w:hyperlink>
      <w:r>
        <w:rPr>
          <w:noProof/>
        </w:rPr>
        <w:t xml:space="preserve"> с модули за обучение, подготвящи местните държавни служители за екологичния преход.</w:t>
      </w:r>
    </w:p>
    <w:p w14:paraId="63F3D019" w14:textId="7BDAEFB9" w:rsidR="006054AA" w:rsidRDefault="001F7667">
      <w:pPr>
        <w:spacing w:after="120"/>
        <w:ind w:right="-45"/>
        <w:jc w:val="both"/>
        <w:rPr>
          <w:noProof/>
        </w:rPr>
      </w:pPr>
      <w:r>
        <w:rPr>
          <w:noProof/>
        </w:rPr>
        <w:t xml:space="preserve">Модулите за обучение обхващат най-малко следните теми: процедури за издаване на разрешения за централи от възобновяеми източници; насърчаване на общностите за възобновяема енергия; подкрепа и организиране на икономиите на енергия от страна на публичната администрация; екологосъобразни електронни обществени поръчки за енергия и продукти с по-слабо въздействие върху околната среда;  обществени поръчки за енергийна ефективност на сградите; лидерство на публичната администрация в областта на енергийната ефективност и устойчивото поведение на енергийния фронт: най-добри практики и разпространение на културата на устойчивост; модели за насърчаване на устойчива мобилност за енергоспестяване. </w:t>
      </w:r>
    </w:p>
    <w:p w14:paraId="4ED1CCA4" w14:textId="612E0BEA" w:rsidR="006054AA" w:rsidRDefault="001F7667">
      <w:pPr>
        <w:pStyle w:val="P68B1DB1-Heading437"/>
        <w:numPr>
          <w:ilvl w:val="0"/>
          <w:numId w:val="0"/>
        </w:numPr>
        <w:ind w:left="850" w:hanging="850"/>
        <w:rPr>
          <w:noProof/>
        </w:rPr>
      </w:pPr>
      <w:r>
        <w:rPr>
          <w:noProof/>
        </w:rPr>
        <w:t>Инвестиция 10. Пилотни проекти за умения „Crescere Green“</w:t>
      </w:r>
    </w:p>
    <w:p w14:paraId="074B3238" w14:textId="15A73F9D" w:rsidR="006054AA" w:rsidRDefault="001F7667">
      <w:pPr>
        <w:pStyle w:val="P68B1DB1-Normal16"/>
        <w:spacing w:after="120"/>
        <w:jc w:val="both"/>
        <w:rPr>
          <w:noProof/>
        </w:rPr>
      </w:pPr>
      <w:r>
        <w:rPr>
          <w:noProof/>
        </w:rPr>
        <w:t xml:space="preserve">Целта на тази инвестиция е да се развият „зелени“ умения в надрегионален мащаб, с участието на предприятията и частния сектор и със секторна насоченост. </w:t>
      </w:r>
    </w:p>
    <w:p w14:paraId="5C3B186E" w14:textId="68708F94" w:rsidR="006054AA" w:rsidRDefault="001F7667">
      <w:pPr>
        <w:pStyle w:val="P68B1DB1-Normal16"/>
        <w:spacing w:after="120"/>
        <w:jc w:val="both"/>
        <w:rPr>
          <w:noProof/>
        </w:rPr>
      </w:pPr>
      <w:r>
        <w:rPr>
          <w:noProof/>
        </w:rPr>
        <w:t xml:space="preserve">Кратките интервенции за обучение са насочени към професионалните умения, които са най-необходими за екологичния преход на пазара на труда. Засегнатите професии се определят чрез пактовете за умения в рамките на „Реформа 5: План за нови умения — промени“. Получателите се идентифицират сред участниците в Националната програма за гарантирана заетост на работниците (GOL) (в рамките на „Мисия 5: Компонент 1 — Реформа 1“), които след процес на оценка следват курс със специален компонент за обучение. Инвестицията има за цел също така да увеличи капацитета на администрациите, институциите и партньорите, участващи в планирането на дейностите по обучение. </w:t>
      </w:r>
    </w:p>
    <w:p w14:paraId="641AC457" w14:textId="4E96EF84" w:rsidR="006054AA" w:rsidRDefault="001F7667">
      <w:pPr>
        <w:spacing w:after="120"/>
        <w:jc w:val="both"/>
        <w:rPr>
          <w:noProof/>
        </w:rPr>
      </w:pPr>
      <w:r>
        <w:rPr>
          <w:noProof/>
        </w:rPr>
        <w:t>Обучението, подкрепено от тази инвестиция, не е свързано с: I) дейности и активи, свързани с изкопаеми горива, включително използване надолу по веригата</w:t>
      </w:r>
      <w:r>
        <w:rPr>
          <w:rStyle w:val="FootnoteReference"/>
          <w:noProof/>
        </w:rPr>
        <w:footnoteReference w:id="127"/>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noProof/>
        </w:rPr>
        <w:footnoteReference w:id="128"/>
      </w:r>
      <w:r>
        <w:rPr>
          <w:noProof/>
        </w:rPr>
        <w:t>, iii) дейности и активи, свързани с депа за отпадъци, инсинератори</w:t>
      </w:r>
      <w:r>
        <w:rPr>
          <w:rStyle w:val="FootnoteReference"/>
          <w:noProof/>
        </w:rPr>
        <w:footnoteReference w:id="129"/>
      </w:r>
      <w:r>
        <w:rPr>
          <w:noProof/>
        </w:rPr>
        <w:t xml:space="preserve"> и инсталации за механично-биологично третиране</w:t>
      </w:r>
      <w:r>
        <w:rPr>
          <w:rStyle w:val="FootnoteReference"/>
          <w:noProof/>
        </w:rPr>
        <w:footnoteReference w:id="130"/>
      </w:r>
      <w:r>
        <w:rPr>
          <w:noProof/>
        </w:rPr>
        <w:t>. Освен това в заданието се изисква да могат да бъдат избирани само дейности, които са в съответствие със съответното законодателство на ЕС и национално законодателство в областта на околната среда.</w:t>
      </w:r>
    </w:p>
    <w:p w14:paraId="7DE826A7" w14:textId="0980EDF5" w:rsidR="006054AA" w:rsidRDefault="001F7667">
      <w:pPr>
        <w:pStyle w:val="P68B1DB1-Heading437"/>
        <w:numPr>
          <w:ilvl w:val="3"/>
          <w:numId w:val="0"/>
        </w:numPr>
        <w:rPr>
          <w:noProof/>
        </w:rPr>
      </w:pPr>
      <w:r>
        <w:rPr>
          <w:noProof/>
        </w:rPr>
        <w:t>Инвестиция 11. Разрастване: Укрепване на регионалния железопътен парк от обществен транспорт с влакове с нулеви емисии и универсална услуга</w:t>
      </w:r>
    </w:p>
    <w:p w14:paraId="69C2C28B" w14:textId="62E06265" w:rsidR="006054AA" w:rsidRDefault="001F7667">
      <w:pPr>
        <w:spacing w:before="120" w:after="120"/>
        <w:jc w:val="both"/>
        <w:rPr>
          <w:noProof/>
        </w:rPr>
      </w:pPr>
      <w:r>
        <w:rPr>
          <w:noProof/>
        </w:rPr>
        <w:t xml:space="preserve">Тази инвестиция се състои в закупуването и пускането в експлоатация на най-малко 69 пътнически влака с нулеви емисии (като влакът се състои от поне един локомотив и включва пътнически вагони) и допълнителни 30 вагона за универсална услуга. Като цяло инвестицията трябва да осигурява най-малко 342 единици, от които най-малко 69 са локомотиви. Допустими са само електрически или водородни горивни клетки. Двумодалните влакове не са допустими. </w:t>
      </w:r>
    </w:p>
    <w:p w14:paraId="5CC1CC30" w14:textId="5687483F" w:rsidR="006054AA" w:rsidRDefault="001F7667">
      <w:pPr>
        <w:pStyle w:val="P68B1DB1-Heading437"/>
        <w:numPr>
          <w:ilvl w:val="3"/>
          <w:numId w:val="0"/>
        </w:numPr>
        <w:rPr>
          <w:noProof/>
        </w:rPr>
      </w:pPr>
      <w:r>
        <w:rPr>
          <w:noProof/>
        </w:rPr>
        <w:t>Инвестиция 12: Схема за отпускане на безвъзмездни средства за развитие на международно и промишлено лидерство и лидерство в областта на научноизследователската и развойната дейност в електрическите автобуси</w:t>
      </w:r>
    </w:p>
    <w:p w14:paraId="4D095BA9" w14:textId="33A155F8" w:rsidR="006054AA" w:rsidRDefault="001F7667">
      <w:pPr>
        <w:spacing w:after="120"/>
        <w:jc w:val="both"/>
        <w:rPr>
          <w:noProof/>
        </w:rPr>
      </w:pPr>
      <w:r>
        <w:rPr>
          <w:noProof/>
        </w:rPr>
        <w:t>Тази мярка се състои от публични инвестиции в схема за безвъзмездни средства „Развитие на международно, промишлено и научноизследователско лидерство в областта на електрическите автобуси“, за да се стимулират частните инвестиции и да се подобри достъпът до финансиране в Италия в подкрепа на инвестициите във веригата на доставки на автомобилни паркове от електрически автобуси с нулеви емисии. Схемата функционира чрез предоставяне на безвъзмездни средства пряко на частния сектор. Въз основа на инвестицията по МВУ схемата има за цел първоначално да предостави най-малко 100</w:t>
      </w:r>
      <w:r>
        <w:rPr>
          <w:rFonts w:ascii="Arial Narrow" w:hAnsi="Arial Narrow"/>
          <w:noProof/>
          <w:color w:val="006100"/>
          <w:sz w:val="20"/>
        </w:rPr>
        <w:t xml:space="preserve">  </w:t>
      </w:r>
      <w:r>
        <w:rPr>
          <w:noProof/>
        </w:rPr>
        <w:t>000 EUR безвъзмездни средства.</w:t>
      </w:r>
    </w:p>
    <w:p w14:paraId="61E0C844" w14:textId="195C1E99" w:rsidR="006054AA" w:rsidRDefault="001F7667">
      <w:pPr>
        <w:spacing w:after="120"/>
        <w:jc w:val="both"/>
        <w:rPr>
          <w:noProof/>
        </w:rPr>
      </w:pPr>
      <w:r>
        <w:rPr>
          <w:noProof/>
        </w:rPr>
        <w:t>Схемата се управлява от Invitalia S.p.A. като партньор по изпълнението. Схемата включва следната продуктова линия:</w:t>
      </w:r>
    </w:p>
    <w:p w14:paraId="7BA95377" w14:textId="0A716822" w:rsidR="006054AA" w:rsidRDefault="001F7667">
      <w:pPr>
        <w:pStyle w:val="ListParagraph"/>
        <w:numPr>
          <w:ilvl w:val="0"/>
          <w:numId w:val="138"/>
        </w:numPr>
        <w:spacing w:before="0"/>
        <w:rPr>
          <w:noProof/>
        </w:rPr>
      </w:pPr>
      <w:r>
        <w:rPr>
          <w:noProof/>
        </w:rPr>
        <w:t xml:space="preserve"> Безвъзмездни средства за дружества във веригата на доставки на електрически автобуси с нулеви емисии. Хибридните автобуси не са допустими за подпомагане.</w:t>
      </w:r>
    </w:p>
    <w:p w14:paraId="644D7A2D" w14:textId="1A128C9F" w:rsidR="006054AA" w:rsidRDefault="001F7667">
      <w:pPr>
        <w:spacing w:after="120"/>
        <w:jc w:val="both"/>
        <w:rPr>
          <w:noProof/>
        </w:rPr>
      </w:pPr>
      <w:r>
        <w:rPr>
          <w:noProof/>
        </w:rPr>
        <w:t>За да осъществят инвестицията в схемата, Италия и Invitalia S.p.A. подписват споразумение за изпълнение, което включва следното съдържание:</w:t>
      </w:r>
    </w:p>
    <w:p w14:paraId="370FFFA8" w14:textId="52795A27" w:rsidR="006054AA" w:rsidRDefault="001F7667">
      <w:pPr>
        <w:pStyle w:val="ListParagraph"/>
        <w:numPr>
          <w:ilvl w:val="0"/>
          <w:numId w:val="137"/>
        </w:numPr>
        <w:spacing w:before="0"/>
        <w:rPr>
          <w:noProof/>
        </w:rPr>
      </w:pPr>
      <w:r>
        <w:rPr>
          <w:noProof/>
        </w:rPr>
        <w:t>Описание на процеса на вземане на решения по схемата: Окончателното решение за отпускане на средства по схемата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p>
    <w:p w14:paraId="743473B7" w14:textId="211B7AB6" w:rsidR="006054AA" w:rsidRDefault="001F7667">
      <w:pPr>
        <w:pStyle w:val="ListParagraph"/>
        <w:numPr>
          <w:ilvl w:val="0"/>
          <w:numId w:val="137"/>
        </w:numPr>
        <w:spacing w:before="0"/>
        <w:rPr>
          <w:noProof/>
        </w:rPr>
      </w:pPr>
      <w:r>
        <w:rPr>
          <w:noProof/>
        </w:rPr>
        <w:t>Основни изисквания на свързаната политика за отпускане на безвъзмездни средства, които включват:</w:t>
      </w:r>
    </w:p>
    <w:p w14:paraId="720C8E16" w14:textId="22494275" w:rsidR="006054AA" w:rsidRDefault="001F7667">
      <w:pPr>
        <w:pStyle w:val="ListParagraph"/>
        <w:numPr>
          <w:ilvl w:val="1"/>
          <w:numId w:val="137"/>
        </w:numPr>
        <w:spacing w:before="0"/>
        <w:rPr>
          <w:noProof/>
        </w:rPr>
      </w:pPr>
      <w:r>
        <w:rPr>
          <w:noProof/>
        </w:rPr>
        <w:t xml:space="preserve">Описанието на предоставените безвъзмездни средства и допустимите крайни бенефициери. </w:t>
      </w:r>
    </w:p>
    <w:p w14:paraId="1B3DCB83" w14:textId="22EE56B6" w:rsidR="006054AA" w:rsidRDefault="001F7667">
      <w:pPr>
        <w:pStyle w:val="ListParagraph"/>
        <w:numPr>
          <w:ilvl w:val="1"/>
          <w:numId w:val="137"/>
        </w:numPr>
        <w:spacing w:before="0"/>
        <w:rPr>
          <w:noProof/>
        </w:rPr>
      </w:pPr>
      <w:r>
        <w:rPr>
          <w:noProof/>
        </w:rPr>
        <w:t>Изискването всички подпомагани инвестиции да са икономически жизнеспособни.</w:t>
      </w:r>
    </w:p>
    <w:p w14:paraId="77394CEB" w14:textId="50E7FBC0" w:rsidR="006054AA" w:rsidRDefault="001F7667">
      <w:pPr>
        <w:pStyle w:val="ListParagraph"/>
        <w:numPr>
          <w:ilvl w:val="1"/>
          <w:numId w:val="137"/>
        </w:numPr>
        <w:spacing w:before="0"/>
        <w:rPr>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политиката за отпускане на безвъзмездни средства изключва от допустимост следния списък от дейности и активи: I) дейности и активи, свързани с изкопаеми горива, включително използване надолу по веригата</w:t>
      </w:r>
      <w:r>
        <w:rPr>
          <w:noProof/>
        </w:rPr>
        <w:footnoteReference w:id="131"/>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noProof/>
        </w:rPr>
        <w:footnoteReference w:id="132"/>
      </w:r>
      <w:r>
        <w:rPr>
          <w:noProof/>
        </w:rPr>
        <w:t>, iii) дейности и активи, свързани с депа за отпадъци, инсинератори</w:t>
      </w:r>
      <w:r>
        <w:rPr>
          <w:noProof/>
        </w:rPr>
        <w:footnoteReference w:id="133"/>
      </w:r>
      <w:r>
        <w:rPr>
          <w:noProof/>
        </w:rPr>
        <w:t xml:space="preserve"> и инсталации за механично-биологично третиране</w:t>
      </w:r>
      <w:r>
        <w:rPr>
          <w:noProof/>
        </w:rPr>
        <w:footnoteReference w:id="134"/>
      </w:r>
      <w:r>
        <w:rPr>
          <w:noProof/>
        </w:rPr>
        <w:t xml:space="preserve">. </w:t>
      </w:r>
    </w:p>
    <w:p w14:paraId="7CED7B82" w14:textId="2E224CB3" w:rsidR="006054AA" w:rsidRDefault="001F7667">
      <w:pPr>
        <w:pStyle w:val="ListParagraph"/>
        <w:numPr>
          <w:ilvl w:val="1"/>
          <w:numId w:val="137"/>
        </w:numPr>
        <w:spacing w:before="0"/>
        <w:rPr>
          <w:noProof/>
        </w:rPr>
      </w:pPr>
      <w:r>
        <w:rPr>
          <w:noProof/>
        </w:rPr>
        <w:t>Изискването крайните бенефициери по схемата да не получават подпомагане от други инструменти на Съюза за покриване на същите разходи.</w:t>
      </w:r>
    </w:p>
    <w:p w14:paraId="6FACCBD5" w14:textId="47FA24DC" w:rsidR="006054AA" w:rsidRDefault="001F7667">
      <w:pPr>
        <w:pStyle w:val="ListParagraph"/>
        <w:numPr>
          <w:ilvl w:val="0"/>
          <w:numId w:val="137"/>
        </w:numPr>
        <w:spacing w:before="0"/>
        <w:rPr>
          <w:noProof/>
        </w:rPr>
      </w:pPr>
      <w:r>
        <w:rPr>
          <w:noProof/>
        </w:rPr>
        <w:t>Сумата, обхваната от споразумението за изпълнение, структурата на таксите за партньора по изпълнението и изискването за използване на всички неизползвани постъпления от схемата, включително след 2026 г., за същите цели на политиката.</w:t>
      </w:r>
    </w:p>
    <w:p w14:paraId="458B87BA" w14:textId="3C13CAD3" w:rsidR="006054AA" w:rsidRDefault="001F7667">
      <w:pPr>
        <w:pStyle w:val="ListParagraph"/>
        <w:numPr>
          <w:ilvl w:val="0"/>
          <w:numId w:val="137"/>
        </w:numPr>
        <w:spacing w:before="0"/>
        <w:rPr>
          <w:noProof/>
        </w:rPr>
      </w:pPr>
      <w:r>
        <w:rPr>
          <w:noProof/>
        </w:rPr>
        <w:t>Изисквания за мониторинг, одит и контрол, включително:</w:t>
      </w:r>
    </w:p>
    <w:p w14:paraId="6E557D1B" w14:textId="4007A0CD" w:rsidR="006054AA" w:rsidRDefault="001F7667">
      <w:pPr>
        <w:pStyle w:val="ListParagraph"/>
        <w:numPr>
          <w:ilvl w:val="1"/>
          <w:numId w:val="30"/>
        </w:numPr>
        <w:spacing w:before="0"/>
        <w:rPr>
          <w:noProof/>
        </w:rPr>
      </w:pPr>
      <w:r>
        <w:rPr>
          <w:noProof/>
        </w:rPr>
        <w:t>Описание на системата за мониторинг на партньора по изпълнението за докладване относно мобилизираните безвъзмездни средства.</w:t>
      </w:r>
    </w:p>
    <w:p w14:paraId="683D43D9" w14:textId="018FCD4C" w:rsidR="006054AA" w:rsidRDefault="001F7667">
      <w:pPr>
        <w:pStyle w:val="ListParagraph"/>
        <w:numPr>
          <w:ilvl w:val="1"/>
          <w:numId w:val="30"/>
        </w:numPr>
        <w:spacing w:before="0"/>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623F26A0" w14:textId="599A447D" w:rsidR="006054AA" w:rsidRDefault="001F7667">
      <w:pPr>
        <w:pStyle w:val="ListParagraph"/>
        <w:numPr>
          <w:ilvl w:val="1"/>
          <w:numId w:val="30"/>
        </w:numPr>
        <w:spacing w:before="0"/>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отпускането на безвъзмездни средства за дадена операция.</w:t>
      </w:r>
    </w:p>
    <w:p w14:paraId="194EFD15" w14:textId="56A344B3" w:rsidR="006054AA" w:rsidRDefault="001F7667">
      <w:pPr>
        <w:pStyle w:val="ListParagraph"/>
        <w:numPr>
          <w:ilvl w:val="1"/>
          <w:numId w:val="30"/>
        </w:numPr>
        <w:spacing w:before="0"/>
        <w:rPr>
          <w:noProof/>
        </w:rPr>
      </w:pPr>
      <w:r>
        <w:rPr>
          <w:noProof/>
        </w:rPr>
        <w:t xml:space="preserve">Задължението за извършване на основани на риска последващи одити в съответствие с плана за одит на Invitalia S.p.A. Тези одити проверяват i) дали системите за контрол са ефективни, включително разкриването на измами, корупция и конфликт на интереси; II) спазване на принципа за ненанасяне на значителни вреди, правилата за държавна помощ, изискванията в областта на климата; и iii) изискването крайните бенефициери по схемата да не са получили подпомагане от други инструменти на Съюза за покриване на същите разходи, е спазено. Одитите проверяват също така законосъобразността на операциите и спазването на условията на приложимото споразумение за изпълнение и споразумение за отпускане на безвъзмездни средства. </w:t>
      </w:r>
    </w:p>
    <w:p w14:paraId="398BF9E9" w14:textId="087866D6" w:rsidR="006054AA" w:rsidRDefault="001F7667">
      <w:pPr>
        <w:pStyle w:val="ListParagraph"/>
        <w:numPr>
          <w:ilvl w:val="0"/>
          <w:numId w:val="137"/>
        </w:numPr>
        <w:spacing w:before="0"/>
        <w:rPr>
          <w:noProof/>
        </w:rPr>
      </w:pPr>
      <w:r>
        <w:rPr>
          <w:noProof/>
        </w:rPr>
        <w:t>Изисквания за инвестиции в областта на климата, извършвани от партньора по изпълнението: най-малко 100</w:t>
      </w:r>
      <w:r>
        <w:rPr>
          <w:rFonts w:ascii="Arial Narrow" w:hAnsi="Arial Narrow"/>
          <w:noProof/>
          <w:color w:val="006100"/>
          <w:sz w:val="20"/>
        </w:rPr>
        <w:t xml:space="preserve"> </w:t>
      </w:r>
      <w:r>
        <w:rPr>
          <w:noProof/>
        </w:rPr>
        <w:t>000</w:t>
      </w:r>
      <w:r>
        <w:rPr>
          <w:rFonts w:ascii="Arial Narrow" w:hAnsi="Arial Narrow"/>
          <w:noProof/>
          <w:color w:val="006100"/>
          <w:sz w:val="20"/>
        </w:rPr>
        <w:t xml:space="preserve"> </w:t>
      </w:r>
      <w:r>
        <w:rPr>
          <w:noProof/>
        </w:rPr>
        <w:t>000 EUR от инвестициите по МВУ в схемата допринасят за целите във връзка с изменението на климата в съответствие с приложение VI към Регламента за МВУ.</w:t>
      </w:r>
      <w:r>
        <w:rPr>
          <w:noProof/>
        </w:rPr>
        <w:footnoteReference w:id="135"/>
      </w:r>
      <w:r>
        <w:rPr>
          <w:noProof/>
        </w:rPr>
        <w:t xml:space="preserve"> </w:t>
      </w:r>
    </w:p>
    <w:p w14:paraId="0E0DD325" w14:textId="77777777" w:rsidR="006054AA" w:rsidRDefault="001F7667">
      <w:pPr>
        <w:spacing w:after="120"/>
        <w:jc w:val="both"/>
        <w:rPr>
          <w:noProof/>
        </w:rPr>
        <w:sectPr w:rsidR="006054AA" w:rsidSect="00A932FE">
          <w:headerReference w:type="even" r:id="rId387"/>
          <w:headerReference w:type="default" r:id="rId388"/>
          <w:footerReference w:type="even" r:id="rId389"/>
          <w:footerReference w:type="default" r:id="rId390"/>
          <w:headerReference w:type="first" r:id="rId391"/>
          <w:footerReference w:type="first" r:id="rId392"/>
          <w:pgSz w:w="11907" w:h="16839"/>
          <w:pgMar w:top="1440" w:right="1440" w:bottom="1440" w:left="1440" w:header="567" w:footer="567" w:gutter="0"/>
          <w:cols w:space="720"/>
          <w:docGrid w:linePitch="360"/>
        </w:sectPr>
      </w:pPr>
      <w:r>
        <w:rPr>
          <w:noProof/>
        </w:rPr>
        <w:t xml:space="preserve">Изпълнението на мярката трябва да приключи до 31 август 2026 г. </w:t>
      </w:r>
    </w:p>
    <w:p w14:paraId="2D55E1BF" w14:textId="7FA88100" w:rsidR="006054AA" w:rsidRDefault="00C11C11">
      <w:pPr>
        <w:pStyle w:val="Heading3"/>
        <w:numPr>
          <w:ilvl w:val="2"/>
          <w:numId w:val="0"/>
        </w:numPr>
        <w:rPr>
          <w:b/>
          <w:i w:val="0"/>
          <w:noProof/>
          <w:u w:val="single"/>
        </w:rPr>
      </w:pPr>
      <w:r>
        <w:rPr>
          <w:b/>
          <w:i w:val="0"/>
          <w:noProof/>
          <w:u w:val="single"/>
          <w:lang w:val="bg-BG"/>
        </w:rPr>
        <w:t>Р</w:t>
      </w:r>
      <w:r w:rsidR="001F7667">
        <w:rPr>
          <w:b/>
          <w:i w:val="0"/>
          <w:noProof/>
          <w:u w:val="single"/>
        </w:rPr>
        <w:t xml:space="preserve">2 </w:t>
      </w:r>
      <w:r w:rsidR="001F7667">
        <w:rPr>
          <w:noProof/>
        </w:rPr>
        <w:tab/>
      </w:r>
      <w:r w:rsidR="001F7667">
        <w:rPr>
          <w:b/>
          <w:i w:val="0"/>
          <w:noProof/>
          <w:u w:val="single"/>
        </w:rPr>
        <w:t>Ключови етапи, цели, показатели и график за мониторинг и изпълнение на безвъзмездната финансова подкрепа</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6054AA" w14:paraId="72E8302D" w14:textId="77777777">
        <w:trPr>
          <w:trHeight w:val="765"/>
          <w:tblHeader/>
        </w:trPr>
        <w:tc>
          <w:tcPr>
            <w:tcW w:w="1185" w:type="dxa"/>
            <w:vMerge w:val="restart"/>
            <w:shd w:val="clear" w:color="auto" w:fill="BDD7EE"/>
            <w:vAlign w:val="center"/>
            <w:hideMark/>
          </w:tcPr>
          <w:p w14:paraId="2A380CE4" w14:textId="77777777" w:rsidR="006054AA" w:rsidRDefault="001F7667">
            <w:pPr>
              <w:pStyle w:val="P68B1DB1-Normal9"/>
              <w:spacing w:after="120"/>
              <w:jc w:val="center"/>
              <w:rPr>
                <w:noProof/>
              </w:rPr>
            </w:pPr>
            <w:r>
              <w:rPr>
                <w:noProof/>
              </w:rPr>
              <w:t>Пореден номер</w:t>
            </w:r>
          </w:p>
        </w:tc>
        <w:tc>
          <w:tcPr>
            <w:tcW w:w="1559" w:type="dxa"/>
            <w:vMerge w:val="restart"/>
            <w:shd w:val="clear" w:color="auto" w:fill="BDD7EE"/>
            <w:vAlign w:val="center"/>
            <w:hideMark/>
          </w:tcPr>
          <w:p w14:paraId="43535281" w14:textId="77777777" w:rsidR="006054AA" w:rsidRDefault="001F7667">
            <w:pPr>
              <w:pStyle w:val="P68B1DB1-Normal9"/>
              <w:spacing w:after="120"/>
              <w:jc w:val="center"/>
              <w:rPr>
                <w:noProof/>
              </w:rPr>
            </w:pPr>
            <w:r>
              <w:rPr>
                <w:noProof/>
              </w:rPr>
              <w:t>Свързана мярка (реформа или инвестиции)</w:t>
            </w:r>
          </w:p>
        </w:tc>
        <w:tc>
          <w:tcPr>
            <w:tcW w:w="1134" w:type="dxa"/>
            <w:vMerge w:val="restart"/>
            <w:shd w:val="clear" w:color="auto" w:fill="BDD7EE"/>
            <w:vAlign w:val="center"/>
            <w:hideMark/>
          </w:tcPr>
          <w:p w14:paraId="6E910A3C" w14:textId="77777777" w:rsidR="006054AA" w:rsidRDefault="001F7667">
            <w:pPr>
              <w:pStyle w:val="P68B1DB1-Normal9"/>
              <w:spacing w:after="120"/>
              <w:jc w:val="center"/>
              <w:rPr>
                <w:noProof/>
              </w:rPr>
            </w:pPr>
            <w:r>
              <w:rPr>
                <w:noProof/>
              </w:rPr>
              <w:t>Ключов етап</w:t>
            </w:r>
          </w:p>
          <w:p w14:paraId="4D4284CD" w14:textId="77777777" w:rsidR="006054AA" w:rsidRDefault="001F7667">
            <w:pPr>
              <w:pStyle w:val="P68B1DB1-Normal9"/>
              <w:spacing w:after="120"/>
              <w:jc w:val="center"/>
              <w:rPr>
                <w:noProof/>
              </w:rPr>
            </w:pPr>
            <w:r>
              <w:rPr>
                <w:noProof/>
              </w:rPr>
              <w:t>/Цел</w:t>
            </w:r>
          </w:p>
        </w:tc>
        <w:tc>
          <w:tcPr>
            <w:tcW w:w="1418" w:type="dxa"/>
            <w:vMerge w:val="restart"/>
            <w:shd w:val="clear" w:color="auto" w:fill="BDD7EE"/>
            <w:vAlign w:val="center"/>
            <w:hideMark/>
          </w:tcPr>
          <w:p w14:paraId="0BED809F" w14:textId="77777777" w:rsidR="006054AA" w:rsidRDefault="001F7667">
            <w:pPr>
              <w:pStyle w:val="P68B1DB1-Normal9"/>
              <w:spacing w:after="120"/>
              <w:jc w:val="center"/>
              <w:rPr>
                <w:noProof/>
              </w:rPr>
            </w:pPr>
            <w:r>
              <w:rPr>
                <w:noProof/>
              </w:rPr>
              <w:t>Име</w:t>
            </w:r>
          </w:p>
        </w:tc>
        <w:tc>
          <w:tcPr>
            <w:tcW w:w="1984" w:type="dxa"/>
            <w:vMerge w:val="restart"/>
            <w:shd w:val="clear" w:color="auto" w:fill="BDD7EE"/>
            <w:vAlign w:val="center"/>
            <w:hideMark/>
          </w:tcPr>
          <w:p w14:paraId="316C0690" w14:textId="77777777" w:rsidR="006054AA" w:rsidRDefault="001F7667">
            <w:pPr>
              <w:pStyle w:val="P68B1DB1-Normal10"/>
              <w:spacing w:after="12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119" w:type="dxa"/>
            <w:gridSpan w:val="3"/>
            <w:shd w:val="clear" w:color="auto" w:fill="BDD7EE"/>
            <w:vAlign w:val="center"/>
            <w:hideMark/>
          </w:tcPr>
          <w:p w14:paraId="1844A200" w14:textId="77777777" w:rsidR="006054AA" w:rsidRDefault="001F7667">
            <w:pPr>
              <w:pStyle w:val="P68B1DB1-Normal10"/>
              <w:spacing w:after="12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701" w:type="dxa"/>
            <w:gridSpan w:val="2"/>
            <w:shd w:val="clear" w:color="auto" w:fill="BDD7EE"/>
            <w:vAlign w:val="center"/>
            <w:hideMark/>
          </w:tcPr>
          <w:p w14:paraId="1C078BC1" w14:textId="77777777" w:rsidR="006054AA" w:rsidRDefault="001F7667">
            <w:pPr>
              <w:pStyle w:val="P68B1DB1-Normal9"/>
              <w:spacing w:after="120"/>
              <w:jc w:val="center"/>
              <w:rPr>
                <w:noProof/>
              </w:rPr>
            </w:pPr>
            <w:r>
              <w:rPr>
                <w:noProof/>
              </w:rPr>
              <w:t>Примерен график за приключване</w:t>
            </w:r>
          </w:p>
        </w:tc>
        <w:tc>
          <w:tcPr>
            <w:tcW w:w="3261" w:type="dxa"/>
            <w:vMerge w:val="restart"/>
            <w:shd w:val="clear" w:color="auto" w:fill="BDD7EE"/>
            <w:vAlign w:val="center"/>
            <w:hideMark/>
          </w:tcPr>
          <w:p w14:paraId="688935F7" w14:textId="77777777" w:rsidR="006054AA" w:rsidRDefault="001F7667">
            <w:pPr>
              <w:pStyle w:val="P68B1DB1-Normal9"/>
              <w:spacing w:after="120"/>
              <w:jc w:val="center"/>
              <w:rPr>
                <w:noProof/>
              </w:rPr>
            </w:pPr>
            <w:r>
              <w:rPr>
                <w:noProof/>
              </w:rPr>
              <w:t>Описание на всеки ключов етап и цел</w:t>
            </w:r>
          </w:p>
        </w:tc>
      </w:tr>
      <w:tr w:rsidR="006054AA" w14:paraId="5E0F712C" w14:textId="77777777">
        <w:trPr>
          <w:trHeight w:val="691"/>
          <w:tblHeader/>
        </w:trPr>
        <w:tc>
          <w:tcPr>
            <w:tcW w:w="1185" w:type="dxa"/>
            <w:vMerge/>
            <w:vAlign w:val="center"/>
            <w:hideMark/>
          </w:tcPr>
          <w:p w14:paraId="508D1A52" w14:textId="77777777" w:rsidR="006054AA" w:rsidRDefault="006054AA">
            <w:pPr>
              <w:spacing w:after="120"/>
              <w:jc w:val="center"/>
              <w:rPr>
                <w:rFonts w:ascii="Arial Narrow" w:hAnsi="Arial Narrow"/>
                <w:b/>
                <w:noProof/>
                <w:sz w:val="20"/>
              </w:rPr>
            </w:pPr>
          </w:p>
        </w:tc>
        <w:tc>
          <w:tcPr>
            <w:tcW w:w="1559" w:type="dxa"/>
            <w:vMerge/>
            <w:vAlign w:val="center"/>
            <w:hideMark/>
          </w:tcPr>
          <w:p w14:paraId="50378BE3" w14:textId="77777777" w:rsidR="006054AA" w:rsidRDefault="006054AA">
            <w:pPr>
              <w:spacing w:after="120"/>
              <w:jc w:val="center"/>
              <w:rPr>
                <w:rFonts w:ascii="Arial Narrow" w:hAnsi="Arial Narrow"/>
                <w:b/>
                <w:noProof/>
                <w:sz w:val="20"/>
              </w:rPr>
            </w:pPr>
          </w:p>
        </w:tc>
        <w:tc>
          <w:tcPr>
            <w:tcW w:w="1134" w:type="dxa"/>
            <w:vMerge/>
            <w:vAlign w:val="center"/>
            <w:hideMark/>
          </w:tcPr>
          <w:p w14:paraId="7DFE63F8" w14:textId="77777777" w:rsidR="006054AA" w:rsidRDefault="006054AA">
            <w:pPr>
              <w:spacing w:after="120"/>
              <w:jc w:val="center"/>
              <w:rPr>
                <w:rFonts w:ascii="Arial Narrow" w:hAnsi="Arial Narrow"/>
                <w:b/>
                <w:noProof/>
                <w:sz w:val="20"/>
              </w:rPr>
            </w:pPr>
          </w:p>
        </w:tc>
        <w:tc>
          <w:tcPr>
            <w:tcW w:w="1418" w:type="dxa"/>
            <w:vMerge/>
            <w:vAlign w:val="center"/>
            <w:hideMark/>
          </w:tcPr>
          <w:p w14:paraId="234E1F80" w14:textId="77777777" w:rsidR="006054AA" w:rsidRDefault="006054AA">
            <w:pPr>
              <w:spacing w:after="120"/>
              <w:jc w:val="center"/>
              <w:rPr>
                <w:rFonts w:ascii="Arial Narrow" w:hAnsi="Arial Narrow"/>
                <w:b/>
                <w:noProof/>
                <w:sz w:val="20"/>
              </w:rPr>
            </w:pPr>
          </w:p>
        </w:tc>
        <w:tc>
          <w:tcPr>
            <w:tcW w:w="1984" w:type="dxa"/>
            <w:vMerge/>
            <w:vAlign w:val="center"/>
            <w:hideMark/>
          </w:tcPr>
          <w:p w14:paraId="071B3577" w14:textId="77777777" w:rsidR="006054AA" w:rsidRDefault="006054AA">
            <w:pPr>
              <w:spacing w:after="120"/>
              <w:jc w:val="center"/>
              <w:rPr>
                <w:rFonts w:ascii="Arial Narrow" w:hAnsi="Arial Narrow"/>
                <w:b/>
                <w:noProof/>
                <w:sz w:val="20"/>
              </w:rPr>
            </w:pPr>
          </w:p>
        </w:tc>
        <w:tc>
          <w:tcPr>
            <w:tcW w:w="1134" w:type="dxa"/>
            <w:shd w:val="clear" w:color="auto" w:fill="BDD7EE"/>
            <w:vAlign w:val="center"/>
            <w:hideMark/>
          </w:tcPr>
          <w:p w14:paraId="317A271C" w14:textId="2065E7E3" w:rsidR="006054AA" w:rsidRDefault="001F7667">
            <w:pPr>
              <w:pStyle w:val="P68B1DB1-Normal9"/>
              <w:spacing w:after="120"/>
              <w:jc w:val="center"/>
              <w:rPr>
                <w:noProof/>
              </w:rPr>
            </w:pPr>
            <w:r>
              <w:rPr>
                <w:noProof/>
              </w:rPr>
              <w:t>Единица мярка</w:t>
            </w:r>
          </w:p>
        </w:tc>
        <w:tc>
          <w:tcPr>
            <w:tcW w:w="993" w:type="dxa"/>
            <w:shd w:val="clear" w:color="auto" w:fill="BDD7EE"/>
            <w:vAlign w:val="center"/>
            <w:hideMark/>
          </w:tcPr>
          <w:p w14:paraId="363B3118" w14:textId="77777777" w:rsidR="006054AA" w:rsidRDefault="001F7667">
            <w:pPr>
              <w:pStyle w:val="P68B1DB1-Normal9"/>
              <w:spacing w:after="120"/>
              <w:jc w:val="center"/>
              <w:rPr>
                <w:noProof/>
              </w:rPr>
            </w:pPr>
            <w:r>
              <w:rPr>
                <w:noProof/>
              </w:rPr>
              <w:t>Базова линия</w:t>
            </w:r>
          </w:p>
        </w:tc>
        <w:tc>
          <w:tcPr>
            <w:tcW w:w="992" w:type="dxa"/>
            <w:shd w:val="clear" w:color="auto" w:fill="BDD7EE"/>
            <w:vAlign w:val="center"/>
            <w:hideMark/>
          </w:tcPr>
          <w:p w14:paraId="17D729FB" w14:textId="77777777" w:rsidR="006054AA" w:rsidRDefault="001F7667">
            <w:pPr>
              <w:pStyle w:val="P68B1DB1-Normal9"/>
              <w:spacing w:after="120"/>
              <w:jc w:val="center"/>
              <w:rPr>
                <w:noProof/>
              </w:rPr>
            </w:pPr>
            <w:r>
              <w:rPr>
                <w:noProof/>
              </w:rPr>
              <w:t>Цел</w:t>
            </w:r>
          </w:p>
        </w:tc>
        <w:tc>
          <w:tcPr>
            <w:tcW w:w="992" w:type="dxa"/>
            <w:shd w:val="clear" w:color="auto" w:fill="BDD7EE"/>
            <w:vAlign w:val="center"/>
            <w:hideMark/>
          </w:tcPr>
          <w:p w14:paraId="347247DE" w14:textId="77777777" w:rsidR="006054AA" w:rsidRDefault="001F7667">
            <w:pPr>
              <w:pStyle w:val="P68B1DB1-Normal9"/>
              <w:spacing w:after="120"/>
              <w:jc w:val="center"/>
              <w:rPr>
                <w:noProof/>
              </w:rPr>
            </w:pPr>
            <w:r>
              <w:rPr>
                <w:noProof/>
              </w:rPr>
              <w:t>Тримесечие</w:t>
            </w:r>
          </w:p>
        </w:tc>
        <w:tc>
          <w:tcPr>
            <w:tcW w:w="709" w:type="dxa"/>
            <w:shd w:val="clear" w:color="auto" w:fill="BDD7EE"/>
            <w:vAlign w:val="center"/>
            <w:hideMark/>
          </w:tcPr>
          <w:p w14:paraId="1F3BE6A4" w14:textId="77777777" w:rsidR="006054AA" w:rsidRDefault="001F7667">
            <w:pPr>
              <w:pStyle w:val="P68B1DB1-Normal9"/>
              <w:spacing w:after="120"/>
              <w:jc w:val="center"/>
              <w:rPr>
                <w:noProof/>
              </w:rPr>
            </w:pPr>
            <w:r>
              <w:rPr>
                <w:noProof/>
              </w:rPr>
              <w:t>Година</w:t>
            </w:r>
          </w:p>
        </w:tc>
        <w:tc>
          <w:tcPr>
            <w:tcW w:w="3261" w:type="dxa"/>
            <w:vMerge/>
            <w:vAlign w:val="center"/>
            <w:hideMark/>
          </w:tcPr>
          <w:p w14:paraId="580BF6FF" w14:textId="77777777" w:rsidR="006054AA" w:rsidRDefault="006054AA">
            <w:pPr>
              <w:spacing w:after="120"/>
              <w:jc w:val="center"/>
              <w:rPr>
                <w:rFonts w:ascii="Arial Narrow" w:hAnsi="Arial Narrow"/>
                <w:b/>
                <w:noProof/>
                <w:sz w:val="20"/>
              </w:rPr>
            </w:pPr>
          </w:p>
        </w:tc>
      </w:tr>
      <w:tr w:rsidR="006054AA" w14:paraId="44F06FAA" w14:textId="77777777">
        <w:trPr>
          <w:trHeight w:val="309"/>
        </w:trPr>
        <w:tc>
          <w:tcPr>
            <w:tcW w:w="1185" w:type="dxa"/>
            <w:shd w:val="clear" w:color="auto" w:fill="C6EFCE"/>
            <w:noWrap/>
            <w:vAlign w:val="center"/>
          </w:tcPr>
          <w:p w14:paraId="30EFFFF9" w14:textId="4A126292" w:rsidR="006054AA" w:rsidRDefault="001F7667">
            <w:pPr>
              <w:pStyle w:val="P68B1DB1-Normal11"/>
              <w:spacing w:after="120"/>
              <w:jc w:val="center"/>
              <w:rPr>
                <w:noProof/>
              </w:rPr>
            </w:pPr>
            <w:r>
              <w:rPr>
                <w:noProof/>
              </w:rPr>
              <w:t>M7—1</w:t>
            </w:r>
          </w:p>
        </w:tc>
        <w:tc>
          <w:tcPr>
            <w:tcW w:w="1559" w:type="dxa"/>
            <w:shd w:val="clear" w:color="auto" w:fill="C6EFCE"/>
            <w:noWrap/>
          </w:tcPr>
          <w:p w14:paraId="023BB33A" w14:textId="57A7F75C" w:rsidR="006054AA" w:rsidRDefault="001F7667">
            <w:pPr>
              <w:pStyle w:val="P68B1DB1-Normal11"/>
              <w:spacing w:after="120"/>
              <w:jc w:val="center"/>
              <w:rPr>
                <w:noProof/>
              </w:rPr>
            </w:pPr>
            <w:r>
              <w:rPr>
                <w:noProof/>
              </w:rPr>
              <w:t>Реформа 1: Рационализиране на процедурите за издаване на разрешения за енергия от възобновяеми източници</w:t>
            </w:r>
          </w:p>
        </w:tc>
        <w:tc>
          <w:tcPr>
            <w:tcW w:w="1134" w:type="dxa"/>
            <w:shd w:val="clear" w:color="auto" w:fill="C6EFCE"/>
            <w:noWrap/>
          </w:tcPr>
          <w:p w14:paraId="47575B49" w14:textId="61C976D6" w:rsidR="006054AA" w:rsidRDefault="001F7667">
            <w:pPr>
              <w:pStyle w:val="P68B1DB1-Normal11"/>
              <w:spacing w:after="120"/>
              <w:jc w:val="center"/>
              <w:rPr>
                <w:noProof/>
              </w:rPr>
            </w:pPr>
            <w:r>
              <w:rPr>
                <w:noProof/>
              </w:rPr>
              <w:t>Ключов етап</w:t>
            </w:r>
          </w:p>
        </w:tc>
        <w:tc>
          <w:tcPr>
            <w:tcW w:w="1418" w:type="dxa"/>
            <w:shd w:val="clear" w:color="auto" w:fill="C6EFCE"/>
            <w:noWrap/>
          </w:tcPr>
          <w:p w14:paraId="7D55E798" w14:textId="08E0D799" w:rsidR="006054AA" w:rsidRDefault="001F7667">
            <w:pPr>
              <w:pStyle w:val="P68B1DB1-Normal11"/>
              <w:spacing w:after="120"/>
              <w:jc w:val="center"/>
              <w:rPr>
                <w:noProof/>
              </w:rPr>
            </w:pPr>
            <w:r>
              <w:rPr>
                <w:noProof/>
              </w:rPr>
              <w:t>Определяне на „зони за ускорено внедряване на енергия от възобновяеми източници“</w:t>
            </w:r>
          </w:p>
        </w:tc>
        <w:tc>
          <w:tcPr>
            <w:tcW w:w="1984" w:type="dxa"/>
            <w:shd w:val="clear" w:color="auto" w:fill="C6EFCE"/>
            <w:noWrap/>
          </w:tcPr>
          <w:p w14:paraId="63A2AE86" w14:textId="3D8132F6" w:rsidR="006054AA" w:rsidRDefault="001F7667">
            <w:pPr>
              <w:pStyle w:val="P68B1DB1-Normal11"/>
              <w:spacing w:after="120"/>
              <w:jc w:val="center"/>
              <w:rPr>
                <w:noProof/>
              </w:rPr>
            </w:pPr>
            <w:r>
              <w:rPr>
                <w:noProof/>
              </w:rPr>
              <w:t>Разпоредба в законодателния акт, указваща влизането в сила на първичното законодателство за определяне на зони за ускоряване на използването на енергия от възобновяеми източници</w:t>
            </w:r>
          </w:p>
        </w:tc>
        <w:tc>
          <w:tcPr>
            <w:tcW w:w="1134" w:type="dxa"/>
            <w:shd w:val="clear" w:color="auto" w:fill="C6EFCE"/>
            <w:noWrap/>
            <w:vAlign w:val="center"/>
          </w:tcPr>
          <w:p w14:paraId="730E31B4"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0295BD3B"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45893735"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3C17BDA1" w14:textId="554296E6" w:rsidR="006054AA" w:rsidRDefault="001F7667">
            <w:pPr>
              <w:pStyle w:val="P68B1DB1-Normal11"/>
              <w:spacing w:after="120"/>
              <w:jc w:val="center"/>
              <w:rPr>
                <w:noProof/>
              </w:rPr>
            </w:pPr>
            <w:r>
              <w:rPr>
                <w:noProof/>
              </w:rPr>
              <w:t>Т4 Г.</w:t>
            </w:r>
          </w:p>
        </w:tc>
        <w:tc>
          <w:tcPr>
            <w:tcW w:w="709" w:type="dxa"/>
            <w:shd w:val="clear" w:color="auto" w:fill="C6EFCE"/>
            <w:noWrap/>
            <w:vAlign w:val="center"/>
          </w:tcPr>
          <w:p w14:paraId="75D29E01" w14:textId="0671DAB1" w:rsidR="006054AA" w:rsidRDefault="001F7667">
            <w:pPr>
              <w:pStyle w:val="P68B1DB1-Normal11"/>
              <w:spacing w:after="120"/>
              <w:jc w:val="center"/>
              <w:rPr>
                <w:noProof/>
              </w:rPr>
            </w:pPr>
            <w:r>
              <w:rPr>
                <w:noProof/>
              </w:rPr>
              <w:t>2024</w:t>
            </w:r>
          </w:p>
        </w:tc>
        <w:tc>
          <w:tcPr>
            <w:tcW w:w="3261" w:type="dxa"/>
            <w:shd w:val="clear" w:color="auto" w:fill="C6EFCE"/>
            <w:noWrap/>
          </w:tcPr>
          <w:p w14:paraId="2C04885F" w14:textId="797D15A6" w:rsidR="006054AA" w:rsidRDefault="001F7667">
            <w:pPr>
              <w:pStyle w:val="P68B1DB1-Normal11"/>
              <w:spacing w:after="120"/>
              <w:rPr>
                <w:noProof/>
              </w:rPr>
            </w:pPr>
            <w:r>
              <w:rPr>
                <w:noProof/>
              </w:rPr>
              <w:t>Влизане в сила на първично законодателство, което определя „зони за ускорено внедряване на енергия от възобновяеми източници“ в поднационалните административни единици.</w:t>
            </w:r>
          </w:p>
        </w:tc>
      </w:tr>
      <w:tr w:rsidR="006054AA" w14:paraId="1DE14B87" w14:textId="77777777">
        <w:trPr>
          <w:trHeight w:val="309"/>
        </w:trPr>
        <w:tc>
          <w:tcPr>
            <w:tcW w:w="1185" w:type="dxa"/>
            <w:shd w:val="clear" w:color="auto" w:fill="C6EFCE"/>
            <w:noWrap/>
          </w:tcPr>
          <w:p w14:paraId="4B9F4738" w14:textId="75A73F20" w:rsidR="006054AA" w:rsidRDefault="001F7667">
            <w:pPr>
              <w:pStyle w:val="P68B1DB1-Normal11"/>
              <w:spacing w:after="120"/>
              <w:jc w:val="center"/>
              <w:rPr>
                <w:noProof/>
              </w:rPr>
            </w:pPr>
            <w:r>
              <w:rPr>
                <w:noProof/>
              </w:rPr>
              <w:t>M7—2</w:t>
            </w:r>
          </w:p>
        </w:tc>
        <w:tc>
          <w:tcPr>
            <w:tcW w:w="1559" w:type="dxa"/>
            <w:shd w:val="clear" w:color="auto" w:fill="C6EFCE"/>
            <w:noWrap/>
          </w:tcPr>
          <w:p w14:paraId="387C01FE" w14:textId="60343CE4" w:rsidR="006054AA" w:rsidRDefault="001F7667">
            <w:pPr>
              <w:pStyle w:val="P68B1DB1-Normal11"/>
              <w:spacing w:after="120"/>
              <w:jc w:val="center"/>
              <w:rPr>
                <w:noProof/>
              </w:rPr>
            </w:pPr>
            <w:r>
              <w:rPr>
                <w:noProof/>
              </w:rPr>
              <w:t>Реформа 1: Рационализиране на процедурите за издаване на разрешения за енергия от възобновяеми източници</w:t>
            </w:r>
          </w:p>
        </w:tc>
        <w:tc>
          <w:tcPr>
            <w:tcW w:w="1134" w:type="dxa"/>
            <w:shd w:val="clear" w:color="auto" w:fill="C6EFCE"/>
            <w:noWrap/>
          </w:tcPr>
          <w:p w14:paraId="08652E2A" w14:textId="4F10D10B" w:rsidR="006054AA" w:rsidRDefault="001F7667">
            <w:pPr>
              <w:pStyle w:val="P68B1DB1-Normal11"/>
              <w:spacing w:after="120"/>
              <w:jc w:val="center"/>
              <w:rPr>
                <w:noProof/>
              </w:rPr>
            </w:pPr>
            <w:r>
              <w:rPr>
                <w:noProof/>
              </w:rPr>
              <w:t>Ключов етап</w:t>
            </w:r>
          </w:p>
        </w:tc>
        <w:tc>
          <w:tcPr>
            <w:tcW w:w="1418" w:type="dxa"/>
            <w:shd w:val="clear" w:color="auto" w:fill="C6EFCE"/>
            <w:noWrap/>
          </w:tcPr>
          <w:p w14:paraId="2CA8C046" w14:textId="53306125" w:rsidR="006054AA" w:rsidRDefault="001F7667">
            <w:pPr>
              <w:pStyle w:val="P68B1DB1-Normal11"/>
              <w:spacing w:after="120"/>
              <w:jc w:val="center"/>
              <w:rPr>
                <w:noProof/>
              </w:rPr>
            </w:pPr>
            <w:r>
              <w:rPr>
                <w:noProof/>
              </w:rPr>
              <w:t xml:space="preserve">Влизане в сила на първичното законодателство (Testo Unico) </w:t>
            </w:r>
          </w:p>
        </w:tc>
        <w:tc>
          <w:tcPr>
            <w:tcW w:w="1984" w:type="dxa"/>
            <w:shd w:val="clear" w:color="auto" w:fill="C6EFCE"/>
            <w:noWrap/>
          </w:tcPr>
          <w:p w14:paraId="60E50E0D" w14:textId="7853D677" w:rsidR="006054AA" w:rsidRDefault="001F7667">
            <w:pPr>
              <w:pStyle w:val="P68B1DB1-Normal11"/>
              <w:spacing w:after="120"/>
              <w:jc w:val="center"/>
              <w:rPr>
                <w:noProof/>
              </w:rPr>
            </w:pPr>
            <w:r>
              <w:rPr>
                <w:noProof/>
              </w:rPr>
              <w:t>Законова разпоредба, указваща влизането в сила на първичното законодателство</w:t>
            </w:r>
          </w:p>
        </w:tc>
        <w:tc>
          <w:tcPr>
            <w:tcW w:w="1134" w:type="dxa"/>
            <w:shd w:val="clear" w:color="auto" w:fill="C6EFCE"/>
            <w:noWrap/>
          </w:tcPr>
          <w:p w14:paraId="4E58F3A5" w14:textId="77777777" w:rsidR="006054AA" w:rsidRDefault="006054AA">
            <w:pPr>
              <w:spacing w:after="120"/>
              <w:jc w:val="center"/>
              <w:rPr>
                <w:rFonts w:ascii="Arial Narrow" w:hAnsi="Arial Narrow"/>
                <w:noProof/>
                <w:color w:val="006100"/>
                <w:sz w:val="20"/>
              </w:rPr>
            </w:pPr>
          </w:p>
        </w:tc>
        <w:tc>
          <w:tcPr>
            <w:tcW w:w="993" w:type="dxa"/>
            <w:shd w:val="clear" w:color="auto" w:fill="C6EFCE"/>
            <w:noWrap/>
          </w:tcPr>
          <w:p w14:paraId="4587E27F"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09090F03"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3B9196A5" w14:textId="2D442670"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5B4D0664" w14:textId="0E5B89E9" w:rsidR="006054AA" w:rsidRDefault="001F7667">
            <w:pPr>
              <w:pStyle w:val="P68B1DB1-Normal11"/>
              <w:spacing w:after="120"/>
              <w:jc w:val="center"/>
              <w:rPr>
                <w:noProof/>
              </w:rPr>
            </w:pPr>
            <w:r>
              <w:rPr>
                <w:noProof/>
              </w:rPr>
              <w:t>2025</w:t>
            </w:r>
          </w:p>
        </w:tc>
        <w:tc>
          <w:tcPr>
            <w:tcW w:w="3261" w:type="dxa"/>
            <w:shd w:val="clear" w:color="auto" w:fill="C6EFCE"/>
            <w:noWrap/>
          </w:tcPr>
          <w:p w14:paraId="34FB0AFD" w14:textId="0675F336" w:rsidR="006054AA" w:rsidRDefault="001F7667">
            <w:pPr>
              <w:pStyle w:val="P68B1DB1-Normal11"/>
              <w:spacing w:after="120"/>
              <w:rPr>
                <w:noProof/>
              </w:rPr>
            </w:pPr>
            <w:r>
              <w:rPr>
                <w:noProof/>
              </w:rPr>
              <w:t xml:space="preserve">Влизане в сила на Testo Unico (първично законодателство) за събиране, съставяне и консолидиране на всички норми, регулиращи внедряването на възобновяеми енергийни източници, и заменяне на цялото приложимо предишно законодателство. </w:t>
            </w:r>
          </w:p>
        </w:tc>
      </w:tr>
      <w:tr w:rsidR="006054AA" w14:paraId="1A7D1303" w14:textId="77777777">
        <w:trPr>
          <w:trHeight w:val="309"/>
        </w:trPr>
        <w:tc>
          <w:tcPr>
            <w:tcW w:w="1185" w:type="dxa"/>
            <w:shd w:val="clear" w:color="auto" w:fill="C6EFCE"/>
            <w:noWrap/>
          </w:tcPr>
          <w:p w14:paraId="4CD7482F" w14:textId="001B58FD" w:rsidR="006054AA" w:rsidRDefault="001F7667">
            <w:pPr>
              <w:pStyle w:val="P68B1DB1-Normal11"/>
              <w:spacing w:after="120"/>
              <w:jc w:val="center"/>
              <w:rPr>
                <w:noProof/>
              </w:rPr>
            </w:pPr>
            <w:r>
              <w:rPr>
                <w:noProof/>
              </w:rPr>
              <w:t>M7—3</w:t>
            </w:r>
          </w:p>
        </w:tc>
        <w:tc>
          <w:tcPr>
            <w:tcW w:w="1559" w:type="dxa"/>
            <w:shd w:val="clear" w:color="auto" w:fill="C6EFCE"/>
            <w:noWrap/>
          </w:tcPr>
          <w:p w14:paraId="3E4A2597" w14:textId="77777777" w:rsidR="006054AA" w:rsidRDefault="001F7667">
            <w:pPr>
              <w:pStyle w:val="P68B1DB1-Normal11"/>
              <w:spacing w:after="120"/>
              <w:jc w:val="center"/>
              <w:rPr>
                <w:noProof/>
              </w:rPr>
            </w:pPr>
            <w:r>
              <w:rPr>
                <w:noProof/>
              </w:rPr>
              <w:t>Реформа 1: Рационализиране на процедурите за издаване на разрешения за енергия от възобновяеми източници</w:t>
            </w:r>
          </w:p>
          <w:p w14:paraId="79F91A8C" w14:textId="5D34ADBB" w:rsidR="006054AA" w:rsidRDefault="006054AA">
            <w:pPr>
              <w:spacing w:after="120"/>
              <w:rPr>
                <w:rFonts w:ascii="Arial Narrow" w:hAnsi="Arial Narrow"/>
                <w:noProof/>
                <w:color w:val="006100"/>
                <w:sz w:val="20"/>
              </w:rPr>
            </w:pPr>
          </w:p>
        </w:tc>
        <w:tc>
          <w:tcPr>
            <w:tcW w:w="1134" w:type="dxa"/>
            <w:shd w:val="clear" w:color="auto" w:fill="C6EFCE"/>
            <w:noWrap/>
          </w:tcPr>
          <w:p w14:paraId="647C6724" w14:textId="6C6CDE6B" w:rsidR="006054AA" w:rsidRDefault="001F7667">
            <w:pPr>
              <w:pStyle w:val="P68B1DB1-Normal11"/>
              <w:spacing w:after="120"/>
              <w:jc w:val="center"/>
              <w:rPr>
                <w:noProof/>
              </w:rPr>
            </w:pPr>
            <w:r>
              <w:rPr>
                <w:noProof/>
              </w:rPr>
              <w:t>Ключов етап</w:t>
            </w:r>
          </w:p>
        </w:tc>
        <w:tc>
          <w:tcPr>
            <w:tcW w:w="1418" w:type="dxa"/>
            <w:shd w:val="clear" w:color="auto" w:fill="C6EFCE"/>
            <w:noWrap/>
          </w:tcPr>
          <w:p w14:paraId="138DBAB4" w14:textId="009A457C" w:rsidR="006054AA" w:rsidRDefault="001F7667">
            <w:pPr>
              <w:pStyle w:val="P68B1DB1-Normal11"/>
              <w:spacing w:after="120"/>
              <w:jc w:val="center"/>
              <w:rPr>
                <w:noProof/>
              </w:rPr>
            </w:pPr>
            <w:r>
              <w:rPr>
                <w:noProof/>
              </w:rPr>
              <w:t>Създаване и привеждане в действие на единната цифрова платформа за разрешения, свързани с възобновяемите енергийни източници</w:t>
            </w:r>
          </w:p>
        </w:tc>
        <w:tc>
          <w:tcPr>
            <w:tcW w:w="1984" w:type="dxa"/>
            <w:shd w:val="clear" w:color="auto" w:fill="C6EFCE"/>
            <w:noWrap/>
          </w:tcPr>
          <w:p w14:paraId="3F405113" w14:textId="225C1079" w:rsidR="006054AA" w:rsidRDefault="001F7667">
            <w:pPr>
              <w:pStyle w:val="P68B1DB1-Normal11"/>
              <w:spacing w:after="120"/>
              <w:jc w:val="center"/>
              <w:rPr>
                <w:noProof/>
              </w:rPr>
            </w:pPr>
            <w:r>
              <w:rPr>
                <w:noProof/>
              </w:rPr>
              <w:t>Създаване и привеждане в действие на единната цифрова платформа за издаване на разрешения във връзка с възобновяемите енергийни източници</w:t>
            </w:r>
          </w:p>
        </w:tc>
        <w:tc>
          <w:tcPr>
            <w:tcW w:w="1134" w:type="dxa"/>
            <w:shd w:val="clear" w:color="auto" w:fill="C6EFCE"/>
            <w:noWrap/>
          </w:tcPr>
          <w:p w14:paraId="21731CE5" w14:textId="407C090A" w:rsidR="006054AA" w:rsidRDefault="006054AA">
            <w:pPr>
              <w:spacing w:after="120"/>
              <w:jc w:val="center"/>
              <w:rPr>
                <w:rFonts w:ascii="Arial Narrow" w:hAnsi="Arial Narrow"/>
                <w:noProof/>
                <w:color w:val="006100"/>
                <w:sz w:val="20"/>
              </w:rPr>
            </w:pPr>
          </w:p>
        </w:tc>
        <w:tc>
          <w:tcPr>
            <w:tcW w:w="993" w:type="dxa"/>
            <w:shd w:val="clear" w:color="auto" w:fill="C6EFCE"/>
            <w:noWrap/>
          </w:tcPr>
          <w:p w14:paraId="5828529C" w14:textId="7173970D"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1DF60736" w14:textId="7A76C66E"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027F629C" w14:textId="6478B7D5" w:rsidR="006054AA" w:rsidRDefault="001F7667">
            <w:pPr>
              <w:pStyle w:val="P68B1DB1-Normal11"/>
              <w:spacing w:after="120"/>
              <w:jc w:val="center"/>
              <w:rPr>
                <w:noProof/>
              </w:rPr>
            </w:pPr>
            <w:r>
              <w:rPr>
                <w:noProof/>
              </w:rPr>
              <w:t>Т4 Г.</w:t>
            </w:r>
          </w:p>
        </w:tc>
        <w:tc>
          <w:tcPr>
            <w:tcW w:w="709" w:type="dxa"/>
            <w:shd w:val="clear" w:color="auto" w:fill="C6EFCE"/>
            <w:noWrap/>
            <w:vAlign w:val="center"/>
          </w:tcPr>
          <w:p w14:paraId="6BF6B2CA" w14:textId="2F0B6162" w:rsidR="006054AA" w:rsidRDefault="001F7667">
            <w:pPr>
              <w:pStyle w:val="P68B1DB1-Normal11"/>
              <w:spacing w:after="120"/>
              <w:jc w:val="center"/>
              <w:rPr>
                <w:noProof/>
              </w:rPr>
            </w:pPr>
            <w:r>
              <w:rPr>
                <w:noProof/>
              </w:rPr>
              <w:t>2025</w:t>
            </w:r>
          </w:p>
        </w:tc>
        <w:tc>
          <w:tcPr>
            <w:tcW w:w="3261" w:type="dxa"/>
            <w:shd w:val="clear" w:color="auto" w:fill="C6EFCE"/>
            <w:noWrap/>
          </w:tcPr>
          <w:p w14:paraId="7235F175" w14:textId="2E0123E7" w:rsidR="006054AA" w:rsidRDefault="001F7667">
            <w:pPr>
              <w:pStyle w:val="P68B1DB1-Normal11"/>
              <w:spacing w:after="120"/>
              <w:rPr>
                <w:noProof/>
              </w:rPr>
            </w:pPr>
            <w:r>
              <w:rPr>
                <w:noProof/>
              </w:rPr>
              <w:t>Създава се и се привежда в действие цифровата платформа за еднократно влизане за получаване на всички разрешения, свързани с инсталирането и внедряването на възобновяеми енергийни източници на национално и регионално равнище. Принципът „еднократност и само“ е в сила.</w:t>
            </w:r>
          </w:p>
        </w:tc>
      </w:tr>
      <w:tr w:rsidR="006054AA" w14:paraId="19F658A3" w14:textId="77777777">
        <w:trPr>
          <w:trHeight w:val="309"/>
        </w:trPr>
        <w:tc>
          <w:tcPr>
            <w:tcW w:w="1185" w:type="dxa"/>
            <w:shd w:val="clear" w:color="auto" w:fill="C6EFCE"/>
            <w:noWrap/>
          </w:tcPr>
          <w:p w14:paraId="728A284F" w14:textId="63349832" w:rsidR="006054AA" w:rsidRDefault="001F7667">
            <w:pPr>
              <w:pStyle w:val="P68B1DB1-Normal11"/>
              <w:spacing w:after="120"/>
              <w:jc w:val="center"/>
              <w:rPr>
                <w:noProof/>
              </w:rPr>
            </w:pPr>
            <w:r>
              <w:rPr>
                <w:noProof/>
              </w:rPr>
              <w:t>M7—4</w:t>
            </w:r>
          </w:p>
        </w:tc>
        <w:tc>
          <w:tcPr>
            <w:tcW w:w="1559" w:type="dxa"/>
            <w:shd w:val="clear" w:color="auto" w:fill="C6EFCE"/>
            <w:noWrap/>
          </w:tcPr>
          <w:p w14:paraId="39395742" w14:textId="4EB28DB5" w:rsidR="006054AA" w:rsidRDefault="001F7667">
            <w:pPr>
              <w:pStyle w:val="P68B1DB1-Normal11"/>
              <w:spacing w:after="120"/>
              <w:jc w:val="center"/>
              <w:rPr>
                <w:noProof/>
              </w:rPr>
            </w:pPr>
            <w:r>
              <w:rPr>
                <w:noProof/>
              </w:rPr>
              <w:t>Реформа 2: Намаляване на вредните за околната среда субсидии</w:t>
            </w:r>
          </w:p>
        </w:tc>
        <w:tc>
          <w:tcPr>
            <w:tcW w:w="1134" w:type="dxa"/>
            <w:shd w:val="clear" w:color="auto" w:fill="C6EFCE"/>
            <w:noWrap/>
          </w:tcPr>
          <w:p w14:paraId="67D562DB" w14:textId="46463822" w:rsidR="006054AA" w:rsidRDefault="001F7667">
            <w:pPr>
              <w:pStyle w:val="P68B1DB1-Normal11"/>
              <w:spacing w:after="120"/>
              <w:jc w:val="center"/>
              <w:rPr>
                <w:noProof/>
              </w:rPr>
            </w:pPr>
            <w:r>
              <w:rPr>
                <w:noProof/>
              </w:rPr>
              <w:t>Ключов етап</w:t>
            </w:r>
          </w:p>
        </w:tc>
        <w:tc>
          <w:tcPr>
            <w:tcW w:w="1418" w:type="dxa"/>
            <w:shd w:val="clear" w:color="auto" w:fill="C6EFCE"/>
            <w:noWrap/>
          </w:tcPr>
          <w:p w14:paraId="003E4A46" w14:textId="4C58FF4F" w:rsidR="006054AA" w:rsidRDefault="001F7667">
            <w:pPr>
              <w:pStyle w:val="P68B1DB1-Normal11"/>
              <w:spacing w:after="120"/>
              <w:jc w:val="center"/>
              <w:rPr>
                <w:noProof/>
              </w:rPr>
            </w:pPr>
            <w:r>
              <w:rPr>
                <w:noProof/>
              </w:rPr>
              <w:t>Приемане на доклад на правителството въз основа на резултатите от правителствената консултация със заинтересованите страни за определяне на пътна карта за намаляване на вредните за околната среда субсидии до 2030 г.</w:t>
            </w:r>
          </w:p>
        </w:tc>
        <w:tc>
          <w:tcPr>
            <w:tcW w:w="1984" w:type="dxa"/>
            <w:shd w:val="clear" w:color="auto" w:fill="C6EFCE"/>
            <w:noWrap/>
          </w:tcPr>
          <w:p w14:paraId="70B40351" w14:textId="0D0CCFCE" w:rsidR="006054AA" w:rsidRDefault="001F7667">
            <w:pPr>
              <w:pStyle w:val="P68B1DB1-Normal11"/>
              <w:spacing w:after="120"/>
              <w:jc w:val="center"/>
              <w:rPr>
                <w:noProof/>
              </w:rPr>
            </w:pPr>
            <w:r>
              <w:rPr>
                <w:noProof/>
              </w:rPr>
              <w:t>Приемане на правителствения доклад</w:t>
            </w:r>
          </w:p>
        </w:tc>
        <w:tc>
          <w:tcPr>
            <w:tcW w:w="1134" w:type="dxa"/>
            <w:shd w:val="clear" w:color="auto" w:fill="C6EFCE"/>
            <w:noWrap/>
          </w:tcPr>
          <w:p w14:paraId="44F03ADB" w14:textId="09A4DE4D" w:rsidR="006054AA" w:rsidRDefault="006054AA">
            <w:pPr>
              <w:spacing w:after="120"/>
              <w:jc w:val="center"/>
              <w:rPr>
                <w:rFonts w:ascii="Arial Narrow" w:hAnsi="Arial Narrow"/>
                <w:noProof/>
                <w:color w:val="006100"/>
                <w:sz w:val="20"/>
              </w:rPr>
            </w:pPr>
          </w:p>
        </w:tc>
        <w:tc>
          <w:tcPr>
            <w:tcW w:w="993" w:type="dxa"/>
            <w:shd w:val="clear" w:color="auto" w:fill="C6EFCE"/>
            <w:noWrap/>
          </w:tcPr>
          <w:p w14:paraId="4F0EB228" w14:textId="3BB77F8B"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01D59721" w14:textId="603F004E"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7A13845B" w14:textId="23FC43CA" w:rsidR="006054AA" w:rsidRDefault="001F7667">
            <w:pPr>
              <w:pStyle w:val="P68B1DB1-Normal11"/>
              <w:spacing w:after="120"/>
              <w:jc w:val="center"/>
              <w:rPr>
                <w:noProof/>
              </w:rPr>
            </w:pPr>
            <w:r>
              <w:rPr>
                <w:noProof/>
              </w:rPr>
              <w:t>Т4 Г.</w:t>
            </w:r>
          </w:p>
        </w:tc>
        <w:tc>
          <w:tcPr>
            <w:tcW w:w="709" w:type="dxa"/>
            <w:shd w:val="clear" w:color="auto" w:fill="C6EFCE"/>
            <w:noWrap/>
            <w:vAlign w:val="center"/>
          </w:tcPr>
          <w:p w14:paraId="59C9A02E" w14:textId="2403EEC6" w:rsidR="006054AA" w:rsidRDefault="001F7667">
            <w:pPr>
              <w:pStyle w:val="P68B1DB1-Normal11"/>
              <w:spacing w:after="120"/>
              <w:jc w:val="center"/>
              <w:rPr>
                <w:noProof/>
              </w:rPr>
            </w:pPr>
            <w:r>
              <w:rPr>
                <w:noProof/>
              </w:rPr>
              <w:t>2024</w:t>
            </w:r>
          </w:p>
        </w:tc>
        <w:tc>
          <w:tcPr>
            <w:tcW w:w="3261" w:type="dxa"/>
            <w:shd w:val="clear" w:color="auto" w:fill="C6EFCE"/>
            <w:noWrap/>
          </w:tcPr>
          <w:p w14:paraId="2712DEB4" w14:textId="6F07C090" w:rsidR="006054AA" w:rsidRDefault="001F7667">
            <w:pPr>
              <w:pStyle w:val="P68B1DB1-Normal11"/>
              <w:spacing w:after="120"/>
              <w:rPr>
                <w:noProof/>
              </w:rPr>
            </w:pPr>
            <w:r>
              <w:rPr>
                <w:noProof/>
              </w:rPr>
              <w:t>Реформата предвижда намаляване на вредните за околната среда субсидии, посочени в Каталога за 2022 г. на вредните за околната среда субсидии. В доклад се посочват действията, предприети за консултации със съответните заинтересовани страни относно горепосочената реформа на вредните за околната среда субсидии, включително информацията, получена от заинтересованите страни. Консултираните заинтересовани страни включват съответните публични органи и частни заинтересовани страни.</w:t>
            </w:r>
          </w:p>
        </w:tc>
      </w:tr>
      <w:tr w:rsidR="006054AA" w14:paraId="3668A8C0" w14:textId="77777777">
        <w:trPr>
          <w:trHeight w:val="309"/>
        </w:trPr>
        <w:tc>
          <w:tcPr>
            <w:tcW w:w="1185" w:type="dxa"/>
            <w:shd w:val="clear" w:color="auto" w:fill="C6EFCE"/>
            <w:noWrap/>
          </w:tcPr>
          <w:p w14:paraId="3178006C" w14:textId="2999C93E" w:rsidR="006054AA" w:rsidRDefault="001F7667">
            <w:pPr>
              <w:pStyle w:val="P68B1DB1-Normal11"/>
              <w:spacing w:after="120"/>
              <w:jc w:val="center"/>
              <w:rPr>
                <w:noProof/>
              </w:rPr>
            </w:pPr>
            <w:r>
              <w:rPr>
                <w:noProof/>
              </w:rPr>
              <w:t>M7—5</w:t>
            </w:r>
          </w:p>
        </w:tc>
        <w:tc>
          <w:tcPr>
            <w:tcW w:w="1559" w:type="dxa"/>
            <w:shd w:val="clear" w:color="auto" w:fill="C6EFCE"/>
            <w:noWrap/>
          </w:tcPr>
          <w:p w14:paraId="63B4F225" w14:textId="372AE438" w:rsidR="006054AA" w:rsidRDefault="001F7667">
            <w:pPr>
              <w:pStyle w:val="P68B1DB1-Normal11"/>
              <w:spacing w:after="120"/>
              <w:jc w:val="center"/>
              <w:rPr>
                <w:noProof/>
              </w:rPr>
            </w:pPr>
            <w:r>
              <w:rPr>
                <w:noProof/>
              </w:rPr>
              <w:t>Реформа 2: Намаляване на вредните за околната среда субсидии</w:t>
            </w:r>
          </w:p>
        </w:tc>
        <w:tc>
          <w:tcPr>
            <w:tcW w:w="1134" w:type="dxa"/>
            <w:shd w:val="clear" w:color="auto" w:fill="C6EFCE"/>
            <w:noWrap/>
          </w:tcPr>
          <w:p w14:paraId="2FBA5726" w14:textId="4591120E" w:rsidR="006054AA" w:rsidRDefault="001F7667">
            <w:pPr>
              <w:pStyle w:val="P68B1DB1-Normal11"/>
              <w:spacing w:after="120"/>
              <w:jc w:val="center"/>
              <w:rPr>
                <w:noProof/>
              </w:rPr>
            </w:pPr>
            <w:r>
              <w:rPr>
                <w:noProof/>
              </w:rPr>
              <w:t>Ключов етап</w:t>
            </w:r>
          </w:p>
        </w:tc>
        <w:tc>
          <w:tcPr>
            <w:tcW w:w="1418" w:type="dxa"/>
            <w:shd w:val="clear" w:color="auto" w:fill="C6EFCE"/>
            <w:noWrap/>
          </w:tcPr>
          <w:p w14:paraId="1AAE2140" w14:textId="2429B4A8" w:rsidR="006054AA" w:rsidRDefault="001F7667">
            <w:pPr>
              <w:pStyle w:val="P68B1DB1-Normal11"/>
              <w:spacing w:after="120"/>
              <w:jc w:val="center"/>
              <w:rPr>
                <w:noProof/>
              </w:rPr>
            </w:pPr>
            <w:r>
              <w:rPr>
                <w:noProof/>
              </w:rPr>
              <w:t>Влизане в сила на първичното и вторичното законодателство.</w:t>
            </w:r>
          </w:p>
        </w:tc>
        <w:tc>
          <w:tcPr>
            <w:tcW w:w="1984" w:type="dxa"/>
            <w:shd w:val="clear" w:color="auto" w:fill="C6EFCE"/>
            <w:noWrap/>
            <w:vAlign w:val="center"/>
          </w:tcPr>
          <w:p w14:paraId="253E62ED" w14:textId="4ACAF97C" w:rsidR="006054AA" w:rsidRDefault="001F7667">
            <w:pPr>
              <w:pStyle w:val="P68B1DB1-Normal11"/>
              <w:spacing w:after="120"/>
              <w:jc w:val="center"/>
              <w:rPr>
                <w:noProof/>
              </w:rPr>
            </w:pPr>
            <w:r>
              <w:rPr>
                <w:noProof/>
              </w:rPr>
              <w:t>Законова разпоредба, указваща влизането в сила на първичното и вторичното законодателство.</w:t>
            </w:r>
          </w:p>
        </w:tc>
        <w:tc>
          <w:tcPr>
            <w:tcW w:w="1134" w:type="dxa"/>
            <w:shd w:val="clear" w:color="auto" w:fill="C6EFCE"/>
            <w:noWrap/>
            <w:vAlign w:val="center"/>
          </w:tcPr>
          <w:p w14:paraId="6565ED4B" w14:textId="1A93E095"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124D563A" w14:textId="0B5D6FBA"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3BF1ABD6" w14:textId="020B6CE6"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415A167F" w14:textId="26874490" w:rsidR="006054AA" w:rsidRDefault="001F7667">
            <w:pPr>
              <w:pStyle w:val="P68B1DB1-Normal11"/>
              <w:spacing w:after="120"/>
              <w:jc w:val="center"/>
              <w:rPr>
                <w:noProof/>
              </w:rPr>
            </w:pPr>
            <w:r>
              <w:rPr>
                <w:noProof/>
              </w:rPr>
              <w:t>Т4 Г.</w:t>
            </w:r>
          </w:p>
        </w:tc>
        <w:tc>
          <w:tcPr>
            <w:tcW w:w="709" w:type="dxa"/>
            <w:shd w:val="clear" w:color="auto" w:fill="C6EFCE"/>
            <w:noWrap/>
            <w:vAlign w:val="center"/>
          </w:tcPr>
          <w:p w14:paraId="381DD33D" w14:textId="7621FB5A" w:rsidR="006054AA" w:rsidRDefault="001F7667">
            <w:pPr>
              <w:pStyle w:val="P68B1DB1-Normal11"/>
              <w:spacing w:after="120"/>
              <w:jc w:val="center"/>
              <w:rPr>
                <w:noProof/>
              </w:rPr>
            </w:pPr>
            <w:r>
              <w:rPr>
                <w:noProof/>
              </w:rPr>
              <w:t>2025</w:t>
            </w:r>
          </w:p>
        </w:tc>
        <w:tc>
          <w:tcPr>
            <w:tcW w:w="3261" w:type="dxa"/>
            <w:shd w:val="clear" w:color="auto" w:fill="C6EFCE"/>
            <w:noWrap/>
            <w:vAlign w:val="center"/>
          </w:tcPr>
          <w:p w14:paraId="3B1D13A5" w14:textId="74449713" w:rsidR="006054AA" w:rsidRDefault="001F7667">
            <w:pPr>
              <w:pStyle w:val="P68B1DB1-Normal11"/>
              <w:spacing w:after="120"/>
              <w:rPr>
                <w:noProof/>
              </w:rPr>
            </w:pPr>
            <w:r>
              <w:rPr>
                <w:noProof/>
              </w:rPr>
              <w:t xml:space="preserve">Изпълнението на реформата на вредните за околната среда субсидии започва с намаляване на вредните за околната среда субсидии с най-малко 2 милиарда евро през 2026 г. </w:t>
            </w:r>
          </w:p>
          <w:p w14:paraId="6B3DA17A" w14:textId="46C300C9" w:rsidR="006054AA" w:rsidRDefault="001F7667">
            <w:pPr>
              <w:pStyle w:val="P68B1DB1-Normal11"/>
              <w:spacing w:after="120"/>
              <w:rPr>
                <w:noProof/>
              </w:rPr>
            </w:pPr>
            <w:r>
              <w:rPr>
                <w:noProof/>
              </w:rPr>
              <w:t>Освен това в законодателството се определя график за допълнително намаляване на вредните за околната среда субсидии с най-малко 3.5 милиарда евро до 2030 г.</w:t>
            </w:r>
          </w:p>
        </w:tc>
      </w:tr>
      <w:tr w:rsidR="006054AA" w14:paraId="0C2134E5" w14:textId="77777777">
        <w:trPr>
          <w:trHeight w:val="309"/>
        </w:trPr>
        <w:tc>
          <w:tcPr>
            <w:tcW w:w="1185" w:type="dxa"/>
            <w:shd w:val="clear" w:color="auto" w:fill="C6EFCE"/>
            <w:noWrap/>
            <w:vAlign w:val="center"/>
          </w:tcPr>
          <w:p w14:paraId="6DA6CFE3" w14:textId="2FC7A135" w:rsidR="006054AA" w:rsidRDefault="001F7667">
            <w:pPr>
              <w:pStyle w:val="P68B1DB1-Normal11"/>
              <w:spacing w:after="120"/>
              <w:jc w:val="center"/>
              <w:rPr>
                <w:noProof/>
              </w:rPr>
            </w:pPr>
            <w:r>
              <w:rPr>
                <w:noProof/>
              </w:rPr>
              <w:t>M7—6</w:t>
            </w:r>
          </w:p>
        </w:tc>
        <w:tc>
          <w:tcPr>
            <w:tcW w:w="1559" w:type="dxa"/>
            <w:shd w:val="clear" w:color="auto" w:fill="C6EFCE"/>
            <w:noWrap/>
          </w:tcPr>
          <w:p w14:paraId="33823AD1" w14:textId="726DCE1B" w:rsidR="006054AA" w:rsidRDefault="001F7667">
            <w:pPr>
              <w:pStyle w:val="P68B1DB1-Normal11"/>
              <w:spacing w:after="120"/>
              <w:jc w:val="center"/>
              <w:rPr>
                <w:noProof/>
              </w:rPr>
            </w:pPr>
            <w:r>
              <w:rPr>
                <w:noProof/>
              </w:rPr>
              <w:t>Реформа 3: Намаляване на разходите за свързване към газовата мрежа за биометан</w:t>
            </w:r>
          </w:p>
        </w:tc>
        <w:tc>
          <w:tcPr>
            <w:tcW w:w="1134" w:type="dxa"/>
            <w:shd w:val="clear" w:color="auto" w:fill="C6EFCE"/>
            <w:noWrap/>
          </w:tcPr>
          <w:p w14:paraId="26172770" w14:textId="68278193" w:rsidR="006054AA" w:rsidRDefault="001F7667">
            <w:pPr>
              <w:pStyle w:val="P68B1DB1-Normal11"/>
              <w:spacing w:after="120"/>
              <w:jc w:val="center"/>
              <w:rPr>
                <w:noProof/>
              </w:rPr>
            </w:pPr>
            <w:r>
              <w:rPr>
                <w:noProof/>
              </w:rPr>
              <w:t>Ключов етап</w:t>
            </w:r>
          </w:p>
        </w:tc>
        <w:tc>
          <w:tcPr>
            <w:tcW w:w="1418" w:type="dxa"/>
            <w:shd w:val="clear" w:color="auto" w:fill="C6EFCE"/>
            <w:noWrap/>
          </w:tcPr>
          <w:p w14:paraId="6150C06A" w14:textId="4EA2CBF4" w:rsidR="006054AA" w:rsidRDefault="001F7667">
            <w:pPr>
              <w:pStyle w:val="P68B1DB1-Normal11"/>
              <w:spacing w:after="120"/>
              <w:jc w:val="center"/>
              <w:rPr>
                <w:noProof/>
              </w:rPr>
            </w:pPr>
            <w:r>
              <w:rPr>
                <w:noProof/>
              </w:rPr>
              <w:t xml:space="preserve">Влизане в сила на законодателство за намаляване на разходите за свързване към газовата мрежа на заводите за производство на биометан </w:t>
            </w:r>
          </w:p>
        </w:tc>
        <w:tc>
          <w:tcPr>
            <w:tcW w:w="1984" w:type="dxa"/>
            <w:shd w:val="clear" w:color="auto" w:fill="C6EFCE"/>
            <w:noWrap/>
          </w:tcPr>
          <w:p w14:paraId="71F27C58" w14:textId="7FDED245" w:rsidR="006054AA" w:rsidRDefault="001F7667">
            <w:pPr>
              <w:pStyle w:val="P68B1DB1-Normal11"/>
              <w:spacing w:after="120"/>
              <w:jc w:val="center"/>
              <w:rPr>
                <w:noProof/>
              </w:rPr>
            </w:pPr>
            <w:r>
              <w:rPr>
                <w:noProof/>
              </w:rPr>
              <w:t>Законова разпоредба, указваща влизането в сила на първичното и вторичното законодателство.</w:t>
            </w:r>
          </w:p>
        </w:tc>
        <w:tc>
          <w:tcPr>
            <w:tcW w:w="1134" w:type="dxa"/>
            <w:shd w:val="clear" w:color="auto" w:fill="C6EFCE"/>
            <w:noWrap/>
          </w:tcPr>
          <w:p w14:paraId="7E993400" w14:textId="77777777" w:rsidR="006054AA" w:rsidRDefault="006054AA">
            <w:pPr>
              <w:spacing w:after="120"/>
              <w:jc w:val="center"/>
              <w:rPr>
                <w:rFonts w:ascii="Arial Narrow" w:hAnsi="Arial Narrow"/>
                <w:noProof/>
                <w:color w:val="006100"/>
                <w:sz w:val="20"/>
              </w:rPr>
            </w:pPr>
          </w:p>
        </w:tc>
        <w:tc>
          <w:tcPr>
            <w:tcW w:w="993" w:type="dxa"/>
            <w:shd w:val="clear" w:color="auto" w:fill="C6EFCE"/>
            <w:noWrap/>
          </w:tcPr>
          <w:p w14:paraId="566CE3E7" w14:textId="77777777" w:rsidR="006054AA" w:rsidRDefault="006054AA">
            <w:pPr>
              <w:spacing w:after="120"/>
              <w:jc w:val="center"/>
              <w:rPr>
                <w:rFonts w:ascii="Arial Narrow" w:hAnsi="Arial Narrow"/>
                <w:noProof/>
                <w:color w:val="006100"/>
                <w:sz w:val="20"/>
              </w:rPr>
            </w:pPr>
          </w:p>
        </w:tc>
        <w:tc>
          <w:tcPr>
            <w:tcW w:w="992" w:type="dxa"/>
            <w:shd w:val="clear" w:color="auto" w:fill="C6EFCE"/>
            <w:noWrap/>
          </w:tcPr>
          <w:p w14:paraId="2A6FF128" w14:textId="77777777" w:rsidR="006054AA" w:rsidRDefault="006054AA">
            <w:pPr>
              <w:spacing w:after="120"/>
              <w:jc w:val="center"/>
              <w:rPr>
                <w:rFonts w:ascii="Arial Narrow" w:hAnsi="Arial Narrow"/>
                <w:noProof/>
                <w:color w:val="006100"/>
                <w:sz w:val="20"/>
              </w:rPr>
            </w:pPr>
          </w:p>
        </w:tc>
        <w:tc>
          <w:tcPr>
            <w:tcW w:w="992" w:type="dxa"/>
            <w:shd w:val="clear" w:color="auto" w:fill="C6EFCE"/>
            <w:noWrap/>
          </w:tcPr>
          <w:p w14:paraId="23835603" w14:textId="34A7638C" w:rsidR="006054AA" w:rsidRDefault="001F7667">
            <w:pPr>
              <w:pStyle w:val="P68B1DB1-Normal11"/>
              <w:spacing w:after="120"/>
              <w:jc w:val="center"/>
              <w:rPr>
                <w:noProof/>
              </w:rPr>
            </w:pPr>
            <w:r>
              <w:rPr>
                <w:noProof/>
              </w:rPr>
              <w:t>Т3 Г.</w:t>
            </w:r>
          </w:p>
        </w:tc>
        <w:tc>
          <w:tcPr>
            <w:tcW w:w="709" w:type="dxa"/>
            <w:shd w:val="clear" w:color="auto" w:fill="C6EFCE"/>
            <w:noWrap/>
          </w:tcPr>
          <w:p w14:paraId="008779B3" w14:textId="327DF627" w:rsidR="006054AA" w:rsidRDefault="001F7667">
            <w:pPr>
              <w:pStyle w:val="P68B1DB1-Normal11"/>
              <w:spacing w:after="120"/>
              <w:jc w:val="center"/>
              <w:rPr>
                <w:noProof/>
              </w:rPr>
            </w:pPr>
            <w:r>
              <w:rPr>
                <w:noProof/>
              </w:rPr>
              <w:t>2025</w:t>
            </w:r>
          </w:p>
        </w:tc>
        <w:tc>
          <w:tcPr>
            <w:tcW w:w="3261" w:type="dxa"/>
            <w:shd w:val="clear" w:color="auto" w:fill="C6EFCE"/>
            <w:noWrap/>
          </w:tcPr>
          <w:p w14:paraId="417685D7" w14:textId="7A05AA87" w:rsidR="006054AA" w:rsidRDefault="001F7667">
            <w:pPr>
              <w:pStyle w:val="P68B1DB1-Normal11"/>
              <w:spacing w:after="120"/>
              <w:rPr>
                <w:noProof/>
              </w:rPr>
            </w:pPr>
            <w:r>
              <w:rPr>
                <w:noProof/>
              </w:rPr>
              <w:t>Законодателството:</w:t>
            </w:r>
          </w:p>
          <w:p w14:paraId="34A689E4" w14:textId="544F8599" w:rsidR="006054AA" w:rsidRDefault="001F7667">
            <w:pPr>
              <w:pStyle w:val="P68B1DB1-ListParagraph13"/>
              <w:numPr>
                <w:ilvl w:val="3"/>
                <w:numId w:val="23"/>
              </w:numPr>
              <w:spacing w:before="0"/>
              <w:ind w:left="382"/>
              <w:contextualSpacing w:val="0"/>
              <w:rPr>
                <w:noProof/>
              </w:rPr>
            </w:pPr>
            <w:r>
              <w:rPr>
                <w:noProof/>
              </w:rPr>
              <w:t>Намаляване на разходите на производителя за свързване към газовата мрежа на заводите за производство на биометан.</w:t>
            </w:r>
          </w:p>
          <w:p w14:paraId="68547BE0" w14:textId="05607472" w:rsidR="006054AA" w:rsidRDefault="001F7667">
            <w:pPr>
              <w:pStyle w:val="P68B1DB1-ListParagraph13"/>
              <w:numPr>
                <w:ilvl w:val="3"/>
                <w:numId w:val="23"/>
              </w:numPr>
              <w:spacing w:before="0"/>
              <w:ind w:left="382"/>
              <w:contextualSpacing w:val="0"/>
              <w:rPr>
                <w:noProof/>
              </w:rPr>
            </w:pPr>
            <w:r>
              <w:rPr>
                <w:noProof/>
              </w:rPr>
              <w:t xml:space="preserve">Осигуряване на регулаторни стимули за инвестиране в газовата мрежа за разработване на възобновяеми газове. </w:t>
            </w:r>
          </w:p>
        </w:tc>
      </w:tr>
      <w:tr w:rsidR="006054AA" w14:paraId="6164198F" w14:textId="77777777">
        <w:trPr>
          <w:trHeight w:val="309"/>
        </w:trPr>
        <w:tc>
          <w:tcPr>
            <w:tcW w:w="1185" w:type="dxa"/>
            <w:shd w:val="clear" w:color="auto" w:fill="C6EFCE"/>
            <w:noWrap/>
            <w:vAlign w:val="center"/>
          </w:tcPr>
          <w:p w14:paraId="52E5373C" w14:textId="7F92AAC4" w:rsidR="006054AA" w:rsidRDefault="001F7667">
            <w:pPr>
              <w:pStyle w:val="P68B1DB1-Normal11"/>
              <w:spacing w:after="120"/>
              <w:jc w:val="center"/>
              <w:rPr>
                <w:noProof/>
              </w:rPr>
            </w:pPr>
            <w:r>
              <w:rPr>
                <w:noProof/>
              </w:rPr>
              <w:t>M7—7</w:t>
            </w:r>
          </w:p>
        </w:tc>
        <w:tc>
          <w:tcPr>
            <w:tcW w:w="1559" w:type="dxa"/>
            <w:shd w:val="clear" w:color="auto" w:fill="C6EFCE"/>
            <w:noWrap/>
            <w:vAlign w:val="center"/>
          </w:tcPr>
          <w:p w14:paraId="3E84D9D4" w14:textId="74E578B3" w:rsidR="006054AA" w:rsidRDefault="001F7667">
            <w:pPr>
              <w:pStyle w:val="P68B1DB1-Normal11"/>
              <w:spacing w:after="120"/>
              <w:jc w:val="center"/>
              <w:rPr>
                <w:noProof/>
              </w:rPr>
            </w:pPr>
            <w:r>
              <w:rPr>
                <w:noProof/>
              </w:rPr>
              <w:t>Реформа 4: Намаляване на финансовия риск, свързан със СЗЕ за възобновяеми енергийни източници (споразумения за закупуване на електроенергия)</w:t>
            </w:r>
          </w:p>
        </w:tc>
        <w:tc>
          <w:tcPr>
            <w:tcW w:w="1134" w:type="dxa"/>
            <w:shd w:val="clear" w:color="auto" w:fill="C6EFCE"/>
            <w:noWrap/>
            <w:vAlign w:val="center"/>
          </w:tcPr>
          <w:p w14:paraId="09A57C7A" w14:textId="4BF82F31"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2CA4FB5C" w14:textId="0B3753EE" w:rsidR="006054AA" w:rsidRDefault="001F7667">
            <w:pPr>
              <w:pStyle w:val="P68B1DB1-Normal11"/>
              <w:spacing w:after="120"/>
              <w:jc w:val="center"/>
              <w:rPr>
                <w:noProof/>
              </w:rPr>
            </w:pPr>
            <w:r>
              <w:rPr>
                <w:noProof/>
              </w:rPr>
              <w:t>Влизане в сила на първичното законодателство</w:t>
            </w:r>
          </w:p>
        </w:tc>
        <w:tc>
          <w:tcPr>
            <w:tcW w:w="1984" w:type="dxa"/>
            <w:shd w:val="clear" w:color="auto" w:fill="C6EFCE"/>
            <w:noWrap/>
            <w:vAlign w:val="center"/>
          </w:tcPr>
          <w:p w14:paraId="504BC440" w14:textId="345C64DE" w:rsidR="006054AA" w:rsidRDefault="001F7667">
            <w:pPr>
              <w:pStyle w:val="P68B1DB1-Normal11"/>
              <w:spacing w:after="120"/>
              <w:jc w:val="center"/>
              <w:rPr>
                <w:noProof/>
              </w:rPr>
            </w:pPr>
            <w:r>
              <w:rPr>
                <w:noProof/>
              </w:rPr>
              <w:t>Законова разпоредба, указваща влизането в сила на закона</w:t>
            </w:r>
          </w:p>
        </w:tc>
        <w:tc>
          <w:tcPr>
            <w:tcW w:w="1134" w:type="dxa"/>
            <w:shd w:val="clear" w:color="auto" w:fill="C6EFCE"/>
            <w:noWrap/>
            <w:vAlign w:val="center"/>
          </w:tcPr>
          <w:p w14:paraId="05B49E33"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7D25C0EC"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2C6718FE"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0A369A79" w14:textId="6E95D956" w:rsidR="006054AA" w:rsidRDefault="001F7667">
            <w:pPr>
              <w:pStyle w:val="P68B1DB1-Normal11"/>
              <w:spacing w:after="120"/>
              <w:jc w:val="center"/>
              <w:rPr>
                <w:noProof/>
              </w:rPr>
            </w:pPr>
            <w:r>
              <w:rPr>
                <w:noProof/>
              </w:rPr>
              <w:t>Т3 Г.</w:t>
            </w:r>
          </w:p>
        </w:tc>
        <w:tc>
          <w:tcPr>
            <w:tcW w:w="709" w:type="dxa"/>
            <w:shd w:val="clear" w:color="auto" w:fill="C6EFCE"/>
            <w:noWrap/>
            <w:vAlign w:val="center"/>
          </w:tcPr>
          <w:p w14:paraId="6BD0D165" w14:textId="46EBC3C3"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3FE52B6B" w14:textId="4D2C6721" w:rsidR="006054AA" w:rsidRDefault="001F7667">
            <w:pPr>
              <w:pStyle w:val="P68B1DB1-Normal11"/>
              <w:spacing w:after="120"/>
              <w:rPr>
                <w:noProof/>
              </w:rPr>
            </w:pPr>
            <w:r>
              <w:rPr>
                <w:noProof/>
              </w:rPr>
              <w:t>Влизане в сила на първичното законодателство. Първичното законодателство:</w:t>
            </w:r>
          </w:p>
          <w:p w14:paraId="3DC0E031" w14:textId="77777777" w:rsidR="006054AA" w:rsidRDefault="001F7667">
            <w:pPr>
              <w:pStyle w:val="P68B1DB1-ListParagraph13"/>
              <w:numPr>
                <w:ilvl w:val="0"/>
                <w:numId w:val="37"/>
              </w:numPr>
              <w:spacing w:before="0"/>
              <w:ind w:left="301" w:hanging="284"/>
              <w:contextualSpacing w:val="0"/>
              <w:rPr>
                <w:noProof/>
              </w:rPr>
            </w:pPr>
            <w:r>
              <w:rPr>
                <w:noProof/>
              </w:rPr>
              <w:t xml:space="preserve">изискват от всеки оператор да гарантира частично покритие на насрещната стойност на споразуменията за закупуване на електроенергия чрез гаранционни инструменти, предоставени на пазара на електроенергия; </w:t>
            </w:r>
          </w:p>
          <w:p w14:paraId="7AB81E7D" w14:textId="77777777" w:rsidR="006054AA" w:rsidRDefault="001F7667">
            <w:pPr>
              <w:pStyle w:val="P68B1DB1-ListParagraph13"/>
              <w:numPr>
                <w:ilvl w:val="0"/>
                <w:numId w:val="37"/>
              </w:numPr>
              <w:spacing w:before="0"/>
              <w:ind w:left="301" w:hanging="284"/>
              <w:contextualSpacing w:val="0"/>
              <w:rPr>
                <w:noProof/>
              </w:rPr>
            </w:pPr>
            <w:r>
              <w:rPr>
                <w:noProof/>
              </w:rPr>
              <w:t>въвеждане на мерки за намаляване на риска от неизпълнение, включително изисквания и ограничения за оферента и регулаторни санкции в случай на неизпълнение от страна на производителя</w:t>
            </w:r>
          </w:p>
          <w:p w14:paraId="44FE0DCC" w14:textId="047696AD" w:rsidR="006054AA" w:rsidRDefault="001F7667">
            <w:pPr>
              <w:pStyle w:val="P68B1DB1-ListParagraph13"/>
              <w:numPr>
                <w:ilvl w:val="0"/>
                <w:numId w:val="37"/>
              </w:numPr>
              <w:spacing w:before="0"/>
              <w:ind w:left="301" w:hanging="284"/>
              <w:contextualSpacing w:val="0"/>
              <w:rPr>
                <w:noProof/>
              </w:rPr>
            </w:pPr>
            <w:r>
              <w:rPr>
                <w:noProof/>
              </w:rPr>
              <w:t>определяне на институционален субект, който да поеме ролята на продавач/купувач от последна инстанция, който да поеме от неизправния контрагент и да гарантира изпълнението на задълженията, поети по отношение на изпълняващия контрагент.</w:t>
            </w:r>
          </w:p>
        </w:tc>
      </w:tr>
      <w:tr w:rsidR="006054AA" w14:paraId="231339ED" w14:textId="77777777">
        <w:trPr>
          <w:trHeight w:val="309"/>
        </w:trPr>
        <w:tc>
          <w:tcPr>
            <w:tcW w:w="1185" w:type="dxa"/>
            <w:shd w:val="clear" w:color="auto" w:fill="C6EFCE"/>
            <w:noWrap/>
            <w:vAlign w:val="center"/>
          </w:tcPr>
          <w:p w14:paraId="262C7B35" w14:textId="0BEC04A5" w:rsidR="006054AA" w:rsidRDefault="001F7667">
            <w:pPr>
              <w:pStyle w:val="P68B1DB1-Normal11"/>
              <w:spacing w:after="120"/>
              <w:jc w:val="center"/>
              <w:rPr>
                <w:noProof/>
              </w:rPr>
            </w:pPr>
            <w:r>
              <w:rPr>
                <w:noProof/>
              </w:rPr>
              <w:t>M7—8</w:t>
            </w:r>
          </w:p>
        </w:tc>
        <w:tc>
          <w:tcPr>
            <w:tcW w:w="1559" w:type="dxa"/>
            <w:shd w:val="clear" w:color="auto" w:fill="C6EFCE"/>
            <w:noWrap/>
            <w:vAlign w:val="center"/>
          </w:tcPr>
          <w:p w14:paraId="137F6E68" w14:textId="193B63DC" w:rsidR="006054AA" w:rsidRDefault="001F7667">
            <w:pPr>
              <w:pStyle w:val="P68B1DB1-Normal11"/>
              <w:spacing w:after="120"/>
              <w:jc w:val="center"/>
              <w:rPr>
                <w:noProof/>
              </w:rPr>
            </w:pPr>
            <w:r>
              <w:rPr>
                <w:noProof/>
              </w:rPr>
              <w:t>Реформа 4: Намаляване на финансовия риск, свързан със СЗЕ за възобновяеми енергийни източници (споразумения за закупуване на електроенергия)</w:t>
            </w:r>
          </w:p>
        </w:tc>
        <w:tc>
          <w:tcPr>
            <w:tcW w:w="1134" w:type="dxa"/>
            <w:shd w:val="clear" w:color="auto" w:fill="C6EFCE"/>
            <w:noWrap/>
            <w:vAlign w:val="center"/>
          </w:tcPr>
          <w:p w14:paraId="1ABB5091" w14:textId="561E8177"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1F0E9AC7" w14:textId="3BF05754" w:rsidR="006054AA" w:rsidRDefault="001F7667">
            <w:pPr>
              <w:pStyle w:val="P68B1DB1-Normal11"/>
              <w:spacing w:after="120"/>
              <w:jc w:val="center"/>
              <w:rPr>
                <w:noProof/>
              </w:rPr>
            </w:pPr>
            <w:r>
              <w:rPr>
                <w:noProof/>
              </w:rPr>
              <w:t>Влизане в сила на вторичното законодателство</w:t>
            </w:r>
          </w:p>
        </w:tc>
        <w:tc>
          <w:tcPr>
            <w:tcW w:w="1984" w:type="dxa"/>
            <w:shd w:val="clear" w:color="auto" w:fill="C6EFCE"/>
            <w:noWrap/>
            <w:vAlign w:val="center"/>
          </w:tcPr>
          <w:p w14:paraId="0E547E71" w14:textId="223E7658" w:rsidR="006054AA" w:rsidRDefault="001F7667">
            <w:pPr>
              <w:pStyle w:val="P68B1DB1-Normal11"/>
              <w:spacing w:after="120"/>
              <w:jc w:val="center"/>
              <w:rPr>
                <w:noProof/>
              </w:rPr>
            </w:pPr>
            <w:r>
              <w:rPr>
                <w:noProof/>
              </w:rPr>
              <w:t>Законова разпоредба, указваща влизането в сила на вторичното законодателство</w:t>
            </w:r>
          </w:p>
        </w:tc>
        <w:tc>
          <w:tcPr>
            <w:tcW w:w="1134" w:type="dxa"/>
            <w:shd w:val="clear" w:color="auto" w:fill="C6EFCE"/>
            <w:noWrap/>
            <w:vAlign w:val="center"/>
          </w:tcPr>
          <w:p w14:paraId="5A8366BA"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7E08D7D1"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344C5C7F"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70853971" w14:textId="4FCBAFA8" w:rsidR="006054AA" w:rsidRDefault="001F7667">
            <w:pPr>
              <w:pStyle w:val="P68B1DB1-Normal11"/>
              <w:spacing w:after="120"/>
              <w:jc w:val="center"/>
              <w:rPr>
                <w:noProof/>
              </w:rPr>
            </w:pPr>
            <w:r>
              <w:rPr>
                <w:noProof/>
              </w:rPr>
              <w:t>Т4 Г.</w:t>
            </w:r>
          </w:p>
        </w:tc>
        <w:tc>
          <w:tcPr>
            <w:tcW w:w="709" w:type="dxa"/>
            <w:shd w:val="clear" w:color="auto" w:fill="C6EFCE"/>
            <w:noWrap/>
            <w:vAlign w:val="center"/>
          </w:tcPr>
          <w:p w14:paraId="41F9A4ED" w14:textId="24AAE0E9"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21390220" w14:textId="311B8F8F" w:rsidR="006054AA" w:rsidRDefault="001F7667">
            <w:pPr>
              <w:pStyle w:val="P68B1DB1-Normal11"/>
              <w:spacing w:after="120"/>
              <w:rPr>
                <w:noProof/>
              </w:rPr>
            </w:pPr>
            <w:r>
              <w:rPr>
                <w:noProof/>
              </w:rPr>
              <w:t>Влизане в сила на цялото вторично законодателство, гарантиращо прилагането на първичното законодателство.</w:t>
            </w:r>
          </w:p>
        </w:tc>
      </w:tr>
      <w:tr w:rsidR="006054AA" w14:paraId="1670DEC9" w14:textId="77777777">
        <w:trPr>
          <w:trHeight w:val="309"/>
        </w:trPr>
        <w:tc>
          <w:tcPr>
            <w:tcW w:w="1185" w:type="dxa"/>
            <w:shd w:val="clear" w:color="auto" w:fill="C6EFCE"/>
            <w:noWrap/>
            <w:vAlign w:val="center"/>
          </w:tcPr>
          <w:p w14:paraId="20212C2A" w14:textId="71B36B00" w:rsidR="006054AA" w:rsidRDefault="001F7667">
            <w:pPr>
              <w:pStyle w:val="P68B1DB1-Normal11"/>
              <w:spacing w:after="120"/>
              <w:jc w:val="center"/>
              <w:rPr>
                <w:noProof/>
              </w:rPr>
            </w:pPr>
            <w:r>
              <w:rPr>
                <w:noProof/>
              </w:rPr>
              <w:t>M7—9</w:t>
            </w:r>
          </w:p>
        </w:tc>
        <w:tc>
          <w:tcPr>
            <w:tcW w:w="1559" w:type="dxa"/>
            <w:shd w:val="clear" w:color="auto" w:fill="C6EFCE"/>
            <w:noWrap/>
            <w:vAlign w:val="center"/>
          </w:tcPr>
          <w:p w14:paraId="33A804ED" w14:textId="55BDF6F0" w:rsidR="006054AA" w:rsidRDefault="001F7667">
            <w:pPr>
              <w:pStyle w:val="P68B1DB1-Normal11"/>
              <w:spacing w:after="120"/>
              <w:jc w:val="center"/>
              <w:rPr>
                <w:noProof/>
              </w:rPr>
            </w:pPr>
            <w:r>
              <w:rPr>
                <w:noProof/>
              </w:rPr>
              <w:t>Реформа 5: План за нови умения — преход</w:t>
            </w:r>
          </w:p>
        </w:tc>
        <w:tc>
          <w:tcPr>
            <w:tcW w:w="1134" w:type="dxa"/>
            <w:shd w:val="clear" w:color="auto" w:fill="C6EFCE"/>
            <w:noWrap/>
            <w:vAlign w:val="center"/>
          </w:tcPr>
          <w:p w14:paraId="4FD1BE61" w14:textId="3604F92A"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3C81779D" w14:textId="6DA470E0" w:rsidR="006054AA" w:rsidRDefault="001F7667">
            <w:pPr>
              <w:pStyle w:val="P68B1DB1-Normal11"/>
              <w:spacing w:after="120"/>
              <w:jc w:val="center"/>
              <w:rPr>
                <w:noProof/>
              </w:rPr>
            </w:pPr>
            <w:r>
              <w:rPr>
                <w:noProof/>
              </w:rPr>
              <w:t>Приемане и публикуване на новия план за уменията — Преходни мерки и на пътната карта за изпълнение</w:t>
            </w:r>
          </w:p>
        </w:tc>
        <w:tc>
          <w:tcPr>
            <w:tcW w:w="1984" w:type="dxa"/>
            <w:shd w:val="clear" w:color="auto" w:fill="C6EFCE"/>
            <w:noWrap/>
            <w:vAlign w:val="center"/>
          </w:tcPr>
          <w:p w14:paraId="4DD69CD9" w14:textId="4083E102" w:rsidR="006054AA" w:rsidRDefault="001F7667">
            <w:pPr>
              <w:pStyle w:val="P68B1DB1-Normal11"/>
              <w:spacing w:after="120"/>
              <w:jc w:val="center"/>
              <w:rPr>
                <w:noProof/>
              </w:rPr>
            </w:pPr>
            <w:r>
              <w:rPr>
                <w:noProof/>
              </w:rPr>
              <w:t>Приемане на плана и пътната карта</w:t>
            </w:r>
          </w:p>
        </w:tc>
        <w:tc>
          <w:tcPr>
            <w:tcW w:w="1134" w:type="dxa"/>
            <w:shd w:val="clear" w:color="auto" w:fill="C6EFCE"/>
            <w:noWrap/>
            <w:vAlign w:val="center"/>
          </w:tcPr>
          <w:p w14:paraId="3D4C105E"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2A1CB054"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29A5599D"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476BA05F" w14:textId="25E35B62" w:rsidR="006054AA" w:rsidRDefault="001F7667">
            <w:pPr>
              <w:pStyle w:val="P68B1DB1-Normal11"/>
              <w:spacing w:after="120"/>
              <w:jc w:val="center"/>
              <w:rPr>
                <w:noProof/>
              </w:rPr>
            </w:pPr>
            <w:r>
              <w:rPr>
                <w:noProof/>
              </w:rPr>
              <w:t>Т1 Г.</w:t>
            </w:r>
          </w:p>
        </w:tc>
        <w:tc>
          <w:tcPr>
            <w:tcW w:w="709" w:type="dxa"/>
            <w:shd w:val="clear" w:color="auto" w:fill="C6EFCE"/>
            <w:noWrap/>
            <w:vAlign w:val="center"/>
          </w:tcPr>
          <w:p w14:paraId="06F4292B" w14:textId="1E359359"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429B4AB7" w14:textId="77777777" w:rsidR="006054AA" w:rsidRDefault="001F7667">
            <w:pPr>
              <w:pStyle w:val="P68B1DB1-Normal11"/>
              <w:spacing w:after="120"/>
              <w:rPr>
                <w:noProof/>
              </w:rPr>
            </w:pPr>
            <w:r>
              <w:rPr>
                <w:noProof/>
              </w:rPr>
              <w:t>„Piano Nuove Competenze“, приет с указ от 14 декември 2021 г. и публикуван в Gazzetta ufficiale № 307 от 28 декември 2021 г., се изменя и новият план за уменията за преход влиза в сила. Планът включва общите принципи, които ще бъдат допълнително уточнени в регионалните закони, които включват:</w:t>
            </w:r>
          </w:p>
          <w:p w14:paraId="7CBDCD72" w14:textId="77777777" w:rsidR="006054AA" w:rsidRDefault="001F7667">
            <w:pPr>
              <w:pStyle w:val="P68B1DB1-ListParagraph13"/>
              <w:numPr>
                <w:ilvl w:val="0"/>
                <w:numId w:val="34"/>
              </w:numPr>
              <w:spacing w:before="0"/>
              <w:ind w:left="382" w:hanging="142"/>
              <w:contextualSpacing w:val="0"/>
              <w:rPr>
                <w:noProof/>
              </w:rPr>
            </w:pPr>
            <w:r>
              <w:rPr>
                <w:noProof/>
              </w:rPr>
              <w:t xml:space="preserve">по-голямо участие на частния сектор в предоставянето на обучение, </w:t>
            </w:r>
          </w:p>
          <w:p w14:paraId="5F9E3904" w14:textId="77777777" w:rsidR="006054AA" w:rsidRDefault="001F7667">
            <w:pPr>
              <w:pStyle w:val="P68B1DB1-ListParagraph13"/>
              <w:numPr>
                <w:ilvl w:val="0"/>
                <w:numId w:val="34"/>
              </w:numPr>
              <w:spacing w:before="0"/>
              <w:ind w:left="382" w:hanging="142"/>
              <w:contextualSpacing w:val="0"/>
              <w:rPr>
                <w:noProof/>
              </w:rPr>
            </w:pPr>
            <w:r>
              <w:rPr>
                <w:noProof/>
              </w:rPr>
              <w:t xml:space="preserve">по-добро признаване на обучението на работното място и микроквалификациите, </w:t>
            </w:r>
          </w:p>
          <w:p w14:paraId="3B5F08AD" w14:textId="77777777" w:rsidR="006054AA" w:rsidRDefault="001F7667">
            <w:pPr>
              <w:pStyle w:val="P68B1DB1-ListParagraph13"/>
              <w:numPr>
                <w:ilvl w:val="0"/>
                <w:numId w:val="34"/>
              </w:numPr>
              <w:spacing w:before="0"/>
              <w:ind w:left="382" w:hanging="142"/>
              <w:contextualSpacing w:val="0"/>
              <w:rPr>
                <w:noProof/>
              </w:rPr>
            </w:pPr>
            <w:r>
              <w:rPr>
                <w:noProof/>
              </w:rPr>
              <w:t xml:space="preserve">по-голям предварителен анализ на пазара на труда и мониторинг на професионалните последици от обучението. </w:t>
            </w:r>
          </w:p>
          <w:p w14:paraId="5FDC0320" w14:textId="067B1847" w:rsidR="006054AA" w:rsidRDefault="001F7667">
            <w:pPr>
              <w:pStyle w:val="P68B1DB1-Normal11"/>
              <w:spacing w:after="120"/>
              <w:rPr>
                <w:noProof/>
              </w:rPr>
            </w:pPr>
            <w:r>
              <w:rPr>
                <w:noProof/>
              </w:rPr>
              <w:t>Приета е и пътна карта за изпълнение.</w:t>
            </w:r>
          </w:p>
        </w:tc>
      </w:tr>
      <w:tr w:rsidR="006054AA" w14:paraId="0F53C534" w14:textId="77777777">
        <w:trPr>
          <w:trHeight w:val="309"/>
        </w:trPr>
        <w:tc>
          <w:tcPr>
            <w:tcW w:w="1185" w:type="dxa"/>
            <w:shd w:val="clear" w:color="auto" w:fill="C6EFCE"/>
            <w:noWrap/>
            <w:vAlign w:val="center"/>
          </w:tcPr>
          <w:p w14:paraId="3DD3905D" w14:textId="2A50779E" w:rsidR="006054AA" w:rsidRDefault="001F7667">
            <w:pPr>
              <w:pStyle w:val="P68B1DB1-Normal11"/>
              <w:spacing w:after="120"/>
              <w:jc w:val="center"/>
              <w:rPr>
                <w:noProof/>
              </w:rPr>
            </w:pPr>
            <w:r>
              <w:rPr>
                <w:noProof/>
              </w:rPr>
              <w:t>M7—10</w:t>
            </w:r>
          </w:p>
        </w:tc>
        <w:tc>
          <w:tcPr>
            <w:tcW w:w="1559" w:type="dxa"/>
            <w:shd w:val="clear" w:color="auto" w:fill="C6EFCE"/>
            <w:noWrap/>
            <w:vAlign w:val="center"/>
          </w:tcPr>
          <w:p w14:paraId="78562516" w14:textId="568E05F6" w:rsidR="006054AA" w:rsidRDefault="001F7667">
            <w:pPr>
              <w:pStyle w:val="P68B1DB1-Normal11"/>
              <w:spacing w:after="120"/>
              <w:jc w:val="center"/>
              <w:rPr>
                <w:noProof/>
              </w:rPr>
            </w:pPr>
            <w:r>
              <w:rPr>
                <w:noProof/>
              </w:rPr>
              <w:t>Реформа 5: План за нови умения — преход</w:t>
            </w:r>
          </w:p>
        </w:tc>
        <w:tc>
          <w:tcPr>
            <w:tcW w:w="1134" w:type="dxa"/>
            <w:shd w:val="clear" w:color="auto" w:fill="C6EFCE"/>
            <w:noWrap/>
            <w:vAlign w:val="center"/>
          </w:tcPr>
          <w:p w14:paraId="1BD9AD03" w14:textId="5D2F3005"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08CF14D9" w14:textId="136C2E20" w:rsidR="006054AA" w:rsidRDefault="001F7667">
            <w:pPr>
              <w:pStyle w:val="P68B1DB1-Normal11"/>
              <w:spacing w:after="120"/>
              <w:jc w:val="center"/>
              <w:rPr>
                <w:noProof/>
              </w:rPr>
            </w:pPr>
            <w:r>
              <w:rPr>
                <w:noProof/>
              </w:rPr>
              <w:t>Влизане в сила на регионалните закони</w:t>
            </w:r>
          </w:p>
        </w:tc>
        <w:tc>
          <w:tcPr>
            <w:tcW w:w="1984" w:type="dxa"/>
            <w:shd w:val="clear" w:color="auto" w:fill="C6EFCE"/>
            <w:noWrap/>
            <w:vAlign w:val="center"/>
          </w:tcPr>
          <w:p w14:paraId="0B5F8A9F" w14:textId="0E68826E" w:rsidR="006054AA" w:rsidRDefault="001F7667">
            <w:pPr>
              <w:pStyle w:val="P68B1DB1-Normal11"/>
              <w:spacing w:after="120"/>
              <w:jc w:val="center"/>
              <w:rPr>
                <w:noProof/>
              </w:rPr>
            </w:pPr>
            <w:r>
              <w:rPr>
                <w:noProof/>
              </w:rPr>
              <w:t>Разпоредба в законите, указваща влизането в сила на регионалните закони</w:t>
            </w:r>
          </w:p>
        </w:tc>
        <w:tc>
          <w:tcPr>
            <w:tcW w:w="1134" w:type="dxa"/>
            <w:shd w:val="clear" w:color="auto" w:fill="C6EFCE"/>
            <w:noWrap/>
            <w:vAlign w:val="center"/>
          </w:tcPr>
          <w:p w14:paraId="6B55BBAB"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530D7B04"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473537DF"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5FAD43AC" w14:textId="0688CFBD" w:rsidR="006054AA" w:rsidRDefault="001F7667">
            <w:pPr>
              <w:pStyle w:val="P68B1DB1-Normal11"/>
              <w:spacing w:after="120"/>
              <w:jc w:val="center"/>
              <w:rPr>
                <w:noProof/>
              </w:rPr>
            </w:pPr>
            <w:r>
              <w:rPr>
                <w:noProof/>
              </w:rPr>
              <w:t>Т3 Г.</w:t>
            </w:r>
          </w:p>
        </w:tc>
        <w:tc>
          <w:tcPr>
            <w:tcW w:w="709" w:type="dxa"/>
            <w:shd w:val="clear" w:color="auto" w:fill="C6EFCE"/>
            <w:noWrap/>
            <w:vAlign w:val="center"/>
          </w:tcPr>
          <w:p w14:paraId="1509F946" w14:textId="37763150" w:rsidR="006054AA" w:rsidRDefault="001F7667">
            <w:pPr>
              <w:pStyle w:val="P68B1DB1-Normal11"/>
              <w:spacing w:after="120"/>
              <w:jc w:val="center"/>
              <w:rPr>
                <w:noProof/>
              </w:rPr>
            </w:pPr>
            <w:r>
              <w:rPr>
                <w:noProof/>
              </w:rPr>
              <w:t>2025</w:t>
            </w:r>
          </w:p>
        </w:tc>
        <w:tc>
          <w:tcPr>
            <w:tcW w:w="3261" w:type="dxa"/>
            <w:shd w:val="clear" w:color="auto" w:fill="C6EFCE"/>
            <w:noWrap/>
            <w:vAlign w:val="center"/>
          </w:tcPr>
          <w:p w14:paraId="6F35F7C5" w14:textId="77777777" w:rsidR="006054AA" w:rsidRDefault="001F7667">
            <w:pPr>
              <w:pStyle w:val="P68B1DB1-Normal11"/>
              <w:spacing w:after="120"/>
              <w:rPr>
                <w:noProof/>
              </w:rPr>
            </w:pPr>
            <w:r>
              <w:rPr>
                <w:noProof/>
              </w:rPr>
              <w:t>Влизане в сила на регионални закони.</w:t>
            </w:r>
          </w:p>
          <w:p w14:paraId="7D27E287" w14:textId="7C4F1F5B" w:rsidR="006054AA" w:rsidRDefault="001F7667">
            <w:pPr>
              <w:pStyle w:val="P68B1DB1-Normal11"/>
              <w:spacing w:after="120"/>
              <w:rPr>
                <w:noProof/>
              </w:rPr>
            </w:pPr>
            <w:r>
              <w:rPr>
                <w:noProof/>
              </w:rPr>
              <w:t>Законите се отнасят до всички региони и автономни провинции и въвеждат:</w:t>
            </w:r>
          </w:p>
          <w:p w14:paraId="35143016" w14:textId="42FAC816" w:rsidR="006054AA" w:rsidRDefault="001F7667">
            <w:pPr>
              <w:pStyle w:val="P68B1DB1-ListParagraph13"/>
              <w:numPr>
                <w:ilvl w:val="0"/>
                <w:numId w:val="35"/>
              </w:numPr>
              <w:spacing w:before="0"/>
              <w:ind w:left="382" w:hanging="283"/>
              <w:contextualSpacing w:val="0"/>
              <w:rPr>
                <w:noProof/>
              </w:rPr>
            </w:pPr>
            <w:r>
              <w:rPr>
                <w:noProof/>
              </w:rPr>
              <w:t xml:space="preserve">механизми, които да гарантират, че дейностите по обучение се планират въз основа на нуждите, изразени от пазара на труда, като се дава приоритет на онези, в които има най-голямо несъответствие между търсените и предлаганите умения, например чрез одобрени пактове за умения; </w:t>
            </w:r>
          </w:p>
          <w:p w14:paraId="14E1237E" w14:textId="45D447BF" w:rsidR="006054AA" w:rsidRDefault="001F7667">
            <w:pPr>
              <w:pStyle w:val="P68B1DB1-ListParagraph13"/>
              <w:numPr>
                <w:ilvl w:val="0"/>
                <w:numId w:val="35"/>
              </w:numPr>
              <w:spacing w:before="0"/>
              <w:ind w:left="382" w:hanging="283"/>
              <w:contextualSpacing w:val="0"/>
              <w:rPr>
                <w:noProof/>
              </w:rPr>
            </w:pPr>
            <w:r>
              <w:rPr>
                <w:noProof/>
              </w:rPr>
              <w:t>задължението за посочване на очакваните резултати от заетостта в обявленията и съобщенията за обучение;</w:t>
            </w:r>
          </w:p>
          <w:p w14:paraId="0D802DE8" w14:textId="0B921D54" w:rsidR="006054AA" w:rsidRDefault="001F7667">
            <w:pPr>
              <w:pStyle w:val="P68B1DB1-ListParagraph13"/>
              <w:numPr>
                <w:ilvl w:val="0"/>
                <w:numId w:val="35"/>
              </w:numPr>
              <w:spacing w:before="0"/>
              <w:ind w:left="382" w:hanging="283"/>
              <w:contextualSpacing w:val="0"/>
              <w:rPr>
                <w:noProof/>
              </w:rPr>
            </w:pPr>
            <w:r>
              <w:rPr>
                <w:noProof/>
              </w:rPr>
              <w:t>признаването на вътрешнофирмено обучение;</w:t>
            </w:r>
          </w:p>
          <w:p w14:paraId="274D77E1" w14:textId="4E17CEE5" w:rsidR="006054AA" w:rsidRDefault="001F7667">
            <w:pPr>
              <w:pStyle w:val="P68B1DB1-ListParagraph13"/>
              <w:numPr>
                <w:ilvl w:val="0"/>
                <w:numId w:val="35"/>
              </w:numPr>
              <w:spacing w:before="0"/>
              <w:ind w:left="382" w:hanging="283"/>
              <w:contextualSpacing w:val="0"/>
              <w:rPr>
                <w:noProof/>
              </w:rPr>
            </w:pPr>
            <w:r>
              <w:rPr>
                <w:noProof/>
              </w:rPr>
              <w:t>признаването на придобитите умения и кратките курсове за обучение (т.нар. микроквалификации);</w:t>
            </w:r>
          </w:p>
          <w:p w14:paraId="3AACB976" w14:textId="479B2E56" w:rsidR="006054AA" w:rsidRDefault="001F7667">
            <w:pPr>
              <w:pStyle w:val="P68B1DB1-ListParagraph13"/>
              <w:numPr>
                <w:ilvl w:val="0"/>
                <w:numId w:val="35"/>
              </w:numPr>
              <w:spacing w:before="0"/>
              <w:ind w:left="382" w:hanging="283"/>
              <w:contextualSpacing w:val="0"/>
              <w:rPr>
                <w:noProof/>
              </w:rPr>
            </w:pPr>
            <w:r>
              <w:rPr>
                <w:noProof/>
              </w:rPr>
              <w:t>Механизми за насърчаване на частното съфинансиране.</w:t>
            </w:r>
          </w:p>
        </w:tc>
      </w:tr>
      <w:tr w:rsidR="006054AA" w14:paraId="18929F2D" w14:textId="77777777">
        <w:trPr>
          <w:trHeight w:val="309"/>
        </w:trPr>
        <w:tc>
          <w:tcPr>
            <w:tcW w:w="1185" w:type="dxa"/>
            <w:shd w:val="clear" w:color="auto" w:fill="C6EFCE"/>
            <w:noWrap/>
            <w:vAlign w:val="center"/>
          </w:tcPr>
          <w:p w14:paraId="2D7281E6" w14:textId="783C0F31" w:rsidR="006054AA" w:rsidRDefault="001F7667">
            <w:pPr>
              <w:pStyle w:val="P68B1DB1-Normal11"/>
              <w:spacing w:after="120"/>
              <w:jc w:val="center"/>
              <w:rPr>
                <w:noProof/>
              </w:rPr>
            </w:pPr>
            <w:r>
              <w:rPr>
                <w:noProof/>
              </w:rPr>
              <w:t>M7—11</w:t>
            </w:r>
          </w:p>
        </w:tc>
        <w:tc>
          <w:tcPr>
            <w:tcW w:w="1559" w:type="dxa"/>
            <w:shd w:val="clear" w:color="auto" w:fill="C6EFCE"/>
            <w:noWrap/>
            <w:vAlign w:val="center"/>
          </w:tcPr>
          <w:p w14:paraId="1CEE215C" w14:textId="599CB525" w:rsidR="006054AA" w:rsidRDefault="001F7667">
            <w:pPr>
              <w:pStyle w:val="P68B1DB1-Normal11"/>
              <w:spacing w:after="120"/>
              <w:jc w:val="center"/>
              <w:rPr>
                <w:noProof/>
              </w:rPr>
            </w:pPr>
            <w:r>
              <w:rPr>
                <w:noProof/>
              </w:rPr>
              <w:t>Инвестиция 1: Мярка за разрастване: Укрепване на интелигентните мрежи</w:t>
            </w:r>
          </w:p>
        </w:tc>
        <w:tc>
          <w:tcPr>
            <w:tcW w:w="1134" w:type="dxa"/>
            <w:shd w:val="clear" w:color="auto" w:fill="C6EFCE"/>
            <w:noWrap/>
            <w:vAlign w:val="center"/>
          </w:tcPr>
          <w:p w14:paraId="768297DE" w14:textId="316C44BD"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0B090A80" w14:textId="2195E5BF" w:rsidR="006054AA" w:rsidRDefault="001F7667">
            <w:pPr>
              <w:pStyle w:val="P68B1DB1-Normal11"/>
              <w:spacing w:after="120"/>
              <w:jc w:val="center"/>
              <w:rPr>
                <w:noProof/>
              </w:rPr>
            </w:pPr>
            <w:r>
              <w:rPr>
                <w:noProof/>
              </w:rPr>
              <w:t>Интелигентни коридори — електрификация на потреблението на енергия</w:t>
            </w:r>
          </w:p>
        </w:tc>
        <w:tc>
          <w:tcPr>
            <w:tcW w:w="1984" w:type="dxa"/>
            <w:shd w:val="clear" w:color="auto" w:fill="C6EFCE"/>
            <w:noWrap/>
            <w:vAlign w:val="center"/>
          </w:tcPr>
          <w:p w14:paraId="74E484DF" w14:textId="77777777"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7DCA5DF0" w14:textId="0E9B971F" w:rsidR="006054AA" w:rsidRDefault="001F7667">
            <w:pPr>
              <w:pStyle w:val="P68B1DB1-Normal11"/>
              <w:spacing w:after="120"/>
              <w:jc w:val="center"/>
              <w:rPr>
                <w:noProof/>
              </w:rPr>
            </w:pPr>
            <w:r>
              <w:rPr>
                <w:noProof/>
              </w:rPr>
              <w:t>Брой</w:t>
            </w:r>
          </w:p>
        </w:tc>
        <w:tc>
          <w:tcPr>
            <w:tcW w:w="993" w:type="dxa"/>
            <w:shd w:val="clear" w:color="auto" w:fill="C6EFCE"/>
            <w:noWrap/>
            <w:vAlign w:val="center"/>
          </w:tcPr>
          <w:p w14:paraId="5782B500" w14:textId="020145B9" w:rsidR="006054AA" w:rsidRDefault="001F7667">
            <w:pPr>
              <w:pStyle w:val="P68B1DB1-Normal11"/>
              <w:spacing w:after="120"/>
              <w:jc w:val="center"/>
              <w:rPr>
                <w:noProof/>
              </w:rPr>
            </w:pPr>
            <w:r>
              <w:rPr>
                <w:noProof/>
              </w:rPr>
              <w:t>1 500 000</w:t>
            </w:r>
          </w:p>
        </w:tc>
        <w:tc>
          <w:tcPr>
            <w:tcW w:w="992" w:type="dxa"/>
            <w:shd w:val="clear" w:color="auto" w:fill="C6EFCE"/>
            <w:noWrap/>
            <w:vAlign w:val="center"/>
          </w:tcPr>
          <w:p w14:paraId="4C66A1BB" w14:textId="014E9A30" w:rsidR="006054AA" w:rsidRDefault="001F7667">
            <w:pPr>
              <w:pStyle w:val="P68B1DB1-Normal11"/>
              <w:spacing w:after="120"/>
              <w:jc w:val="center"/>
              <w:rPr>
                <w:noProof/>
              </w:rPr>
            </w:pPr>
            <w:r>
              <w:rPr>
                <w:noProof/>
              </w:rPr>
              <w:t>1 730 000</w:t>
            </w:r>
          </w:p>
        </w:tc>
        <w:tc>
          <w:tcPr>
            <w:tcW w:w="992" w:type="dxa"/>
            <w:shd w:val="clear" w:color="auto" w:fill="C6EFCE"/>
            <w:noWrap/>
            <w:vAlign w:val="center"/>
          </w:tcPr>
          <w:p w14:paraId="18576FE2" w14:textId="78FEFB07"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6D6BE89F" w14:textId="68F12DF2"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5FC80C74" w14:textId="79B417C9" w:rsidR="006054AA" w:rsidRDefault="001F7667">
            <w:pPr>
              <w:pStyle w:val="P68B1DB1-Normal11"/>
              <w:spacing w:after="120"/>
              <w:rPr>
                <w:noProof/>
                <w:color w:val="FF0000"/>
              </w:rPr>
            </w:pPr>
            <w:r>
              <w:rPr>
                <w:noProof/>
              </w:rPr>
              <w:t>Електрификация на потреблението на енергия, достигащо най-малко 1 730 000 жители.</w:t>
            </w:r>
          </w:p>
        </w:tc>
      </w:tr>
      <w:tr w:rsidR="006054AA" w14:paraId="6A2B6F4C" w14:textId="77777777">
        <w:trPr>
          <w:trHeight w:val="309"/>
        </w:trPr>
        <w:tc>
          <w:tcPr>
            <w:tcW w:w="1185" w:type="dxa"/>
            <w:shd w:val="clear" w:color="auto" w:fill="C6EFCE"/>
            <w:noWrap/>
            <w:vAlign w:val="center"/>
          </w:tcPr>
          <w:p w14:paraId="49BDE9F4" w14:textId="71E80DF2" w:rsidR="006054AA" w:rsidRDefault="001F7667">
            <w:pPr>
              <w:pStyle w:val="P68B1DB1-Normal11"/>
              <w:spacing w:after="120"/>
              <w:jc w:val="center"/>
              <w:rPr>
                <w:noProof/>
              </w:rPr>
            </w:pPr>
            <w:r>
              <w:rPr>
                <w:noProof/>
              </w:rPr>
              <w:t>M7—12</w:t>
            </w:r>
          </w:p>
        </w:tc>
        <w:tc>
          <w:tcPr>
            <w:tcW w:w="1559" w:type="dxa"/>
            <w:shd w:val="clear" w:color="auto" w:fill="C6EFCE"/>
            <w:noWrap/>
            <w:vAlign w:val="center"/>
          </w:tcPr>
          <w:p w14:paraId="15C51D32" w14:textId="4369D599" w:rsidR="006054AA" w:rsidRDefault="001F7667">
            <w:pPr>
              <w:pStyle w:val="P68B1DB1-Normal11"/>
              <w:spacing w:after="120"/>
              <w:jc w:val="center"/>
              <w:rPr>
                <w:noProof/>
              </w:rPr>
            </w:pPr>
            <w:r>
              <w:rPr>
                <w:noProof/>
              </w:rPr>
              <w:t>Инвестиция 2: Мярка за разрастване: Интервенции за повишаване на устойчивостта на електроенергийната мрежа</w:t>
            </w:r>
          </w:p>
        </w:tc>
        <w:tc>
          <w:tcPr>
            <w:tcW w:w="1134" w:type="dxa"/>
            <w:shd w:val="clear" w:color="auto" w:fill="C6EFCE"/>
            <w:noWrap/>
            <w:vAlign w:val="center"/>
          </w:tcPr>
          <w:p w14:paraId="45FDBBB0" w14:textId="78FA3048"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32163571" w14:textId="311B4347" w:rsidR="006054AA" w:rsidRDefault="001F7667">
            <w:pPr>
              <w:pStyle w:val="P68B1DB1-Normal11"/>
              <w:spacing w:after="120"/>
              <w:jc w:val="center"/>
              <w:rPr>
                <w:noProof/>
              </w:rPr>
            </w:pPr>
            <w:r>
              <w:rPr>
                <w:noProof/>
              </w:rPr>
              <w:t>Повишаване на устойчивостта на мрежата на електроенергийната система</w:t>
            </w:r>
          </w:p>
        </w:tc>
        <w:tc>
          <w:tcPr>
            <w:tcW w:w="1984" w:type="dxa"/>
            <w:shd w:val="clear" w:color="auto" w:fill="C6EFCE"/>
            <w:noWrap/>
            <w:vAlign w:val="center"/>
          </w:tcPr>
          <w:p w14:paraId="190CF61D" w14:textId="77777777"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214A63A5" w14:textId="7DF0BDDA" w:rsidR="006054AA" w:rsidRDefault="001F7667">
            <w:pPr>
              <w:pStyle w:val="P68B1DB1-Normal11"/>
              <w:spacing w:after="120"/>
              <w:jc w:val="center"/>
              <w:rPr>
                <w:noProof/>
              </w:rPr>
            </w:pPr>
            <w:r>
              <w:rPr>
                <w:noProof/>
              </w:rPr>
              <w:t>Брой</w:t>
            </w:r>
          </w:p>
        </w:tc>
        <w:tc>
          <w:tcPr>
            <w:tcW w:w="993" w:type="dxa"/>
            <w:shd w:val="clear" w:color="auto" w:fill="C6EFCE"/>
            <w:noWrap/>
            <w:vAlign w:val="center"/>
          </w:tcPr>
          <w:p w14:paraId="3DDD71C1" w14:textId="17B043D7" w:rsidR="006054AA" w:rsidRDefault="001F7667">
            <w:pPr>
              <w:pStyle w:val="P68B1DB1-Normal11"/>
              <w:spacing w:after="120"/>
              <w:jc w:val="center"/>
              <w:rPr>
                <w:noProof/>
              </w:rPr>
            </w:pPr>
            <w:r>
              <w:rPr>
                <w:noProof/>
              </w:rPr>
              <w:t>4 000</w:t>
            </w:r>
          </w:p>
        </w:tc>
        <w:tc>
          <w:tcPr>
            <w:tcW w:w="992" w:type="dxa"/>
            <w:shd w:val="clear" w:color="auto" w:fill="C6EFCE"/>
            <w:noWrap/>
            <w:vAlign w:val="center"/>
          </w:tcPr>
          <w:p w14:paraId="7361D785" w14:textId="405A4DC1" w:rsidR="006054AA" w:rsidRDefault="001F7667">
            <w:pPr>
              <w:pStyle w:val="P68B1DB1-Normal11"/>
              <w:spacing w:after="120"/>
              <w:jc w:val="center"/>
              <w:rPr>
                <w:noProof/>
              </w:rPr>
            </w:pPr>
            <w:r>
              <w:rPr>
                <w:noProof/>
              </w:rPr>
              <w:t>4 648</w:t>
            </w:r>
          </w:p>
        </w:tc>
        <w:tc>
          <w:tcPr>
            <w:tcW w:w="992" w:type="dxa"/>
            <w:shd w:val="clear" w:color="auto" w:fill="C6EFCE"/>
            <w:noWrap/>
            <w:vAlign w:val="center"/>
          </w:tcPr>
          <w:p w14:paraId="0B96046D" w14:textId="60EC74DD"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15348DDC" w14:textId="6A4C288F"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1C32F69C" w14:textId="69AB7D63" w:rsidR="006054AA" w:rsidRDefault="001F7667">
            <w:pPr>
              <w:pStyle w:val="P68B1DB1-Normal11"/>
              <w:spacing w:after="120"/>
              <w:rPr>
                <w:noProof/>
                <w:color w:val="FF0000"/>
              </w:rPr>
            </w:pPr>
            <w:r>
              <w:rPr>
                <w:noProof/>
              </w:rPr>
              <w:t>Повишаване на устойчивостта на най-малко 4 648 km в мрежата на електроенергийната система.</w:t>
            </w:r>
          </w:p>
        </w:tc>
      </w:tr>
      <w:tr w:rsidR="006054AA" w14:paraId="5937F440" w14:textId="77777777">
        <w:trPr>
          <w:trHeight w:val="309"/>
        </w:trPr>
        <w:tc>
          <w:tcPr>
            <w:tcW w:w="1185" w:type="dxa"/>
            <w:shd w:val="clear" w:color="auto" w:fill="C6EFCE"/>
            <w:noWrap/>
            <w:vAlign w:val="center"/>
          </w:tcPr>
          <w:p w14:paraId="31CEF176" w14:textId="76C3FF7A" w:rsidR="006054AA" w:rsidRDefault="001F7667">
            <w:pPr>
              <w:pStyle w:val="P68B1DB1-Normal11"/>
              <w:spacing w:after="120"/>
              <w:jc w:val="center"/>
              <w:rPr>
                <w:noProof/>
              </w:rPr>
            </w:pPr>
            <w:r>
              <w:rPr>
                <w:noProof/>
              </w:rPr>
              <w:t>M7—13</w:t>
            </w:r>
          </w:p>
        </w:tc>
        <w:tc>
          <w:tcPr>
            <w:tcW w:w="1559" w:type="dxa"/>
            <w:shd w:val="clear" w:color="auto" w:fill="C6EFCE"/>
            <w:noWrap/>
            <w:vAlign w:val="center"/>
          </w:tcPr>
          <w:p w14:paraId="6B11FF73" w14:textId="40A6986D" w:rsidR="006054AA" w:rsidRDefault="001F7667">
            <w:pPr>
              <w:pStyle w:val="P68B1DB1-Normal11"/>
              <w:spacing w:after="120"/>
              <w:jc w:val="center"/>
              <w:rPr>
                <w:noProof/>
              </w:rPr>
            </w:pPr>
            <w:r>
              <w:rPr>
                <w:noProof/>
              </w:rPr>
              <w:t>Инвестиция 3: Мярка за разрастване: Производство на водород в изоставени промишлени терени (водородни долини)</w:t>
            </w:r>
          </w:p>
        </w:tc>
        <w:tc>
          <w:tcPr>
            <w:tcW w:w="1134" w:type="dxa"/>
            <w:shd w:val="clear" w:color="auto" w:fill="C6EFCE"/>
            <w:noWrap/>
            <w:vAlign w:val="center"/>
          </w:tcPr>
          <w:p w14:paraId="2C81D8D6" w14:textId="5A88E119"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0C685F8A" w14:textId="50306103" w:rsidR="006054AA" w:rsidRDefault="001F7667">
            <w:pPr>
              <w:pStyle w:val="P68B1DB1-Normal11"/>
              <w:spacing w:after="120"/>
              <w:jc w:val="center"/>
              <w:rPr>
                <w:noProof/>
              </w:rPr>
            </w:pPr>
            <w:r>
              <w:rPr>
                <w:noProof/>
              </w:rPr>
              <w:t>Приключване на проекта за производство на водород в промишлени райони</w:t>
            </w:r>
          </w:p>
        </w:tc>
        <w:tc>
          <w:tcPr>
            <w:tcW w:w="1984" w:type="dxa"/>
            <w:shd w:val="clear" w:color="auto" w:fill="C6EFCE"/>
            <w:noWrap/>
            <w:vAlign w:val="center"/>
          </w:tcPr>
          <w:p w14:paraId="1B25E3C9" w14:textId="77777777"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17A067C5" w14:textId="6B067D44" w:rsidR="006054AA" w:rsidRDefault="001F7667">
            <w:pPr>
              <w:pStyle w:val="P68B1DB1-Normal11"/>
              <w:spacing w:after="120"/>
              <w:jc w:val="center"/>
              <w:rPr>
                <w:noProof/>
              </w:rPr>
            </w:pPr>
            <w:r>
              <w:rPr>
                <w:noProof/>
              </w:rPr>
              <w:t>Брой</w:t>
            </w:r>
          </w:p>
        </w:tc>
        <w:tc>
          <w:tcPr>
            <w:tcW w:w="993" w:type="dxa"/>
            <w:shd w:val="clear" w:color="auto" w:fill="C6EFCE"/>
            <w:noWrap/>
            <w:vAlign w:val="center"/>
          </w:tcPr>
          <w:p w14:paraId="7FB9AA8F" w14:textId="730076FC" w:rsidR="006054AA" w:rsidRDefault="001F7667">
            <w:pPr>
              <w:pStyle w:val="P68B1DB1-Normal11"/>
              <w:spacing w:after="120"/>
              <w:jc w:val="center"/>
              <w:rPr>
                <w:noProof/>
              </w:rPr>
            </w:pPr>
            <w:r>
              <w:rPr>
                <w:noProof/>
              </w:rPr>
              <w:t>10</w:t>
            </w:r>
          </w:p>
        </w:tc>
        <w:tc>
          <w:tcPr>
            <w:tcW w:w="992" w:type="dxa"/>
            <w:shd w:val="clear" w:color="auto" w:fill="C6EFCE"/>
            <w:noWrap/>
            <w:vAlign w:val="center"/>
          </w:tcPr>
          <w:p w14:paraId="10D1206B" w14:textId="73E1A74B" w:rsidR="006054AA" w:rsidRDefault="001F7667">
            <w:pPr>
              <w:pStyle w:val="P68B1DB1-Normal11"/>
              <w:spacing w:after="120"/>
              <w:jc w:val="center"/>
              <w:rPr>
                <w:noProof/>
              </w:rPr>
            </w:pPr>
            <w:r>
              <w:rPr>
                <w:noProof/>
              </w:rPr>
              <w:t>12</w:t>
            </w:r>
          </w:p>
        </w:tc>
        <w:tc>
          <w:tcPr>
            <w:tcW w:w="992" w:type="dxa"/>
            <w:shd w:val="clear" w:color="auto" w:fill="C6EFCE"/>
            <w:noWrap/>
            <w:vAlign w:val="center"/>
          </w:tcPr>
          <w:p w14:paraId="41D57513" w14:textId="32DBCAEE"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34F92954" w14:textId="3504C87B"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55B343AC" w14:textId="0B68BBEA" w:rsidR="006054AA" w:rsidRDefault="001F7667">
            <w:pPr>
              <w:pStyle w:val="P68B1DB1-Normal11"/>
              <w:spacing w:after="120"/>
              <w:rPr>
                <w:noProof/>
              </w:rPr>
            </w:pPr>
            <w:r>
              <w:rPr>
                <w:noProof/>
              </w:rPr>
              <w:t xml:space="preserve">Да завършат най-малко 12 проекта за производство на водород в изоставени промишлени райони със среден капацитет от най-малко 1—5 MW всеки. </w:t>
            </w:r>
          </w:p>
        </w:tc>
      </w:tr>
      <w:tr w:rsidR="006054AA" w14:paraId="377B4079" w14:textId="77777777">
        <w:trPr>
          <w:trHeight w:val="309"/>
        </w:trPr>
        <w:tc>
          <w:tcPr>
            <w:tcW w:w="1185" w:type="dxa"/>
            <w:shd w:val="clear" w:color="auto" w:fill="C6EFCE"/>
            <w:noWrap/>
            <w:vAlign w:val="center"/>
          </w:tcPr>
          <w:p w14:paraId="5CA05D38" w14:textId="72D4DA23" w:rsidR="006054AA" w:rsidRDefault="001F7667">
            <w:pPr>
              <w:pStyle w:val="P68B1DB1-Normal11"/>
              <w:spacing w:after="120"/>
              <w:jc w:val="center"/>
              <w:rPr>
                <w:noProof/>
              </w:rPr>
            </w:pPr>
            <w:r>
              <w:rPr>
                <w:noProof/>
              </w:rPr>
              <w:t>M7—14</w:t>
            </w:r>
          </w:p>
        </w:tc>
        <w:tc>
          <w:tcPr>
            <w:tcW w:w="1559" w:type="dxa"/>
            <w:shd w:val="clear" w:color="auto" w:fill="C6EFCE"/>
            <w:noWrap/>
            <w:vAlign w:val="center"/>
          </w:tcPr>
          <w:p w14:paraId="0F252229" w14:textId="273DE3BA" w:rsidR="006054AA" w:rsidRDefault="001F7667">
            <w:pPr>
              <w:pStyle w:val="P68B1DB1-Normal11"/>
              <w:spacing w:after="120"/>
              <w:jc w:val="center"/>
              <w:rPr>
                <w:noProof/>
              </w:rPr>
            </w:pPr>
            <w:r>
              <w:rPr>
                <w:noProof/>
              </w:rPr>
              <w:t>Инвестиция 4: Връзка Тиренян</w:t>
            </w:r>
          </w:p>
        </w:tc>
        <w:tc>
          <w:tcPr>
            <w:tcW w:w="1134" w:type="dxa"/>
            <w:shd w:val="clear" w:color="auto" w:fill="C6EFCE"/>
            <w:noWrap/>
            <w:vAlign w:val="center"/>
          </w:tcPr>
          <w:p w14:paraId="1E9C3931" w14:textId="5CA4E33F"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6A4ACC6A" w14:textId="004702E4" w:rsidR="006054AA" w:rsidRDefault="001F7667">
            <w:pPr>
              <w:pStyle w:val="P68B1DB1-Normal11"/>
              <w:spacing w:after="120"/>
              <w:jc w:val="center"/>
              <w:rPr>
                <w:noProof/>
              </w:rPr>
            </w:pPr>
            <w:r>
              <w:rPr>
                <w:noProof/>
              </w:rPr>
              <w:t>Възлагане на договори</w:t>
            </w:r>
          </w:p>
        </w:tc>
        <w:tc>
          <w:tcPr>
            <w:tcW w:w="1984" w:type="dxa"/>
            <w:shd w:val="clear" w:color="auto" w:fill="C6EFCE"/>
            <w:noWrap/>
            <w:vAlign w:val="center"/>
          </w:tcPr>
          <w:p w14:paraId="5290E083" w14:textId="03C7EF91" w:rsidR="006054AA" w:rsidRDefault="001F7667">
            <w:pPr>
              <w:pStyle w:val="P68B1DB1-Normal11"/>
              <w:spacing w:after="120"/>
              <w:jc w:val="center"/>
              <w:rPr>
                <w:noProof/>
              </w:rPr>
            </w:pPr>
            <w:r>
              <w:rPr>
                <w:noProof/>
              </w:rPr>
              <w:t>Уведомяване за възлагането на поръчки</w:t>
            </w:r>
          </w:p>
        </w:tc>
        <w:tc>
          <w:tcPr>
            <w:tcW w:w="1134" w:type="dxa"/>
            <w:shd w:val="clear" w:color="auto" w:fill="C6EFCE"/>
            <w:noWrap/>
            <w:vAlign w:val="center"/>
          </w:tcPr>
          <w:p w14:paraId="1B01F1E9"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34AA35D6"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00E02372"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31BC7194" w14:textId="15BCB8BB" w:rsidR="006054AA" w:rsidRDefault="001F7667">
            <w:pPr>
              <w:pStyle w:val="P68B1DB1-Normal11"/>
              <w:spacing w:after="120"/>
              <w:jc w:val="center"/>
              <w:rPr>
                <w:noProof/>
              </w:rPr>
            </w:pPr>
            <w:r>
              <w:rPr>
                <w:noProof/>
              </w:rPr>
              <w:t>Т3 Г.</w:t>
            </w:r>
          </w:p>
        </w:tc>
        <w:tc>
          <w:tcPr>
            <w:tcW w:w="709" w:type="dxa"/>
            <w:shd w:val="clear" w:color="auto" w:fill="C6EFCE"/>
            <w:noWrap/>
            <w:vAlign w:val="center"/>
          </w:tcPr>
          <w:p w14:paraId="255E1834" w14:textId="308D8463"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25D35547" w14:textId="24ACCD7A" w:rsidR="006054AA" w:rsidRDefault="001F7667">
            <w:pPr>
              <w:pStyle w:val="P68B1DB1-Normal11"/>
              <w:spacing w:after="120"/>
              <w:rPr>
                <w:noProof/>
              </w:rPr>
            </w:pPr>
            <w:r>
              <w:rPr>
                <w:noProof/>
              </w:rPr>
              <w:t>Уведомление за възлагането на всички поръчки за строителните работи, необходими за полагането на 514 км кабели, свързващи Caracoli с Eboli.</w:t>
            </w:r>
          </w:p>
        </w:tc>
      </w:tr>
      <w:tr w:rsidR="006054AA" w14:paraId="441A8BE6" w14:textId="77777777">
        <w:trPr>
          <w:trHeight w:val="309"/>
        </w:trPr>
        <w:tc>
          <w:tcPr>
            <w:tcW w:w="1185" w:type="dxa"/>
            <w:shd w:val="clear" w:color="auto" w:fill="C6EFCE"/>
            <w:noWrap/>
            <w:vAlign w:val="center"/>
          </w:tcPr>
          <w:p w14:paraId="1985C15C" w14:textId="5727D76A" w:rsidR="006054AA" w:rsidRDefault="001F7667">
            <w:pPr>
              <w:pStyle w:val="P68B1DB1-Normal11"/>
              <w:spacing w:after="120"/>
              <w:jc w:val="center"/>
              <w:rPr>
                <w:noProof/>
              </w:rPr>
            </w:pPr>
            <w:r>
              <w:rPr>
                <w:noProof/>
              </w:rPr>
              <w:t>M7—15</w:t>
            </w:r>
          </w:p>
        </w:tc>
        <w:tc>
          <w:tcPr>
            <w:tcW w:w="1559" w:type="dxa"/>
            <w:shd w:val="clear" w:color="auto" w:fill="C6EFCE"/>
            <w:noWrap/>
            <w:vAlign w:val="center"/>
          </w:tcPr>
          <w:p w14:paraId="3B57A9A3" w14:textId="619D3D0A" w:rsidR="006054AA" w:rsidRDefault="001F7667">
            <w:pPr>
              <w:pStyle w:val="P68B1DB1-Normal11"/>
              <w:spacing w:after="120"/>
              <w:jc w:val="center"/>
              <w:rPr>
                <w:noProof/>
              </w:rPr>
            </w:pPr>
            <w:r>
              <w:rPr>
                <w:noProof/>
              </w:rPr>
              <w:t>Инвестиция 4: Връзка Тиренян</w:t>
            </w:r>
          </w:p>
        </w:tc>
        <w:tc>
          <w:tcPr>
            <w:tcW w:w="1134" w:type="dxa"/>
            <w:shd w:val="clear" w:color="auto" w:fill="C6EFCE"/>
            <w:noWrap/>
            <w:vAlign w:val="center"/>
          </w:tcPr>
          <w:p w14:paraId="2D139A13" w14:textId="46ED216C"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640A85CB" w14:textId="360B658D" w:rsidR="006054AA" w:rsidRDefault="001F7667">
            <w:pPr>
              <w:pStyle w:val="P68B1DB1-Normal11"/>
              <w:spacing w:after="120"/>
              <w:jc w:val="center"/>
              <w:rPr>
                <w:noProof/>
              </w:rPr>
            </w:pPr>
            <w:r>
              <w:rPr>
                <w:noProof/>
              </w:rPr>
              <w:t>514 km изграден кабел</w:t>
            </w:r>
          </w:p>
        </w:tc>
        <w:tc>
          <w:tcPr>
            <w:tcW w:w="1984" w:type="dxa"/>
            <w:shd w:val="clear" w:color="auto" w:fill="C6EFCE"/>
            <w:noWrap/>
            <w:vAlign w:val="center"/>
          </w:tcPr>
          <w:p w14:paraId="02BBB41C" w14:textId="1DF8059B"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75F95735" w14:textId="52A7229C" w:rsidR="006054AA" w:rsidRDefault="001F7667">
            <w:pPr>
              <w:pStyle w:val="P68B1DB1-Normal11"/>
              <w:spacing w:after="120"/>
              <w:jc w:val="center"/>
              <w:rPr>
                <w:noProof/>
              </w:rPr>
            </w:pPr>
            <w:r>
              <w:rPr>
                <w:noProof/>
              </w:rPr>
              <w:t>Километър</w:t>
            </w:r>
          </w:p>
        </w:tc>
        <w:tc>
          <w:tcPr>
            <w:tcW w:w="993" w:type="dxa"/>
            <w:shd w:val="clear" w:color="auto" w:fill="C6EFCE"/>
            <w:noWrap/>
            <w:vAlign w:val="center"/>
          </w:tcPr>
          <w:p w14:paraId="79937F91" w14:textId="61FE6467" w:rsidR="006054AA" w:rsidRDefault="001F7667">
            <w:pPr>
              <w:pStyle w:val="P68B1DB1-Normal11"/>
              <w:spacing w:after="120"/>
              <w:jc w:val="center"/>
              <w:rPr>
                <w:noProof/>
              </w:rPr>
            </w:pPr>
            <w:r>
              <w:rPr>
                <w:noProof/>
              </w:rPr>
              <w:t>0</w:t>
            </w:r>
          </w:p>
        </w:tc>
        <w:tc>
          <w:tcPr>
            <w:tcW w:w="992" w:type="dxa"/>
            <w:shd w:val="clear" w:color="auto" w:fill="C6EFCE"/>
            <w:noWrap/>
            <w:vAlign w:val="center"/>
          </w:tcPr>
          <w:p w14:paraId="2A91E36D" w14:textId="7133D8AF" w:rsidR="006054AA" w:rsidRDefault="001F7667">
            <w:pPr>
              <w:pStyle w:val="P68B1DB1-Normal11"/>
              <w:spacing w:after="120"/>
              <w:jc w:val="center"/>
              <w:rPr>
                <w:noProof/>
              </w:rPr>
            </w:pPr>
            <w:r>
              <w:rPr>
                <w:noProof/>
              </w:rPr>
              <w:t>514</w:t>
            </w:r>
          </w:p>
        </w:tc>
        <w:tc>
          <w:tcPr>
            <w:tcW w:w="992" w:type="dxa"/>
            <w:shd w:val="clear" w:color="auto" w:fill="C6EFCE"/>
            <w:noWrap/>
            <w:vAlign w:val="center"/>
          </w:tcPr>
          <w:p w14:paraId="39CE88EA" w14:textId="1F5C4EFF"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43675B50" w14:textId="13372911"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6F26F1E3" w14:textId="0E108CCD" w:rsidR="006054AA" w:rsidRDefault="001F7667">
            <w:pPr>
              <w:pStyle w:val="P68B1DB1-Normal11"/>
              <w:spacing w:after="120"/>
              <w:rPr>
                <w:noProof/>
              </w:rPr>
            </w:pPr>
            <w:r>
              <w:rPr>
                <w:noProof/>
              </w:rPr>
              <w:t>Изграден кабел с дължина 514 км, свързващ Караколи (Палермо) с Еболи (Салерно) и осигуряващ капацитет от 500 MW.</w:t>
            </w:r>
          </w:p>
        </w:tc>
      </w:tr>
      <w:tr w:rsidR="006054AA" w14:paraId="79E5721E" w14:textId="77777777">
        <w:trPr>
          <w:trHeight w:val="309"/>
        </w:trPr>
        <w:tc>
          <w:tcPr>
            <w:tcW w:w="1185" w:type="dxa"/>
            <w:shd w:val="clear" w:color="auto" w:fill="C6EFCE"/>
            <w:noWrap/>
            <w:vAlign w:val="center"/>
          </w:tcPr>
          <w:p w14:paraId="7D9E4564" w14:textId="1EF602AB" w:rsidR="006054AA" w:rsidRDefault="001F7667">
            <w:pPr>
              <w:pStyle w:val="P68B1DB1-Normal11"/>
              <w:spacing w:after="120"/>
              <w:jc w:val="center"/>
              <w:rPr>
                <w:noProof/>
              </w:rPr>
            </w:pPr>
            <w:r>
              <w:rPr>
                <w:noProof/>
              </w:rPr>
              <w:t>M7—16</w:t>
            </w:r>
          </w:p>
        </w:tc>
        <w:tc>
          <w:tcPr>
            <w:tcW w:w="1559" w:type="dxa"/>
            <w:shd w:val="clear" w:color="auto" w:fill="C6EFCE"/>
            <w:noWrap/>
            <w:vAlign w:val="center"/>
          </w:tcPr>
          <w:p w14:paraId="3BD908CF" w14:textId="500316DE" w:rsidR="006054AA" w:rsidRDefault="001F7667">
            <w:pPr>
              <w:pStyle w:val="P68B1DB1-Normal11"/>
              <w:spacing w:after="120"/>
              <w:jc w:val="center"/>
              <w:rPr>
                <w:noProof/>
              </w:rPr>
            </w:pPr>
            <w:r>
              <w:rPr>
                <w:noProof/>
              </w:rPr>
              <w:t>Инвестиция 5: SA.CO.I.3</w:t>
            </w:r>
          </w:p>
        </w:tc>
        <w:tc>
          <w:tcPr>
            <w:tcW w:w="1134" w:type="dxa"/>
            <w:shd w:val="clear" w:color="auto" w:fill="C6EFCE"/>
            <w:noWrap/>
            <w:vAlign w:val="center"/>
          </w:tcPr>
          <w:p w14:paraId="1033D43B" w14:textId="48F8CD45"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2F61858B" w14:textId="366AD03D" w:rsidR="006054AA" w:rsidRDefault="001F7667">
            <w:pPr>
              <w:pStyle w:val="P68B1DB1-Normal11"/>
              <w:spacing w:after="120"/>
              <w:jc w:val="center"/>
              <w:rPr>
                <w:noProof/>
              </w:rPr>
            </w:pPr>
            <w:r>
              <w:rPr>
                <w:noProof/>
              </w:rPr>
              <w:t>Възлагане на договори</w:t>
            </w:r>
          </w:p>
        </w:tc>
        <w:tc>
          <w:tcPr>
            <w:tcW w:w="1984" w:type="dxa"/>
            <w:shd w:val="clear" w:color="auto" w:fill="C6EFCE"/>
            <w:noWrap/>
            <w:vAlign w:val="center"/>
          </w:tcPr>
          <w:p w14:paraId="4B4D027B" w14:textId="7F5E5DF3" w:rsidR="006054AA" w:rsidRDefault="001F7667">
            <w:pPr>
              <w:pStyle w:val="P68B1DB1-Normal11"/>
              <w:spacing w:after="120"/>
              <w:jc w:val="center"/>
              <w:rPr>
                <w:noProof/>
              </w:rPr>
            </w:pPr>
            <w:r>
              <w:rPr>
                <w:noProof/>
              </w:rPr>
              <w:t>Уведомяване за възлагането на поръчки</w:t>
            </w:r>
          </w:p>
        </w:tc>
        <w:tc>
          <w:tcPr>
            <w:tcW w:w="1134" w:type="dxa"/>
            <w:shd w:val="clear" w:color="auto" w:fill="C6EFCE"/>
            <w:noWrap/>
            <w:vAlign w:val="center"/>
          </w:tcPr>
          <w:p w14:paraId="6465127B" w14:textId="354488AF" w:rsidR="006054AA" w:rsidRDefault="006054AA">
            <w:pPr>
              <w:spacing w:after="120"/>
              <w:jc w:val="center"/>
              <w:rPr>
                <w:rFonts w:ascii="Arial Narrow" w:hAnsi="Arial Narrow"/>
                <w:noProof/>
                <w:color w:val="FF0000"/>
                <w:sz w:val="20"/>
              </w:rPr>
            </w:pPr>
          </w:p>
        </w:tc>
        <w:tc>
          <w:tcPr>
            <w:tcW w:w="993" w:type="dxa"/>
            <w:shd w:val="clear" w:color="auto" w:fill="C6EFCE"/>
            <w:noWrap/>
            <w:vAlign w:val="center"/>
          </w:tcPr>
          <w:p w14:paraId="1482E4CF"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7C9090CB"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510FB368" w14:textId="080D9BC8" w:rsidR="006054AA" w:rsidRDefault="001F7667">
            <w:pPr>
              <w:pStyle w:val="P68B1DB1-Normal11"/>
              <w:spacing w:after="120"/>
              <w:jc w:val="center"/>
              <w:rPr>
                <w:noProof/>
              </w:rPr>
            </w:pPr>
            <w:r>
              <w:rPr>
                <w:noProof/>
              </w:rPr>
              <w:t>Т4 Г.</w:t>
            </w:r>
          </w:p>
        </w:tc>
        <w:tc>
          <w:tcPr>
            <w:tcW w:w="709" w:type="dxa"/>
            <w:shd w:val="clear" w:color="auto" w:fill="C6EFCE"/>
            <w:noWrap/>
            <w:vAlign w:val="center"/>
          </w:tcPr>
          <w:p w14:paraId="626279C4" w14:textId="318B4C80"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76E63E00" w14:textId="40F2015F" w:rsidR="006054AA" w:rsidRDefault="001F7667">
            <w:pPr>
              <w:pStyle w:val="P68B1DB1-Normal11"/>
              <w:spacing w:after="120"/>
              <w:rPr>
                <w:noProof/>
              </w:rPr>
            </w:pPr>
            <w:r>
              <w:rPr>
                <w:noProof/>
              </w:rPr>
              <w:t>Уведомление за възлагането на всички поръчки за строителните работи, необходими за завършването на корпуса на преобразувателните станции в Сардиния и Тоскана.</w:t>
            </w:r>
          </w:p>
        </w:tc>
      </w:tr>
      <w:tr w:rsidR="006054AA" w14:paraId="01E96E37" w14:textId="77777777">
        <w:trPr>
          <w:trHeight w:val="309"/>
        </w:trPr>
        <w:tc>
          <w:tcPr>
            <w:tcW w:w="1185" w:type="dxa"/>
            <w:shd w:val="clear" w:color="auto" w:fill="C6EFCE"/>
            <w:noWrap/>
            <w:vAlign w:val="center"/>
          </w:tcPr>
          <w:p w14:paraId="7C17D32E" w14:textId="4D2F6A91" w:rsidR="006054AA" w:rsidRDefault="001F7667">
            <w:pPr>
              <w:pStyle w:val="P68B1DB1-Normal11"/>
              <w:spacing w:after="120"/>
              <w:jc w:val="center"/>
              <w:rPr>
                <w:noProof/>
              </w:rPr>
            </w:pPr>
            <w:r>
              <w:rPr>
                <w:noProof/>
              </w:rPr>
              <w:t>M7—17</w:t>
            </w:r>
          </w:p>
        </w:tc>
        <w:tc>
          <w:tcPr>
            <w:tcW w:w="1559" w:type="dxa"/>
            <w:shd w:val="clear" w:color="auto" w:fill="C6EFCE"/>
            <w:noWrap/>
            <w:vAlign w:val="center"/>
          </w:tcPr>
          <w:p w14:paraId="390D78F5" w14:textId="577773A6" w:rsidR="006054AA" w:rsidRDefault="001F7667">
            <w:pPr>
              <w:pStyle w:val="P68B1DB1-Normal11"/>
              <w:spacing w:after="120"/>
              <w:jc w:val="center"/>
              <w:rPr>
                <w:noProof/>
              </w:rPr>
            </w:pPr>
            <w:r>
              <w:rPr>
                <w:noProof/>
              </w:rPr>
              <w:t>Инвестиция 5: SA.CO.I.3</w:t>
            </w:r>
          </w:p>
        </w:tc>
        <w:tc>
          <w:tcPr>
            <w:tcW w:w="1134" w:type="dxa"/>
            <w:shd w:val="clear" w:color="auto" w:fill="C6EFCE"/>
            <w:noWrap/>
            <w:vAlign w:val="center"/>
          </w:tcPr>
          <w:p w14:paraId="54E6228C" w14:textId="1F8C516A"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1BC84302" w14:textId="730C86B6" w:rsidR="006054AA" w:rsidRDefault="001F7667">
            <w:pPr>
              <w:pStyle w:val="P68B1DB1-Normal11"/>
              <w:spacing w:after="120"/>
              <w:jc w:val="center"/>
              <w:rPr>
                <w:noProof/>
              </w:rPr>
            </w:pPr>
            <w:r>
              <w:rPr>
                <w:noProof/>
              </w:rPr>
              <w:t>Завършване на корпуса на преобразувателните станции в Сардиния (Codrongianos) и Тоскана (Suvereto)</w:t>
            </w:r>
          </w:p>
        </w:tc>
        <w:tc>
          <w:tcPr>
            <w:tcW w:w="1984" w:type="dxa"/>
            <w:shd w:val="clear" w:color="auto" w:fill="C6EFCE"/>
            <w:noWrap/>
            <w:vAlign w:val="center"/>
          </w:tcPr>
          <w:p w14:paraId="6CBF57A6" w14:textId="58925461" w:rsidR="006054AA" w:rsidRDefault="001F7667">
            <w:pPr>
              <w:pStyle w:val="P68B1DB1-Normal11"/>
              <w:spacing w:after="120"/>
              <w:jc w:val="center"/>
              <w:rPr>
                <w:noProof/>
              </w:rPr>
            </w:pPr>
            <w:r>
              <w:rPr>
                <w:noProof/>
              </w:rPr>
              <w:t>Уведомление за приключване на строителните работи</w:t>
            </w:r>
          </w:p>
        </w:tc>
        <w:tc>
          <w:tcPr>
            <w:tcW w:w="1134" w:type="dxa"/>
            <w:shd w:val="clear" w:color="auto" w:fill="C6EFCE"/>
            <w:noWrap/>
            <w:vAlign w:val="center"/>
          </w:tcPr>
          <w:p w14:paraId="039276CA"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24E3E40C"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55B070D5"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6CE5785D" w14:textId="089DEF35"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3A477196" w14:textId="3170E629"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61DD4D40" w14:textId="5D3877D4" w:rsidR="006054AA" w:rsidRDefault="001F7667">
            <w:pPr>
              <w:pStyle w:val="P68B1DB1-Normal11"/>
              <w:spacing w:after="120"/>
              <w:rPr>
                <w:noProof/>
              </w:rPr>
            </w:pPr>
            <w:r>
              <w:rPr>
                <w:noProof/>
              </w:rPr>
              <w:t>Уведомление за завършването на корпуса на преобразувателните станции в Сардиния и Тоскана.</w:t>
            </w:r>
          </w:p>
        </w:tc>
      </w:tr>
      <w:tr w:rsidR="006054AA" w14:paraId="4B6306F5" w14:textId="77777777">
        <w:trPr>
          <w:trHeight w:val="309"/>
        </w:trPr>
        <w:tc>
          <w:tcPr>
            <w:tcW w:w="1185" w:type="dxa"/>
            <w:shd w:val="clear" w:color="auto" w:fill="C6EFCE"/>
            <w:noWrap/>
            <w:vAlign w:val="center"/>
          </w:tcPr>
          <w:p w14:paraId="3560B194" w14:textId="51090FA8" w:rsidR="006054AA" w:rsidRDefault="001F7667">
            <w:pPr>
              <w:pStyle w:val="P68B1DB1-Normal11"/>
              <w:spacing w:after="120"/>
              <w:jc w:val="center"/>
              <w:rPr>
                <w:noProof/>
              </w:rPr>
            </w:pPr>
            <w:r>
              <w:rPr>
                <w:noProof/>
              </w:rPr>
              <w:t>M7—18</w:t>
            </w:r>
          </w:p>
        </w:tc>
        <w:tc>
          <w:tcPr>
            <w:tcW w:w="1559" w:type="dxa"/>
            <w:shd w:val="clear" w:color="auto" w:fill="C6EFCE"/>
            <w:noWrap/>
            <w:vAlign w:val="center"/>
          </w:tcPr>
          <w:p w14:paraId="5989477E" w14:textId="3DD09A8F" w:rsidR="006054AA" w:rsidRDefault="001F7667">
            <w:pPr>
              <w:pStyle w:val="P68B1DB1-Normal11"/>
              <w:spacing w:after="120"/>
              <w:jc w:val="center"/>
              <w:rPr>
                <w:noProof/>
              </w:rPr>
            </w:pPr>
            <w:r>
              <w:rPr>
                <w:noProof/>
              </w:rPr>
              <w:t>Инвестиция 6: Проекти за трансгранични електроенергийни междусистемни връзки между Италия и съседни държави</w:t>
            </w:r>
          </w:p>
        </w:tc>
        <w:tc>
          <w:tcPr>
            <w:tcW w:w="1134" w:type="dxa"/>
            <w:shd w:val="clear" w:color="auto" w:fill="C6EFCE"/>
            <w:noWrap/>
            <w:vAlign w:val="center"/>
          </w:tcPr>
          <w:p w14:paraId="0288869E" w14:textId="2F384008"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4AA106B5" w14:textId="7CF70716" w:rsidR="006054AA" w:rsidRDefault="001F7667">
            <w:pPr>
              <w:pStyle w:val="P68B1DB1-Normal11"/>
              <w:spacing w:after="120"/>
              <w:jc w:val="center"/>
              <w:rPr>
                <w:noProof/>
                <w:color w:val="FF0000"/>
              </w:rPr>
            </w:pPr>
            <w:r>
              <w:rPr>
                <w:noProof/>
              </w:rPr>
              <w:t>Възлагане на договори за изграждането на междусистемната връзка Италия — Австрия „Somplago — Würmlach“</w:t>
            </w:r>
          </w:p>
        </w:tc>
        <w:tc>
          <w:tcPr>
            <w:tcW w:w="1984" w:type="dxa"/>
            <w:shd w:val="clear" w:color="auto" w:fill="C6EFCE"/>
            <w:noWrap/>
            <w:vAlign w:val="center"/>
          </w:tcPr>
          <w:p w14:paraId="1E8B2726" w14:textId="2968FD42" w:rsidR="006054AA" w:rsidRDefault="001F7667">
            <w:pPr>
              <w:pStyle w:val="P68B1DB1-Normal11"/>
              <w:spacing w:after="120"/>
              <w:jc w:val="center"/>
              <w:rPr>
                <w:noProof/>
              </w:rPr>
            </w:pPr>
            <w:r>
              <w:rPr>
                <w:noProof/>
              </w:rPr>
              <w:t>Уведомяване за възлагането на поръчки</w:t>
            </w:r>
          </w:p>
        </w:tc>
        <w:tc>
          <w:tcPr>
            <w:tcW w:w="1134" w:type="dxa"/>
            <w:shd w:val="clear" w:color="auto" w:fill="C6EFCE"/>
            <w:noWrap/>
            <w:vAlign w:val="center"/>
          </w:tcPr>
          <w:p w14:paraId="5B699BAB"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7D85D82B"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12C2DCCA"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589CEBE7" w14:textId="4D0BB9CF" w:rsidR="006054AA" w:rsidRDefault="001F7667">
            <w:pPr>
              <w:pStyle w:val="P68B1DB1-Normal11"/>
              <w:spacing w:after="120"/>
              <w:jc w:val="center"/>
              <w:rPr>
                <w:noProof/>
              </w:rPr>
            </w:pPr>
            <w:r>
              <w:rPr>
                <w:noProof/>
              </w:rPr>
              <w:t>Т3 Г.</w:t>
            </w:r>
          </w:p>
        </w:tc>
        <w:tc>
          <w:tcPr>
            <w:tcW w:w="709" w:type="dxa"/>
            <w:shd w:val="clear" w:color="auto" w:fill="C6EFCE"/>
            <w:noWrap/>
            <w:vAlign w:val="center"/>
          </w:tcPr>
          <w:p w14:paraId="1712D171" w14:textId="3CC9B15D" w:rsidR="006054AA" w:rsidRDefault="001F7667">
            <w:pPr>
              <w:pStyle w:val="P68B1DB1-Normal11"/>
              <w:spacing w:after="120"/>
              <w:jc w:val="center"/>
              <w:rPr>
                <w:noProof/>
              </w:rPr>
            </w:pPr>
            <w:r>
              <w:rPr>
                <w:noProof/>
              </w:rPr>
              <w:t>2025</w:t>
            </w:r>
          </w:p>
        </w:tc>
        <w:tc>
          <w:tcPr>
            <w:tcW w:w="3261" w:type="dxa"/>
            <w:shd w:val="clear" w:color="auto" w:fill="C6EFCE"/>
            <w:noWrap/>
            <w:vAlign w:val="center"/>
          </w:tcPr>
          <w:p w14:paraId="47F98B55" w14:textId="674B3E3A" w:rsidR="006054AA" w:rsidRDefault="001F7667">
            <w:pPr>
              <w:pStyle w:val="P68B1DB1-Normal11"/>
              <w:spacing w:after="120"/>
              <w:rPr>
                <w:noProof/>
                <w:color w:val="FF0000"/>
              </w:rPr>
            </w:pPr>
            <w:r>
              <w:rPr>
                <w:noProof/>
              </w:rPr>
              <w:t>Уведомление за възлагането на всички договори, необходими за започване на изграждането на междусистемната връзка Italy-Austria „Somplago — Würmlach“.</w:t>
            </w:r>
          </w:p>
        </w:tc>
      </w:tr>
      <w:tr w:rsidR="006054AA" w14:paraId="29E6D484" w14:textId="77777777">
        <w:trPr>
          <w:trHeight w:val="309"/>
        </w:trPr>
        <w:tc>
          <w:tcPr>
            <w:tcW w:w="1185" w:type="dxa"/>
            <w:shd w:val="clear" w:color="auto" w:fill="C6EFCE"/>
            <w:noWrap/>
            <w:vAlign w:val="center"/>
          </w:tcPr>
          <w:p w14:paraId="1879ABBC" w14:textId="33BD8832" w:rsidR="006054AA" w:rsidRDefault="001F7667">
            <w:pPr>
              <w:pStyle w:val="P68B1DB1-Normal11"/>
              <w:spacing w:after="120"/>
              <w:jc w:val="center"/>
              <w:rPr>
                <w:noProof/>
              </w:rPr>
            </w:pPr>
            <w:r>
              <w:rPr>
                <w:noProof/>
              </w:rPr>
              <w:t>M7—19</w:t>
            </w:r>
          </w:p>
        </w:tc>
        <w:tc>
          <w:tcPr>
            <w:tcW w:w="1559" w:type="dxa"/>
            <w:shd w:val="clear" w:color="auto" w:fill="C6EFCE"/>
            <w:noWrap/>
            <w:vAlign w:val="center"/>
          </w:tcPr>
          <w:p w14:paraId="0EBE10AF" w14:textId="7C5C1ACB" w:rsidR="006054AA" w:rsidRDefault="001F7667">
            <w:pPr>
              <w:pStyle w:val="P68B1DB1-Normal11"/>
              <w:spacing w:after="120"/>
              <w:jc w:val="center"/>
              <w:rPr>
                <w:noProof/>
              </w:rPr>
            </w:pPr>
            <w:r>
              <w:rPr>
                <w:noProof/>
              </w:rPr>
              <w:t>Инвестиция 6: Проекти за трансгранични електроенергийни междусистемни връзки между Италия и съседни държави</w:t>
            </w:r>
          </w:p>
        </w:tc>
        <w:tc>
          <w:tcPr>
            <w:tcW w:w="1134" w:type="dxa"/>
            <w:shd w:val="clear" w:color="auto" w:fill="C6EFCE"/>
            <w:noWrap/>
            <w:vAlign w:val="center"/>
          </w:tcPr>
          <w:p w14:paraId="2C92C4B2" w14:textId="3EF8C9CA"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1590A035" w14:textId="1F28A099" w:rsidR="006054AA" w:rsidRDefault="001F7667">
            <w:pPr>
              <w:pStyle w:val="P68B1DB1-Normal11"/>
              <w:spacing w:after="120"/>
              <w:jc w:val="center"/>
              <w:rPr>
                <w:noProof/>
              </w:rPr>
            </w:pPr>
            <w:r>
              <w:rPr>
                <w:noProof/>
              </w:rPr>
              <w:t>Увеличаване на номиналния междусистемен капацитет между Италия и Австрия в резултат на завършването на междусистемния електропровод</w:t>
            </w:r>
          </w:p>
        </w:tc>
        <w:tc>
          <w:tcPr>
            <w:tcW w:w="1984" w:type="dxa"/>
            <w:shd w:val="clear" w:color="auto" w:fill="C6EFCE"/>
            <w:noWrap/>
            <w:vAlign w:val="center"/>
          </w:tcPr>
          <w:p w14:paraId="685EC5ED" w14:textId="11D5A9F9"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16DC098A" w14:textId="419EA49B" w:rsidR="006054AA" w:rsidRDefault="001F7667">
            <w:pPr>
              <w:pStyle w:val="P68B1DB1-Normal11"/>
              <w:spacing w:after="120"/>
              <w:jc w:val="center"/>
              <w:rPr>
                <w:noProof/>
              </w:rPr>
            </w:pPr>
            <w:r>
              <w:rPr>
                <w:noProof/>
              </w:rPr>
              <w:t>MW</w:t>
            </w:r>
          </w:p>
        </w:tc>
        <w:tc>
          <w:tcPr>
            <w:tcW w:w="993" w:type="dxa"/>
            <w:shd w:val="clear" w:color="auto" w:fill="C6EFCE"/>
            <w:noWrap/>
            <w:vAlign w:val="center"/>
          </w:tcPr>
          <w:p w14:paraId="1266B0F4" w14:textId="2CA59FA5" w:rsidR="006054AA" w:rsidRDefault="001F7667">
            <w:pPr>
              <w:pStyle w:val="P68B1DB1-Normal11"/>
              <w:spacing w:after="120"/>
              <w:jc w:val="center"/>
              <w:rPr>
                <w:noProof/>
              </w:rPr>
            </w:pPr>
            <w:r>
              <w:rPr>
                <w:noProof/>
              </w:rPr>
              <w:t>0</w:t>
            </w:r>
          </w:p>
        </w:tc>
        <w:tc>
          <w:tcPr>
            <w:tcW w:w="992" w:type="dxa"/>
            <w:shd w:val="clear" w:color="auto" w:fill="C6EFCE"/>
            <w:noWrap/>
            <w:vAlign w:val="center"/>
          </w:tcPr>
          <w:p w14:paraId="089F2E80" w14:textId="15BD571A" w:rsidR="006054AA" w:rsidRDefault="001F7667">
            <w:pPr>
              <w:pStyle w:val="P68B1DB1-Normal11"/>
              <w:spacing w:after="120"/>
              <w:jc w:val="center"/>
              <w:rPr>
                <w:noProof/>
              </w:rPr>
            </w:pPr>
            <w:r>
              <w:rPr>
                <w:noProof/>
              </w:rPr>
              <w:t>300</w:t>
            </w:r>
          </w:p>
        </w:tc>
        <w:tc>
          <w:tcPr>
            <w:tcW w:w="992" w:type="dxa"/>
            <w:shd w:val="clear" w:color="auto" w:fill="C6EFCE"/>
            <w:noWrap/>
            <w:vAlign w:val="center"/>
          </w:tcPr>
          <w:p w14:paraId="5DC79E45" w14:textId="4A1CD07B"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4E0F98A1" w14:textId="3E99FA5D"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475F30FA" w14:textId="60A1A8C9" w:rsidR="006054AA" w:rsidRDefault="001F7667">
            <w:pPr>
              <w:pStyle w:val="P68B1DB1-Normal11"/>
              <w:spacing w:after="120"/>
              <w:rPr>
                <w:noProof/>
              </w:rPr>
            </w:pPr>
            <w:r>
              <w:rPr>
                <w:noProof/>
              </w:rPr>
              <w:t>Завършване на междусистемния електропровод Италия — Австрия: „Somplago — Würmlach“. След приключване на строителните работи от италианска страна номиналният капацитет на междусистемната връзка между Италия и Австрия се увеличава с 300 MW.</w:t>
            </w:r>
          </w:p>
        </w:tc>
      </w:tr>
      <w:tr w:rsidR="006054AA" w14:paraId="4DD69E55" w14:textId="77777777">
        <w:trPr>
          <w:trHeight w:val="309"/>
        </w:trPr>
        <w:tc>
          <w:tcPr>
            <w:tcW w:w="1185" w:type="dxa"/>
            <w:shd w:val="clear" w:color="auto" w:fill="C6EFCE"/>
            <w:noWrap/>
            <w:vAlign w:val="center"/>
          </w:tcPr>
          <w:p w14:paraId="3E51D869" w14:textId="2C63BC43" w:rsidR="006054AA" w:rsidRDefault="001F7667">
            <w:pPr>
              <w:pStyle w:val="P68B1DB1-Normal11"/>
              <w:spacing w:after="120"/>
              <w:jc w:val="center"/>
              <w:rPr>
                <w:noProof/>
              </w:rPr>
            </w:pPr>
            <w:r>
              <w:rPr>
                <w:noProof/>
              </w:rPr>
              <w:t>M7—20</w:t>
            </w:r>
          </w:p>
        </w:tc>
        <w:tc>
          <w:tcPr>
            <w:tcW w:w="1559" w:type="dxa"/>
            <w:shd w:val="clear" w:color="auto" w:fill="C6EFCE"/>
            <w:noWrap/>
            <w:vAlign w:val="center"/>
          </w:tcPr>
          <w:p w14:paraId="64E81998" w14:textId="76B47581" w:rsidR="006054AA" w:rsidRDefault="001F7667">
            <w:pPr>
              <w:pStyle w:val="P68B1DB1-Normal11"/>
              <w:spacing w:after="120"/>
              <w:jc w:val="center"/>
              <w:rPr>
                <w:noProof/>
              </w:rPr>
            </w:pPr>
            <w:r>
              <w:rPr>
                <w:noProof/>
              </w:rPr>
              <w:t>Инвестиция 6: Проекти за трансгранични електроенергийни междусистемни връзки между Италия и съседни държави</w:t>
            </w:r>
          </w:p>
        </w:tc>
        <w:tc>
          <w:tcPr>
            <w:tcW w:w="1134" w:type="dxa"/>
            <w:shd w:val="clear" w:color="auto" w:fill="C6EFCE"/>
            <w:noWrap/>
            <w:vAlign w:val="center"/>
          </w:tcPr>
          <w:p w14:paraId="372ADA2D" w14:textId="3DEBE789" w:rsidR="006054AA" w:rsidRDefault="001F7667">
            <w:pPr>
              <w:pStyle w:val="P68B1DB1-Normal11"/>
              <w:spacing w:after="120"/>
              <w:jc w:val="center"/>
              <w:rPr>
                <w:noProof/>
              </w:rPr>
            </w:pPr>
            <w:r>
              <w:rPr>
                <w:noProof/>
              </w:rPr>
              <w:t>Ключов етап</w:t>
            </w:r>
          </w:p>
        </w:tc>
        <w:tc>
          <w:tcPr>
            <w:tcW w:w="1418" w:type="dxa"/>
            <w:shd w:val="clear" w:color="auto" w:fill="C6EFCE"/>
            <w:noWrap/>
            <w:vAlign w:val="center"/>
          </w:tcPr>
          <w:p w14:paraId="0200B0CA" w14:textId="71D3649F" w:rsidR="006054AA" w:rsidRDefault="001F7667">
            <w:pPr>
              <w:pStyle w:val="P68B1DB1-Normal11"/>
              <w:spacing w:after="120"/>
              <w:jc w:val="center"/>
              <w:rPr>
                <w:noProof/>
              </w:rPr>
            </w:pPr>
            <w:r>
              <w:rPr>
                <w:noProof/>
              </w:rPr>
              <w:t xml:space="preserve">Възлагане на договори за изграждане на две междусистемни електропроводи между Италия и Словения: „Zaule — Dekani „и „Redipuglia — Vrtojba“  </w:t>
            </w:r>
          </w:p>
        </w:tc>
        <w:tc>
          <w:tcPr>
            <w:tcW w:w="1984" w:type="dxa"/>
            <w:shd w:val="clear" w:color="auto" w:fill="C6EFCE"/>
            <w:noWrap/>
            <w:vAlign w:val="center"/>
          </w:tcPr>
          <w:p w14:paraId="6F8AF0F3" w14:textId="59B49F21" w:rsidR="006054AA" w:rsidRDefault="001F7667">
            <w:pPr>
              <w:pStyle w:val="P68B1DB1-Normal11"/>
              <w:spacing w:after="120"/>
              <w:jc w:val="center"/>
              <w:rPr>
                <w:noProof/>
              </w:rPr>
            </w:pPr>
            <w:r>
              <w:rPr>
                <w:noProof/>
              </w:rPr>
              <w:t>Уведомяване за възлагането на поръчки</w:t>
            </w:r>
          </w:p>
        </w:tc>
        <w:tc>
          <w:tcPr>
            <w:tcW w:w="1134" w:type="dxa"/>
            <w:shd w:val="clear" w:color="auto" w:fill="C6EFCE"/>
            <w:noWrap/>
            <w:vAlign w:val="center"/>
          </w:tcPr>
          <w:p w14:paraId="404A83A1" w14:textId="77777777"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05A890E2"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2ECAD5F7"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367F307C" w14:textId="67585648"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4873D106" w14:textId="13F77C7B" w:rsidR="006054AA" w:rsidRDefault="001F7667">
            <w:pPr>
              <w:pStyle w:val="P68B1DB1-Normal11"/>
              <w:spacing w:after="120"/>
              <w:jc w:val="center"/>
              <w:rPr>
                <w:noProof/>
              </w:rPr>
            </w:pPr>
            <w:r>
              <w:rPr>
                <w:noProof/>
              </w:rPr>
              <w:t>2025</w:t>
            </w:r>
          </w:p>
        </w:tc>
        <w:tc>
          <w:tcPr>
            <w:tcW w:w="3261" w:type="dxa"/>
            <w:shd w:val="clear" w:color="auto" w:fill="C6EFCE"/>
            <w:noWrap/>
            <w:vAlign w:val="center"/>
          </w:tcPr>
          <w:p w14:paraId="1E26B410" w14:textId="6FE42EAC" w:rsidR="006054AA" w:rsidRDefault="001F7667">
            <w:pPr>
              <w:pStyle w:val="P68B1DB1-Normal11"/>
              <w:spacing w:after="120"/>
              <w:rPr>
                <w:noProof/>
              </w:rPr>
            </w:pPr>
            <w:r>
              <w:rPr>
                <w:noProof/>
              </w:rPr>
              <w:t>Уведомление за възлагането на всички договори, необходими за започване на изграждането на две междусистемни електропроводи между Италия и Словения: „Zaule-Dekani „и „Redipuglia-Vrtojba“.</w:t>
            </w:r>
          </w:p>
        </w:tc>
      </w:tr>
      <w:tr w:rsidR="006054AA" w14:paraId="1064D050" w14:textId="77777777">
        <w:trPr>
          <w:trHeight w:val="309"/>
        </w:trPr>
        <w:tc>
          <w:tcPr>
            <w:tcW w:w="1185" w:type="dxa"/>
            <w:shd w:val="clear" w:color="auto" w:fill="C6EFCE"/>
            <w:noWrap/>
            <w:vAlign w:val="center"/>
          </w:tcPr>
          <w:p w14:paraId="32A3E3D4" w14:textId="0CDBDE1E" w:rsidR="006054AA" w:rsidRDefault="001F7667">
            <w:pPr>
              <w:pStyle w:val="P68B1DB1-Normal11"/>
              <w:spacing w:after="120"/>
              <w:jc w:val="center"/>
              <w:rPr>
                <w:noProof/>
              </w:rPr>
            </w:pPr>
            <w:r>
              <w:rPr>
                <w:noProof/>
              </w:rPr>
              <w:t>M7—21</w:t>
            </w:r>
          </w:p>
        </w:tc>
        <w:tc>
          <w:tcPr>
            <w:tcW w:w="1559" w:type="dxa"/>
            <w:shd w:val="clear" w:color="auto" w:fill="C6EFCE"/>
            <w:noWrap/>
            <w:vAlign w:val="center"/>
          </w:tcPr>
          <w:p w14:paraId="5468078B" w14:textId="775B4B83" w:rsidR="006054AA" w:rsidRDefault="001F7667">
            <w:pPr>
              <w:pStyle w:val="P68B1DB1-Normal11"/>
              <w:spacing w:after="120"/>
              <w:jc w:val="center"/>
              <w:rPr>
                <w:noProof/>
              </w:rPr>
            </w:pPr>
            <w:r>
              <w:rPr>
                <w:noProof/>
              </w:rPr>
              <w:t>Инвестиция 6: Проекти за трансгранични електроенергийни междусистемни връзки между Италия и съседни държави</w:t>
            </w:r>
          </w:p>
        </w:tc>
        <w:tc>
          <w:tcPr>
            <w:tcW w:w="1134" w:type="dxa"/>
            <w:shd w:val="clear" w:color="auto" w:fill="C6EFCE"/>
            <w:noWrap/>
            <w:vAlign w:val="center"/>
          </w:tcPr>
          <w:p w14:paraId="35F653F0" w14:textId="789A49E7"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45FEDC01" w14:textId="3228CCD0" w:rsidR="006054AA" w:rsidRDefault="001F7667">
            <w:pPr>
              <w:pStyle w:val="P68B1DB1-Normal11"/>
              <w:spacing w:after="120"/>
              <w:jc w:val="center"/>
              <w:rPr>
                <w:noProof/>
              </w:rPr>
            </w:pPr>
            <w:r>
              <w:rPr>
                <w:noProof/>
              </w:rPr>
              <w:t>Увеличаване на номиналния капацитет на междусистемните електропроводи между Италия и Словения след приключване на строителните работи</w:t>
            </w:r>
          </w:p>
        </w:tc>
        <w:tc>
          <w:tcPr>
            <w:tcW w:w="1984" w:type="dxa"/>
            <w:shd w:val="clear" w:color="auto" w:fill="C6EFCE"/>
            <w:noWrap/>
            <w:vAlign w:val="center"/>
          </w:tcPr>
          <w:p w14:paraId="5D4AE695" w14:textId="4869C3A7"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1D7CC244" w14:textId="38B0F7E5" w:rsidR="006054AA" w:rsidRDefault="001F7667">
            <w:pPr>
              <w:pStyle w:val="P68B1DB1-Normal11"/>
              <w:spacing w:after="120"/>
              <w:jc w:val="center"/>
              <w:rPr>
                <w:noProof/>
              </w:rPr>
            </w:pPr>
            <w:r>
              <w:rPr>
                <w:noProof/>
              </w:rPr>
              <w:t>MW</w:t>
            </w:r>
          </w:p>
        </w:tc>
        <w:tc>
          <w:tcPr>
            <w:tcW w:w="993" w:type="dxa"/>
            <w:shd w:val="clear" w:color="auto" w:fill="C6EFCE"/>
            <w:noWrap/>
            <w:vAlign w:val="center"/>
          </w:tcPr>
          <w:p w14:paraId="56355FE7" w14:textId="369C082E" w:rsidR="006054AA" w:rsidRDefault="001F7667">
            <w:pPr>
              <w:pStyle w:val="P68B1DB1-Normal11"/>
              <w:spacing w:after="120"/>
              <w:jc w:val="center"/>
              <w:rPr>
                <w:noProof/>
              </w:rPr>
            </w:pPr>
            <w:r>
              <w:rPr>
                <w:noProof/>
              </w:rPr>
              <w:t>0</w:t>
            </w:r>
          </w:p>
        </w:tc>
        <w:tc>
          <w:tcPr>
            <w:tcW w:w="992" w:type="dxa"/>
            <w:shd w:val="clear" w:color="auto" w:fill="C6EFCE"/>
            <w:noWrap/>
            <w:vAlign w:val="center"/>
          </w:tcPr>
          <w:p w14:paraId="58ACF968" w14:textId="24AA22A9" w:rsidR="006054AA" w:rsidRDefault="001F7667">
            <w:pPr>
              <w:pStyle w:val="P68B1DB1-Normal11"/>
              <w:spacing w:after="120"/>
              <w:jc w:val="center"/>
              <w:rPr>
                <w:noProof/>
              </w:rPr>
            </w:pPr>
            <w:r>
              <w:rPr>
                <w:noProof/>
              </w:rPr>
              <w:t>250</w:t>
            </w:r>
          </w:p>
        </w:tc>
        <w:tc>
          <w:tcPr>
            <w:tcW w:w="992" w:type="dxa"/>
            <w:shd w:val="clear" w:color="auto" w:fill="C6EFCE"/>
            <w:noWrap/>
            <w:vAlign w:val="center"/>
          </w:tcPr>
          <w:p w14:paraId="7EE8F879" w14:textId="02498B69" w:rsidR="006054AA" w:rsidRDefault="001F7667">
            <w:pPr>
              <w:pStyle w:val="P68B1DB1-Normal11"/>
              <w:spacing w:after="120"/>
              <w:jc w:val="center"/>
              <w:rPr>
                <w:noProof/>
              </w:rPr>
            </w:pPr>
            <w:r>
              <w:rPr>
                <w:noProof/>
              </w:rPr>
              <w:t>Т4 Г.</w:t>
            </w:r>
          </w:p>
        </w:tc>
        <w:tc>
          <w:tcPr>
            <w:tcW w:w="709" w:type="dxa"/>
            <w:shd w:val="clear" w:color="auto" w:fill="C6EFCE"/>
            <w:noWrap/>
            <w:vAlign w:val="center"/>
          </w:tcPr>
          <w:p w14:paraId="4A913729" w14:textId="0BDD29D1" w:rsidR="006054AA" w:rsidRDefault="001F7667">
            <w:pPr>
              <w:pStyle w:val="P68B1DB1-Normal11"/>
              <w:spacing w:after="120"/>
              <w:jc w:val="center"/>
              <w:rPr>
                <w:noProof/>
              </w:rPr>
            </w:pPr>
            <w:r>
              <w:rPr>
                <w:noProof/>
              </w:rPr>
              <w:t>2025</w:t>
            </w:r>
          </w:p>
        </w:tc>
        <w:tc>
          <w:tcPr>
            <w:tcW w:w="3261" w:type="dxa"/>
            <w:shd w:val="clear" w:color="auto" w:fill="C6EFCE"/>
            <w:noWrap/>
            <w:vAlign w:val="center"/>
          </w:tcPr>
          <w:p w14:paraId="3FFE0DD1" w14:textId="10AD0F56" w:rsidR="006054AA" w:rsidRDefault="001F7667">
            <w:pPr>
              <w:pStyle w:val="P68B1DB1-Normal11"/>
              <w:spacing w:after="120"/>
              <w:rPr>
                <w:noProof/>
              </w:rPr>
            </w:pPr>
            <w:r>
              <w:rPr>
                <w:noProof/>
              </w:rPr>
              <w:t>Завършване на междусистемните връзки Италия — Словения: „Zaule — Dekani „и „Redipuglia — Vrtojba“. След приключване на строителните работи от италианска страна кумулативният номинален капацитет на двете междусистемни електропроводи между Италия и Словения се увеличава с 250 MW.</w:t>
            </w:r>
          </w:p>
        </w:tc>
      </w:tr>
      <w:tr w:rsidR="006054AA" w14:paraId="33CD3B47" w14:textId="77777777">
        <w:trPr>
          <w:trHeight w:val="309"/>
        </w:trPr>
        <w:tc>
          <w:tcPr>
            <w:tcW w:w="1185" w:type="dxa"/>
            <w:shd w:val="clear" w:color="auto" w:fill="C6EFCE"/>
            <w:noWrap/>
            <w:vAlign w:val="center"/>
          </w:tcPr>
          <w:p w14:paraId="71F918F7" w14:textId="120DDAEE" w:rsidR="006054AA" w:rsidRDefault="001F7667">
            <w:pPr>
              <w:pStyle w:val="P68B1DB1-Normal11"/>
              <w:spacing w:after="120"/>
              <w:jc w:val="center"/>
              <w:rPr>
                <w:noProof/>
              </w:rPr>
            </w:pPr>
            <w:r>
              <w:rPr>
                <w:noProof/>
              </w:rPr>
              <w:t>M7—22</w:t>
            </w:r>
          </w:p>
        </w:tc>
        <w:tc>
          <w:tcPr>
            <w:tcW w:w="1559" w:type="dxa"/>
            <w:shd w:val="clear" w:color="auto" w:fill="C6EFCE"/>
            <w:noWrap/>
            <w:vAlign w:val="center"/>
          </w:tcPr>
          <w:p w14:paraId="7C3FB735" w14:textId="14C88238" w:rsidR="006054AA" w:rsidRDefault="001F7667">
            <w:pPr>
              <w:pStyle w:val="P68B1DB1-Normal11"/>
              <w:spacing w:after="120"/>
              <w:jc w:val="center"/>
              <w:rPr>
                <w:noProof/>
              </w:rPr>
            </w:pPr>
            <w:r>
              <w:rPr>
                <w:noProof/>
              </w:rPr>
              <w:t>Инвестиция 7: Интелигентна национална преносна мрежа</w:t>
            </w:r>
          </w:p>
        </w:tc>
        <w:tc>
          <w:tcPr>
            <w:tcW w:w="1134" w:type="dxa"/>
            <w:shd w:val="clear" w:color="auto" w:fill="C6EFCE"/>
            <w:noWrap/>
            <w:vAlign w:val="center"/>
          </w:tcPr>
          <w:p w14:paraId="336479A5" w14:textId="633DFB96"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309B7F7E" w14:textId="333B40FB" w:rsidR="006054AA" w:rsidRDefault="001F7667">
            <w:pPr>
              <w:pStyle w:val="P68B1DB1-Normal11"/>
              <w:spacing w:after="120"/>
              <w:jc w:val="center"/>
              <w:rPr>
                <w:noProof/>
              </w:rPr>
            </w:pPr>
            <w:r>
              <w:rPr>
                <w:noProof/>
              </w:rPr>
              <w:t>Инсталиране на 5G оборудване или архитектура на ИКТ в гарите</w:t>
            </w:r>
          </w:p>
        </w:tc>
        <w:tc>
          <w:tcPr>
            <w:tcW w:w="1984" w:type="dxa"/>
            <w:shd w:val="clear" w:color="auto" w:fill="C6EFCE"/>
            <w:noWrap/>
            <w:vAlign w:val="center"/>
          </w:tcPr>
          <w:p w14:paraId="5876C25D" w14:textId="7D50AAE9"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5F0B4F76" w14:textId="1BD2B5BE" w:rsidR="006054AA" w:rsidRDefault="001F7667">
            <w:pPr>
              <w:pStyle w:val="P68B1DB1-Normal11"/>
              <w:spacing w:after="120"/>
              <w:jc w:val="center"/>
              <w:rPr>
                <w:noProof/>
              </w:rPr>
            </w:pPr>
            <w:r>
              <w:rPr>
                <w:noProof/>
              </w:rPr>
              <w:t>Брой гари</w:t>
            </w:r>
          </w:p>
        </w:tc>
        <w:tc>
          <w:tcPr>
            <w:tcW w:w="993" w:type="dxa"/>
            <w:shd w:val="clear" w:color="auto" w:fill="C6EFCE"/>
            <w:noWrap/>
            <w:vAlign w:val="center"/>
          </w:tcPr>
          <w:p w14:paraId="4FF44E5D" w14:textId="26324F25" w:rsidR="006054AA" w:rsidRDefault="001F7667">
            <w:pPr>
              <w:pStyle w:val="P68B1DB1-Normal11"/>
              <w:spacing w:after="120"/>
              <w:jc w:val="center"/>
              <w:rPr>
                <w:noProof/>
              </w:rPr>
            </w:pPr>
            <w:r>
              <w:rPr>
                <w:noProof/>
              </w:rPr>
              <w:t>0</w:t>
            </w:r>
          </w:p>
        </w:tc>
        <w:tc>
          <w:tcPr>
            <w:tcW w:w="992" w:type="dxa"/>
            <w:shd w:val="clear" w:color="auto" w:fill="C6EFCE"/>
            <w:noWrap/>
            <w:vAlign w:val="center"/>
          </w:tcPr>
          <w:p w14:paraId="6A6F2039" w14:textId="30DB374B" w:rsidR="006054AA" w:rsidRDefault="001F7667">
            <w:pPr>
              <w:pStyle w:val="P68B1DB1-Normal11"/>
              <w:spacing w:after="120"/>
              <w:jc w:val="center"/>
              <w:rPr>
                <w:strike/>
                <w:noProof/>
              </w:rPr>
            </w:pPr>
            <w:r>
              <w:rPr>
                <w:noProof/>
              </w:rPr>
              <w:t>40</w:t>
            </w:r>
          </w:p>
        </w:tc>
        <w:tc>
          <w:tcPr>
            <w:tcW w:w="992" w:type="dxa"/>
            <w:shd w:val="clear" w:color="auto" w:fill="C6EFCE"/>
            <w:noWrap/>
            <w:vAlign w:val="center"/>
          </w:tcPr>
          <w:p w14:paraId="44340DC3" w14:textId="619601F7"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1C00D0A0" w14:textId="19B23C14"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66505B58" w14:textId="439DA581" w:rsidR="006054AA" w:rsidRDefault="001F7667">
            <w:pPr>
              <w:pStyle w:val="P68B1DB1-Normal11"/>
              <w:spacing w:after="120"/>
              <w:rPr>
                <w:noProof/>
              </w:rPr>
            </w:pPr>
            <w:r>
              <w:rPr>
                <w:noProof/>
              </w:rPr>
              <w:t>Новото 5G оборудване или ИКТ архитектура се инсталират и внедряват в поне 40 станции.</w:t>
            </w:r>
          </w:p>
        </w:tc>
      </w:tr>
      <w:tr w:rsidR="006054AA" w14:paraId="7F323AA0" w14:textId="77777777">
        <w:trPr>
          <w:trHeight w:val="147"/>
        </w:trPr>
        <w:tc>
          <w:tcPr>
            <w:tcW w:w="1185" w:type="dxa"/>
            <w:shd w:val="clear" w:color="auto" w:fill="C6EFCE"/>
            <w:noWrap/>
            <w:vAlign w:val="center"/>
          </w:tcPr>
          <w:p w14:paraId="6C1F62E4" w14:textId="3784F124" w:rsidR="006054AA" w:rsidRDefault="001F7667">
            <w:pPr>
              <w:pStyle w:val="P68B1DB1-Normal11"/>
              <w:spacing w:after="120"/>
              <w:jc w:val="center"/>
              <w:rPr>
                <w:noProof/>
              </w:rPr>
            </w:pPr>
            <w:r>
              <w:rPr>
                <w:noProof/>
              </w:rPr>
              <w:t>M7—23</w:t>
            </w:r>
          </w:p>
        </w:tc>
        <w:tc>
          <w:tcPr>
            <w:tcW w:w="1559" w:type="dxa"/>
            <w:shd w:val="clear" w:color="auto" w:fill="C6EFCE"/>
            <w:noWrap/>
            <w:vAlign w:val="center"/>
          </w:tcPr>
          <w:p w14:paraId="0B21A9C3" w14:textId="6E426D72" w:rsidR="006054AA" w:rsidRDefault="001F7667">
            <w:pPr>
              <w:pStyle w:val="P68B1DB1-Normal11"/>
              <w:spacing w:after="120"/>
              <w:jc w:val="center"/>
              <w:rPr>
                <w:noProof/>
              </w:rPr>
            </w:pPr>
            <w:r>
              <w:rPr>
                <w:noProof/>
              </w:rPr>
              <w:t>Инвестиция 7: Интелигентна национална преносна мрежа</w:t>
            </w:r>
          </w:p>
        </w:tc>
        <w:tc>
          <w:tcPr>
            <w:tcW w:w="1134" w:type="dxa"/>
            <w:shd w:val="clear" w:color="auto" w:fill="C6EFCE"/>
            <w:noWrap/>
            <w:vAlign w:val="center"/>
          </w:tcPr>
          <w:p w14:paraId="257A44BB" w14:textId="5147731D"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5EAB77D3" w14:textId="2CAFD7F5" w:rsidR="006054AA" w:rsidRDefault="001F7667">
            <w:pPr>
              <w:pStyle w:val="P68B1DB1-Normal11"/>
              <w:spacing w:after="120"/>
              <w:jc w:val="center"/>
              <w:rPr>
                <w:noProof/>
              </w:rPr>
            </w:pPr>
            <w:r>
              <w:rPr>
                <w:noProof/>
              </w:rPr>
              <w:t xml:space="preserve"> Нова система за управление и контрол на мрежата</w:t>
            </w:r>
          </w:p>
        </w:tc>
        <w:tc>
          <w:tcPr>
            <w:tcW w:w="1984" w:type="dxa"/>
            <w:shd w:val="clear" w:color="auto" w:fill="C6EFCE"/>
            <w:noWrap/>
            <w:vAlign w:val="center"/>
          </w:tcPr>
          <w:p w14:paraId="7320B4D6" w14:textId="5E430882"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48C6781E" w14:textId="2500B5AF" w:rsidR="006054AA" w:rsidRDefault="001F7667">
            <w:pPr>
              <w:pStyle w:val="P68B1DB1-Normal11"/>
              <w:spacing w:after="120"/>
              <w:jc w:val="center"/>
              <w:rPr>
                <w:noProof/>
              </w:rPr>
            </w:pPr>
            <w:r>
              <w:rPr>
                <w:noProof/>
              </w:rPr>
              <w:t xml:space="preserve">Брой </w:t>
            </w:r>
          </w:p>
        </w:tc>
        <w:tc>
          <w:tcPr>
            <w:tcW w:w="993" w:type="dxa"/>
            <w:shd w:val="clear" w:color="auto" w:fill="C6EFCE"/>
            <w:noWrap/>
            <w:vAlign w:val="center"/>
          </w:tcPr>
          <w:p w14:paraId="00FAF2D7" w14:textId="5D8FFA65" w:rsidR="006054AA" w:rsidRDefault="001F7667">
            <w:pPr>
              <w:pStyle w:val="P68B1DB1-Normal11"/>
              <w:spacing w:after="120"/>
              <w:jc w:val="center"/>
              <w:rPr>
                <w:noProof/>
              </w:rPr>
            </w:pPr>
            <w:r>
              <w:rPr>
                <w:noProof/>
              </w:rPr>
              <w:t>0</w:t>
            </w:r>
          </w:p>
        </w:tc>
        <w:tc>
          <w:tcPr>
            <w:tcW w:w="992" w:type="dxa"/>
            <w:shd w:val="clear" w:color="auto" w:fill="C6EFCE"/>
            <w:noWrap/>
            <w:vAlign w:val="center"/>
          </w:tcPr>
          <w:p w14:paraId="3642D0B6" w14:textId="7CD59ACE" w:rsidR="006054AA" w:rsidRDefault="001F7667">
            <w:pPr>
              <w:pStyle w:val="P68B1DB1-Normal11"/>
              <w:spacing w:after="120"/>
              <w:jc w:val="center"/>
              <w:rPr>
                <w:noProof/>
              </w:rPr>
            </w:pPr>
            <w:r>
              <w:rPr>
                <w:noProof/>
              </w:rPr>
              <w:t>250</w:t>
            </w:r>
          </w:p>
        </w:tc>
        <w:tc>
          <w:tcPr>
            <w:tcW w:w="992" w:type="dxa"/>
            <w:shd w:val="clear" w:color="auto" w:fill="C6EFCE"/>
            <w:noWrap/>
            <w:vAlign w:val="center"/>
          </w:tcPr>
          <w:p w14:paraId="3C4DAF35" w14:textId="3B72A30A"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0B476870" w14:textId="7DF27778"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4D7E3E8B" w14:textId="7DED83B3" w:rsidR="006054AA" w:rsidRDefault="001F7667">
            <w:pPr>
              <w:pStyle w:val="P68B1DB1-Normal11"/>
              <w:spacing w:after="120"/>
              <w:rPr>
                <w:noProof/>
              </w:rPr>
            </w:pPr>
            <w:r>
              <w:rPr>
                <w:noProof/>
              </w:rPr>
              <w:t>Инсталиране на защитен протокол 104 (протокол IEC 62351) в поне 250 електрически станции.</w:t>
            </w:r>
          </w:p>
        </w:tc>
      </w:tr>
      <w:tr w:rsidR="006054AA" w14:paraId="04435CB1" w14:textId="77777777">
        <w:trPr>
          <w:trHeight w:val="147"/>
        </w:trPr>
        <w:tc>
          <w:tcPr>
            <w:tcW w:w="1185" w:type="dxa"/>
            <w:shd w:val="clear" w:color="auto" w:fill="C6EFCE"/>
            <w:noWrap/>
            <w:vAlign w:val="center"/>
          </w:tcPr>
          <w:p w14:paraId="458D236D" w14:textId="37A92257" w:rsidR="006054AA" w:rsidRDefault="001F7667">
            <w:pPr>
              <w:pStyle w:val="P68B1DB1-Normal11"/>
              <w:spacing w:after="120"/>
              <w:jc w:val="center"/>
              <w:rPr>
                <w:noProof/>
              </w:rPr>
            </w:pPr>
            <w:r>
              <w:rPr>
                <w:noProof/>
              </w:rPr>
              <w:t>M7—24</w:t>
            </w:r>
          </w:p>
        </w:tc>
        <w:tc>
          <w:tcPr>
            <w:tcW w:w="1559" w:type="dxa"/>
            <w:shd w:val="clear" w:color="auto" w:fill="C6EFCE"/>
            <w:noWrap/>
            <w:vAlign w:val="center"/>
          </w:tcPr>
          <w:p w14:paraId="5294D594" w14:textId="58FC55BC" w:rsidR="006054AA" w:rsidRDefault="001F7667">
            <w:pPr>
              <w:pStyle w:val="P68B1DB1-Normal11"/>
              <w:spacing w:after="120"/>
              <w:jc w:val="center"/>
              <w:rPr>
                <w:noProof/>
              </w:rPr>
            </w:pPr>
            <w:r>
              <w:rPr>
                <w:noProof/>
              </w:rPr>
              <w:t>Инвестиция 7: Интелигентна национална преносна мрежа</w:t>
            </w:r>
          </w:p>
        </w:tc>
        <w:tc>
          <w:tcPr>
            <w:tcW w:w="1134" w:type="dxa"/>
            <w:shd w:val="clear" w:color="auto" w:fill="C6EFCE"/>
            <w:noWrap/>
            <w:vAlign w:val="center"/>
          </w:tcPr>
          <w:p w14:paraId="32D26575" w14:textId="57ACA83E" w:rsidR="006054AA" w:rsidRDefault="001F7667">
            <w:pPr>
              <w:pStyle w:val="P68B1DB1-Normal11"/>
              <w:spacing w:after="120"/>
              <w:jc w:val="center"/>
              <w:rPr>
                <w:noProof/>
              </w:rPr>
            </w:pPr>
            <w:r>
              <w:rPr>
                <w:noProof/>
              </w:rPr>
              <w:t xml:space="preserve">Целеви </w:t>
            </w:r>
          </w:p>
        </w:tc>
        <w:tc>
          <w:tcPr>
            <w:tcW w:w="1418" w:type="dxa"/>
            <w:shd w:val="clear" w:color="auto" w:fill="C6EFCE"/>
            <w:noWrap/>
            <w:vAlign w:val="center"/>
          </w:tcPr>
          <w:p w14:paraId="4C8B1969" w14:textId="15BF44A4" w:rsidR="006054AA" w:rsidRDefault="001F7667">
            <w:pPr>
              <w:pStyle w:val="P68B1DB1-Normal11"/>
              <w:spacing w:after="120"/>
              <w:jc w:val="center"/>
              <w:rPr>
                <w:noProof/>
              </w:rPr>
            </w:pPr>
            <w:r>
              <w:rPr>
                <w:noProof/>
              </w:rPr>
              <w:t>Промишлен интернет на нещата</w:t>
            </w:r>
          </w:p>
        </w:tc>
        <w:tc>
          <w:tcPr>
            <w:tcW w:w="1984" w:type="dxa"/>
            <w:shd w:val="clear" w:color="auto" w:fill="C6EFCE"/>
            <w:noWrap/>
            <w:vAlign w:val="center"/>
          </w:tcPr>
          <w:p w14:paraId="0F5ABE2B" w14:textId="77777777"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273E361D" w14:textId="65B9138E" w:rsidR="006054AA" w:rsidRDefault="001F7667">
            <w:pPr>
              <w:pStyle w:val="P68B1DB1-Normal11"/>
              <w:spacing w:after="120"/>
              <w:jc w:val="center"/>
              <w:rPr>
                <w:noProof/>
              </w:rPr>
            </w:pPr>
            <w:r>
              <w:rPr>
                <w:noProof/>
              </w:rPr>
              <w:t>Брой</w:t>
            </w:r>
          </w:p>
        </w:tc>
        <w:tc>
          <w:tcPr>
            <w:tcW w:w="993" w:type="dxa"/>
            <w:shd w:val="clear" w:color="auto" w:fill="C6EFCE"/>
            <w:noWrap/>
            <w:vAlign w:val="center"/>
          </w:tcPr>
          <w:p w14:paraId="18AEBCBF" w14:textId="08300F79" w:rsidR="006054AA" w:rsidRDefault="001F7667">
            <w:pPr>
              <w:pStyle w:val="P68B1DB1-Normal11"/>
              <w:spacing w:after="120"/>
              <w:jc w:val="center"/>
              <w:rPr>
                <w:noProof/>
              </w:rPr>
            </w:pPr>
            <w:r>
              <w:rPr>
                <w:noProof/>
              </w:rPr>
              <w:t>0</w:t>
            </w:r>
          </w:p>
        </w:tc>
        <w:tc>
          <w:tcPr>
            <w:tcW w:w="992" w:type="dxa"/>
            <w:shd w:val="clear" w:color="auto" w:fill="C6EFCE"/>
            <w:noWrap/>
            <w:vAlign w:val="center"/>
          </w:tcPr>
          <w:p w14:paraId="028BA66F" w14:textId="36CE431D" w:rsidR="006054AA" w:rsidRDefault="001F7667">
            <w:pPr>
              <w:pStyle w:val="P68B1DB1-Normal11"/>
              <w:spacing w:after="120"/>
              <w:jc w:val="center"/>
              <w:rPr>
                <w:noProof/>
              </w:rPr>
            </w:pPr>
            <w:r>
              <w:rPr>
                <w:noProof/>
              </w:rPr>
              <w:t>1500</w:t>
            </w:r>
          </w:p>
        </w:tc>
        <w:tc>
          <w:tcPr>
            <w:tcW w:w="992" w:type="dxa"/>
            <w:shd w:val="clear" w:color="auto" w:fill="C6EFCE"/>
            <w:noWrap/>
            <w:vAlign w:val="center"/>
          </w:tcPr>
          <w:p w14:paraId="427CA8E5" w14:textId="21F1852E"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4368385A" w14:textId="498F00CA"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1046B967" w14:textId="0E5A18D6" w:rsidR="006054AA" w:rsidRDefault="001F7667">
            <w:pPr>
              <w:pStyle w:val="P68B1DB1-Normal11"/>
              <w:spacing w:after="120"/>
              <w:rPr>
                <w:noProof/>
              </w:rPr>
            </w:pPr>
            <w:r>
              <w:rPr>
                <w:noProof/>
              </w:rPr>
              <w:t>Промишлени системи за наблюдение на интернет на нещата, инсталирани в поне 1 500 електрически стълбове за събиране на данни, които могат да бъдат въведени в системата за управление.</w:t>
            </w:r>
          </w:p>
        </w:tc>
      </w:tr>
      <w:tr w:rsidR="006054AA" w14:paraId="5D811B63" w14:textId="77777777">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1055F1" w14:textId="3D46CE37" w:rsidR="006054AA" w:rsidRDefault="001F7667">
            <w:pPr>
              <w:pStyle w:val="P68B1DB1-Normal11"/>
              <w:spacing w:after="120"/>
              <w:jc w:val="center"/>
              <w:rPr>
                <w:noProof/>
              </w:rPr>
            </w:pPr>
            <w:r>
              <w:rPr>
                <w:noProof/>
              </w:rPr>
              <w:t>M7—25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26BDF46A" w14:textId="3D94053D" w:rsidR="006054AA" w:rsidRDefault="001F7667">
            <w:pPr>
              <w:pStyle w:val="P68B1DB1-Normal11"/>
              <w:spacing w:after="120"/>
              <w:jc w:val="center"/>
              <w:rPr>
                <w:noProof/>
              </w:rPr>
            </w:pPr>
            <w:r>
              <w:rPr>
                <w:noProof/>
              </w:rPr>
              <w:t>Инвестиция 10: Устойчиви, кръгови и сигурни доставки на суровини от критично значение</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05655B5" w14:textId="11CC62FE" w:rsidR="006054AA" w:rsidRDefault="001F7667">
            <w:pPr>
              <w:pStyle w:val="P68B1DB1-Normal11"/>
              <w:spacing w:after="120"/>
              <w:jc w:val="center"/>
              <w:rPr>
                <w:noProof/>
              </w:rPr>
            </w:pPr>
            <w:r>
              <w:rPr>
                <w:noProof/>
              </w:rPr>
              <w:t>Ключов етап</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6B22DA5E" w14:textId="04C9391C" w:rsidR="006054AA" w:rsidRDefault="001F7667">
            <w:pPr>
              <w:pStyle w:val="P68B1DB1-Normal11"/>
              <w:spacing w:after="120"/>
              <w:jc w:val="center"/>
              <w:rPr>
                <w:noProof/>
              </w:rPr>
            </w:pPr>
            <w:r>
              <w:rPr>
                <w:noProof/>
              </w:rPr>
              <w:t>Публикуване на доклада относно бъдещите нужди от суровини от изключителна важност и потенциала на екопроектирането за намаляване на търсенето на суровини от изключителна важност</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02B48" w14:textId="74ADDF78" w:rsidR="006054AA" w:rsidRDefault="001F7667">
            <w:pPr>
              <w:pStyle w:val="P68B1DB1-Normal11"/>
              <w:spacing w:after="120"/>
              <w:jc w:val="center"/>
              <w:rPr>
                <w:noProof/>
              </w:rPr>
            </w:pPr>
            <w:r>
              <w:rPr>
                <w:noProof/>
              </w:rPr>
              <w:t>Публикуване на доклада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9289E" w14:textId="4FA13350" w:rsidR="006054AA" w:rsidRDefault="001F7667">
            <w:pPr>
              <w:pStyle w:val="P68B1DB1-Normal11"/>
              <w:spacing w:after="120"/>
              <w:jc w:val="center"/>
              <w:rPr>
                <w:noProof/>
              </w:rPr>
            </w:pPr>
            <w:r>
              <w:rPr>
                <w:noProof/>
              </w:rPr>
              <w:t>НЯМА</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082FD4" w14:textId="385976C8" w:rsidR="006054AA" w:rsidRDefault="001F7667">
            <w:pPr>
              <w:pStyle w:val="P68B1DB1-Normal11"/>
              <w:spacing w:after="120"/>
              <w:jc w:val="center"/>
              <w:rPr>
                <w:noProof/>
              </w:rPr>
            </w:pPr>
            <w:r>
              <w:rPr>
                <w:noProof/>
              </w:rPr>
              <w:t>НЯМА</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FD0B9" w14:textId="263EEBF4" w:rsidR="006054AA" w:rsidRDefault="001F7667">
            <w:pPr>
              <w:pStyle w:val="P68B1DB1-Normal11"/>
              <w:spacing w:after="120"/>
              <w:jc w:val="center"/>
              <w:rPr>
                <w:noProof/>
              </w:rPr>
            </w:pPr>
            <w:r>
              <w:rPr>
                <w:noProof/>
              </w:rPr>
              <w:t>НЯМА</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73AF2" w14:textId="1DF4308D" w:rsidR="006054AA" w:rsidRDefault="001F7667">
            <w:pPr>
              <w:pStyle w:val="P68B1DB1-Normal11"/>
              <w:spacing w:after="120"/>
              <w:jc w:val="center"/>
              <w:rPr>
                <w:noProof/>
              </w:rPr>
            </w:pPr>
            <w:r>
              <w:rPr>
                <w:noProof/>
              </w:rPr>
              <w:t>Т2 Г.</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D4BC7" w14:textId="1D0F9F48" w:rsidR="006054AA" w:rsidRDefault="001F7667">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7710E07D" w14:textId="6B91851F" w:rsidR="006054AA" w:rsidRDefault="001F7667">
            <w:pPr>
              <w:pStyle w:val="P68B1DB1-Normal11"/>
              <w:spacing w:after="120"/>
              <w:rPr>
                <w:noProof/>
              </w:rPr>
            </w:pPr>
            <w:r>
              <w:rPr>
                <w:noProof/>
              </w:rPr>
              <w:t xml:space="preserve">В доклада се анализират бъдещите нужди от суровини от изключителна важност и потенциалът на екопроектирането за намаляване на търсенето на суровини от изключителна важност. </w:t>
            </w:r>
          </w:p>
        </w:tc>
      </w:tr>
      <w:tr w:rsidR="006054AA" w14:paraId="6B9C217C" w14:textId="77777777">
        <w:trPr>
          <w:trHeight w:val="309"/>
        </w:trPr>
        <w:tc>
          <w:tcPr>
            <w:tcW w:w="1185" w:type="dxa"/>
            <w:shd w:val="clear" w:color="auto" w:fill="C6EFCE"/>
            <w:noWrap/>
            <w:vAlign w:val="center"/>
          </w:tcPr>
          <w:p w14:paraId="4C37C95A" w14:textId="100B3CA0" w:rsidR="006054AA" w:rsidRDefault="001F7667">
            <w:pPr>
              <w:pStyle w:val="P68B1DB1-Normal11"/>
              <w:spacing w:after="120"/>
              <w:jc w:val="center"/>
              <w:rPr>
                <w:noProof/>
              </w:rPr>
            </w:pPr>
            <w:r>
              <w:rPr>
                <w:noProof/>
              </w:rPr>
              <w:t>M7—26</w:t>
            </w:r>
          </w:p>
        </w:tc>
        <w:tc>
          <w:tcPr>
            <w:tcW w:w="1559" w:type="dxa"/>
            <w:shd w:val="clear" w:color="auto" w:fill="C6EFCE"/>
            <w:noWrap/>
          </w:tcPr>
          <w:p w14:paraId="133462BB" w14:textId="6D361697" w:rsidR="006054AA" w:rsidRDefault="001F7667">
            <w:pPr>
              <w:pStyle w:val="P68B1DB1-Normal11"/>
              <w:spacing w:after="120"/>
              <w:jc w:val="center"/>
              <w:rPr>
                <w:noProof/>
              </w:rPr>
            </w:pPr>
            <w:r>
              <w:rPr>
                <w:noProof/>
              </w:rPr>
              <w:t>Инвестиция 10: Устойчиви, кръгови и сигурни доставки на суровини от критично значение</w:t>
            </w:r>
          </w:p>
        </w:tc>
        <w:tc>
          <w:tcPr>
            <w:tcW w:w="1134" w:type="dxa"/>
            <w:shd w:val="clear" w:color="auto" w:fill="C6EFCE"/>
            <w:noWrap/>
          </w:tcPr>
          <w:p w14:paraId="5BBC5C06" w14:textId="5745C382" w:rsidR="006054AA" w:rsidRDefault="001F7667">
            <w:pPr>
              <w:pStyle w:val="P68B1DB1-Normal11"/>
              <w:spacing w:after="120"/>
              <w:jc w:val="center"/>
              <w:rPr>
                <w:noProof/>
              </w:rPr>
            </w:pPr>
            <w:r>
              <w:rPr>
                <w:noProof/>
              </w:rPr>
              <w:t>Целеви</w:t>
            </w:r>
          </w:p>
        </w:tc>
        <w:tc>
          <w:tcPr>
            <w:tcW w:w="1418" w:type="dxa"/>
            <w:shd w:val="clear" w:color="auto" w:fill="C6EFCE"/>
            <w:noWrap/>
          </w:tcPr>
          <w:p w14:paraId="642345F1" w14:textId="4A98C6C3" w:rsidR="006054AA" w:rsidRDefault="001F7667">
            <w:pPr>
              <w:pStyle w:val="P68B1DB1-Normal11"/>
              <w:spacing w:after="120"/>
              <w:jc w:val="center"/>
              <w:rPr>
                <w:noProof/>
              </w:rPr>
            </w:pPr>
            <w:r>
              <w:rPr>
                <w:noProof/>
              </w:rPr>
              <w:t>Географска информационна система (ГИС) относно миннодобивните отпадъци за устойчиви, кръгови и сигурни доставки на суровини от критично значение</w:t>
            </w:r>
          </w:p>
        </w:tc>
        <w:tc>
          <w:tcPr>
            <w:tcW w:w="1984" w:type="dxa"/>
            <w:shd w:val="clear" w:color="auto" w:fill="C6EFCE"/>
            <w:noWrap/>
            <w:vAlign w:val="center"/>
          </w:tcPr>
          <w:p w14:paraId="383F20BE" w14:textId="620E1608" w:rsidR="006054AA" w:rsidRDefault="001F7667">
            <w:pPr>
              <w:pStyle w:val="P68B1DB1-Normal11"/>
              <w:spacing w:after="120"/>
              <w:jc w:val="center"/>
              <w:rPr>
                <w:noProof/>
              </w:rPr>
            </w:pPr>
            <w:r>
              <w:rPr>
                <w:noProof/>
              </w:rPr>
              <w:t>Публикуване на базата данни</w:t>
            </w:r>
          </w:p>
        </w:tc>
        <w:tc>
          <w:tcPr>
            <w:tcW w:w="1134" w:type="dxa"/>
            <w:shd w:val="clear" w:color="auto" w:fill="C6EFCE"/>
            <w:noWrap/>
            <w:vAlign w:val="center"/>
          </w:tcPr>
          <w:p w14:paraId="68D7EBF8" w14:textId="51702006" w:rsidR="006054AA" w:rsidRDefault="006054AA">
            <w:pPr>
              <w:spacing w:after="120"/>
              <w:jc w:val="center"/>
              <w:rPr>
                <w:rFonts w:ascii="Arial Narrow" w:hAnsi="Arial Narrow"/>
                <w:noProof/>
                <w:color w:val="006100"/>
                <w:sz w:val="20"/>
              </w:rPr>
            </w:pPr>
          </w:p>
        </w:tc>
        <w:tc>
          <w:tcPr>
            <w:tcW w:w="993" w:type="dxa"/>
            <w:shd w:val="clear" w:color="auto" w:fill="C6EFCE"/>
            <w:noWrap/>
            <w:vAlign w:val="center"/>
          </w:tcPr>
          <w:p w14:paraId="3E8465DB" w14:textId="55896E54"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78445773" w14:textId="145A78CA"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70DBCF42" w14:textId="2AEEDA6E" w:rsidR="006054AA" w:rsidRDefault="001F7667">
            <w:pPr>
              <w:pStyle w:val="P68B1DB1-Normal11"/>
              <w:spacing w:after="120"/>
              <w:jc w:val="center"/>
              <w:rPr>
                <w:noProof/>
              </w:rPr>
            </w:pPr>
            <w:r>
              <w:rPr>
                <w:noProof/>
              </w:rPr>
              <w:t>Т4 Г.</w:t>
            </w:r>
          </w:p>
        </w:tc>
        <w:tc>
          <w:tcPr>
            <w:tcW w:w="709" w:type="dxa"/>
            <w:shd w:val="clear" w:color="auto" w:fill="C6EFCE"/>
            <w:noWrap/>
            <w:vAlign w:val="center"/>
          </w:tcPr>
          <w:p w14:paraId="3BAB1A2D" w14:textId="7CC250A2" w:rsidR="006054AA" w:rsidRDefault="001F7667">
            <w:pPr>
              <w:pStyle w:val="P68B1DB1-Normal11"/>
              <w:spacing w:after="120"/>
              <w:jc w:val="center"/>
              <w:rPr>
                <w:noProof/>
              </w:rPr>
            </w:pPr>
            <w:r>
              <w:rPr>
                <w:noProof/>
              </w:rPr>
              <w:t>2025</w:t>
            </w:r>
          </w:p>
        </w:tc>
        <w:tc>
          <w:tcPr>
            <w:tcW w:w="3261" w:type="dxa"/>
            <w:shd w:val="clear" w:color="auto" w:fill="C6EFCE"/>
            <w:noWrap/>
            <w:vAlign w:val="center"/>
          </w:tcPr>
          <w:p w14:paraId="2E180C49" w14:textId="1654ED69" w:rsidR="006054AA" w:rsidRDefault="001F7667">
            <w:pPr>
              <w:pStyle w:val="P68B1DB1-Normal11"/>
              <w:rPr>
                <w:noProof/>
              </w:rPr>
            </w:pPr>
            <w:r>
              <w:rPr>
                <w:noProof/>
              </w:rPr>
              <w:t>Публична база данни (географска информационна система), която дава възможност за геолокализация и визуализация на рециклируеми ресурси или материали в градската среда (градски мини), както и на съществуващите отпадъци в изоставени мини.</w:t>
            </w:r>
          </w:p>
        </w:tc>
      </w:tr>
      <w:tr w:rsidR="006054AA" w14:paraId="181B484A" w14:textId="77777777">
        <w:trPr>
          <w:trHeight w:val="309"/>
        </w:trPr>
        <w:tc>
          <w:tcPr>
            <w:tcW w:w="1185" w:type="dxa"/>
            <w:shd w:val="clear" w:color="auto" w:fill="C6EFCE"/>
            <w:noWrap/>
            <w:vAlign w:val="center"/>
          </w:tcPr>
          <w:p w14:paraId="187631E0" w14:textId="4389CF5A" w:rsidR="006054AA" w:rsidRDefault="001F7667">
            <w:pPr>
              <w:pStyle w:val="P68B1DB1-Normal11"/>
              <w:spacing w:after="120"/>
              <w:jc w:val="center"/>
              <w:rPr>
                <w:noProof/>
              </w:rPr>
            </w:pPr>
            <w:r>
              <w:rPr>
                <w:noProof/>
              </w:rPr>
              <w:t>M7—27</w:t>
            </w:r>
          </w:p>
        </w:tc>
        <w:tc>
          <w:tcPr>
            <w:tcW w:w="1559" w:type="dxa"/>
            <w:shd w:val="clear" w:color="auto" w:fill="C6EFCE"/>
            <w:noWrap/>
          </w:tcPr>
          <w:p w14:paraId="09641F0B" w14:textId="5D3B7055" w:rsidR="006054AA" w:rsidRDefault="001F7667">
            <w:pPr>
              <w:pStyle w:val="P68B1DB1-Normal11"/>
              <w:spacing w:after="120"/>
              <w:jc w:val="center"/>
              <w:rPr>
                <w:noProof/>
              </w:rPr>
            </w:pPr>
            <w:r>
              <w:rPr>
                <w:noProof/>
              </w:rPr>
              <w:t>Инвестиция 10: Устойчиви, кръгови и сигурни доставки на суровини от критично значение</w:t>
            </w:r>
          </w:p>
        </w:tc>
        <w:tc>
          <w:tcPr>
            <w:tcW w:w="1134" w:type="dxa"/>
            <w:shd w:val="clear" w:color="auto" w:fill="C6EFCE"/>
            <w:noWrap/>
          </w:tcPr>
          <w:p w14:paraId="6107931B" w14:textId="66888D2A" w:rsidR="006054AA" w:rsidRDefault="001F7667">
            <w:pPr>
              <w:pStyle w:val="P68B1DB1-Normal11"/>
              <w:spacing w:after="120"/>
              <w:jc w:val="center"/>
              <w:rPr>
                <w:noProof/>
              </w:rPr>
            </w:pPr>
            <w:r>
              <w:rPr>
                <w:noProof/>
              </w:rPr>
              <w:t xml:space="preserve">Целеви </w:t>
            </w:r>
          </w:p>
        </w:tc>
        <w:tc>
          <w:tcPr>
            <w:tcW w:w="1418" w:type="dxa"/>
            <w:shd w:val="clear" w:color="auto" w:fill="C6EFCE"/>
            <w:noWrap/>
          </w:tcPr>
          <w:p w14:paraId="7AA34FCB" w14:textId="1450937F" w:rsidR="006054AA" w:rsidRDefault="001F7667">
            <w:pPr>
              <w:pStyle w:val="P68B1DB1-Normal11"/>
              <w:spacing w:after="120"/>
              <w:jc w:val="center"/>
              <w:rPr>
                <w:noProof/>
              </w:rPr>
            </w:pPr>
            <w:r>
              <w:rPr>
                <w:noProof/>
              </w:rPr>
              <w:t>Приключване на проекти за научноизследователска и развойна дейност в областта на екопроектирането и градското минно дело за устойчиви, кръгови и сигурни доставки на суровини от изключителна важност</w:t>
            </w:r>
          </w:p>
        </w:tc>
        <w:tc>
          <w:tcPr>
            <w:tcW w:w="1984" w:type="dxa"/>
            <w:shd w:val="clear" w:color="auto" w:fill="C6EFCE"/>
            <w:noWrap/>
            <w:vAlign w:val="center"/>
          </w:tcPr>
          <w:p w14:paraId="6639088B" w14:textId="6B6C5FE8"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3509A89E" w14:textId="2CFC67E5" w:rsidR="006054AA" w:rsidRDefault="001F7667">
            <w:pPr>
              <w:pStyle w:val="P68B1DB1-Normal11"/>
              <w:spacing w:after="120"/>
              <w:jc w:val="center"/>
              <w:rPr>
                <w:noProof/>
              </w:rPr>
            </w:pPr>
            <w:r>
              <w:rPr>
                <w:noProof/>
              </w:rPr>
              <w:t>Брой</w:t>
            </w:r>
          </w:p>
        </w:tc>
        <w:tc>
          <w:tcPr>
            <w:tcW w:w="993" w:type="dxa"/>
            <w:shd w:val="clear" w:color="auto" w:fill="C6EFCE"/>
            <w:noWrap/>
            <w:vAlign w:val="center"/>
          </w:tcPr>
          <w:p w14:paraId="4E96935C" w14:textId="089CF2FD" w:rsidR="006054AA" w:rsidRDefault="001F7667">
            <w:pPr>
              <w:pStyle w:val="P68B1DB1-Normal11"/>
              <w:spacing w:after="120"/>
              <w:jc w:val="center"/>
              <w:rPr>
                <w:noProof/>
              </w:rPr>
            </w:pPr>
            <w:r>
              <w:rPr>
                <w:noProof/>
              </w:rPr>
              <w:t>0</w:t>
            </w:r>
          </w:p>
        </w:tc>
        <w:tc>
          <w:tcPr>
            <w:tcW w:w="992" w:type="dxa"/>
            <w:shd w:val="clear" w:color="auto" w:fill="C6EFCE"/>
            <w:noWrap/>
            <w:vAlign w:val="center"/>
          </w:tcPr>
          <w:p w14:paraId="01A001B9" w14:textId="07AF4616" w:rsidR="006054AA" w:rsidRDefault="001F7667">
            <w:pPr>
              <w:pStyle w:val="P68B1DB1-Normal11"/>
              <w:spacing w:after="120"/>
              <w:jc w:val="center"/>
              <w:rPr>
                <w:noProof/>
              </w:rPr>
            </w:pPr>
            <w:r>
              <w:rPr>
                <w:noProof/>
              </w:rPr>
              <w:t>10</w:t>
            </w:r>
          </w:p>
        </w:tc>
        <w:tc>
          <w:tcPr>
            <w:tcW w:w="992" w:type="dxa"/>
            <w:shd w:val="clear" w:color="auto" w:fill="C6EFCE"/>
            <w:noWrap/>
            <w:vAlign w:val="center"/>
          </w:tcPr>
          <w:p w14:paraId="726ECCC1" w14:textId="54A859CE"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1FB1EAF2" w14:textId="221B81ED" w:rsidR="006054AA" w:rsidRDefault="001F7667">
            <w:pPr>
              <w:pStyle w:val="P68B1DB1-Normal11"/>
              <w:spacing w:after="120"/>
              <w:jc w:val="center"/>
              <w:rPr>
                <w:noProof/>
              </w:rPr>
            </w:pPr>
            <w:r>
              <w:rPr>
                <w:noProof/>
              </w:rPr>
              <w:t>2026</w:t>
            </w:r>
          </w:p>
        </w:tc>
        <w:tc>
          <w:tcPr>
            <w:tcW w:w="3261" w:type="dxa"/>
            <w:shd w:val="clear" w:color="auto" w:fill="C6EFCE"/>
            <w:noWrap/>
          </w:tcPr>
          <w:p w14:paraId="078F1B69" w14:textId="64BA73D8" w:rsidR="006054AA" w:rsidRDefault="001F7667">
            <w:pPr>
              <w:pStyle w:val="P68B1DB1-Normal11"/>
              <w:spacing w:after="120"/>
              <w:rPr>
                <w:noProof/>
              </w:rPr>
            </w:pPr>
            <w:r>
              <w:rPr>
                <w:noProof/>
              </w:rPr>
              <w:t>Приключване на най-малко 10 научноизследователски проекта с акцент върху екопроектирането и подобряването на събирането, логистиката и рециклирането на отпадъци от електрическо и електронно оборудване, включително лопатки за вятърни турбини и фотоволтаични панели.</w:t>
            </w:r>
          </w:p>
        </w:tc>
      </w:tr>
      <w:tr w:rsidR="006054AA" w14:paraId="292ED427" w14:textId="77777777">
        <w:trPr>
          <w:trHeight w:val="309"/>
        </w:trPr>
        <w:tc>
          <w:tcPr>
            <w:tcW w:w="1185" w:type="dxa"/>
            <w:shd w:val="clear" w:color="auto" w:fill="C6EFCE"/>
            <w:noWrap/>
            <w:vAlign w:val="center"/>
          </w:tcPr>
          <w:p w14:paraId="39005B4C" w14:textId="3EF934FD" w:rsidR="006054AA" w:rsidRDefault="001F7667">
            <w:pPr>
              <w:pStyle w:val="P68B1DB1-Normal11"/>
              <w:spacing w:after="120"/>
              <w:jc w:val="center"/>
              <w:rPr>
                <w:noProof/>
              </w:rPr>
            </w:pPr>
            <w:r>
              <w:rPr>
                <w:noProof/>
              </w:rPr>
              <w:t>M7—28</w:t>
            </w:r>
          </w:p>
        </w:tc>
        <w:tc>
          <w:tcPr>
            <w:tcW w:w="1559" w:type="dxa"/>
            <w:shd w:val="clear" w:color="auto" w:fill="C6EFCE"/>
            <w:noWrap/>
            <w:vAlign w:val="center"/>
          </w:tcPr>
          <w:p w14:paraId="5DBB4E3F" w14:textId="27942131" w:rsidR="006054AA" w:rsidRDefault="001F7667">
            <w:pPr>
              <w:pStyle w:val="P68B1DB1-Normal11"/>
              <w:spacing w:after="120"/>
              <w:jc w:val="center"/>
              <w:rPr>
                <w:noProof/>
              </w:rPr>
            </w:pPr>
            <w:r>
              <w:rPr>
                <w:noProof/>
              </w:rPr>
              <w:t>Инвестиция 10: Устойчиви, кръгови и сигурни доставки на суровини от критично значение</w:t>
            </w:r>
          </w:p>
        </w:tc>
        <w:tc>
          <w:tcPr>
            <w:tcW w:w="1134" w:type="dxa"/>
            <w:shd w:val="clear" w:color="auto" w:fill="C6EFCE"/>
            <w:noWrap/>
            <w:vAlign w:val="center"/>
          </w:tcPr>
          <w:p w14:paraId="75B5A658" w14:textId="0120C2DE" w:rsidR="006054AA" w:rsidRDefault="001F7667">
            <w:pPr>
              <w:pStyle w:val="P68B1DB1-Normal11"/>
              <w:spacing w:after="120"/>
              <w:jc w:val="center"/>
              <w:rPr>
                <w:noProof/>
              </w:rPr>
            </w:pPr>
            <w:r>
              <w:rPr>
                <w:noProof/>
              </w:rPr>
              <w:t>Целеви</w:t>
            </w:r>
          </w:p>
        </w:tc>
        <w:tc>
          <w:tcPr>
            <w:tcW w:w="1418" w:type="dxa"/>
            <w:shd w:val="clear" w:color="auto" w:fill="C6EFCE"/>
            <w:noWrap/>
            <w:vAlign w:val="center"/>
          </w:tcPr>
          <w:p w14:paraId="54BB678B" w14:textId="60E07BA3" w:rsidR="006054AA" w:rsidRDefault="001F7667">
            <w:pPr>
              <w:pStyle w:val="P68B1DB1-Normal11"/>
              <w:spacing w:after="120"/>
              <w:jc w:val="center"/>
              <w:rPr>
                <w:noProof/>
              </w:rPr>
            </w:pPr>
            <w:r>
              <w:rPr>
                <w:noProof/>
              </w:rPr>
              <w:t>Оборудване на лаборатории, принадлежащи към технологичния център за градско минно дело и екодизайн</w:t>
            </w:r>
          </w:p>
        </w:tc>
        <w:tc>
          <w:tcPr>
            <w:tcW w:w="1984" w:type="dxa"/>
            <w:shd w:val="clear" w:color="auto" w:fill="C6EFCE"/>
            <w:noWrap/>
          </w:tcPr>
          <w:p w14:paraId="348016CA" w14:textId="77777777" w:rsidR="006054AA" w:rsidRDefault="006054AA">
            <w:pPr>
              <w:spacing w:after="120"/>
              <w:jc w:val="center"/>
              <w:rPr>
                <w:rFonts w:ascii="Arial Narrow" w:hAnsi="Arial Narrow"/>
                <w:noProof/>
                <w:color w:val="006100"/>
                <w:sz w:val="20"/>
              </w:rPr>
            </w:pPr>
          </w:p>
        </w:tc>
        <w:tc>
          <w:tcPr>
            <w:tcW w:w="1134" w:type="dxa"/>
            <w:shd w:val="clear" w:color="auto" w:fill="C6EFCE"/>
            <w:noWrap/>
            <w:vAlign w:val="center"/>
          </w:tcPr>
          <w:p w14:paraId="30F70E50" w14:textId="51F37EFA" w:rsidR="006054AA" w:rsidRDefault="001F7667">
            <w:pPr>
              <w:pStyle w:val="P68B1DB1-Normal11"/>
              <w:spacing w:after="120"/>
              <w:jc w:val="center"/>
              <w:rPr>
                <w:noProof/>
              </w:rPr>
            </w:pPr>
            <w:r>
              <w:rPr>
                <w:noProof/>
              </w:rPr>
              <w:t>Брой</w:t>
            </w:r>
          </w:p>
        </w:tc>
        <w:tc>
          <w:tcPr>
            <w:tcW w:w="993" w:type="dxa"/>
            <w:shd w:val="clear" w:color="auto" w:fill="C6EFCE"/>
            <w:noWrap/>
            <w:vAlign w:val="center"/>
          </w:tcPr>
          <w:p w14:paraId="10ECDF1E" w14:textId="132ABB70" w:rsidR="006054AA" w:rsidRDefault="001F7667">
            <w:pPr>
              <w:pStyle w:val="P68B1DB1-Normal11"/>
              <w:spacing w:after="120"/>
              <w:jc w:val="center"/>
              <w:rPr>
                <w:noProof/>
              </w:rPr>
            </w:pPr>
            <w:r>
              <w:rPr>
                <w:noProof/>
              </w:rPr>
              <w:t>0</w:t>
            </w:r>
          </w:p>
        </w:tc>
        <w:tc>
          <w:tcPr>
            <w:tcW w:w="992" w:type="dxa"/>
            <w:shd w:val="clear" w:color="auto" w:fill="C6EFCE"/>
            <w:noWrap/>
            <w:vAlign w:val="center"/>
          </w:tcPr>
          <w:p w14:paraId="6A384362" w14:textId="768A30DC" w:rsidR="006054AA" w:rsidRDefault="001F7667">
            <w:pPr>
              <w:pStyle w:val="P68B1DB1-Normal11"/>
              <w:spacing w:after="120"/>
              <w:jc w:val="center"/>
              <w:rPr>
                <w:noProof/>
              </w:rPr>
            </w:pPr>
            <w:r>
              <w:rPr>
                <w:noProof/>
              </w:rPr>
              <w:t>6</w:t>
            </w:r>
          </w:p>
        </w:tc>
        <w:tc>
          <w:tcPr>
            <w:tcW w:w="992" w:type="dxa"/>
            <w:shd w:val="clear" w:color="auto" w:fill="C6EFCE"/>
            <w:noWrap/>
            <w:vAlign w:val="center"/>
          </w:tcPr>
          <w:p w14:paraId="0B7DFD5E" w14:textId="36C37718" w:rsidR="006054AA" w:rsidRDefault="001F7667">
            <w:pPr>
              <w:pStyle w:val="P68B1DB1-Normal11"/>
              <w:spacing w:after="120"/>
              <w:jc w:val="center"/>
              <w:rPr>
                <w:noProof/>
              </w:rPr>
            </w:pPr>
            <w:r>
              <w:rPr>
                <w:noProof/>
              </w:rPr>
              <w:t>Т2 Г.</w:t>
            </w:r>
          </w:p>
        </w:tc>
        <w:tc>
          <w:tcPr>
            <w:tcW w:w="709" w:type="dxa"/>
            <w:shd w:val="clear" w:color="auto" w:fill="C6EFCE"/>
            <w:noWrap/>
            <w:vAlign w:val="center"/>
          </w:tcPr>
          <w:p w14:paraId="7B6DAECD" w14:textId="7510DE83"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4AF98BFB" w14:textId="77777777" w:rsidR="006054AA" w:rsidRDefault="001F7667">
            <w:pPr>
              <w:pStyle w:val="P68B1DB1-Normal11"/>
              <w:spacing w:after="120"/>
              <w:rPr>
                <w:noProof/>
              </w:rPr>
            </w:pPr>
            <w:r>
              <w:rPr>
                <w:noProof/>
              </w:rPr>
              <w:t>Оборудване на най-малко 6 лаборатории, принадлежащи към технологичния център за градско минно дело и екодизайн.</w:t>
            </w:r>
          </w:p>
          <w:p w14:paraId="39D7DC65" w14:textId="32D47575" w:rsidR="006054AA" w:rsidRDefault="001F7667">
            <w:pPr>
              <w:pStyle w:val="P68B1DB1-Normal11"/>
              <w:spacing w:after="120"/>
              <w:rPr>
                <w:noProof/>
              </w:rPr>
            </w:pPr>
            <w:r>
              <w:rPr>
                <w:noProof/>
              </w:rPr>
              <w:t xml:space="preserve">Лабораториите дават възможност за сътрудничество между частни дружества и научноизследователски институции при търсенето на решения, насочени към увеличаване на оползотворяването и рециклирането на суровини от критично значение, свързани с екологичния преход. </w:t>
            </w:r>
          </w:p>
        </w:tc>
      </w:tr>
      <w:tr w:rsidR="006054AA" w14:paraId="2AB281F8" w14:textId="77777777">
        <w:trPr>
          <w:trHeight w:val="309"/>
        </w:trPr>
        <w:tc>
          <w:tcPr>
            <w:tcW w:w="1185" w:type="dxa"/>
            <w:tcBorders>
              <w:bottom w:val="single" w:sz="4" w:space="0" w:color="auto"/>
            </w:tcBorders>
            <w:shd w:val="clear" w:color="auto" w:fill="C6EFCE"/>
            <w:noWrap/>
            <w:vAlign w:val="center"/>
          </w:tcPr>
          <w:p w14:paraId="2AF02F49" w14:textId="77FB5D70" w:rsidR="006054AA" w:rsidRDefault="001F7667">
            <w:pPr>
              <w:pStyle w:val="P68B1DB1-Normal11"/>
              <w:spacing w:after="120"/>
              <w:jc w:val="center"/>
              <w:rPr>
                <w:noProof/>
              </w:rPr>
            </w:pPr>
            <w:r>
              <w:rPr>
                <w:noProof/>
              </w:rPr>
              <w:t>M7—29</w:t>
            </w:r>
          </w:p>
        </w:tc>
        <w:tc>
          <w:tcPr>
            <w:tcW w:w="1559" w:type="dxa"/>
            <w:tcBorders>
              <w:bottom w:val="single" w:sz="4" w:space="0" w:color="auto"/>
            </w:tcBorders>
            <w:shd w:val="clear" w:color="auto" w:fill="C6EFCE"/>
            <w:noWrap/>
            <w:vAlign w:val="center"/>
          </w:tcPr>
          <w:p w14:paraId="5B52C754" w14:textId="1650BE13" w:rsidR="006054AA" w:rsidRDefault="001F7667">
            <w:pPr>
              <w:pStyle w:val="P68B1DB1-Normal11"/>
              <w:spacing w:after="120"/>
              <w:jc w:val="center"/>
              <w:rPr>
                <w:noProof/>
              </w:rPr>
            </w:pPr>
            <w:r>
              <w:rPr>
                <w:noProof/>
              </w:rPr>
              <w:t>Инвестиция 9: Мярка за разрастване: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134" w:type="dxa"/>
            <w:tcBorders>
              <w:bottom w:val="single" w:sz="4" w:space="0" w:color="auto"/>
            </w:tcBorders>
            <w:shd w:val="clear" w:color="auto" w:fill="C6EFCE"/>
            <w:noWrap/>
            <w:vAlign w:val="center"/>
          </w:tcPr>
          <w:p w14:paraId="11B5CA1E" w14:textId="5BA81A3B" w:rsidR="006054AA" w:rsidRDefault="001F7667">
            <w:pPr>
              <w:pStyle w:val="P68B1DB1-Normal11"/>
              <w:spacing w:after="120"/>
              <w:jc w:val="center"/>
              <w:rPr>
                <w:noProof/>
              </w:rPr>
            </w:pPr>
            <w:r>
              <w:rPr>
                <w:noProof/>
              </w:rPr>
              <w:t>Целеви</w:t>
            </w:r>
          </w:p>
        </w:tc>
        <w:tc>
          <w:tcPr>
            <w:tcW w:w="1418" w:type="dxa"/>
            <w:tcBorders>
              <w:bottom w:val="single" w:sz="4" w:space="0" w:color="auto"/>
            </w:tcBorders>
            <w:shd w:val="clear" w:color="auto" w:fill="C6EFCE"/>
            <w:noWrap/>
            <w:vAlign w:val="center"/>
          </w:tcPr>
          <w:p w14:paraId="0617AA42" w14:textId="177D46B2" w:rsidR="006054AA" w:rsidRDefault="001F7667">
            <w:pPr>
              <w:pStyle w:val="P68B1DB1-Normal11"/>
              <w:spacing w:after="120"/>
              <w:jc w:val="center"/>
              <w:rPr>
                <w:noProof/>
              </w:rPr>
            </w:pPr>
            <w:r>
              <w:rPr>
                <w:noProof/>
              </w:rPr>
              <w:t>Образованието и обучението;</w:t>
            </w:r>
          </w:p>
        </w:tc>
        <w:tc>
          <w:tcPr>
            <w:tcW w:w="1984" w:type="dxa"/>
            <w:tcBorders>
              <w:bottom w:val="single" w:sz="4" w:space="0" w:color="auto"/>
            </w:tcBorders>
            <w:shd w:val="clear" w:color="auto" w:fill="C6EFCE"/>
            <w:noWrap/>
            <w:vAlign w:val="center"/>
          </w:tcPr>
          <w:p w14:paraId="54EB52C8" w14:textId="77777777" w:rsidR="006054AA" w:rsidRDefault="006054AA">
            <w:pPr>
              <w:spacing w:after="120"/>
              <w:jc w:val="center"/>
              <w:rPr>
                <w:rFonts w:ascii="Arial Narrow" w:hAnsi="Arial Narrow"/>
                <w:noProof/>
                <w:color w:val="006100"/>
                <w:sz w:val="20"/>
              </w:rPr>
            </w:pPr>
          </w:p>
        </w:tc>
        <w:tc>
          <w:tcPr>
            <w:tcW w:w="1134" w:type="dxa"/>
            <w:tcBorders>
              <w:bottom w:val="single" w:sz="4" w:space="0" w:color="auto"/>
            </w:tcBorders>
            <w:shd w:val="clear" w:color="auto" w:fill="C6EFCE"/>
            <w:noWrap/>
            <w:vAlign w:val="center"/>
          </w:tcPr>
          <w:p w14:paraId="62D3B452" w14:textId="1A11D588" w:rsidR="006054AA" w:rsidRDefault="001F7667">
            <w:pPr>
              <w:pStyle w:val="P68B1DB1-Normal11"/>
              <w:spacing w:after="120"/>
              <w:jc w:val="center"/>
              <w:rPr>
                <w:noProof/>
              </w:rPr>
            </w:pPr>
            <w:r>
              <w:rPr>
                <w:noProof/>
              </w:rPr>
              <w:t>Брой</w:t>
            </w:r>
          </w:p>
        </w:tc>
        <w:tc>
          <w:tcPr>
            <w:tcW w:w="993" w:type="dxa"/>
            <w:tcBorders>
              <w:bottom w:val="single" w:sz="4" w:space="0" w:color="auto"/>
            </w:tcBorders>
            <w:shd w:val="clear" w:color="auto" w:fill="C6EFCE"/>
            <w:noWrap/>
            <w:vAlign w:val="center"/>
          </w:tcPr>
          <w:p w14:paraId="6EB99CAE" w14:textId="1D935E0D" w:rsidR="006054AA" w:rsidRDefault="001F7667">
            <w:pPr>
              <w:pStyle w:val="P68B1DB1-Normal11"/>
              <w:spacing w:after="120"/>
              <w:jc w:val="center"/>
              <w:rPr>
                <w:noProof/>
              </w:rPr>
            </w:pPr>
            <w:r>
              <w:rPr>
                <w:noProof/>
              </w:rPr>
              <w:t>280 000</w:t>
            </w:r>
          </w:p>
        </w:tc>
        <w:tc>
          <w:tcPr>
            <w:tcW w:w="992" w:type="dxa"/>
            <w:tcBorders>
              <w:bottom w:val="single" w:sz="4" w:space="0" w:color="auto"/>
            </w:tcBorders>
            <w:shd w:val="clear" w:color="auto" w:fill="C6EFCE"/>
            <w:noWrap/>
            <w:vAlign w:val="center"/>
          </w:tcPr>
          <w:p w14:paraId="61BCB8D1" w14:textId="3E995D1C" w:rsidR="006054AA" w:rsidRDefault="001F7667">
            <w:pPr>
              <w:pStyle w:val="P68B1DB1-Normal11"/>
              <w:spacing w:after="120"/>
              <w:jc w:val="center"/>
              <w:rPr>
                <w:noProof/>
              </w:rPr>
            </w:pPr>
            <w:r>
              <w:rPr>
                <w:noProof/>
              </w:rPr>
              <w:t>281 750</w:t>
            </w:r>
          </w:p>
        </w:tc>
        <w:tc>
          <w:tcPr>
            <w:tcW w:w="992" w:type="dxa"/>
            <w:tcBorders>
              <w:bottom w:val="single" w:sz="4" w:space="0" w:color="auto"/>
            </w:tcBorders>
            <w:shd w:val="clear" w:color="auto" w:fill="C6EFCE"/>
            <w:noWrap/>
            <w:vAlign w:val="center"/>
          </w:tcPr>
          <w:p w14:paraId="200B22A3" w14:textId="6CA4A05F" w:rsidR="006054AA" w:rsidRDefault="001F7667">
            <w:pPr>
              <w:pStyle w:val="P68B1DB1-Normal11"/>
              <w:spacing w:after="120"/>
              <w:jc w:val="center"/>
              <w:rPr>
                <w:noProof/>
              </w:rPr>
            </w:pPr>
            <w:r>
              <w:rPr>
                <w:noProof/>
              </w:rPr>
              <w:t>Т2 Г.</w:t>
            </w:r>
          </w:p>
        </w:tc>
        <w:tc>
          <w:tcPr>
            <w:tcW w:w="709" w:type="dxa"/>
            <w:tcBorders>
              <w:bottom w:val="single" w:sz="4" w:space="0" w:color="auto"/>
            </w:tcBorders>
            <w:shd w:val="clear" w:color="auto" w:fill="C6EFCE"/>
            <w:noWrap/>
            <w:vAlign w:val="center"/>
          </w:tcPr>
          <w:p w14:paraId="663C9297" w14:textId="02A95719" w:rsidR="006054AA" w:rsidRDefault="001F7667">
            <w:pPr>
              <w:pStyle w:val="P68B1DB1-Normal11"/>
              <w:spacing w:after="120"/>
              <w:jc w:val="center"/>
              <w:rPr>
                <w:noProof/>
              </w:rPr>
            </w:pPr>
            <w:r>
              <w:rPr>
                <w:noProof/>
              </w:rPr>
              <w:t>2026</w:t>
            </w:r>
          </w:p>
        </w:tc>
        <w:tc>
          <w:tcPr>
            <w:tcW w:w="3261" w:type="dxa"/>
            <w:tcBorders>
              <w:bottom w:val="single" w:sz="4" w:space="0" w:color="auto"/>
            </w:tcBorders>
            <w:shd w:val="clear" w:color="auto" w:fill="C6EFCE"/>
            <w:noWrap/>
            <w:vAlign w:val="center"/>
          </w:tcPr>
          <w:p w14:paraId="357F13DA" w14:textId="58836E0A" w:rsidR="006054AA" w:rsidRDefault="001F7667">
            <w:pPr>
              <w:pStyle w:val="P68B1DB1-Normal11"/>
              <w:spacing w:after="120"/>
              <w:rPr>
                <w:noProof/>
              </w:rPr>
            </w:pPr>
            <w:r>
              <w:rPr>
                <w:noProof/>
              </w:rPr>
              <w:t>Най-малко 281 750 държавни служители от други публични администрации успешно са завършили инициативи за обучение (официално сертифициране или оценка на въздействието).</w:t>
            </w:r>
          </w:p>
          <w:p w14:paraId="3CD0A0B8" w14:textId="46A669D9" w:rsidR="006054AA" w:rsidRDefault="001F7667">
            <w:pPr>
              <w:pStyle w:val="P68B1DB1-Normal11"/>
              <w:spacing w:after="120"/>
              <w:rPr>
                <w:noProof/>
              </w:rPr>
            </w:pPr>
            <w:r>
              <w:rPr>
                <w:noProof/>
              </w:rPr>
              <w:t>Най-малко 1 750 от тези държавни служители трябва да бъдат наети на работа в местната общественост и да са завършили инициативи за обучение относно екологичния преход, както е описано подробно в описанието на мярката.</w:t>
            </w:r>
          </w:p>
        </w:tc>
      </w:tr>
      <w:tr w:rsidR="006054AA" w14:paraId="52FBA040" w14:textId="77777777">
        <w:trPr>
          <w:trHeight w:val="309"/>
        </w:trPr>
        <w:tc>
          <w:tcPr>
            <w:tcW w:w="1185" w:type="dxa"/>
            <w:tcBorders>
              <w:top w:val="single" w:sz="4" w:space="0" w:color="auto"/>
            </w:tcBorders>
            <w:shd w:val="clear" w:color="auto" w:fill="C6EFCE"/>
            <w:noWrap/>
            <w:vAlign w:val="center"/>
          </w:tcPr>
          <w:p w14:paraId="31137837" w14:textId="403ED2A0" w:rsidR="006054AA" w:rsidRDefault="001F7667">
            <w:pPr>
              <w:pStyle w:val="P68B1DB1-Normal11"/>
              <w:spacing w:after="120"/>
              <w:jc w:val="center"/>
              <w:rPr>
                <w:noProof/>
              </w:rPr>
            </w:pPr>
            <w:r>
              <w:rPr>
                <w:noProof/>
              </w:rPr>
              <w:t>M7—30</w:t>
            </w:r>
          </w:p>
        </w:tc>
        <w:tc>
          <w:tcPr>
            <w:tcW w:w="1559" w:type="dxa"/>
            <w:tcBorders>
              <w:top w:val="single" w:sz="4" w:space="0" w:color="auto"/>
            </w:tcBorders>
            <w:shd w:val="clear" w:color="auto" w:fill="C6EFCE"/>
            <w:noWrap/>
            <w:vAlign w:val="center"/>
          </w:tcPr>
          <w:p w14:paraId="52F7A3D5" w14:textId="5754BEE3" w:rsidR="006054AA" w:rsidRDefault="001F7667">
            <w:pPr>
              <w:pStyle w:val="P68B1DB1-Normal11"/>
              <w:spacing w:after="120"/>
              <w:jc w:val="center"/>
              <w:rPr>
                <w:noProof/>
              </w:rPr>
            </w:pPr>
            <w:r>
              <w:rPr>
                <w:noProof/>
              </w:rPr>
              <w:t>Инвестиция 10: Пилотни проекти за умения „Crescere Green“</w:t>
            </w:r>
          </w:p>
        </w:tc>
        <w:tc>
          <w:tcPr>
            <w:tcW w:w="1134" w:type="dxa"/>
            <w:tcBorders>
              <w:top w:val="single" w:sz="4" w:space="0" w:color="auto"/>
            </w:tcBorders>
            <w:shd w:val="clear" w:color="auto" w:fill="C6EFCE"/>
            <w:noWrap/>
            <w:vAlign w:val="center"/>
          </w:tcPr>
          <w:p w14:paraId="0154F1A8" w14:textId="4B4BAD31" w:rsidR="006054AA" w:rsidRDefault="001F7667">
            <w:pPr>
              <w:pStyle w:val="P68B1DB1-Normal11"/>
              <w:spacing w:after="120"/>
              <w:jc w:val="center"/>
              <w:rPr>
                <w:noProof/>
              </w:rPr>
            </w:pPr>
            <w:r>
              <w:rPr>
                <w:noProof/>
              </w:rPr>
              <w:t>Целеви</w:t>
            </w:r>
          </w:p>
        </w:tc>
        <w:tc>
          <w:tcPr>
            <w:tcW w:w="1418" w:type="dxa"/>
            <w:tcBorders>
              <w:top w:val="single" w:sz="4" w:space="0" w:color="auto"/>
            </w:tcBorders>
            <w:shd w:val="clear" w:color="auto" w:fill="C6EFCE"/>
            <w:noWrap/>
            <w:vAlign w:val="center"/>
          </w:tcPr>
          <w:p w14:paraId="32C77440" w14:textId="6F34496B" w:rsidR="006054AA" w:rsidRDefault="001F7667">
            <w:pPr>
              <w:pStyle w:val="P68B1DB1-Normal11"/>
              <w:spacing w:after="120"/>
              <w:jc w:val="center"/>
              <w:rPr>
                <w:noProof/>
              </w:rPr>
            </w:pPr>
            <w:r>
              <w:rPr>
                <w:noProof/>
              </w:rPr>
              <w:t>Предоставяне на обучение на 20 000 души</w:t>
            </w:r>
          </w:p>
        </w:tc>
        <w:tc>
          <w:tcPr>
            <w:tcW w:w="1984" w:type="dxa"/>
            <w:tcBorders>
              <w:top w:val="single" w:sz="4" w:space="0" w:color="auto"/>
            </w:tcBorders>
            <w:shd w:val="clear" w:color="auto" w:fill="C6EFCE"/>
            <w:noWrap/>
            <w:vAlign w:val="center"/>
          </w:tcPr>
          <w:p w14:paraId="28C39A43" w14:textId="77777777" w:rsidR="006054AA" w:rsidRDefault="006054AA">
            <w:pPr>
              <w:spacing w:after="120"/>
              <w:jc w:val="center"/>
              <w:rPr>
                <w:rFonts w:ascii="Arial Narrow" w:hAnsi="Arial Narrow"/>
                <w:noProof/>
                <w:color w:val="006100"/>
                <w:sz w:val="20"/>
              </w:rPr>
            </w:pPr>
          </w:p>
        </w:tc>
        <w:tc>
          <w:tcPr>
            <w:tcW w:w="1134" w:type="dxa"/>
            <w:tcBorders>
              <w:top w:val="single" w:sz="4" w:space="0" w:color="auto"/>
            </w:tcBorders>
            <w:shd w:val="clear" w:color="auto" w:fill="C6EFCE"/>
            <w:noWrap/>
            <w:vAlign w:val="center"/>
          </w:tcPr>
          <w:p w14:paraId="7301C79A" w14:textId="292C4C9C" w:rsidR="006054AA" w:rsidRDefault="001F7667">
            <w:pPr>
              <w:pStyle w:val="P68B1DB1-Normal11"/>
              <w:spacing w:after="120"/>
              <w:jc w:val="center"/>
              <w:rPr>
                <w:noProof/>
              </w:rPr>
            </w:pPr>
            <w:r>
              <w:rPr>
                <w:noProof/>
              </w:rPr>
              <w:t>Брой</w:t>
            </w:r>
          </w:p>
        </w:tc>
        <w:tc>
          <w:tcPr>
            <w:tcW w:w="993" w:type="dxa"/>
            <w:tcBorders>
              <w:top w:val="single" w:sz="4" w:space="0" w:color="auto"/>
            </w:tcBorders>
            <w:shd w:val="clear" w:color="auto" w:fill="C6EFCE"/>
            <w:noWrap/>
            <w:vAlign w:val="center"/>
          </w:tcPr>
          <w:p w14:paraId="26535D8A" w14:textId="2383BF36" w:rsidR="006054AA" w:rsidRDefault="001F7667">
            <w:pPr>
              <w:pStyle w:val="P68B1DB1-Normal11"/>
              <w:spacing w:after="120"/>
              <w:jc w:val="center"/>
              <w:rPr>
                <w:noProof/>
              </w:rPr>
            </w:pPr>
            <w:r>
              <w:rPr>
                <w:noProof/>
              </w:rPr>
              <w:t>0</w:t>
            </w:r>
          </w:p>
        </w:tc>
        <w:tc>
          <w:tcPr>
            <w:tcW w:w="992" w:type="dxa"/>
            <w:tcBorders>
              <w:top w:val="single" w:sz="4" w:space="0" w:color="auto"/>
            </w:tcBorders>
            <w:shd w:val="clear" w:color="auto" w:fill="C6EFCE"/>
            <w:noWrap/>
            <w:vAlign w:val="center"/>
          </w:tcPr>
          <w:p w14:paraId="6738394B" w14:textId="104B397C" w:rsidR="006054AA" w:rsidRDefault="001F7667">
            <w:pPr>
              <w:pStyle w:val="P68B1DB1-Normal11"/>
              <w:spacing w:after="120"/>
              <w:jc w:val="center"/>
              <w:rPr>
                <w:noProof/>
              </w:rPr>
            </w:pPr>
            <w:r>
              <w:rPr>
                <w:noProof/>
              </w:rPr>
              <w:t>20 000</w:t>
            </w:r>
          </w:p>
        </w:tc>
        <w:tc>
          <w:tcPr>
            <w:tcW w:w="992" w:type="dxa"/>
            <w:tcBorders>
              <w:top w:val="single" w:sz="4" w:space="0" w:color="auto"/>
            </w:tcBorders>
            <w:shd w:val="clear" w:color="auto" w:fill="C6EFCE"/>
            <w:noWrap/>
            <w:vAlign w:val="center"/>
          </w:tcPr>
          <w:p w14:paraId="72FADAFE" w14:textId="30E90CBC" w:rsidR="006054AA" w:rsidRDefault="001F7667">
            <w:pPr>
              <w:pStyle w:val="P68B1DB1-Normal11"/>
              <w:spacing w:after="120"/>
              <w:jc w:val="center"/>
              <w:rPr>
                <w:noProof/>
              </w:rPr>
            </w:pPr>
            <w:r>
              <w:rPr>
                <w:noProof/>
              </w:rPr>
              <w:t>Т2 Г.</w:t>
            </w:r>
          </w:p>
        </w:tc>
        <w:tc>
          <w:tcPr>
            <w:tcW w:w="709" w:type="dxa"/>
            <w:tcBorders>
              <w:top w:val="single" w:sz="4" w:space="0" w:color="auto"/>
            </w:tcBorders>
            <w:shd w:val="clear" w:color="auto" w:fill="C6EFCE"/>
            <w:noWrap/>
            <w:vAlign w:val="center"/>
          </w:tcPr>
          <w:p w14:paraId="1CB03FEE" w14:textId="779A5518" w:rsidR="006054AA" w:rsidRDefault="001F7667">
            <w:pPr>
              <w:pStyle w:val="P68B1DB1-Normal11"/>
              <w:spacing w:after="120"/>
              <w:jc w:val="center"/>
              <w:rPr>
                <w:noProof/>
              </w:rPr>
            </w:pPr>
            <w:r>
              <w:rPr>
                <w:noProof/>
              </w:rPr>
              <w:t>2025</w:t>
            </w:r>
          </w:p>
        </w:tc>
        <w:tc>
          <w:tcPr>
            <w:tcW w:w="3261" w:type="dxa"/>
            <w:tcBorders>
              <w:top w:val="single" w:sz="4" w:space="0" w:color="auto"/>
            </w:tcBorders>
            <w:shd w:val="clear" w:color="auto" w:fill="C6EFCE"/>
            <w:noWrap/>
            <w:vAlign w:val="center"/>
          </w:tcPr>
          <w:p w14:paraId="76BF80E3" w14:textId="77777777" w:rsidR="006054AA" w:rsidRDefault="001F7667">
            <w:pPr>
              <w:pStyle w:val="P68B1DB1-Normal11"/>
              <w:spacing w:after="120"/>
              <w:rPr>
                <w:noProof/>
              </w:rPr>
            </w:pPr>
            <w:r>
              <w:rPr>
                <w:noProof/>
              </w:rPr>
              <w:t xml:space="preserve">Пилотният проект е организиран в различни региони с участието на предприятия от частния сектор. </w:t>
            </w:r>
          </w:p>
          <w:p w14:paraId="2BC07861" w14:textId="77777777" w:rsidR="006054AA" w:rsidRDefault="001F7667">
            <w:pPr>
              <w:pStyle w:val="P68B1DB1-Normal11"/>
              <w:spacing w:after="120"/>
              <w:rPr>
                <w:noProof/>
              </w:rPr>
            </w:pPr>
            <w:r>
              <w:rPr>
                <w:noProof/>
              </w:rPr>
              <w:t>Доставчиците на обучение се сертифицират (</w:t>
            </w:r>
            <w:r>
              <w:rPr>
                <w:i/>
                <w:noProof/>
              </w:rPr>
              <w:t>„акредитации“)</w:t>
            </w:r>
            <w:r>
              <w:rPr>
                <w:noProof/>
              </w:rPr>
              <w:t xml:space="preserve">в национален мащаб в съответствие с регионалното законодателство. Модулите за обучение са съсредоточени върху секторните умения за екологичния преход в съответствие с професиите, определени в пактовете за умения, и се наблюдават на национално равнище. </w:t>
            </w:r>
          </w:p>
          <w:p w14:paraId="11D6FB15" w14:textId="2D8E0229" w:rsidR="006054AA" w:rsidRDefault="001F7667">
            <w:pPr>
              <w:pStyle w:val="P68B1DB1-Normal11"/>
              <w:spacing w:after="120"/>
              <w:rPr>
                <w:noProof/>
              </w:rPr>
            </w:pPr>
            <w:r>
              <w:rPr>
                <w:noProof/>
              </w:rPr>
              <w:t>Най-малко 20 000 бенефициери от бенефициерите по програмата за гарантирана заетост на работниците (GOL) са завършили модулите за обучение. Дейностите, свързани с укрепването на административния капацитет, трябва да бъдат завършени.</w:t>
            </w:r>
          </w:p>
          <w:p w14:paraId="30915877" w14:textId="7F6AFFEF" w:rsidR="006054AA" w:rsidRDefault="001F7667">
            <w:pPr>
              <w:pStyle w:val="P68B1DB1-Normal11"/>
              <w:spacing w:after="120"/>
              <w:rPr>
                <w:noProof/>
              </w:rPr>
            </w:pPr>
            <w:r>
              <w:rPr>
                <w:noProof/>
              </w:rPr>
              <w:t>Максимум 4 % от ресурсите се заделят за укрепване на административния капацитет на участниците, участващи в планирането и предоставянето на обучение.</w:t>
            </w:r>
          </w:p>
        </w:tc>
      </w:tr>
      <w:tr w:rsidR="006054AA" w14:paraId="6A3A1B42" w14:textId="77777777">
        <w:trPr>
          <w:trHeight w:val="309"/>
        </w:trPr>
        <w:tc>
          <w:tcPr>
            <w:tcW w:w="1185" w:type="dxa"/>
            <w:tcBorders>
              <w:top w:val="single" w:sz="4" w:space="0" w:color="auto"/>
            </w:tcBorders>
            <w:shd w:val="clear" w:color="auto" w:fill="C6EFCE"/>
            <w:noWrap/>
            <w:vAlign w:val="center"/>
          </w:tcPr>
          <w:p w14:paraId="0963A282" w14:textId="0B5A79E3" w:rsidR="006054AA" w:rsidRDefault="001F7667">
            <w:pPr>
              <w:pStyle w:val="P68B1DB1-Normal11"/>
              <w:spacing w:after="120"/>
              <w:jc w:val="center"/>
              <w:rPr>
                <w:noProof/>
              </w:rPr>
            </w:pPr>
            <w:r>
              <w:rPr>
                <w:noProof/>
              </w:rPr>
              <w:t>M7—31</w:t>
            </w:r>
          </w:p>
        </w:tc>
        <w:tc>
          <w:tcPr>
            <w:tcW w:w="1559" w:type="dxa"/>
            <w:tcBorders>
              <w:top w:val="single" w:sz="4" w:space="0" w:color="auto"/>
            </w:tcBorders>
            <w:shd w:val="clear" w:color="auto" w:fill="C6EFCE"/>
            <w:noWrap/>
            <w:vAlign w:val="center"/>
          </w:tcPr>
          <w:p w14:paraId="4E5DF838" w14:textId="356C8F34" w:rsidR="006054AA" w:rsidRDefault="001F7667">
            <w:pPr>
              <w:pStyle w:val="P68B1DB1-Normal11"/>
              <w:spacing w:after="120"/>
              <w:jc w:val="center"/>
              <w:rPr>
                <w:noProof/>
              </w:rPr>
            </w:pPr>
            <w:r>
              <w:rPr>
                <w:noProof/>
              </w:rPr>
              <w:t>Инвестиция 11:  Укрепване на регионалния железопътен парк от обществен транспорт с влакове с нулеви емисии и универсална услуга</w:t>
            </w:r>
          </w:p>
        </w:tc>
        <w:tc>
          <w:tcPr>
            <w:tcW w:w="1134" w:type="dxa"/>
            <w:tcBorders>
              <w:top w:val="single" w:sz="4" w:space="0" w:color="auto"/>
            </w:tcBorders>
            <w:shd w:val="clear" w:color="auto" w:fill="C6EFCE"/>
            <w:noWrap/>
            <w:vAlign w:val="center"/>
          </w:tcPr>
          <w:p w14:paraId="06084F85" w14:textId="20BE8201" w:rsidR="006054AA" w:rsidRDefault="001F7667">
            <w:pPr>
              <w:pStyle w:val="P68B1DB1-Normal11"/>
              <w:spacing w:after="120"/>
              <w:jc w:val="center"/>
              <w:rPr>
                <w:noProof/>
              </w:rPr>
            </w:pPr>
            <w:r>
              <w:rPr>
                <w:noProof/>
              </w:rPr>
              <w:t>Целеви</w:t>
            </w:r>
          </w:p>
        </w:tc>
        <w:tc>
          <w:tcPr>
            <w:tcW w:w="1418" w:type="dxa"/>
            <w:tcBorders>
              <w:top w:val="single" w:sz="4" w:space="0" w:color="auto"/>
            </w:tcBorders>
            <w:shd w:val="clear" w:color="auto" w:fill="C6EFCE"/>
            <w:noWrap/>
            <w:vAlign w:val="center"/>
          </w:tcPr>
          <w:p w14:paraId="07DF4643" w14:textId="478E181C" w:rsidR="006054AA" w:rsidRDefault="001F7667">
            <w:pPr>
              <w:pStyle w:val="P68B1DB1-Normal11"/>
              <w:spacing w:after="120"/>
              <w:jc w:val="center"/>
              <w:rPr>
                <w:noProof/>
              </w:rPr>
            </w:pPr>
            <w:r>
              <w:rPr>
                <w:noProof/>
              </w:rPr>
              <w:t xml:space="preserve">Брой влакове с нулеви емисии и брой на превозите за универсалната услуга </w:t>
            </w:r>
          </w:p>
        </w:tc>
        <w:tc>
          <w:tcPr>
            <w:tcW w:w="1984" w:type="dxa"/>
            <w:tcBorders>
              <w:top w:val="single" w:sz="4" w:space="0" w:color="auto"/>
            </w:tcBorders>
            <w:shd w:val="clear" w:color="auto" w:fill="C6EFCE"/>
            <w:noWrap/>
            <w:vAlign w:val="center"/>
          </w:tcPr>
          <w:p w14:paraId="1B971A82" w14:textId="313FC968" w:rsidR="006054AA" w:rsidRDefault="001F7667">
            <w:pPr>
              <w:pStyle w:val="P68B1DB1-Normal11"/>
              <w:spacing w:after="120"/>
              <w:jc w:val="center"/>
              <w:rPr>
                <w:noProof/>
              </w:rPr>
            </w:pPr>
            <w:r>
              <w:rPr>
                <w:noProof/>
              </w:rPr>
              <w:t>НЯМА</w:t>
            </w:r>
          </w:p>
        </w:tc>
        <w:tc>
          <w:tcPr>
            <w:tcW w:w="1134" w:type="dxa"/>
            <w:tcBorders>
              <w:top w:val="single" w:sz="4" w:space="0" w:color="auto"/>
            </w:tcBorders>
            <w:shd w:val="clear" w:color="auto" w:fill="C6EFCE"/>
            <w:noWrap/>
            <w:vAlign w:val="center"/>
          </w:tcPr>
          <w:p w14:paraId="0EE0C07A" w14:textId="771E6F72" w:rsidR="006054AA" w:rsidRDefault="001F7667">
            <w:pPr>
              <w:pStyle w:val="P68B1DB1-Normal11"/>
              <w:spacing w:after="120"/>
              <w:jc w:val="center"/>
              <w:rPr>
                <w:noProof/>
              </w:rPr>
            </w:pPr>
            <w:r>
              <w:rPr>
                <w:noProof/>
              </w:rPr>
              <w:t>Брой</w:t>
            </w:r>
          </w:p>
        </w:tc>
        <w:tc>
          <w:tcPr>
            <w:tcW w:w="993" w:type="dxa"/>
            <w:tcBorders>
              <w:top w:val="single" w:sz="4" w:space="0" w:color="auto"/>
            </w:tcBorders>
            <w:shd w:val="clear" w:color="auto" w:fill="C6EFCE"/>
            <w:noWrap/>
            <w:vAlign w:val="center"/>
          </w:tcPr>
          <w:p w14:paraId="5F44B43A" w14:textId="65A6725B" w:rsidR="006054AA" w:rsidRDefault="001F7667">
            <w:pPr>
              <w:pStyle w:val="P68B1DB1-Normal11"/>
              <w:spacing w:after="120"/>
              <w:jc w:val="center"/>
              <w:rPr>
                <w:noProof/>
              </w:rPr>
            </w:pPr>
            <w:r>
              <w:rPr>
                <w:noProof/>
              </w:rPr>
              <w:t>25</w:t>
            </w:r>
          </w:p>
        </w:tc>
        <w:tc>
          <w:tcPr>
            <w:tcW w:w="992" w:type="dxa"/>
            <w:tcBorders>
              <w:top w:val="single" w:sz="4" w:space="0" w:color="auto"/>
            </w:tcBorders>
            <w:shd w:val="clear" w:color="auto" w:fill="C6EFCE"/>
            <w:noWrap/>
            <w:vAlign w:val="center"/>
          </w:tcPr>
          <w:p w14:paraId="69C2FFD7" w14:textId="3D7DF655" w:rsidR="006054AA" w:rsidRDefault="001F7667">
            <w:pPr>
              <w:pStyle w:val="P68B1DB1-Normal11"/>
              <w:spacing w:after="120"/>
              <w:jc w:val="center"/>
              <w:rPr>
                <w:noProof/>
              </w:rPr>
            </w:pPr>
            <w:r>
              <w:rPr>
                <w:noProof/>
              </w:rPr>
              <w:t>135</w:t>
            </w:r>
          </w:p>
        </w:tc>
        <w:tc>
          <w:tcPr>
            <w:tcW w:w="992" w:type="dxa"/>
            <w:tcBorders>
              <w:top w:val="single" w:sz="4" w:space="0" w:color="auto"/>
            </w:tcBorders>
            <w:shd w:val="clear" w:color="auto" w:fill="C6EFCE"/>
            <w:noWrap/>
            <w:vAlign w:val="center"/>
          </w:tcPr>
          <w:p w14:paraId="78DDD516" w14:textId="245FFC96" w:rsidR="006054AA" w:rsidRDefault="001F7667">
            <w:pPr>
              <w:pStyle w:val="P68B1DB1-Normal11"/>
              <w:spacing w:after="120"/>
              <w:jc w:val="center"/>
              <w:rPr>
                <w:noProof/>
              </w:rPr>
            </w:pPr>
            <w:r>
              <w:rPr>
                <w:noProof/>
              </w:rPr>
              <w:t>Т2 Г.</w:t>
            </w:r>
          </w:p>
        </w:tc>
        <w:tc>
          <w:tcPr>
            <w:tcW w:w="709" w:type="dxa"/>
            <w:tcBorders>
              <w:top w:val="single" w:sz="4" w:space="0" w:color="auto"/>
            </w:tcBorders>
            <w:shd w:val="clear" w:color="auto" w:fill="C6EFCE"/>
            <w:noWrap/>
            <w:vAlign w:val="center"/>
          </w:tcPr>
          <w:p w14:paraId="7144A21A" w14:textId="1169DAF1" w:rsidR="006054AA" w:rsidRDefault="001F7667">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710BBC0C" w14:textId="2500F7DD" w:rsidR="006054AA" w:rsidRDefault="001F7667">
            <w:pPr>
              <w:pStyle w:val="P68B1DB1-Normal11"/>
              <w:spacing w:after="120"/>
              <w:rPr>
                <w:noProof/>
              </w:rPr>
            </w:pPr>
            <w:r>
              <w:rPr>
                <w:noProof/>
              </w:rPr>
              <w:t>Въвеждане в експлоатация и придобиване на ЕО декларация за проверка на съответствието съгласно член 15 от Законодателен декрет № 57/2019 (т.е. Dichiarazione di verifica di conformità CE di cui all’art 15 del D.Lgs 57/2019) на най-малко 69 влака с нулеви емисии (електрически от водородни горивни клетки) и 30 вагона за универсална услуга в допълнение към подвижния състав, който вече е възложен в рамките на инвестиция 4.4.2 от Мисия 2, компонент 2.</w:t>
            </w:r>
          </w:p>
        </w:tc>
      </w:tr>
      <w:tr w:rsidR="006054AA" w14:paraId="2340FF93" w14:textId="77777777">
        <w:trPr>
          <w:trHeight w:val="309"/>
        </w:trPr>
        <w:tc>
          <w:tcPr>
            <w:tcW w:w="1185" w:type="dxa"/>
            <w:tcBorders>
              <w:top w:val="single" w:sz="4" w:space="0" w:color="auto"/>
            </w:tcBorders>
            <w:shd w:val="clear" w:color="auto" w:fill="C6EFCE"/>
            <w:noWrap/>
            <w:vAlign w:val="center"/>
          </w:tcPr>
          <w:p w14:paraId="0DB967C1" w14:textId="60D6D7CA" w:rsidR="006054AA" w:rsidRDefault="001F7667">
            <w:pPr>
              <w:pStyle w:val="P68B1DB1-Normal11"/>
              <w:spacing w:after="120"/>
              <w:jc w:val="center"/>
              <w:rPr>
                <w:noProof/>
              </w:rPr>
            </w:pPr>
            <w:r>
              <w:rPr>
                <w:noProof/>
              </w:rPr>
              <w:t>M7—32</w:t>
            </w:r>
          </w:p>
        </w:tc>
        <w:tc>
          <w:tcPr>
            <w:tcW w:w="1559" w:type="dxa"/>
            <w:tcBorders>
              <w:top w:val="single" w:sz="4" w:space="0" w:color="auto"/>
            </w:tcBorders>
            <w:shd w:val="clear" w:color="auto" w:fill="C6EFCE"/>
            <w:noWrap/>
            <w:vAlign w:val="center"/>
          </w:tcPr>
          <w:p w14:paraId="1CCE0546" w14:textId="208F3A63" w:rsidR="006054AA" w:rsidRDefault="001F7667">
            <w:pPr>
              <w:pStyle w:val="P68B1DB1-Normal38"/>
              <w:spacing w:after="120"/>
              <w:jc w:val="center"/>
              <w:rPr>
                <w:noProof/>
              </w:rPr>
            </w:pPr>
            <w:r>
              <w:rPr>
                <w:noProof/>
              </w:rPr>
              <w:t>Схема за отпускане на безвъзмездни средства за инвестиции 12 за развитие на международно и промишлено лидерство и лидерство в областта на научноизследователската и развойната дейност в електрическите автобуси</w:t>
            </w:r>
          </w:p>
        </w:tc>
        <w:tc>
          <w:tcPr>
            <w:tcW w:w="1134" w:type="dxa"/>
            <w:tcBorders>
              <w:top w:val="single" w:sz="4" w:space="0" w:color="auto"/>
            </w:tcBorders>
            <w:shd w:val="clear" w:color="auto" w:fill="C6EFCE"/>
            <w:noWrap/>
            <w:vAlign w:val="center"/>
          </w:tcPr>
          <w:p w14:paraId="26ACFDB6" w14:textId="31BFABDA" w:rsidR="006054AA" w:rsidRDefault="001F7667">
            <w:pPr>
              <w:pStyle w:val="P68B1DB1-Normal38"/>
              <w:spacing w:after="120"/>
              <w:jc w:val="center"/>
              <w:rPr>
                <w:noProof/>
              </w:rPr>
            </w:pPr>
            <w:r>
              <w:rPr>
                <w:noProof/>
              </w:rPr>
              <w:t>Ключов етап</w:t>
            </w:r>
          </w:p>
        </w:tc>
        <w:tc>
          <w:tcPr>
            <w:tcW w:w="1418" w:type="dxa"/>
            <w:tcBorders>
              <w:top w:val="single" w:sz="4" w:space="0" w:color="auto"/>
            </w:tcBorders>
            <w:shd w:val="clear" w:color="auto" w:fill="C6EFCE"/>
            <w:noWrap/>
            <w:vAlign w:val="center"/>
          </w:tcPr>
          <w:p w14:paraId="558DFA32" w14:textId="21309367" w:rsidR="006054AA" w:rsidRDefault="001F7667">
            <w:pPr>
              <w:pStyle w:val="P68B1DB1-Normal38"/>
              <w:spacing w:after="120"/>
              <w:jc w:val="center"/>
              <w:rPr>
                <w:noProof/>
              </w:rPr>
            </w:pPr>
            <w:r>
              <w:rPr>
                <w:noProof/>
              </w:rPr>
              <w:t>Споразумение за изпълнение</w:t>
            </w:r>
          </w:p>
        </w:tc>
        <w:tc>
          <w:tcPr>
            <w:tcW w:w="1984" w:type="dxa"/>
            <w:tcBorders>
              <w:top w:val="single" w:sz="4" w:space="0" w:color="auto"/>
            </w:tcBorders>
            <w:shd w:val="clear" w:color="auto" w:fill="C6EFCE"/>
            <w:noWrap/>
            <w:vAlign w:val="center"/>
          </w:tcPr>
          <w:p w14:paraId="42C42A27" w14:textId="5F939BA6" w:rsidR="006054AA" w:rsidRDefault="001F7667">
            <w:pPr>
              <w:pStyle w:val="P68B1DB1-Normal38"/>
              <w:spacing w:after="120"/>
              <w:jc w:val="center"/>
              <w:rPr>
                <w:noProof/>
              </w:rPr>
            </w:pPr>
            <w:r>
              <w:rPr>
                <w:noProof/>
              </w:rPr>
              <w:t>Влизане в сила на споразумението за прилагане</w:t>
            </w:r>
          </w:p>
        </w:tc>
        <w:tc>
          <w:tcPr>
            <w:tcW w:w="1134" w:type="dxa"/>
            <w:tcBorders>
              <w:top w:val="single" w:sz="4" w:space="0" w:color="auto"/>
            </w:tcBorders>
            <w:shd w:val="clear" w:color="auto" w:fill="C6EFCE"/>
            <w:noWrap/>
            <w:vAlign w:val="center"/>
          </w:tcPr>
          <w:p w14:paraId="7A91F9C6" w14:textId="3CC72937" w:rsidR="006054AA" w:rsidRDefault="001F7667">
            <w:pPr>
              <w:pStyle w:val="P68B1DB1-Normal38"/>
              <w:spacing w:after="120"/>
              <w:jc w:val="center"/>
              <w:rPr>
                <w:noProof/>
              </w:rPr>
            </w:pPr>
            <w:r>
              <w:rPr>
                <w:noProof/>
              </w:rPr>
              <w:t xml:space="preserve"> </w:t>
            </w:r>
          </w:p>
        </w:tc>
        <w:tc>
          <w:tcPr>
            <w:tcW w:w="993" w:type="dxa"/>
            <w:tcBorders>
              <w:top w:val="single" w:sz="4" w:space="0" w:color="auto"/>
            </w:tcBorders>
            <w:shd w:val="clear" w:color="auto" w:fill="C6EFCE"/>
            <w:noWrap/>
            <w:vAlign w:val="center"/>
          </w:tcPr>
          <w:p w14:paraId="4D281871" w14:textId="77777777" w:rsidR="006054AA" w:rsidRDefault="006054AA">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63E761A" w14:textId="3F84EAC3" w:rsidR="006054AA" w:rsidRDefault="001F7667">
            <w:pPr>
              <w:pStyle w:val="P68B1DB1-Normal38"/>
              <w:spacing w:after="120"/>
              <w:jc w:val="center"/>
              <w:rPr>
                <w:noProof/>
              </w:rPr>
            </w:pPr>
            <w:r>
              <w:rPr>
                <w:noProof/>
              </w:rPr>
              <w:t xml:space="preserve"> </w:t>
            </w:r>
          </w:p>
        </w:tc>
        <w:tc>
          <w:tcPr>
            <w:tcW w:w="992" w:type="dxa"/>
            <w:tcBorders>
              <w:top w:val="single" w:sz="4" w:space="0" w:color="auto"/>
            </w:tcBorders>
            <w:shd w:val="clear" w:color="auto" w:fill="C6EFCE"/>
            <w:noWrap/>
            <w:vAlign w:val="center"/>
          </w:tcPr>
          <w:p w14:paraId="75458F1F" w14:textId="692F1520" w:rsidR="006054AA" w:rsidRDefault="001F7667">
            <w:pPr>
              <w:pStyle w:val="P68B1DB1-Normal38"/>
              <w:spacing w:after="120"/>
              <w:jc w:val="center"/>
              <w:rPr>
                <w:noProof/>
              </w:rPr>
            </w:pPr>
            <w:r>
              <w:rPr>
                <w:noProof/>
              </w:rPr>
              <w:t>Т1 Г.</w:t>
            </w:r>
          </w:p>
        </w:tc>
        <w:tc>
          <w:tcPr>
            <w:tcW w:w="709" w:type="dxa"/>
            <w:tcBorders>
              <w:top w:val="single" w:sz="4" w:space="0" w:color="auto"/>
            </w:tcBorders>
            <w:shd w:val="clear" w:color="auto" w:fill="C6EFCE"/>
            <w:noWrap/>
            <w:vAlign w:val="center"/>
          </w:tcPr>
          <w:p w14:paraId="089083A3" w14:textId="4E4A681B" w:rsidR="006054AA" w:rsidRDefault="001F7667">
            <w:pPr>
              <w:pStyle w:val="P68B1DB1-Normal38"/>
              <w:spacing w:after="120"/>
              <w:jc w:val="center"/>
              <w:rPr>
                <w:noProof/>
              </w:rPr>
            </w:pPr>
            <w:r>
              <w:rPr>
                <w:noProof/>
              </w:rPr>
              <w:t>2024</w:t>
            </w:r>
          </w:p>
        </w:tc>
        <w:tc>
          <w:tcPr>
            <w:tcW w:w="3261" w:type="dxa"/>
            <w:tcBorders>
              <w:top w:val="single" w:sz="4" w:space="0" w:color="auto"/>
            </w:tcBorders>
            <w:shd w:val="clear" w:color="auto" w:fill="C6EFCE"/>
            <w:noWrap/>
            <w:vAlign w:val="center"/>
          </w:tcPr>
          <w:p w14:paraId="1788BAD6" w14:textId="77777777" w:rsidR="006054AA" w:rsidRDefault="001F7667">
            <w:pPr>
              <w:pStyle w:val="P68B1DB1-Normal38"/>
              <w:jc w:val="both"/>
              <w:rPr>
                <w:noProof/>
              </w:rPr>
            </w:pPr>
            <w:r>
              <w:rPr>
                <w:noProof/>
              </w:rPr>
              <w:t>Влизане в сила на споразумението за изпълнение.</w:t>
            </w:r>
          </w:p>
          <w:p w14:paraId="2B16C2EE" w14:textId="77777777" w:rsidR="006054AA" w:rsidRDefault="006054AA">
            <w:pPr>
              <w:spacing w:after="120"/>
              <w:rPr>
                <w:rFonts w:ascii="Arial Narrow" w:hAnsi="Arial Narrow"/>
                <w:noProof/>
                <w:color w:val="006100"/>
                <w:sz w:val="20"/>
              </w:rPr>
            </w:pPr>
          </w:p>
        </w:tc>
      </w:tr>
      <w:tr w:rsidR="006054AA" w14:paraId="47126E7F" w14:textId="77777777">
        <w:trPr>
          <w:trHeight w:val="309"/>
        </w:trPr>
        <w:tc>
          <w:tcPr>
            <w:tcW w:w="1185" w:type="dxa"/>
            <w:tcBorders>
              <w:top w:val="single" w:sz="4" w:space="0" w:color="auto"/>
            </w:tcBorders>
            <w:shd w:val="clear" w:color="auto" w:fill="C6EFCE"/>
            <w:noWrap/>
            <w:vAlign w:val="center"/>
          </w:tcPr>
          <w:p w14:paraId="0DBBDBD3" w14:textId="79DA2E7D" w:rsidR="006054AA" w:rsidRDefault="001F7667">
            <w:pPr>
              <w:pStyle w:val="P68B1DB1-Normal11"/>
              <w:spacing w:after="120"/>
              <w:jc w:val="center"/>
              <w:rPr>
                <w:noProof/>
              </w:rPr>
            </w:pPr>
            <w:r>
              <w:rPr>
                <w:noProof/>
              </w:rPr>
              <w:t>M7—33</w:t>
            </w:r>
          </w:p>
        </w:tc>
        <w:tc>
          <w:tcPr>
            <w:tcW w:w="1559" w:type="dxa"/>
            <w:tcBorders>
              <w:top w:val="single" w:sz="4" w:space="0" w:color="auto"/>
            </w:tcBorders>
            <w:shd w:val="clear" w:color="auto" w:fill="C6EFCE"/>
            <w:noWrap/>
            <w:vAlign w:val="center"/>
          </w:tcPr>
          <w:p w14:paraId="7AECD762" w14:textId="6E9D4E36" w:rsidR="006054AA" w:rsidRDefault="001F7667">
            <w:pPr>
              <w:pStyle w:val="P68B1DB1-Normal38"/>
              <w:spacing w:after="120"/>
              <w:jc w:val="center"/>
              <w:rPr>
                <w:noProof/>
              </w:rPr>
            </w:pPr>
            <w:r>
              <w:rPr>
                <w:noProof/>
              </w:rPr>
              <w:t>Схема за отпускане на безвъзмездни средства за инвестиции 12 за развитие на международно и промишлено лидерство и лидерство в областта на научноизследователската и развойната дейност в електрическите автобуси</w:t>
            </w:r>
          </w:p>
        </w:tc>
        <w:tc>
          <w:tcPr>
            <w:tcW w:w="1134" w:type="dxa"/>
            <w:tcBorders>
              <w:top w:val="single" w:sz="4" w:space="0" w:color="auto"/>
            </w:tcBorders>
            <w:shd w:val="clear" w:color="auto" w:fill="C6EFCE"/>
            <w:noWrap/>
            <w:vAlign w:val="center"/>
          </w:tcPr>
          <w:p w14:paraId="6B0FD178" w14:textId="23CE58EB" w:rsidR="006054AA" w:rsidRDefault="001F7667">
            <w:pPr>
              <w:pStyle w:val="P68B1DB1-Normal11"/>
              <w:spacing w:after="120"/>
              <w:jc w:val="center"/>
              <w:rPr>
                <w:noProof/>
              </w:rPr>
            </w:pPr>
            <w:r>
              <w:rPr>
                <w:noProof/>
              </w:rPr>
              <w:t>Целеви</w:t>
            </w:r>
          </w:p>
        </w:tc>
        <w:tc>
          <w:tcPr>
            <w:tcW w:w="1418" w:type="dxa"/>
            <w:tcBorders>
              <w:top w:val="single" w:sz="4" w:space="0" w:color="auto"/>
            </w:tcBorders>
            <w:shd w:val="clear" w:color="auto" w:fill="C6EFCE"/>
            <w:noWrap/>
            <w:vAlign w:val="center"/>
          </w:tcPr>
          <w:p w14:paraId="58E3E6FF" w14:textId="3E35E70B" w:rsidR="006054AA" w:rsidRDefault="001F7667">
            <w:pPr>
              <w:pStyle w:val="P68B1DB1-Normal38"/>
              <w:spacing w:after="120"/>
              <w:jc w:val="center"/>
              <w:rPr>
                <w:noProof/>
              </w:rPr>
            </w:pPr>
            <w:r>
              <w:rPr>
                <w:noProof/>
              </w:rPr>
              <w:t>Правни споразумения, подписани с крайните бенефициери</w:t>
            </w:r>
          </w:p>
        </w:tc>
        <w:tc>
          <w:tcPr>
            <w:tcW w:w="1984" w:type="dxa"/>
            <w:tcBorders>
              <w:top w:val="single" w:sz="4" w:space="0" w:color="auto"/>
            </w:tcBorders>
            <w:shd w:val="clear" w:color="auto" w:fill="C6EFCE"/>
            <w:noWrap/>
            <w:vAlign w:val="center"/>
          </w:tcPr>
          <w:p w14:paraId="3A21AEF6" w14:textId="34ED6943" w:rsidR="006054AA" w:rsidRDefault="001F7667">
            <w:pPr>
              <w:pStyle w:val="P68B1DB1-Normal38"/>
              <w:spacing w:after="120"/>
              <w:jc w:val="center"/>
              <w:rPr>
                <w:noProof/>
              </w:rPr>
            </w:pPr>
            <w:r>
              <w:rPr>
                <w:noProof/>
              </w:rPr>
              <w:t xml:space="preserve"> </w:t>
            </w:r>
          </w:p>
        </w:tc>
        <w:tc>
          <w:tcPr>
            <w:tcW w:w="1134" w:type="dxa"/>
            <w:tcBorders>
              <w:top w:val="single" w:sz="4" w:space="0" w:color="auto"/>
            </w:tcBorders>
            <w:shd w:val="clear" w:color="auto" w:fill="C6EFCE"/>
            <w:noWrap/>
            <w:vAlign w:val="center"/>
          </w:tcPr>
          <w:p w14:paraId="3941E38B" w14:textId="12EC0822" w:rsidR="006054AA" w:rsidRDefault="001F7667">
            <w:pPr>
              <w:pStyle w:val="P68B1DB1-Normal38"/>
              <w:spacing w:after="120"/>
              <w:jc w:val="center"/>
              <w:rPr>
                <w:noProof/>
              </w:rPr>
            </w:pPr>
            <w:r>
              <w:rPr>
                <w:noProof/>
              </w:rPr>
              <w:t>Процент (%)</w:t>
            </w:r>
          </w:p>
        </w:tc>
        <w:tc>
          <w:tcPr>
            <w:tcW w:w="993" w:type="dxa"/>
            <w:tcBorders>
              <w:top w:val="single" w:sz="4" w:space="0" w:color="auto"/>
            </w:tcBorders>
            <w:shd w:val="clear" w:color="auto" w:fill="C6EFCE"/>
            <w:noWrap/>
            <w:vAlign w:val="center"/>
          </w:tcPr>
          <w:p w14:paraId="2FC30C9C" w14:textId="0400BD33" w:rsidR="006054AA" w:rsidRDefault="001F7667">
            <w:pPr>
              <w:pStyle w:val="P68B1DB1-Normal38"/>
              <w:spacing w:after="120"/>
              <w:jc w:val="center"/>
              <w:rPr>
                <w:noProof/>
              </w:rPr>
            </w:pPr>
            <w:r>
              <w:rPr>
                <w:noProof/>
              </w:rPr>
              <w:t>0 %</w:t>
            </w:r>
          </w:p>
        </w:tc>
        <w:tc>
          <w:tcPr>
            <w:tcW w:w="992" w:type="dxa"/>
            <w:tcBorders>
              <w:top w:val="single" w:sz="4" w:space="0" w:color="auto"/>
            </w:tcBorders>
            <w:shd w:val="clear" w:color="auto" w:fill="C6EFCE"/>
            <w:noWrap/>
            <w:vAlign w:val="center"/>
          </w:tcPr>
          <w:p w14:paraId="68C79097" w14:textId="2B66ED86" w:rsidR="006054AA" w:rsidRDefault="001F7667">
            <w:pPr>
              <w:pStyle w:val="P68B1DB1-Normal38"/>
              <w:spacing w:after="120"/>
              <w:jc w:val="center"/>
              <w:rPr>
                <w:noProof/>
              </w:rPr>
            </w:pPr>
            <w:r>
              <w:rPr>
                <w:noProof/>
              </w:rPr>
              <w:t>100 %</w:t>
            </w:r>
          </w:p>
        </w:tc>
        <w:tc>
          <w:tcPr>
            <w:tcW w:w="992" w:type="dxa"/>
            <w:tcBorders>
              <w:top w:val="single" w:sz="4" w:space="0" w:color="auto"/>
            </w:tcBorders>
            <w:shd w:val="clear" w:color="auto" w:fill="C6EFCE"/>
            <w:noWrap/>
            <w:vAlign w:val="center"/>
          </w:tcPr>
          <w:p w14:paraId="4B02DB7A" w14:textId="26B2F6A9" w:rsidR="006054AA" w:rsidRDefault="001F7667">
            <w:pPr>
              <w:pStyle w:val="P68B1DB1-Normal38"/>
              <w:spacing w:after="120"/>
              <w:jc w:val="center"/>
              <w:rPr>
                <w:noProof/>
              </w:rPr>
            </w:pPr>
            <w:r>
              <w:rPr>
                <w:noProof/>
              </w:rPr>
              <w:t>Т1 Г.</w:t>
            </w:r>
          </w:p>
        </w:tc>
        <w:tc>
          <w:tcPr>
            <w:tcW w:w="709" w:type="dxa"/>
            <w:tcBorders>
              <w:top w:val="single" w:sz="4" w:space="0" w:color="auto"/>
            </w:tcBorders>
            <w:shd w:val="clear" w:color="auto" w:fill="C6EFCE"/>
            <w:noWrap/>
            <w:vAlign w:val="center"/>
          </w:tcPr>
          <w:p w14:paraId="47AAC35E" w14:textId="3AAD8816" w:rsidR="006054AA" w:rsidRDefault="001F7667">
            <w:pPr>
              <w:pStyle w:val="P68B1DB1-Normal38"/>
              <w:spacing w:after="120"/>
              <w:jc w:val="center"/>
              <w:rPr>
                <w:noProof/>
              </w:rPr>
            </w:pPr>
            <w:r>
              <w:rPr>
                <w:noProof/>
              </w:rPr>
              <w:t>2026</w:t>
            </w:r>
          </w:p>
        </w:tc>
        <w:tc>
          <w:tcPr>
            <w:tcW w:w="3261" w:type="dxa"/>
            <w:tcBorders>
              <w:top w:val="single" w:sz="4" w:space="0" w:color="auto"/>
            </w:tcBorders>
            <w:shd w:val="clear" w:color="auto" w:fill="C6EFCE"/>
            <w:noWrap/>
            <w:vAlign w:val="center"/>
          </w:tcPr>
          <w:p w14:paraId="7D15C423" w14:textId="2E4A93E7" w:rsidR="006054AA" w:rsidRDefault="001F7667">
            <w:pPr>
              <w:pStyle w:val="P68B1DB1-Normal38"/>
              <w:spacing w:after="120"/>
              <w:rPr>
                <w:noProof/>
              </w:rPr>
            </w:pPr>
            <w:r>
              <w:rPr>
                <w:noProof/>
              </w:rPr>
              <w:t>Invitalia S.p.A. е сключило правни споразумения за отпускане на безвъзмездни средства с крайни бенефициери за сума, необходима за използване на 100 % от инвестицията по МВУ в схемата (като се вземат предвид таксите за управление). Invitalia S.p.A. изготвя доклад, в който подробно се описва процентът на това финансиране, което допринася за постигането на целите в областта на климата, като използва методиката в приложение VI към Регламента за МВУ.</w:t>
            </w:r>
          </w:p>
        </w:tc>
      </w:tr>
      <w:tr w:rsidR="006054AA" w14:paraId="3D6735A7" w14:textId="77777777">
        <w:trPr>
          <w:trHeight w:val="309"/>
        </w:trPr>
        <w:tc>
          <w:tcPr>
            <w:tcW w:w="1185" w:type="dxa"/>
            <w:tcBorders>
              <w:top w:val="single" w:sz="4" w:space="0" w:color="auto"/>
            </w:tcBorders>
            <w:shd w:val="clear" w:color="auto" w:fill="C6EFCE"/>
            <w:noWrap/>
            <w:vAlign w:val="center"/>
          </w:tcPr>
          <w:p w14:paraId="28BDD1CC" w14:textId="687D0FE7" w:rsidR="006054AA" w:rsidRDefault="001F7667">
            <w:pPr>
              <w:pStyle w:val="P68B1DB1-Normal11"/>
              <w:spacing w:after="120"/>
              <w:jc w:val="center"/>
              <w:rPr>
                <w:noProof/>
              </w:rPr>
            </w:pPr>
            <w:r>
              <w:rPr>
                <w:noProof/>
              </w:rPr>
              <w:t>M7—34</w:t>
            </w:r>
          </w:p>
        </w:tc>
        <w:tc>
          <w:tcPr>
            <w:tcW w:w="1559" w:type="dxa"/>
            <w:tcBorders>
              <w:top w:val="single" w:sz="4" w:space="0" w:color="auto"/>
            </w:tcBorders>
            <w:shd w:val="clear" w:color="auto" w:fill="C6EFCE"/>
            <w:noWrap/>
            <w:vAlign w:val="center"/>
          </w:tcPr>
          <w:p w14:paraId="15264E89" w14:textId="115AC5E4" w:rsidR="006054AA" w:rsidRDefault="001F7667">
            <w:pPr>
              <w:pStyle w:val="P68B1DB1-Normal38"/>
              <w:spacing w:after="120"/>
              <w:jc w:val="center"/>
              <w:rPr>
                <w:noProof/>
              </w:rPr>
            </w:pPr>
            <w:r>
              <w:rPr>
                <w:noProof/>
              </w:rPr>
              <w:t>Схема за отпускане на безвъзмездни средства за инвестиции 12 за развитие на международно и промишлено лидерство и лидерство в областта на научноизследователската и развойната дейност в електрическите автобуси</w:t>
            </w:r>
          </w:p>
        </w:tc>
        <w:tc>
          <w:tcPr>
            <w:tcW w:w="1134" w:type="dxa"/>
            <w:tcBorders>
              <w:top w:val="single" w:sz="4" w:space="0" w:color="auto"/>
            </w:tcBorders>
            <w:shd w:val="clear" w:color="auto" w:fill="C6EFCE"/>
            <w:noWrap/>
            <w:vAlign w:val="center"/>
          </w:tcPr>
          <w:p w14:paraId="799FA5EC" w14:textId="62667380" w:rsidR="006054AA" w:rsidRDefault="001F7667">
            <w:pPr>
              <w:pStyle w:val="P68B1DB1-Normal38"/>
              <w:spacing w:after="120"/>
              <w:jc w:val="center"/>
              <w:rPr>
                <w:noProof/>
              </w:rPr>
            </w:pPr>
            <w:r>
              <w:rPr>
                <w:noProof/>
              </w:rPr>
              <w:t>Ключов етап</w:t>
            </w:r>
          </w:p>
        </w:tc>
        <w:tc>
          <w:tcPr>
            <w:tcW w:w="1418" w:type="dxa"/>
            <w:tcBorders>
              <w:top w:val="single" w:sz="4" w:space="0" w:color="auto"/>
            </w:tcBorders>
            <w:shd w:val="clear" w:color="auto" w:fill="C6EFCE"/>
            <w:noWrap/>
            <w:vAlign w:val="center"/>
          </w:tcPr>
          <w:p w14:paraId="7CAD4BDC" w14:textId="0F69E4C6" w:rsidR="006054AA" w:rsidRDefault="001F7667">
            <w:pPr>
              <w:pStyle w:val="P68B1DB1-Normal38"/>
              <w:spacing w:after="120"/>
              <w:jc w:val="center"/>
              <w:rPr>
                <w:noProof/>
              </w:rPr>
            </w:pPr>
            <w:r>
              <w:rPr>
                <w:noProof/>
              </w:rPr>
              <w:t>Министерството е приключило инвестицията</w:t>
            </w:r>
          </w:p>
        </w:tc>
        <w:tc>
          <w:tcPr>
            <w:tcW w:w="1984" w:type="dxa"/>
            <w:tcBorders>
              <w:top w:val="single" w:sz="4" w:space="0" w:color="auto"/>
            </w:tcBorders>
            <w:shd w:val="clear" w:color="auto" w:fill="C6EFCE"/>
            <w:noWrap/>
            <w:vAlign w:val="center"/>
          </w:tcPr>
          <w:p w14:paraId="1F444450" w14:textId="6C7A294A" w:rsidR="006054AA" w:rsidRDefault="001F7667">
            <w:pPr>
              <w:pStyle w:val="P68B1DB1-Normal38"/>
              <w:spacing w:after="120"/>
              <w:jc w:val="center"/>
              <w:rPr>
                <w:noProof/>
              </w:rPr>
            </w:pPr>
            <w:r>
              <w:rPr>
                <w:noProof/>
              </w:rPr>
              <w:t>Удостоверение за прехвърляне</w:t>
            </w:r>
          </w:p>
        </w:tc>
        <w:tc>
          <w:tcPr>
            <w:tcW w:w="1134" w:type="dxa"/>
            <w:tcBorders>
              <w:top w:val="single" w:sz="4" w:space="0" w:color="auto"/>
            </w:tcBorders>
            <w:shd w:val="clear" w:color="auto" w:fill="C6EFCE"/>
            <w:noWrap/>
            <w:vAlign w:val="center"/>
          </w:tcPr>
          <w:p w14:paraId="18FD819D" w14:textId="77777777" w:rsidR="006054AA" w:rsidRDefault="006054AA">
            <w:pPr>
              <w:spacing w:after="120"/>
              <w:jc w:val="center"/>
              <w:rPr>
                <w:rFonts w:ascii="Arial Narrow" w:hAnsi="Arial Narrow"/>
                <w:noProof/>
                <w:color w:val="006100"/>
                <w:sz w:val="20"/>
              </w:rPr>
            </w:pPr>
          </w:p>
        </w:tc>
        <w:tc>
          <w:tcPr>
            <w:tcW w:w="993" w:type="dxa"/>
            <w:tcBorders>
              <w:top w:val="single" w:sz="4" w:space="0" w:color="auto"/>
            </w:tcBorders>
            <w:shd w:val="clear" w:color="auto" w:fill="C6EFCE"/>
            <w:noWrap/>
            <w:vAlign w:val="center"/>
          </w:tcPr>
          <w:p w14:paraId="506221A0" w14:textId="77777777" w:rsidR="006054AA" w:rsidRDefault="006054AA">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5FB0DCCD" w14:textId="77777777" w:rsidR="006054AA" w:rsidRDefault="006054AA">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F1390F9" w14:textId="258EDFEA" w:rsidR="006054AA" w:rsidRDefault="001F7667">
            <w:pPr>
              <w:pStyle w:val="P68B1DB1-Normal11"/>
              <w:spacing w:after="120"/>
              <w:jc w:val="center"/>
              <w:rPr>
                <w:noProof/>
              </w:rPr>
            </w:pPr>
            <w:r>
              <w:rPr>
                <w:noProof/>
              </w:rPr>
              <w:t>Т2 Г.</w:t>
            </w:r>
          </w:p>
        </w:tc>
        <w:tc>
          <w:tcPr>
            <w:tcW w:w="709" w:type="dxa"/>
            <w:tcBorders>
              <w:top w:val="single" w:sz="4" w:space="0" w:color="auto"/>
            </w:tcBorders>
            <w:shd w:val="clear" w:color="auto" w:fill="C6EFCE"/>
            <w:noWrap/>
            <w:vAlign w:val="center"/>
          </w:tcPr>
          <w:p w14:paraId="4CAD5488" w14:textId="7530DA5D" w:rsidR="006054AA" w:rsidRDefault="001F7667">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3090C876" w14:textId="2E4EE122" w:rsidR="006054AA" w:rsidRDefault="001F7667">
            <w:pPr>
              <w:pStyle w:val="P68B1DB1-Normal11"/>
              <w:spacing w:after="120"/>
              <w:rPr>
                <w:noProof/>
              </w:rPr>
            </w:pPr>
            <w:r>
              <w:rPr>
                <w:noProof/>
              </w:rPr>
              <w:t>Италия прехвърля 100 000 000 EUR на Invitalia S.p.A. за схемата.</w:t>
            </w:r>
          </w:p>
        </w:tc>
      </w:tr>
    </w:tbl>
    <w:p w14:paraId="4CE926A9" w14:textId="77777777" w:rsidR="006054AA" w:rsidRDefault="006054AA">
      <w:pPr>
        <w:tabs>
          <w:tab w:val="left" w:pos="4252"/>
        </w:tabs>
        <w:spacing w:after="120"/>
        <w:rPr>
          <w:i/>
          <w:noProof/>
        </w:rPr>
        <w:sectPr w:rsidR="006054AA" w:rsidSect="001354D1">
          <w:headerReference w:type="even" r:id="rId393"/>
          <w:headerReference w:type="default" r:id="rId394"/>
          <w:footerReference w:type="even" r:id="rId395"/>
          <w:footerReference w:type="default" r:id="rId396"/>
          <w:headerReference w:type="first" r:id="rId397"/>
          <w:footerReference w:type="first" r:id="rId398"/>
          <w:pgSz w:w="16838" w:h="11906" w:orient="landscape" w:code="9"/>
          <w:pgMar w:top="1134" w:right="1134" w:bottom="1134" w:left="1134" w:header="567" w:footer="567" w:gutter="0"/>
          <w:cols w:space="720"/>
          <w:docGrid w:linePitch="360"/>
        </w:sectPr>
      </w:pPr>
    </w:p>
    <w:p w14:paraId="35F41414" w14:textId="3F467AFB" w:rsidR="006054AA" w:rsidRDefault="00C11C11">
      <w:pPr>
        <w:pStyle w:val="Heading3"/>
        <w:numPr>
          <w:ilvl w:val="0"/>
          <w:numId w:val="0"/>
        </w:numPr>
        <w:spacing w:before="0"/>
        <w:ind w:left="850" w:hanging="850"/>
        <w:rPr>
          <w:rFonts w:ascii="Segoe UI" w:hAnsi="Segoe UI" w:cs="Segoe UI"/>
          <w:b/>
          <w:i w:val="0"/>
          <w:noProof/>
          <w:sz w:val="18"/>
          <w:u w:val="single"/>
        </w:rPr>
      </w:pPr>
      <w:r>
        <w:rPr>
          <w:rStyle w:val="normaltextrun"/>
          <w:b/>
          <w:noProof/>
          <w:u w:val="single"/>
          <w:lang w:val="bg-BG"/>
        </w:rPr>
        <w:t>Р</w:t>
      </w:r>
      <w:r w:rsidR="001F7667">
        <w:rPr>
          <w:rStyle w:val="normaltextrun"/>
          <w:b/>
          <w:noProof/>
          <w:u w:val="single"/>
        </w:rPr>
        <w:t xml:space="preserve">3 </w:t>
      </w:r>
      <w:r w:rsidR="001F7667">
        <w:rPr>
          <w:noProof/>
        </w:rPr>
        <w:tab/>
      </w:r>
      <w:r w:rsidR="001F7667">
        <w:rPr>
          <w:rStyle w:val="normaltextrun"/>
          <w:b/>
          <w:noProof/>
          <w:u w:val="single"/>
        </w:rPr>
        <w:t xml:space="preserve">Описание на реформите и инвестициите за заема </w:t>
      </w:r>
    </w:p>
    <w:p w14:paraId="4698A6B2" w14:textId="01DF445C" w:rsidR="006054AA" w:rsidRDefault="001F7667">
      <w:pPr>
        <w:pStyle w:val="P68B1DB1-Heading437"/>
        <w:numPr>
          <w:ilvl w:val="3"/>
          <w:numId w:val="0"/>
        </w:numPr>
        <w:spacing w:before="0"/>
        <w:rPr>
          <w:i/>
          <w:noProof/>
        </w:rPr>
      </w:pPr>
      <w:bookmarkStart w:id="6" w:name="_Hlk140650645"/>
      <w:r>
        <w:rPr>
          <w:noProof/>
        </w:rPr>
        <w:t>Инвестиция 13. Адриатическа линия, фаза 1 (компресорна станция Sulmona и газопровод Sestino-Minerbio)</w:t>
      </w:r>
    </w:p>
    <w:p w14:paraId="470BDC62" w14:textId="77777777" w:rsidR="006054AA" w:rsidRDefault="001F7667">
      <w:pPr>
        <w:pStyle w:val="Text1"/>
        <w:spacing w:before="0"/>
        <w:ind w:left="0"/>
        <w:rPr>
          <w:noProof/>
        </w:rPr>
      </w:pPr>
      <w:r>
        <w:rPr>
          <w:noProof/>
        </w:rPr>
        <w:t xml:space="preserve">Целта на тази инвестиция е да се подобрят енергийната инфраструктура и съоръжения, за да се посрещнат непосредствените нужди от сигурност на доставките на газ, включително втечнен природен газ, по-специално за да се даде възможност за диверсификация на доставките в интерес на Съюза като цяло. </w:t>
      </w:r>
    </w:p>
    <w:p w14:paraId="55B54CBD" w14:textId="6DF97EB7" w:rsidR="006054AA" w:rsidRDefault="001F7667">
      <w:pPr>
        <w:pStyle w:val="Text1"/>
        <w:spacing w:before="0"/>
        <w:ind w:left="0"/>
        <w:rPr>
          <w:noProof/>
        </w:rPr>
      </w:pPr>
      <w:r>
        <w:rPr>
          <w:noProof/>
        </w:rPr>
        <w:t>Целта на инвестицията е да се подкрепи изграждането на компресорна станция в Сулмона и газопровод, свързващ възлите на Sestino и Minerbio, като част от Адриатическата линия. Очаква се новоизградената инфраструктура да увеличи капацитета за пренос на газ с 14 млн. куб. м. на ден.</w:t>
      </w:r>
    </w:p>
    <w:p w14:paraId="1D95B459" w14:textId="466B95C4" w:rsidR="006054AA" w:rsidRDefault="001F7667">
      <w:pPr>
        <w:pStyle w:val="Text1"/>
        <w:spacing w:before="0"/>
        <w:ind w:left="0"/>
        <w:rPr>
          <w:noProof/>
        </w:rPr>
      </w:pPr>
      <w:r>
        <w:rPr>
          <w:noProof/>
        </w:rPr>
        <w:t xml:space="preserve">Италия определя статуса на специфичните за държавата цели за опазване (SSCO) и, ако е необходимо, преразглежда съответно оценките на въздействието върху околната среда (Valutazione Incidenza Ambientale) до започването на работата в съответните зони. </w:t>
      </w:r>
    </w:p>
    <w:p w14:paraId="47FE6645" w14:textId="39AAD8AC" w:rsidR="006054AA" w:rsidRDefault="001F7667">
      <w:pPr>
        <w:pStyle w:val="Text1"/>
        <w:spacing w:before="0"/>
        <w:ind w:left="0"/>
        <w:rPr>
          <w:noProof/>
        </w:rPr>
      </w:pPr>
      <w:r>
        <w:rPr>
          <w:noProof/>
        </w:rPr>
        <w:t>Компресорната станция Sulmona и газопроводът Sestino-Minerbio трябва да бъдат изградени до 31 август 2026 г.</w:t>
      </w:r>
    </w:p>
    <w:p w14:paraId="7CDC22D8" w14:textId="5D59A173" w:rsidR="006054AA" w:rsidRDefault="001F7667">
      <w:pPr>
        <w:pStyle w:val="P68B1DB1-Heading437"/>
        <w:numPr>
          <w:ilvl w:val="3"/>
          <w:numId w:val="0"/>
        </w:numPr>
        <w:ind w:left="850" w:hanging="850"/>
        <w:rPr>
          <w:noProof/>
        </w:rPr>
      </w:pPr>
      <w:r>
        <w:rPr>
          <w:noProof/>
        </w:rPr>
        <w:t>Инвестиция 14. Трансгранична инфраструктура за износ на газ</w:t>
      </w:r>
    </w:p>
    <w:p w14:paraId="6C1A1146" w14:textId="77777777" w:rsidR="006054AA" w:rsidRDefault="001F7667">
      <w:pPr>
        <w:pStyle w:val="Text1"/>
        <w:spacing w:before="0"/>
        <w:ind w:left="0"/>
        <w:rPr>
          <w:noProof/>
        </w:rPr>
      </w:pPr>
      <w:r>
        <w:rPr>
          <w:noProof/>
        </w:rPr>
        <w:t xml:space="preserve">Целта на тази инвестиция е да се подобрят енергийната инфраструктура и съоръжения, за да се посрещнат непосредствените нужди от сигурност на доставките на газ, включително втечнен природен газ, по-специално за да се даде възможност за диверсификация на доставките в интерес на Съюза като цяло. </w:t>
      </w:r>
    </w:p>
    <w:p w14:paraId="4735CFAB" w14:textId="664AD1D2" w:rsidR="006054AA" w:rsidRDefault="001F7667">
      <w:pPr>
        <w:pStyle w:val="Text1"/>
        <w:spacing w:before="0"/>
        <w:ind w:left="0"/>
        <w:rPr>
          <w:noProof/>
        </w:rPr>
      </w:pPr>
      <w:r>
        <w:rPr>
          <w:noProof/>
        </w:rPr>
        <w:t xml:space="preserve">Тази инвестиция се състои в модернизиране на съществуващата газова инфраструктура, която дава възможност за износ на природен газ през изходната точка в Тарвио. По-специално инвестицията се състои в изграждането на нова електрическа компресия в компресорната станция Poggio Renatico. Очаква се новоизградената инфраструктура да увеличи капацитета за износ на газ чрез Exit Point в Тарвио с 8 млрд. куб. м. годишно. </w:t>
      </w:r>
    </w:p>
    <w:p w14:paraId="2D560531" w14:textId="20478880" w:rsidR="006054AA" w:rsidRDefault="001F7667">
      <w:pPr>
        <w:pStyle w:val="Text1"/>
        <w:spacing w:before="0"/>
        <w:ind w:left="0"/>
        <w:rPr>
          <w:noProof/>
        </w:rPr>
      </w:pPr>
      <w:r>
        <w:rPr>
          <w:noProof/>
        </w:rPr>
        <w:t xml:space="preserve">Компресорът в компресорната станция Poggio Renatico трябва да бъде изграден до 31 август 2026 г. </w:t>
      </w:r>
    </w:p>
    <w:p w14:paraId="13A404AF" w14:textId="46C0F8C1" w:rsidR="006054AA" w:rsidRDefault="001F7667">
      <w:pPr>
        <w:pStyle w:val="P68B1DB1-Heading437"/>
        <w:numPr>
          <w:ilvl w:val="3"/>
          <w:numId w:val="0"/>
        </w:numPr>
        <w:ind w:left="850" w:hanging="850"/>
        <w:rPr>
          <w:noProof/>
        </w:rPr>
      </w:pPr>
      <w:r>
        <w:rPr>
          <w:noProof/>
        </w:rPr>
        <w:t xml:space="preserve">Инвестиция 15. Трансилсионе 5.0 </w:t>
      </w:r>
    </w:p>
    <w:bookmarkEnd w:id="6"/>
    <w:p w14:paraId="19129D56" w14:textId="3E5202C4" w:rsidR="006054AA" w:rsidRDefault="001F7667">
      <w:pPr>
        <w:pStyle w:val="NormalWeb"/>
        <w:spacing w:before="0" w:beforeAutospacing="0" w:after="120" w:afterAutospacing="0"/>
        <w:jc w:val="both"/>
        <w:rPr>
          <w:noProof/>
          <w:color w:val="0000FF"/>
          <w:sz w:val="21"/>
        </w:rPr>
      </w:pPr>
      <w:r>
        <w:rPr>
          <w:rStyle w:val="normaltextrun"/>
          <w:noProof/>
        </w:rPr>
        <w:t>Тази мярка подкрепя енергийния преход на производствените процеси към енергийно ефективен, устойчив и основан на възобновяеми източници модел на производство. В резултат на това мярката следва да доведе до икономии на енергия от 0.4 млн. т н.е. в крайното енергийно потребление в периода 2024—2026 г.</w:t>
      </w:r>
      <w:r>
        <w:rPr>
          <w:noProof/>
          <w:color w:val="0000FF"/>
          <w:sz w:val="21"/>
        </w:rPr>
        <w:t xml:space="preserve"> </w:t>
      </w:r>
    </w:p>
    <w:p w14:paraId="7A2A9B85" w14:textId="2EFCAD86" w:rsidR="006054AA" w:rsidRDefault="001F7667">
      <w:pPr>
        <w:pStyle w:val="NormalWeb"/>
        <w:spacing w:before="0" w:beforeAutospacing="0" w:after="120" w:afterAutospacing="0"/>
        <w:jc w:val="both"/>
        <w:rPr>
          <w:rStyle w:val="normaltextrun"/>
          <w:rFonts w:eastAsiaTheme="majorEastAsia"/>
          <w:noProof/>
        </w:rPr>
      </w:pPr>
      <w:r>
        <w:rPr>
          <w:rStyle w:val="normaltextrun"/>
          <w:noProof/>
        </w:rPr>
        <w:t>На дружествата се предоставя данъчен кредит, съизмерим с разходите, направени между 1 януари 2024 г. и 31 декември 2025 г., ако инвестират в:</w:t>
      </w:r>
    </w:p>
    <w:p w14:paraId="4F9D2EC2" w14:textId="77777777" w:rsidR="006054AA" w:rsidRDefault="001F7667">
      <w:pPr>
        <w:pStyle w:val="ListParagraph"/>
        <w:keepNext/>
        <w:numPr>
          <w:ilvl w:val="0"/>
          <w:numId w:val="42"/>
        </w:numPr>
        <w:spacing w:before="0"/>
        <w:contextualSpacing w:val="0"/>
        <w:rPr>
          <w:rStyle w:val="normaltextrun"/>
          <w:noProof/>
        </w:rPr>
      </w:pPr>
      <w:r>
        <w:rPr>
          <w:rStyle w:val="normaltextrun"/>
          <w:noProof/>
        </w:rPr>
        <w:t>цифрови активи (4.0 материални дълготрайни активи, 4.0 нематериални дълготрайни активи</w:t>
      </w:r>
      <w:r>
        <w:rPr>
          <w:rStyle w:val="FootnoteReference"/>
          <w:rFonts w:eastAsiaTheme="majorEastAsia"/>
          <w:noProof/>
        </w:rPr>
        <w:footnoteReference w:id="136"/>
      </w:r>
      <w:r>
        <w:rPr>
          <w:rStyle w:val="normaltextrun"/>
          <w:noProof/>
        </w:rPr>
        <w:t xml:space="preserve">) </w:t>
      </w:r>
    </w:p>
    <w:p w14:paraId="5C17A29D" w14:textId="610574F5" w:rsidR="006054AA" w:rsidRDefault="001F7667">
      <w:pPr>
        <w:pStyle w:val="NormalWeb"/>
        <w:numPr>
          <w:ilvl w:val="0"/>
          <w:numId w:val="42"/>
        </w:numPr>
        <w:spacing w:before="0" w:beforeAutospacing="0" w:after="120" w:afterAutospacing="0"/>
        <w:jc w:val="both"/>
        <w:rPr>
          <w:rFonts w:eastAsiaTheme="majorEastAsia"/>
          <w:noProof/>
        </w:rPr>
      </w:pPr>
      <w:r>
        <w:rPr>
          <w:noProof/>
        </w:rPr>
        <w:t>активи, необходими за собствено производство и потребление на собствена електроенергия от възобновяеми източници (с изключение на биомасата)</w:t>
      </w:r>
    </w:p>
    <w:p w14:paraId="11C64E95" w14:textId="77777777" w:rsidR="006054AA" w:rsidRDefault="001F7667">
      <w:pPr>
        <w:pStyle w:val="NormalWeb"/>
        <w:numPr>
          <w:ilvl w:val="0"/>
          <w:numId w:val="42"/>
        </w:numPr>
        <w:spacing w:before="0" w:beforeAutospacing="0" w:after="120" w:afterAutospacing="0"/>
        <w:jc w:val="both"/>
        <w:rPr>
          <w:rFonts w:eastAsiaTheme="majorEastAsia"/>
          <w:noProof/>
        </w:rPr>
      </w:pPr>
      <w:r>
        <w:rPr>
          <w:rStyle w:val="normaltextrun"/>
          <w:noProof/>
        </w:rPr>
        <w:t>обучение на персонала по умения за екологичния преход.</w:t>
      </w:r>
    </w:p>
    <w:p w14:paraId="7FC17308" w14:textId="47A49467" w:rsidR="006054AA" w:rsidRDefault="001F7667">
      <w:pPr>
        <w:pStyle w:val="NormalWeb"/>
        <w:spacing w:before="0" w:beforeAutospacing="0" w:after="120" w:afterAutospacing="0"/>
        <w:jc w:val="both"/>
        <w:rPr>
          <w:rFonts w:eastAsiaTheme="majorEastAsia"/>
          <w:noProof/>
        </w:rPr>
      </w:pPr>
      <w:r>
        <w:rPr>
          <w:noProof/>
        </w:rPr>
        <w:t>Данъчното облекчение е съизмеримо, в съответствие с поне три пределни прага, на намалението на крайното потребление на енергия (с най-малко 3 %) или на постигнатите икономии на енергия в целевите процеси (най-малко с 5 % в сравнение с предишното потребление за такива процеси), свързани с инвестициите, направени в активите, посочени в буква а)</w:t>
      </w:r>
      <w:r>
        <w:rPr>
          <w:rStyle w:val="FootnoteReference"/>
          <w:rFonts w:eastAsiaTheme="majorEastAsia"/>
          <w:noProof/>
        </w:rPr>
        <w:footnoteReference w:id="137"/>
      </w:r>
      <w:r>
        <w:rPr>
          <w:noProof/>
        </w:rPr>
        <w:t>.</w:t>
      </w:r>
    </w:p>
    <w:p w14:paraId="3B66EFFE" w14:textId="0794CF6F" w:rsidR="006054AA" w:rsidRDefault="001F7667">
      <w:pPr>
        <w:pStyle w:val="NormalWeb"/>
        <w:spacing w:before="0" w:beforeAutospacing="0" w:after="120" w:afterAutospacing="0"/>
        <w:jc w:val="both"/>
        <w:rPr>
          <w:rFonts w:eastAsiaTheme="majorEastAsia"/>
          <w:noProof/>
        </w:rPr>
      </w:pPr>
      <w:r>
        <w:rPr>
          <w:noProof/>
        </w:rPr>
        <w:t>Поради това интензитетът на данъчното облекчение се увеличава в зависимост от сертифицираните подобрения на енергийната ефективност и постигнатите икономии на енергия.</w:t>
      </w:r>
    </w:p>
    <w:p w14:paraId="7711C74D" w14:textId="20A4C43E" w:rsidR="006054AA" w:rsidRDefault="001F7667">
      <w:pPr>
        <w:pStyle w:val="NormalWeb"/>
        <w:spacing w:before="0" w:beforeAutospacing="0" w:after="120" w:afterAutospacing="0"/>
        <w:jc w:val="both"/>
        <w:rPr>
          <w:rStyle w:val="normaltextrun"/>
          <w:rFonts w:eastAsiaTheme="majorEastAsia"/>
          <w:noProof/>
        </w:rPr>
      </w:pPr>
      <w:r>
        <w:rPr>
          <w:noProof/>
        </w:rPr>
        <w:t>За да бъде допустим, проектът се сертифицира от независим оценител, който удостоверява предварително, че иновационният проект отговаря на критериите за допустимост, свързани с намаляването на общото потребление на енергия. Освен това последващата сертификация удостоверява действителната реализация на инвестициите в съответствие с разпоредбите на предварителната заверка.</w:t>
      </w:r>
    </w:p>
    <w:p w14:paraId="0017C19F" w14:textId="512C9653" w:rsidR="006054AA" w:rsidRDefault="001F7667">
      <w:pPr>
        <w:pStyle w:val="NormalWeb"/>
        <w:spacing w:before="0" w:beforeAutospacing="0" w:after="120" w:afterAutospacing="0"/>
        <w:jc w:val="both"/>
        <w:rPr>
          <w:rStyle w:val="normaltextrun"/>
          <w:rFonts w:eastAsiaTheme="majorEastAsia"/>
          <w:noProof/>
        </w:rPr>
      </w:pPr>
      <w:r>
        <w:rPr>
          <w:rStyle w:val="normaltextrun"/>
          <w:noProof/>
        </w:rPr>
        <w:t>Най-малко 4</w:t>
      </w:r>
      <w:r>
        <w:rPr>
          <w:rFonts w:ascii="Arial Narrow" w:hAnsi="Arial Narrow"/>
          <w:noProof/>
          <w:color w:val="006100"/>
          <w:sz w:val="20"/>
        </w:rPr>
        <w:t xml:space="preserve"> </w:t>
      </w:r>
      <w:r>
        <w:rPr>
          <w:rStyle w:val="normaltextrun"/>
          <w:noProof/>
        </w:rPr>
        <w:t>000</w:t>
      </w:r>
      <w:r>
        <w:rPr>
          <w:rFonts w:ascii="Arial Narrow" w:hAnsi="Arial Narrow"/>
          <w:noProof/>
          <w:color w:val="006100"/>
          <w:sz w:val="20"/>
        </w:rPr>
        <w:t xml:space="preserve"> </w:t>
      </w:r>
      <w:r>
        <w:rPr>
          <w:rStyle w:val="normaltextrun"/>
          <w:noProof/>
        </w:rPr>
        <w:t>032</w:t>
      </w:r>
      <w:r>
        <w:rPr>
          <w:rFonts w:ascii="Arial Narrow" w:hAnsi="Arial Narrow"/>
          <w:noProof/>
          <w:color w:val="006100"/>
          <w:sz w:val="20"/>
        </w:rPr>
        <w:t xml:space="preserve"> </w:t>
      </w:r>
      <w:r>
        <w:rPr>
          <w:rStyle w:val="normaltextrun"/>
          <w:noProof/>
        </w:rPr>
        <w:t>000 EUR от инвестицията допринасят за постигането на целите във връзка с изменението на климата в съответствие с приложение VI към Регламента за МВУ.</w:t>
      </w:r>
      <w:r>
        <w:rPr>
          <w:rStyle w:val="FootnoteReference"/>
          <w:noProof/>
        </w:rPr>
        <w:footnoteReference w:id="138"/>
      </w:r>
    </w:p>
    <w:p w14:paraId="2A6BB2ED" w14:textId="77777777" w:rsidR="006054AA" w:rsidRDefault="001F7667">
      <w:pPr>
        <w:pStyle w:val="paragraph"/>
        <w:spacing w:before="0" w:beforeAutospacing="0" w:after="120" w:afterAutospacing="0"/>
        <w:jc w:val="both"/>
        <w:textAlignment w:val="baseline"/>
        <w:rPr>
          <w:rStyle w:val="normaltextrun"/>
          <w:rFonts w:eastAsiaTheme="majorEastAsia"/>
          <w:noProof/>
        </w:rPr>
      </w:pPr>
      <w:r>
        <w:rPr>
          <w:rStyle w:val="normaltextrun"/>
          <w:noProof/>
        </w:rPr>
        <w:t>Мярката се състои от схема за данъчен кредит и покрива разходите, които трябва да бъдат декларирани в периода от 1 януари 2025 г. до 31 август 2026 г.</w:t>
      </w:r>
    </w:p>
    <w:p w14:paraId="5FF1F15B" w14:textId="4709E8A5" w:rsidR="006054AA" w:rsidRDefault="001F7667">
      <w:pPr>
        <w:spacing w:after="120"/>
        <w:jc w:val="both"/>
        <w:rPr>
          <w:noProof/>
        </w:rPr>
      </w:pPr>
      <w:r>
        <w:rPr>
          <w:noProof/>
        </w:rPr>
        <w:t xml:space="preserve">1 % от общия бюджет се разпределят за разработване на ИТ платформа за: и) управлява сертификатите, представени от бенефициерите; II) улеснява оценката, обмена и управлението на данните, използвани за анализ; и iii) дейностите по мониторинг и контрол. </w:t>
      </w:r>
    </w:p>
    <w:p w14:paraId="59DA6CE4" w14:textId="4ABB65D7" w:rsidR="006054AA" w:rsidRDefault="001F7667">
      <w:pPr>
        <w:spacing w:after="120"/>
        <w:jc w:val="both"/>
        <w:rPr>
          <w:noProof/>
        </w:rPr>
      </w:pPr>
      <w:r>
        <w:rPr>
          <w:noProof/>
        </w:rPr>
        <w:t>Освен това с мярката се разширява обхватът на научния комитет, създаден в рамките на ключов етап M1C2—1 (Transigione 4.0), за да се изготви до 31 август 2026 г. доклад за оценка на ефективността на инвестициите в НПВУ, попадащи в компетентността на Министерството на предприятията и произведени в Италия (MIMIT), и на възможните полезни взаимодействия с други източници на финансиране от ЕС в сектори от стратегическо значение за конкурентоспособността и автономността на ЕС и на национално равнище.</w:t>
      </w:r>
    </w:p>
    <w:p w14:paraId="159185D5" w14:textId="43C9B64B" w:rsidR="006054AA" w:rsidRDefault="001F7667">
      <w:pPr>
        <w:pStyle w:val="P68B1DB1-Heading437"/>
        <w:numPr>
          <w:ilvl w:val="3"/>
          <w:numId w:val="0"/>
        </w:numPr>
        <w:rPr>
          <w:noProof/>
        </w:rPr>
      </w:pPr>
      <w:r>
        <w:rPr>
          <w:noProof/>
        </w:rPr>
        <w:t>Инвестиция 16. Подкрепа за МСП за собствено производство от възобновяеми енергийни източници</w:t>
      </w:r>
    </w:p>
    <w:p w14:paraId="2DAD3D8A" w14:textId="6DC649B8" w:rsidR="006054AA" w:rsidRDefault="001F7667">
      <w:pPr>
        <w:spacing w:after="120"/>
        <w:jc w:val="both"/>
        <w:rPr>
          <w:noProof/>
        </w:rPr>
      </w:pPr>
      <w:r>
        <w:rPr>
          <w:noProof/>
        </w:rPr>
        <w:t xml:space="preserve">Тази мярка се състои от публична инвестиция в схема за безвъзмездни средства </w:t>
      </w:r>
      <w:r>
        <w:rPr>
          <w:i/>
          <w:noProof/>
        </w:rPr>
        <w:t>„Подкрепа за МСП за собствено производство от възобновяеми енергийни източници“</w:t>
      </w:r>
      <w:r>
        <w:rPr>
          <w:noProof/>
        </w:rPr>
        <w:t>, за да се стимулират частните инвестиции и да се подобри достъпът до финансиране в собственото производство на енергия от възобновяеми източници (ВЕИ) в Италия.</w:t>
      </w:r>
    </w:p>
    <w:p w14:paraId="6A1E94CC" w14:textId="18468A4D" w:rsidR="006054AA" w:rsidRDefault="001F7667">
      <w:pPr>
        <w:spacing w:after="120"/>
        <w:jc w:val="both"/>
        <w:rPr>
          <w:noProof/>
        </w:rPr>
      </w:pPr>
      <w:r>
        <w:rPr>
          <w:noProof/>
        </w:rPr>
        <w:t xml:space="preserve">Схемата има за цел да подпомага микро-, малките и средните предприятия (МСП) при изпълнението на инвестиционни програми, насочени към собствено производство на енергия от възобновяеми източници. </w:t>
      </w:r>
    </w:p>
    <w:p w14:paraId="323F42C2" w14:textId="46625CA6" w:rsidR="006054AA" w:rsidRDefault="001F7667">
      <w:pPr>
        <w:spacing w:after="120"/>
        <w:rPr>
          <w:noProof/>
        </w:rPr>
      </w:pPr>
      <w:r>
        <w:rPr>
          <w:noProof/>
        </w:rPr>
        <w:t>Схемата функционира чрез предоставяне на безвъзмездни средства пряко на частния сектор. Въз основа на инвестицията по МВУ схемата има за цел първоначално да предостави най-малко 320 000 EUR</w:t>
      </w:r>
      <w:r>
        <w:rPr>
          <w:rFonts w:ascii="Arial Narrow" w:hAnsi="Arial Narrow"/>
          <w:noProof/>
          <w:color w:val="006100"/>
          <w:sz w:val="20"/>
        </w:rPr>
        <w:t xml:space="preserve"> </w:t>
      </w:r>
      <w:r>
        <w:rPr>
          <w:noProof/>
        </w:rPr>
        <w:t>безвъзмездни средства.</w:t>
      </w:r>
    </w:p>
    <w:p w14:paraId="3FF0CE7D" w14:textId="20E0DE76" w:rsidR="006054AA" w:rsidRDefault="001F7667">
      <w:pPr>
        <w:spacing w:after="120"/>
        <w:jc w:val="both"/>
        <w:rPr>
          <w:noProof/>
        </w:rPr>
      </w:pPr>
      <w:r>
        <w:rPr>
          <w:noProof/>
        </w:rPr>
        <w:t>Схемата се управлява от Invitalia SpA като партньор по изпълнението. Схемата включва следните продуктови линии:</w:t>
      </w:r>
    </w:p>
    <w:p w14:paraId="142E6C3A" w14:textId="77777777" w:rsidR="006054AA" w:rsidRDefault="001F7667">
      <w:pPr>
        <w:pStyle w:val="ListParagraph"/>
        <w:numPr>
          <w:ilvl w:val="0"/>
          <w:numId w:val="38"/>
        </w:numPr>
        <w:spacing w:before="0"/>
        <w:contextualSpacing w:val="0"/>
        <w:rPr>
          <w:noProof/>
        </w:rPr>
      </w:pPr>
      <w:r>
        <w:rPr>
          <w:noProof/>
        </w:rPr>
        <w:t xml:space="preserve"> неподлежащи на възстановяване вноски — средно около 50 % от общите инвестиции — за закупуване на системи и свързани с тях цифрови технологии, които позволяват пряко производство на енергия от възобновяеми източници за незабавно собствено потребление или чрез системи за акумулиране/съхранение.</w:t>
      </w:r>
    </w:p>
    <w:p w14:paraId="51C862B4" w14:textId="76916B95" w:rsidR="006054AA" w:rsidRDefault="001F7667">
      <w:pPr>
        <w:spacing w:after="120"/>
        <w:jc w:val="both"/>
        <w:rPr>
          <w:noProof/>
        </w:rPr>
      </w:pPr>
      <w:r>
        <w:rPr>
          <w:noProof/>
        </w:rPr>
        <w:t>За да осъществят инвестицията в схемата, Италия и Invitalia SpA подписват споразумение за изпълнение, което включва следното съдържание:</w:t>
      </w:r>
    </w:p>
    <w:p w14:paraId="0F7F667D" w14:textId="77777777" w:rsidR="006054AA" w:rsidRDefault="001F7667">
      <w:pPr>
        <w:pStyle w:val="P68B1DB1-LegalNumPar27"/>
        <w:numPr>
          <w:ilvl w:val="0"/>
          <w:numId w:val="39"/>
        </w:numPr>
        <w:spacing w:after="120" w:line="240" w:lineRule="auto"/>
        <w:jc w:val="both"/>
        <w:rPr>
          <w:rFonts w:eastAsia="Times New Roman" w:cs="Times New Roman"/>
          <w:noProof/>
        </w:rPr>
      </w:pPr>
      <w:r>
        <w:rPr>
          <w:noProof/>
        </w:rPr>
        <w:t>Описание на процеса на вземане на решения по схемата: Окончателното инвестиционно решение на схемата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p>
    <w:p w14:paraId="258B8DBF" w14:textId="77777777" w:rsidR="006054AA" w:rsidRDefault="001F7667">
      <w:pPr>
        <w:pStyle w:val="P68B1DB1-LegalNumPar27"/>
        <w:numPr>
          <w:ilvl w:val="0"/>
          <w:numId w:val="31"/>
        </w:numPr>
        <w:spacing w:after="120" w:line="240" w:lineRule="auto"/>
        <w:jc w:val="both"/>
        <w:rPr>
          <w:rFonts w:cs="Times New Roman"/>
          <w:noProof/>
        </w:rPr>
      </w:pPr>
      <w:r>
        <w:rPr>
          <w:noProof/>
        </w:rPr>
        <w:t>Основни изисквания на свързаната инвестиционна политика,</w:t>
      </w:r>
      <w:r>
        <w:rPr>
          <w:b/>
          <w:noProof/>
        </w:rPr>
        <w:t xml:space="preserve"> </w:t>
      </w:r>
      <w:r>
        <w:rPr>
          <w:noProof/>
        </w:rPr>
        <w:t>които включват:</w:t>
      </w:r>
    </w:p>
    <w:p w14:paraId="75C9A509" w14:textId="77777777" w:rsidR="006054AA" w:rsidRDefault="001F7667">
      <w:pPr>
        <w:pStyle w:val="P68B1DB1-LegalNumPar228"/>
        <w:numPr>
          <w:ilvl w:val="1"/>
          <w:numId w:val="41"/>
        </w:numPr>
        <w:spacing w:after="120" w:line="240" w:lineRule="auto"/>
        <w:ind w:left="1418"/>
        <w:jc w:val="both"/>
        <w:rPr>
          <w:rFonts w:cs="Times New Roman"/>
          <w:noProof/>
        </w:rPr>
      </w:pPr>
      <w:r>
        <w:rPr>
          <w:noProof/>
        </w:rPr>
        <w:t xml:space="preserve">Описанието на вида на предоставеното подпомагане и допустимите крайни бенефициери. </w:t>
      </w:r>
    </w:p>
    <w:p w14:paraId="53CD4381" w14:textId="77777777" w:rsidR="006054AA" w:rsidRDefault="001F7667">
      <w:pPr>
        <w:pStyle w:val="P68B1DB1-LegalNumPar228"/>
        <w:numPr>
          <w:ilvl w:val="1"/>
          <w:numId w:val="41"/>
        </w:numPr>
        <w:spacing w:after="120" w:line="240" w:lineRule="auto"/>
        <w:ind w:left="1418"/>
        <w:jc w:val="both"/>
        <w:rPr>
          <w:rFonts w:cs="Times New Roman"/>
          <w:noProof/>
        </w:rPr>
      </w:pPr>
      <w:r>
        <w:rPr>
          <w:noProof/>
        </w:rPr>
        <w:t>Изискването всички подпомагани инвестиции да са икономически жизнеспособни</w:t>
      </w:r>
      <w:r>
        <w:rPr>
          <w:b/>
          <w:noProof/>
        </w:rPr>
        <w:t>.</w:t>
      </w:r>
    </w:p>
    <w:p w14:paraId="04A381CF" w14:textId="77777777" w:rsidR="006054AA" w:rsidRDefault="001F7667">
      <w:pPr>
        <w:pStyle w:val="P68B1DB1-LegalNumPar228"/>
        <w:numPr>
          <w:ilvl w:val="1"/>
          <w:numId w:val="41"/>
        </w:numPr>
        <w:spacing w:after="120" w:line="240" w:lineRule="auto"/>
        <w:ind w:left="1418"/>
        <w:jc w:val="both"/>
        <w:rPr>
          <w:rFonts w:cs="Times New Roman"/>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в случай на обща подкрепа за предприятията, инвестиционната политика изключва дружества със значителен акцент</w:t>
      </w:r>
      <w:r>
        <w:rPr>
          <w:noProof/>
        </w:rPr>
        <w:footnoteReference w:id="139"/>
      </w:r>
      <w:r>
        <w:rPr>
          <w:noProof/>
        </w:rPr>
        <w:t xml:space="preserve"> в следните сектори: I) производство на енергия от изкопаеми горива и свързани с него дейности</w:t>
      </w:r>
      <w:r>
        <w:rPr>
          <w:noProof/>
        </w:rPr>
        <w:footnoteReference w:id="140"/>
      </w:r>
      <w:r>
        <w:rPr>
          <w:noProof/>
        </w:rPr>
        <w:t>; II) енергоемки и/или промишлени отрасли с високи емисии на CO2</w:t>
      </w:r>
      <w:r>
        <w:rPr>
          <w:noProof/>
        </w:rPr>
        <w:footnoteReference w:id="141"/>
      </w:r>
      <w:r>
        <w:rPr>
          <w:noProof/>
        </w:rPr>
        <w:t>; III) производство, отдаване под наем или продажба на замърсяващи превозни средства</w:t>
      </w:r>
      <w:r>
        <w:rPr>
          <w:noProof/>
        </w:rPr>
        <w:footnoteReference w:id="142"/>
      </w:r>
      <w:r>
        <w:rPr>
          <w:noProof/>
        </w:rPr>
        <w:t>; IV) събиране на отпадъци, третиране и погребване на отпадъци</w:t>
      </w:r>
      <w:r>
        <w:rPr>
          <w:noProof/>
        </w:rPr>
        <w:footnoteReference w:id="143"/>
      </w:r>
      <w:r>
        <w:rPr>
          <w:noProof/>
        </w:rPr>
        <w:t>, v) преработка на ядрено гориво, производство на ядрена енергия. Освен това инвестиционната политика изисква</w:t>
      </w:r>
      <w:r>
        <w:rPr>
          <w:b/>
          <w:noProof/>
        </w:rPr>
        <w:t xml:space="preserve"> </w:t>
      </w:r>
      <w:r>
        <w:rPr>
          <w:noProof/>
        </w:rPr>
        <w:t xml:space="preserve">спазване на съответното европейско и национално законодателство в областта на околната среда от крайните бенефициери по схемата. </w:t>
      </w:r>
    </w:p>
    <w:p w14:paraId="0FB7A2CA" w14:textId="77777777" w:rsidR="006054AA" w:rsidRDefault="001F7667">
      <w:pPr>
        <w:pStyle w:val="P68B1DB1-LegalNumPar228"/>
        <w:numPr>
          <w:ilvl w:val="1"/>
          <w:numId w:val="41"/>
        </w:numPr>
        <w:spacing w:after="120" w:line="240" w:lineRule="auto"/>
        <w:ind w:left="1418"/>
        <w:jc w:val="both"/>
        <w:rPr>
          <w:rFonts w:cs="Times New Roman"/>
          <w:noProof/>
        </w:rPr>
      </w:pPr>
      <w:r>
        <w:rPr>
          <w:noProof/>
        </w:rPr>
        <w:t>Изискването крайните бенефициери по схемата да не получават подпомагане от други инструменти на Съюза за покриване на същите разходи.</w:t>
      </w:r>
    </w:p>
    <w:p w14:paraId="12ECE8E4" w14:textId="77777777" w:rsidR="006054AA" w:rsidRDefault="001F7667">
      <w:pPr>
        <w:pStyle w:val="P68B1DB1-LegalNumPar27"/>
        <w:numPr>
          <w:ilvl w:val="0"/>
          <w:numId w:val="31"/>
        </w:numPr>
        <w:spacing w:after="120" w:line="240" w:lineRule="auto"/>
        <w:jc w:val="both"/>
        <w:rPr>
          <w:rFonts w:cs="Times New Roman"/>
          <w:noProof/>
        </w:rPr>
      </w:pPr>
      <w:r>
        <w:rPr>
          <w:noProof/>
        </w:rPr>
        <w:t>Сумата, обхваната от споразумението за изпълнение, структурата на таксите за партньора по изпълнението и изискването за инвестиране на всички неизползвани постъпления от схемата, включително след 2026 г., за същите цели на политиката.</w:t>
      </w:r>
    </w:p>
    <w:p w14:paraId="25AF2D93" w14:textId="77777777" w:rsidR="006054AA" w:rsidRDefault="001F7667">
      <w:pPr>
        <w:pStyle w:val="P68B1DB1-LegalNumPar27"/>
        <w:numPr>
          <w:ilvl w:val="0"/>
          <w:numId w:val="31"/>
        </w:numPr>
        <w:spacing w:after="120" w:line="240" w:lineRule="auto"/>
        <w:jc w:val="both"/>
        <w:rPr>
          <w:rFonts w:cs="Times New Roman"/>
          <w:noProof/>
        </w:rPr>
      </w:pPr>
      <w:r>
        <w:rPr>
          <w:noProof/>
        </w:rPr>
        <w:t>Изисквания за мониторинг, одит и контрол, включително:</w:t>
      </w:r>
    </w:p>
    <w:p w14:paraId="4C742376" w14:textId="77777777" w:rsidR="006054AA" w:rsidRDefault="001F7667">
      <w:pPr>
        <w:numPr>
          <w:ilvl w:val="0"/>
          <w:numId w:val="40"/>
        </w:numPr>
        <w:spacing w:after="120"/>
        <w:jc w:val="both"/>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1E815583" w14:textId="14D6525E" w:rsidR="006054AA" w:rsidRDefault="001F7667">
      <w:pPr>
        <w:numPr>
          <w:ilvl w:val="0"/>
          <w:numId w:val="40"/>
        </w:numPr>
        <w:spacing w:after="120"/>
        <w:jc w:val="both"/>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62BA4ECA" w14:textId="77777777" w:rsidR="006054AA" w:rsidRDefault="001F7667">
      <w:pPr>
        <w:numPr>
          <w:ilvl w:val="0"/>
          <w:numId w:val="40"/>
        </w:numPr>
        <w:spacing w:after="120"/>
        <w:jc w:val="both"/>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операция.</w:t>
      </w:r>
    </w:p>
    <w:p w14:paraId="206D912C" w14:textId="77777777" w:rsidR="006054AA" w:rsidRDefault="001F7667">
      <w:pPr>
        <w:numPr>
          <w:ilvl w:val="0"/>
          <w:numId w:val="40"/>
        </w:numPr>
        <w:spacing w:after="120"/>
        <w:jc w:val="both"/>
        <w:rPr>
          <w:noProof/>
        </w:rPr>
      </w:pPr>
      <w:r>
        <w:rPr>
          <w:noProof/>
        </w:rPr>
        <w:t xml:space="preserve">Задължението за извършване на последващи одити, основани на риска, в съответствие с плана за одит на Invitalia SpA. Тези одити проверяват i) дали системите за контрол са ефективни, включително разкриването на измами, корупция и конфликт на интереси; II) спазване на принципа за ненанасяне на значителни вреди, правилата за държавна помощ, изискванията във връзка с целта в областта на климата; и iii) изискването крайните бенефициери по схемата да не са получили подпомагане от други инструменти на Съюза за покриване на същите разходи, е спазено. Одитите проверяват също така законосъобразността на трансакциите и спазването на условията на приложимото споразумение за изпълнение. </w:t>
      </w:r>
    </w:p>
    <w:p w14:paraId="26670D24" w14:textId="064F915E" w:rsidR="006054AA" w:rsidRDefault="001F7667">
      <w:pPr>
        <w:numPr>
          <w:ilvl w:val="0"/>
          <w:numId w:val="31"/>
        </w:numPr>
        <w:spacing w:after="120"/>
        <w:ind w:left="720" w:hanging="360"/>
        <w:jc w:val="both"/>
        <w:rPr>
          <w:noProof/>
        </w:rPr>
      </w:pPr>
      <w:r>
        <w:rPr>
          <w:noProof/>
        </w:rPr>
        <w:t>Изисквания за инвестиции в областта на климата, извършвани от партньора по изпълнението: 320</w:t>
      </w:r>
      <w:r>
        <w:rPr>
          <w:rFonts w:ascii="Arial Narrow" w:hAnsi="Arial Narrow"/>
          <w:noProof/>
          <w:color w:val="006100"/>
          <w:sz w:val="20"/>
        </w:rPr>
        <w:t xml:space="preserve"> </w:t>
      </w:r>
      <w:r>
        <w:rPr>
          <w:noProof/>
        </w:rPr>
        <w:t>000</w:t>
      </w:r>
      <w:r>
        <w:rPr>
          <w:rFonts w:ascii="Arial Narrow" w:hAnsi="Arial Narrow"/>
          <w:noProof/>
          <w:color w:val="006100"/>
          <w:sz w:val="20"/>
        </w:rPr>
        <w:t xml:space="preserve"> </w:t>
      </w:r>
      <w:r>
        <w:rPr>
          <w:noProof/>
        </w:rPr>
        <w:t>000 EUR от инвестициите по МВУ в Механизма ще допринесат за постигането на целите във връзка с изменението на климата в съответствие с приложение VI към Регламента за МВУ.</w:t>
      </w:r>
      <w:r>
        <w:rPr>
          <w:rStyle w:val="FootnoteReference"/>
          <w:noProof/>
        </w:rPr>
        <w:footnoteReference w:id="144"/>
      </w:r>
    </w:p>
    <w:p w14:paraId="5A6FF4D8" w14:textId="0F4D0FF7" w:rsidR="006054AA" w:rsidRDefault="001F7667">
      <w:pPr>
        <w:spacing w:after="120"/>
        <w:jc w:val="both"/>
        <w:rPr>
          <w:noProof/>
        </w:rPr>
      </w:pPr>
      <w:r>
        <w:rPr>
          <w:noProof/>
        </w:rPr>
        <w:t>Изпълнението на мярката трябва да приключи до 31 август 2026 г.</w:t>
      </w:r>
    </w:p>
    <w:p w14:paraId="50F8F612" w14:textId="688B0F49" w:rsidR="006054AA" w:rsidRDefault="001F7667">
      <w:pPr>
        <w:pStyle w:val="P68B1DB1-Heading437"/>
        <w:numPr>
          <w:ilvl w:val="3"/>
          <w:numId w:val="0"/>
        </w:numPr>
        <w:spacing w:before="0"/>
        <w:rPr>
          <w:noProof/>
        </w:rPr>
      </w:pPr>
      <w:r>
        <w:rPr>
          <w:noProof/>
        </w:rPr>
        <w:t>Инвестиция 17. Финансов инструмент за енергийно саниране на обществени и социални жилища, както и на домакинства с ниски доходи и уязвими домакинства</w:t>
      </w:r>
    </w:p>
    <w:p w14:paraId="7A04F697" w14:textId="1431B0AB" w:rsidR="006054AA" w:rsidRDefault="001F7667">
      <w:pPr>
        <w:spacing w:after="120"/>
        <w:jc w:val="both"/>
        <w:rPr>
          <w:rFonts w:eastAsia="@MS Mincho"/>
          <w:noProof/>
        </w:rPr>
      </w:pPr>
      <w:r>
        <w:rPr>
          <w:rFonts w:eastAsia="@MS Mincho"/>
          <w:noProof/>
        </w:rPr>
        <w:t xml:space="preserve">Целта на мярката е да се подкрепи санирането на домакинствата с ниски доходи и уязвимите домакинства и да се облекчи енергийната бедност. </w:t>
      </w:r>
      <w:r>
        <w:rPr>
          <w:noProof/>
        </w:rPr>
        <w:t xml:space="preserve">Тази мярка се състои от </w:t>
      </w:r>
      <w:r>
        <w:rPr>
          <w:rFonts w:eastAsia="@MS Mincho"/>
          <w:noProof/>
        </w:rPr>
        <w:t>публични инвестиции</w:t>
      </w:r>
      <w:r>
        <w:rPr>
          <w:noProof/>
        </w:rPr>
        <w:t xml:space="preserve"> в механизъм, „Финансов инструмент за намаляване на енергийната бедност“, за да се </w:t>
      </w:r>
      <w:r>
        <w:rPr>
          <w:rFonts w:eastAsia="@MS Mincho"/>
          <w:noProof/>
        </w:rPr>
        <w:t xml:space="preserve">стимулират частните инвестиции и да се подобри достъпът до финансиране на енергийно саниране в социални и обществени жилища, като се постигне най-малко 30 % подобрение на енергийната ефективност. </w:t>
      </w:r>
    </w:p>
    <w:p w14:paraId="75F884CA" w14:textId="77777777" w:rsidR="006054AA" w:rsidRDefault="001F7667">
      <w:pPr>
        <w:keepNext/>
        <w:spacing w:after="120"/>
        <w:jc w:val="both"/>
        <w:rPr>
          <w:noProof/>
        </w:rPr>
      </w:pPr>
      <w:r>
        <w:rPr>
          <w:noProof/>
        </w:rPr>
        <w:t>Механизмът се управлява от партньора по изпълнението. Това може да бъде Cassa Depositi e Prestiti или Европейската инвестиционна банка. Cassa Depositi e Prestiti и Европейската инвестиционна банка също могат да действат заедно с партньори по изпълнението. Партньорът по изпълнението се изяснява в допълнителните спецификации на оперативните договорености. Механизмът функционира чрез предоставяне на безвъзмездни средства и/или субсидирани заеми на дружества за енергийни услуги за енергийно ефективно саниране на жилищни единици.</w:t>
      </w:r>
    </w:p>
    <w:p w14:paraId="07F6DA5B" w14:textId="09443B1E" w:rsidR="006054AA" w:rsidRDefault="001F7667">
      <w:pPr>
        <w:keepNext/>
        <w:spacing w:after="120"/>
        <w:jc w:val="both"/>
        <w:rPr>
          <w:noProof/>
        </w:rPr>
      </w:pPr>
      <w:r>
        <w:rPr>
          <w:noProof/>
        </w:rPr>
        <w:t>Въз основа на инвестициите по МВУ Механизмът има за цел първоначално да предостави най-малко 1</w:t>
      </w:r>
      <w:r>
        <w:rPr>
          <w:rFonts w:ascii="Arial Narrow" w:hAnsi="Arial Narrow"/>
          <w:noProof/>
          <w:color w:val="006100"/>
          <w:sz w:val="20"/>
        </w:rPr>
        <w:t xml:space="preserve"> </w:t>
      </w:r>
      <w:r>
        <w:rPr>
          <w:noProof/>
        </w:rPr>
        <w:t>381</w:t>
      </w:r>
      <w:r>
        <w:rPr>
          <w:rFonts w:ascii="Arial Narrow" w:hAnsi="Arial Narrow"/>
          <w:noProof/>
          <w:color w:val="006100"/>
          <w:sz w:val="20"/>
        </w:rPr>
        <w:t xml:space="preserve">  </w:t>
      </w:r>
      <w:r>
        <w:rPr>
          <w:noProof/>
        </w:rPr>
        <w:t>000 EUR финансова подкрепа.</w:t>
      </w:r>
    </w:p>
    <w:p w14:paraId="73F439EC" w14:textId="5545CB34" w:rsidR="006054AA" w:rsidRDefault="001F7667">
      <w:pPr>
        <w:spacing w:after="120"/>
        <w:jc w:val="both"/>
        <w:rPr>
          <w:noProof/>
        </w:rPr>
      </w:pPr>
      <w:r>
        <w:rPr>
          <w:noProof/>
        </w:rPr>
        <w:t>Механизмът включва следните продуктови линии:</w:t>
      </w:r>
    </w:p>
    <w:p w14:paraId="1F37D43E" w14:textId="78EF89FE" w:rsidR="006054AA" w:rsidRDefault="001F7667">
      <w:pPr>
        <w:pStyle w:val="P68B1DB1-Normal39"/>
        <w:numPr>
          <w:ilvl w:val="0"/>
          <w:numId w:val="24"/>
        </w:numPr>
        <w:shd w:val="clear" w:color="auto" w:fill="FFFFFF"/>
        <w:spacing w:after="120"/>
        <w:jc w:val="both"/>
        <w:rPr>
          <w:noProof/>
        </w:rPr>
      </w:pPr>
      <w:r>
        <w:rPr>
          <w:noProof/>
        </w:rPr>
        <w:t>Обществени жилища:</w:t>
      </w:r>
    </w:p>
    <w:p w14:paraId="3BD60B4A" w14:textId="11C7EA0D" w:rsidR="006054AA" w:rsidRDefault="001F7667">
      <w:pPr>
        <w:shd w:val="clear" w:color="auto" w:fill="FFFFFF"/>
        <w:spacing w:after="120"/>
        <w:jc w:val="both"/>
        <w:rPr>
          <w:noProof/>
        </w:rPr>
      </w:pPr>
      <w:r>
        <w:rPr>
          <w:noProof/>
        </w:rPr>
        <w:t>По тази продуктова линия се предоставя финансова подкрепа под формата на безвъзмездни средства, лихвени субсидии, субсидирани заеми, пазарни заеми на дружества за енергийни услуги (ESCO) за енергийно саниране на обществени жилища.</w:t>
      </w:r>
    </w:p>
    <w:p w14:paraId="45A5BFD0" w14:textId="588D23DB" w:rsidR="006054AA" w:rsidRDefault="001F7667">
      <w:pPr>
        <w:pStyle w:val="P68B1DB1-ListParagraph40"/>
        <w:numPr>
          <w:ilvl w:val="0"/>
          <w:numId w:val="26"/>
        </w:numPr>
        <w:shd w:val="clear" w:color="auto" w:fill="FFFFFF"/>
        <w:spacing w:before="0"/>
        <w:contextualSpacing w:val="0"/>
        <w:rPr>
          <w:noProof/>
        </w:rPr>
      </w:pPr>
      <w:r>
        <w:rPr>
          <w:noProof/>
        </w:rPr>
        <w:t>Социално жилищно настаняване:</w:t>
      </w:r>
    </w:p>
    <w:p w14:paraId="4D3449ED" w14:textId="2290EDD3" w:rsidR="006054AA" w:rsidRDefault="001F7667">
      <w:pPr>
        <w:shd w:val="clear" w:color="auto" w:fill="FFFFFF" w:themeFill="background1"/>
        <w:spacing w:after="120"/>
        <w:jc w:val="both"/>
        <w:rPr>
          <w:b/>
          <w:noProof/>
          <w:color w:val="000000" w:themeColor="text1"/>
        </w:rPr>
      </w:pPr>
      <w:r>
        <w:rPr>
          <w:noProof/>
        </w:rPr>
        <w:t>По тази продуктова линия се предоставя финансова подкрепа под формата на безвъзмездни средства, лихвени субсидии, субсидирани заеми, пазарни заеми на дружества за енергийни услуги (ESCO) за енергийно саниране на социални жилища.</w:t>
      </w:r>
    </w:p>
    <w:p w14:paraId="2DE05576" w14:textId="04E16513" w:rsidR="006054AA" w:rsidRDefault="001F7667">
      <w:pPr>
        <w:pStyle w:val="P68B1DB1-ListParagraph40"/>
        <w:numPr>
          <w:ilvl w:val="0"/>
          <w:numId w:val="32"/>
        </w:numPr>
        <w:shd w:val="clear" w:color="auto" w:fill="FFFFFF" w:themeFill="background1"/>
        <w:spacing w:before="0"/>
        <w:contextualSpacing w:val="0"/>
        <w:rPr>
          <w:noProof/>
        </w:rPr>
      </w:pPr>
      <w:r>
        <w:rPr>
          <w:noProof/>
        </w:rPr>
        <w:t>Енергийно саниране на домакинства с ниски доходи в многофамилни жилищни сгради:</w:t>
      </w:r>
    </w:p>
    <w:p w14:paraId="4AB3C3A5" w14:textId="08FA2A89" w:rsidR="006054AA" w:rsidRDefault="001F7667">
      <w:pPr>
        <w:shd w:val="clear" w:color="auto" w:fill="FFFFFF" w:themeFill="background1"/>
        <w:spacing w:after="120"/>
        <w:jc w:val="both"/>
        <w:rPr>
          <w:noProof/>
        </w:rPr>
      </w:pPr>
      <w:r>
        <w:rPr>
          <w:noProof/>
        </w:rPr>
        <w:t>По тази продуктова линия се предоставя финансова подкрепа под формата на безвъзмездни средства, лихвени субсидии, субсидирани заеми, пазарни заеми на дружества за енергийни услуги (ESCO) за енергийно саниране на домакинства с ниски доходи и уязвими домакинства в многофамилни жилищни сгради.</w:t>
      </w:r>
    </w:p>
    <w:p w14:paraId="2ABE86BE" w14:textId="3E32E9FB" w:rsidR="006054AA" w:rsidRDefault="001F7667">
      <w:pPr>
        <w:shd w:val="clear" w:color="auto" w:fill="FFFFFF" w:themeFill="background1"/>
        <w:spacing w:after="120"/>
        <w:jc w:val="both"/>
        <w:rPr>
          <w:noProof/>
        </w:rPr>
      </w:pPr>
      <w:r>
        <w:rPr>
          <w:noProof/>
        </w:rPr>
        <w:t>Две трети от съоръжението са предназначени за енергийно саниране на обществени жилища и социални жилища; една трета се заделя за енергийно саниране на домакинства с ниски доходи в многофамилни жилищни сгради.</w:t>
      </w:r>
    </w:p>
    <w:p w14:paraId="6A440162" w14:textId="4E9C9B2A" w:rsidR="006054AA" w:rsidRDefault="001F7667">
      <w:pPr>
        <w:spacing w:after="120"/>
        <w:jc w:val="both"/>
        <w:rPr>
          <w:noProof/>
        </w:rPr>
      </w:pPr>
      <w:r>
        <w:rPr>
          <w:noProof/>
        </w:rPr>
        <w:t>За да изпълнят инвестицията в механизма, Италия и партньорът по изпълнението подписват споразумение за изпълнение, което включва следното съдържание:</w:t>
      </w:r>
    </w:p>
    <w:p w14:paraId="544A295C" w14:textId="77777777" w:rsidR="006054AA" w:rsidRDefault="001F7667">
      <w:pPr>
        <w:pStyle w:val="ListParagraph"/>
        <w:numPr>
          <w:ilvl w:val="0"/>
          <w:numId w:val="33"/>
        </w:numPr>
        <w:spacing w:before="0"/>
        <w:ind w:left="709" w:hanging="425"/>
        <w:contextualSpacing w:val="0"/>
        <w:rPr>
          <w:noProof/>
        </w:rPr>
      </w:pPr>
      <w:r>
        <w:rPr>
          <w:noProof/>
        </w:rPr>
        <w:t>Описание на процеса на вземане на решения на механизма: Окончателното инвестиционно решение на механизма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p>
    <w:p w14:paraId="41088549" w14:textId="77777777" w:rsidR="006054AA" w:rsidRDefault="001F7667">
      <w:pPr>
        <w:pStyle w:val="ListParagraph"/>
        <w:numPr>
          <w:ilvl w:val="0"/>
          <w:numId w:val="33"/>
        </w:numPr>
        <w:spacing w:before="0"/>
        <w:ind w:left="709" w:hanging="425"/>
        <w:contextualSpacing w:val="0"/>
        <w:rPr>
          <w:noProof/>
        </w:rPr>
      </w:pPr>
      <w:r>
        <w:rPr>
          <w:noProof/>
        </w:rPr>
        <w:t>Основни изисквания на свързаната инвестиционна политика,</w:t>
      </w:r>
      <w:r>
        <w:rPr>
          <w:b/>
          <w:noProof/>
        </w:rPr>
        <w:t xml:space="preserve"> </w:t>
      </w:r>
      <w:r>
        <w:rPr>
          <w:noProof/>
        </w:rPr>
        <w:t>които включват:</w:t>
      </w:r>
    </w:p>
    <w:p w14:paraId="4B392CBD" w14:textId="5CB388EE" w:rsidR="006054AA" w:rsidRDefault="001F7667">
      <w:pPr>
        <w:pStyle w:val="ListParagraph"/>
        <w:numPr>
          <w:ilvl w:val="1"/>
          <w:numId w:val="33"/>
        </w:numPr>
        <w:spacing w:before="0"/>
        <w:ind w:left="1418"/>
        <w:contextualSpacing w:val="0"/>
        <w:rPr>
          <w:noProof/>
        </w:rPr>
      </w:pPr>
      <w:r>
        <w:rPr>
          <w:noProof/>
        </w:rPr>
        <w:t>Описанието на финансовия (те) продукт (и) и допустимите крайни бенефициери</w:t>
      </w:r>
      <w:r>
        <w:rPr>
          <w:rStyle w:val="FootnoteReference"/>
          <w:noProof/>
        </w:rPr>
        <w:footnoteReference w:id="145"/>
      </w:r>
      <w:r>
        <w:rPr>
          <w:noProof/>
        </w:rPr>
        <w:t>.</w:t>
      </w:r>
    </w:p>
    <w:p w14:paraId="3D8332FA" w14:textId="77777777" w:rsidR="006054AA" w:rsidRDefault="001F7667">
      <w:pPr>
        <w:pStyle w:val="ListParagraph"/>
        <w:numPr>
          <w:ilvl w:val="1"/>
          <w:numId w:val="33"/>
        </w:numPr>
        <w:spacing w:before="0"/>
        <w:ind w:left="1418"/>
        <w:contextualSpacing w:val="0"/>
        <w:rPr>
          <w:noProof/>
        </w:rPr>
      </w:pPr>
      <w:r>
        <w:rPr>
          <w:noProof/>
        </w:rPr>
        <w:t>Изискването всички подпомагани инвестиции да са икономически жизнеспособни</w:t>
      </w:r>
      <w:r>
        <w:rPr>
          <w:b/>
          <w:noProof/>
        </w:rPr>
        <w:t>.</w:t>
      </w:r>
    </w:p>
    <w:p w14:paraId="001B7036" w14:textId="77777777" w:rsidR="006054AA" w:rsidRDefault="001F7667">
      <w:pPr>
        <w:pStyle w:val="ListParagraph"/>
        <w:numPr>
          <w:ilvl w:val="1"/>
          <w:numId w:val="33"/>
        </w:numPr>
        <w:spacing w:before="0"/>
        <w:ind w:left="1418"/>
        <w:contextualSpacing w:val="0"/>
        <w:rPr>
          <w:noProof/>
        </w:rPr>
      </w:pPr>
      <w:r>
        <w:rPr>
          <w:noProof/>
        </w:rPr>
        <w:t>Изискването за спазване на принципа за ненанасяне на значителни вреди, както е посочено в техническите насоки за НЗВ (2021/C58/01). По-специално инвестиционната политика изключва от допустимост следния списък от дейности и активи: I) дейности и активи, свързани с изкопаеми горива, включително използване надолу по веригата</w:t>
      </w:r>
      <w:r>
        <w:rPr>
          <w:rStyle w:val="FootnoteReference"/>
          <w:noProof/>
        </w:rPr>
        <w:footnoteReference w:id="146"/>
      </w:r>
      <w:r>
        <w:rPr>
          <w:noProof/>
        </w:rPr>
        <w:t>, ii)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w:t>
      </w:r>
      <w:r>
        <w:rPr>
          <w:noProof/>
        </w:rPr>
        <w:footnoteReference w:id="147"/>
      </w:r>
      <w:r>
        <w:rPr>
          <w:noProof/>
        </w:rPr>
        <w:t>, iii) дейности и активи, свързани с депа за отпадъци, инсинератори</w:t>
      </w:r>
      <w:r>
        <w:rPr>
          <w:rStyle w:val="FootnoteReference"/>
          <w:noProof/>
        </w:rPr>
        <w:footnoteReference w:id="148"/>
      </w:r>
      <w:r>
        <w:rPr>
          <w:noProof/>
        </w:rPr>
        <w:t xml:space="preserve"> и инсталации за механично-биологично третиране</w:t>
      </w:r>
      <w:r>
        <w:rPr>
          <w:rStyle w:val="FootnoteReference"/>
          <w:noProof/>
        </w:rPr>
        <w:footnoteReference w:id="149"/>
      </w:r>
      <w:r>
        <w:rPr>
          <w:noProof/>
        </w:rPr>
        <w:t xml:space="preserve">. </w:t>
      </w:r>
    </w:p>
    <w:p w14:paraId="43ECEFCB" w14:textId="77777777" w:rsidR="006054AA" w:rsidRDefault="001F7667">
      <w:pPr>
        <w:pStyle w:val="ListParagraph"/>
        <w:numPr>
          <w:ilvl w:val="1"/>
          <w:numId w:val="33"/>
        </w:numPr>
        <w:spacing w:before="0"/>
        <w:ind w:left="1418"/>
        <w:contextualSpacing w:val="0"/>
        <w:rPr>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7A5DAE21" w14:textId="77777777" w:rsidR="006054AA" w:rsidRDefault="001F7667">
      <w:pPr>
        <w:pStyle w:val="ListParagraph"/>
        <w:numPr>
          <w:ilvl w:val="0"/>
          <w:numId w:val="33"/>
        </w:numPr>
        <w:spacing w:before="0"/>
        <w:ind w:left="709"/>
        <w:contextualSpacing w:val="0"/>
        <w:rPr>
          <w:noProof/>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потоци в съответствие с инвестиционната политика на Механизма, освен ако те се използват за обслужване на погасяването на заеми по Механизма за възстановяване и устойчивост.</w:t>
      </w:r>
    </w:p>
    <w:p w14:paraId="51E94BEC" w14:textId="77777777" w:rsidR="006054AA" w:rsidRDefault="001F7667">
      <w:pPr>
        <w:pStyle w:val="ListParagraph"/>
        <w:numPr>
          <w:ilvl w:val="0"/>
          <w:numId w:val="33"/>
        </w:numPr>
        <w:spacing w:before="0"/>
        <w:ind w:left="709"/>
        <w:contextualSpacing w:val="0"/>
        <w:rPr>
          <w:noProof/>
        </w:rPr>
      </w:pPr>
      <w:r>
        <w:rPr>
          <w:noProof/>
        </w:rPr>
        <w:t>Изисквания за мониторинг, одит и контрол, включително:</w:t>
      </w:r>
    </w:p>
    <w:p w14:paraId="5187B3FA" w14:textId="77777777" w:rsidR="006054AA" w:rsidRDefault="001F7667">
      <w:pPr>
        <w:pStyle w:val="ListParagraph"/>
        <w:numPr>
          <w:ilvl w:val="1"/>
          <w:numId w:val="33"/>
        </w:numPr>
        <w:spacing w:before="0"/>
        <w:contextualSpacing w:val="0"/>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012BA1E5" w14:textId="26B47E4B" w:rsidR="006054AA" w:rsidRDefault="001F7667">
      <w:pPr>
        <w:pStyle w:val="ListParagraph"/>
        <w:numPr>
          <w:ilvl w:val="1"/>
          <w:numId w:val="33"/>
        </w:numPr>
        <w:spacing w:before="0"/>
        <w:contextualSpacing w:val="0"/>
        <w:rPr>
          <w:noProof/>
        </w:rPr>
      </w:pPr>
      <w:r>
        <w:rPr>
          <w:noProof/>
        </w:rPr>
        <w:t xml:space="preserve">Описанието на процедурите на партньора по изпълнението, които гарантират предотвратяването, разкриването и коригирането на измами, корупция и конфликти на интереси. </w:t>
      </w:r>
    </w:p>
    <w:p w14:paraId="12681A0C" w14:textId="77777777" w:rsidR="006054AA" w:rsidRDefault="001F7667">
      <w:pPr>
        <w:pStyle w:val="ListParagraph"/>
        <w:numPr>
          <w:ilvl w:val="1"/>
          <w:numId w:val="33"/>
        </w:numPr>
        <w:spacing w:before="0"/>
        <w:contextualSpacing w:val="0"/>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операция.</w:t>
      </w:r>
    </w:p>
    <w:p w14:paraId="429888DF" w14:textId="2FC5F46B" w:rsidR="006054AA" w:rsidRDefault="001F7667">
      <w:pPr>
        <w:pStyle w:val="ListParagraph"/>
        <w:numPr>
          <w:ilvl w:val="1"/>
          <w:numId w:val="33"/>
        </w:numPr>
        <w:spacing w:before="0"/>
        <w:rPr>
          <w:noProof/>
        </w:rPr>
      </w:pPr>
      <w:r>
        <w:rPr>
          <w:noProof/>
        </w:rPr>
        <w:t xml:space="preserve">Задължението за извършване на последващи одити, основани на риска, в съответствие с плана за одит на Cassa Depositi e Prestiti и/или на Европейската инвестиционна банка. Тези одити проверяват i) дали системите за контрол са ефективни, включително разкриването на измами, корупция и конфликт на интереси; II) спазване на принципа за ненанасяне на значителни вреди, правилата за държавна помощ, изискванията в областта на климата и целите; и iii) изискването крайните бенефициери на механизма да не са получили подкрепа от други инструменти на Съюза за покриване на същите разходи, е спазено. Одитите проверяват също така законосъобразността на трансакциите и спазването на условията на приложимото споразумение за изпълнение. </w:t>
      </w:r>
    </w:p>
    <w:p w14:paraId="199C984F" w14:textId="77777777" w:rsidR="006054AA" w:rsidRDefault="001F7667">
      <w:pPr>
        <w:spacing w:after="120"/>
        <w:jc w:val="both"/>
        <w:rPr>
          <w:noProof/>
        </w:rPr>
        <w:sectPr w:rsidR="006054AA" w:rsidSect="00C9514F">
          <w:headerReference w:type="even" r:id="rId399"/>
          <w:headerReference w:type="default" r:id="rId400"/>
          <w:footerReference w:type="even" r:id="rId401"/>
          <w:footerReference w:type="default" r:id="rId402"/>
          <w:headerReference w:type="first" r:id="rId403"/>
          <w:footerReference w:type="first" r:id="rId404"/>
          <w:pgSz w:w="11906" w:h="16838" w:code="12"/>
          <w:pgMar w:top="1440" w:right="1440" w:bottom="1440" w:left="1440" w:header="567" w:footer="567" w:gutter="0"/>
          <w:cols w:space="720"/>
          <w:docGrid w:linePitch="360"/>
        </w:sectPr>
      </w:pPr>
      <w:r>
        <w:rPr>
          <w:noProof/>
        </w:rPr>
        <w:t>Изисквания за инвестиции в областта на климата, извършвани от партньора по изпълнението: 1 381 000 000 EUR от инвестициите по МВУ в Механизма ще допринесат за постигането на целите във връзка с изменението на климата в съответствие с приложение VI към Регламента за МВУ.</w:t>
      </w:r>
      <w:r>
        <w:rPr>
          <w:rStyle w:val="FootnoteReference"/>
          <w:noProof/>
        </w:rPr>
        <w:footnoteReference w:id="150"/>
      </w:r>
    </w:p>
    <w:p w14:paraId="190896D7" w14:textId="146858A7" w:rsidR="006054AA" w:rsidRDefault="001F7667">
      <w:pPr>
        <w:spacing w:after="160" w:line="259" w:lineRule="auto"/>
        <w:rPr>
          <w:rStyle w:val="eop"/>
          <w:noProof/>
          <w:u w:val="single"/>
        </w:rPr>
      </w:pPr>
      <w:r>
        <w:rPr>
          <w:rStyle w:val="normaltextrun"/>
          <w:b/>
          <w:noProof/>
          <w:u w:val="single"/>
        </w:rPr>
        <w:t xml:space="preserve">Р4 </w:t>
      </w:r>
      <w:r>
        <w:rPr>
          <w:noProof/>
        </w:rPr>
        <w:tab/>
      </w:r>
      <w:r>
        <w:rPr>
          <w:rStyle w:val="normaltextrun"/>
          <w:b/>
          <w:noProof/>
          <w:u w:val="single"/>
        </w:rPr>
        <w:t xml:space="preserve">Ключови етапи, цели, показатели и график за мониторинг и изпълнение на заема </w:t>
      </w:r>
      <w:r>
        <w:rPr>
          <w:rStyle w:val="eop"/>
          <w:noProof/>
          <w:u w:val="single"/>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701"/>
        <w:gridCol w:w="1276"/>
        <w:gridCol w:w="992"/>
        <w:gridCol w:w="1276"/>
        <w:gridCol w:w="851"/>
        <w:gridCol w:w="708"/>
        <w:gridCol w:w="3261"/>
      </w:tblGrid>
      <w:tr w:rsidR="006054AA" w14:paraId="502669C7" w14:textId="77777777">
        <w:trPr>
          <w:trHeight w:val="765"/>
          <w:tblHeader/>
        </w:trPr>
        <w:tc>
          <w:tcPr>
            <w:tcW w:w="1187" w:type="dxa"/>
            <w:vMerge w:val="restart"/>
            <w:shd w:val="clear" w:color="auto" w:fill="BDD7EE"/>
            <w:vAlign w:val="center"/>
            <w:hideMark/>
          </w:tcPr>
          <w:p w14:paraId="797FD2A9" w14:textId="77777777" w:rsidR="006054AA" w:rsidRDefault="001F7667">
            <w:pPr>
              <w:pStyle w:val="P68B1DB1-Normal9"/>
              <w:spacing w:after="120"/>
              <w:jc w:val="center"/>
              <w:rPr>
                <w:noProof/>
              </w:rPr>
            </w:pPr>
            <w:r>
              <w:rPr>
                <w:noProof/>
              </w:rPr>
              <w:t>Пореден номер</w:t>
            </w:r>
          </w:p>
        </w:tc>
        <w:tc>
          <w:tcPr>
            <w:tcW w:w="1559" w:type="dxa"/>
            <w:vMerge w:val="restart"/>
            <w:shd w:val="clear" w:color="auto" w:fill="BDD7EE"/>
            <w:vAlign w:val="center"/>
            <w:hideMark/>
          </w:tcPr>
          <w:p w14:paraId="37C1920F" w14:textId="77777777" w:rsidR="006054AA" w:rsidRDefault="001F7667">
            <w:pPr>
              <w:pStyle w:val="P68B1DB1-Normal9"/>
              <w:spacing w:after="120"/>
              <w:jc w:val="center"/>
              <w:rPr>
                <w:noProof/>
              </w:rPr>
            </w:pPr>
            <w:r>
              <w:rPr>
                <w:noProof/>
              </w:rPr>
              <w:t>Свързана мярка (реформа или инвестиции)</w:t>
            </w:r>
          </w:p>
        </w:tc>
        <w:tc>
          <w:tcPr>
            <w:tcW w:w="1134" w:type="dxa"/>
            <w:vMerge w:val="restart"/>
            <w:shd w:val="clear" w:color="auto" w:fill="BDD7EE"/>
            <w:vAlign w:val="center"/>
            <w:hideMark/>
          </w:tcPr>
          <w:p w14:paraId="180D1C3F" w14:textId="77777777" w:rsidR="006054AA" w:rsidRDefault="001F7667">
            <w:pPr>
              <w:pStyle w:val="P68B1DB1-Normal9"/>
              <w:spacing w:after="120"/>
              <w:jc w:val="center"/>
              <w:rPr>
                <w:noProof/>
              </w:rPr>
            </w:pPr>
            <w:r>
              <w:rPr>
                <w:noProof/>
              </w:rPr>
              <w:t>Ключов етап</w:t>
            </w:r>
          </w:p>
          <w:p w14:paraId="4A016BB6" w14:textId="77777777" w:rsidR="006054AA" w:rsidRDefault="001F7667">
            <w:pPr>
              <w:pStyle w:val="P68B1DB1-Normal9"/>
              <w:spacing w:after="120"/>
              <w:jc w:val="center"/>
              <w:rPr>
                <w:noProof/>
              </w:rPr>
            </w:pPr>
            <w:r>
              <w:rPr>
                <w:noProof/>
              </w:rPr>
              <w:t>/Цел</w:t>
            </w:r>
          </w:p>
        </w:tc>
        <w:tc>
          <w:tcPr>
            <w:tcW w:w="1417" w:type="dxa"/>
            <w:vMerge w:val="restart"/>
            <w:shd w:val="clear" w:color="auto" w:fill="BDD7EE"/>
            <w:vAlign w:val="center"/>
            <w:hideMark/>
          </w:tcPr>
          <w:p w14:paraId="338E0241" w14:textId="77777777" w:rsidR="006054AA" w:rsidRDefault="001F7667">
            <w:pPr>
              <w:pStyle w:val="P68B1DB1-Normal9"/>
              <w:spacing w:after="120"/>
              <w:jc w:val="center"/>
              <w:rPr>
                <w:noProof/>
              </w:rPr>
            </w:pPr>
            <w:r>
              <w:rPr>
                <w:noProof/>
              </w:rPr>
              <w:t>Име</w:t>
            </w:r>
          </w:p>
        </w:tc>
        <w:tc>
          <w:tcPr>
            <w:tcW w:w="1701" w:type="dxa"/>
            <w:vMerge w:val="restart"/>
            <w:shd w:val="clear" w:color="auto" w:fill="BDD7EE"/>
            <w:vAlign w:val="center"/>
            <w:hideMark/>
          </w:tcPr>
          <w:p w14:paraId="69F948FC" w14:textId="77777777" w:rsidR="006054AA" w:rsidRDefault="001F7667">
            <w:pPr>
              <w:pStyle w:val="P68B1DB1-Normal10"/>
              <w:spacing w:after="120"/>
              <w:jc w:val="center"/>
              <w:rPr>
                <w:b/>
                <w:noProof/>
                <w:sz w:val="20"/>
              </w:rPr>
            </w:pPr>
            <w:r>
              <w:rPr>
                <w:b/>
                <w:noProof/>
                <w:sz w:val="20"/>
              </w:rPr>
              <w:t>Качествени индикатори</w:t>
            </w:r>
            <w:r>
              <w:rPr>
                <w:noProof/>
              </w:rPr>
              <w:t xml:space="preserve"> </w:t>
            </w:r>
            <w:r>
              <w:rPr>
                <w:noProof/>
              </w:rPr>
              <w:br/>
            </w:r>
            <w:r>
              <w:rPr>
                <w:b/>
                <w:noProof/>
                <w:sz w:val="20"/>
              </w:rPr>
              <w:t>(за ключовите етапи)</w:t>
            </w:r>
          </w:p>
        </w:tc>
        <w:tc>
          <w:tcPr>
            <w:tcW w:w="3544" w:type="dxa"/>
            <w:gridSpan w:val="3"/>
            <w:shd w:val="clear" w:color="auto" w:fill="BDD7EE"/>
            <w:vAlign w:val="center"/>
            <w:hideMark/>
          </w:tcPr>
          <w:p w14:paraId="1B71CF6E" w14:textId="77777777" w:rsidR="006054AA" w:rsidRDefault="001F7667">
            <w:pPr>
              <w:pStyle w:val="P68B1DB1-Normal10"/>
              <w:spacing w:after="120"/>
              <w:jc w:val="center"/>
              <w:rPr>
                <w:b/>
                <w:noProof/>
                <w:sz w:val="20"/>
              </w:rPr>
            </w:pPr>
            <w:r>
              <w:rPr>
                <w:b/>
                <w:noProof/>
                <w:sz w:val="20"/>
              </w:rPr>
              <w:t>Количествени индикатори</w:t>
            </w:r>
            <w:r>
              <w:rPr>
                <w:noProof/>
              </w:rPr>
              <w:t xml:space="preserve"> </w:t>
            </w:r>
            <w:r>
              <w:rPr>
                <w:noProof/>
              </w:rPr>
              <w:br/>
            </w:r>
            <w:r>
              <w:rPr>
                <w:b/>
                <w:noProof/>
                <w:sz w:val="20"/>
              </w:rPr>
              <w:t>(за целите)</w:t>
            </w:r>
          </w:p>
        </w:tc>
        <w:tc>
          <w:tcPr>
            <w:tcW w:w="1559" w:type="dxa"/>
            <w:gridSpan w:val="2"/>
            <w:shd w:val="clear" w:color="auto" w:fill="BDD7EE"/>
            <w:vAlign w:val="center"/>
            <w:hideMark/>
          </w:tcPr>
          <w:p w14:paraId="782F674E" w14:textId="77777777" w:rsidR="006054AA" w:rsidRDefault="001F7667">
            <w:pPr>
              <w:pStyle w:val="P68B1DB1-Normal9"/>
              <w:spacing w:after="120"/>
              <w:jc w:val="center"/>
              <w:rPr>
                <w:noProof/>
              </w:rPr>
            </w:pPr>
            <w:r>
              <w:rPr>
                <w:noProof/>
              </w:rPr>
              <w:t>Примерен график за приключване</w:t>
            </w:r>
          </w:p>
        </w:tc>
        <w:tc>
          <w:tcPr>
            <w:tcW w:w="3261" w:type="dxa"/>
            <w:vMerge w:val="restart"/>
            <w:shd w:val="clear" w:color="auto" w:fill="BDD7EE"/>
            <w:vAlign w:val="center"/>
            <w:hideMark/>
          </w:tcPr>
          <w:p w14:paraId="4D9B0BF4" w14:textId="77777777" w:rsidR="006054AA" w:rsidRDefault="001F7667">
            <w:pPr>
              <w:pStyle w:val="P68B1DB1-Normal9"/>
              <w:spacing w:after="120"/>
              <w:jc w:val="center"/>
              <w:rPr>
                <w:noProof/>
              </w:rPr>
            </w:pPr>
            <w:r>
              <w:rPr>
                <w:noProof/>
              </w:rPr>
              <w:t>Описание на всеки ключов етап и цел</w:t>
            </w:r>
          </w:p>
        </w:tc>
      </w:tr>
      <w:tr w:rsidR="006054AA" w14:paraId="430A4BA3" w14:textId="77777777">
        <w:trPr>
          <w:trHeight w:val="691"/>
          <w:tblHeader/>
        </w:trPr>
        <w:tc>
          <w:tcPr>
            <w:tcW w:w="1187" w:type="dxa"/>
            <w:vMerge/>
            <w:vAlign w:val="center"/>
            <w:hideMark/>
          </w:tcPr>
          <w:p w14:paraId="6CB4E4D6" w14:textId="77777777" w:rsidR="006054AA" w:rsidRDefault="006054AA">
            <w:pPr>
              <w:spacing w:after="120"/>
              <w:jc w:val="center"/>
              <w:rPr>
                <w:rFonts w:ascii="Arial Narrow" w:hAnsi="Arial Narrow"/>
                <w:b/>
                <w:noProof/>
                <w:sz w:val="20"/>
              </w:rPr>
            </w:pPr>
          </w:p>
        </w:tc>
        <w:tc>
          <w:tcPr>
            <w:tcW w:w="1559" w:type="dxa"/>
            <w:vMerge/>
            <w:vAlign w:val="center"/>
            <w:hideMark/>
          </w:tcPr>
          <w:p w14:paraId="72BBD502" w14:textId="77777777" w:rsidR="006054AA" w:rsidRDefault="006054AA">
            <w:pPr>
              <w:spacing w:after="120"/>
              <w:jc w:val="center"/>
              <w:rPr>
                <w:rFonts w:ascii="Arial Narrow" w:hAnsi="Arial Narrow"/>
                <w:b/>
                <w:noProof/>
                <w:sz w:val="20"/>
              </w:rPr>
            </w:pPr>
          </w:p>
        </w:tc>
        <w:tc>
          <w:tcPr>
            <w:tcW w:w="1134" w:type="dxa"/>
            <w:vMerge/>
            <w:vAlign w:val="center"/>
            <w:hideMark/>
          </w:tcPr>
          <w:p w14:paraId="2AE7A3E4" w14:textId="77777777" w:rsidR="006054AA" w:rsidRDefault="006054AA">
            <w:pPr>
              <w:spacing w:after="120"/>
              <w:jc w:val="center"/>
              <w:rPr>
                <w:rFonts w:ascii="Arial Narrow" w:hAnsi="Arial Narrow"/>
                <w:b/>
                <w:noProof/>
                <w:sz w:val="20"/>
              </w:rPr>
            </w:pPr>
          </w:p>
        </w:tc>
        <w:tc>
          <w:tcPr>
            <w:tcW w:w="1417" w:type="dxa"/>
            <w:vMerge/>
            <w:vAlign w:val="center"/>
            <w:hideMark/>
          </w:tcPr>
          <w:p w14:paraId="1387268A" w14:textId="77777777" w:rsidR="006054AA" w:rsidRDefault="006054AA">
            <w:pPr>
              <w:spacing w:after="120"/>
              <w:jc w:val="center"/>
              <w:rPr>
                <w:rFonts w:ascii="Arial Narrow" w:hAnsi="Arial Narrow"/>
                <w:b/>
                <w:noProof/>
                <w:sz w:val="20"/>
              </w:rPr>
            </w:pPr>
          </w:p>
        </w:tc>
        <w:tc>
          <w:tcPr>
            <w:tcW w:w="1701" w:type="dxa"/>
            <w:vMerge/>
            <w:vAlign w:val="center"/>
            <w:hideMark/>
          </w:tcPr>
          <w:p w14:paraId="42DE4543" w14:textId="77777777" w:rsidR="006054AA" w:rsidRDefault="006054AA">
            <w:pPr>
              <w:spacing w:after="120"/>
              <w:jc w:val="center"/>
              <w:rPr>
                <w:rFonts w:ascii="Arial Narrow" w:hAnsi="Arial Narrow"/>
                <w:b/>
                <w:noProof/>
                <w:sz w:val="20"/>
              </w:rPr>
            </w:pPr>
          </w:p>
        </w:tc>
        <w:tc>
          <w:tcPr>
            <w:tcW w:w="1276" w:type="dxa"/>
            <w:shd w:val="clear" w:color="auto" w:fill="BDD7EE"/>
            <w:vAlign w:val="center"/>
            <w:hideMark/>
          </w:tcPr>
          <w:p w14:paraId="6E4FA4C2" w14:textId="39724F32" w:rsidR="006054AA" w:rsidRDefault="001F7667">
            <w:pPr>
              <w:pStyle w:val="P68B1DB1-Normal9"/>
              <w:spacing w:after="120"/>
              <w:jc w:val="center"/>
              <w:rPr>
                <w:noProof/>
              </w:rPr>
            </w:pPr>
            <w:r>
              <w:rPr>
                <w:noProof/>
              </w:rPr>
              <w:t>Единица мярка</w:t>
            </w:r>
          </w:p>
        </w:tc>
        <w:tc>
          <w:tcPr>
            <w:tcW w:w="992" w:type="dxa"/>
            <w:shd w:val="clear" w:color="auto" w:fill="BDD7EE"/>
            <w:vAlign w:val="center"/>
            <w:hideMark/>
          </w:tcPr>
          <w:p w14:paraId="00709440" w14:textId="77777777" w:rsidR="006054AA" w:rsidRDefault="001F7667">
            <w:pPr>
              <w:pStyle w:val="P68B1DB1-Normal9"/>
              <w:spacing w:after="120"/>
              <w:jc w:val="center"/>
              <w:rPr>
                <w:noProof/>
              </w:rPr>
            </w:pPr>
            <w:r>
              <w:rPr>
                <w:noProof/>
              </w:rPr>
              <w:t>Базова линия</w:t>
            </w:r>
          </w:p>
        </w:tc>
        <w:tc>
          <w:tcPr>
            <w:tcW w:w="1276" w:type="dxa"/>
            <w:shd w:val="clear" w:color="auto" w:fill="BDD7EE"/>
            <w:vAlign w:val="center"/>
            <w:hideMark/>
          </w:tcPr>
          <w:p w14:paraId="79F412C5" w14:textId="77777777" w:rsidR="006054AA" w:rsidRDefault="001F7667">
            <w:pPr>
              <w:pStyle w:val="P68B1DB1-Normal9"/>
              <w:spacing w:after="120"/>
              <w:jc w:val="center"/>
              <w:rPr>
                <w:noProof/>
              </w:rPr>
            </w:pPr>
            <w:r>
              <w:rPr>
                <w:noProof/>
              </w:rPr>
              <w:t>Цел</w:t>
            </w:r>
          </w:p>
        </w:tc>
        <w:tc>
          <w:tcPr>
            <w:tcW w:w="851" w:type="dxa"/>
            <w:shd w:val="clear" w:color="auto" w:fill="BDD7EE"/>
            <w:vAlign w:val="center"/>
            <w:hideMark/>
          </w:tcPr>
          <w:p w14:paraId="23810043" w14:textId="77777777" w:rsidR="006054AA" w:rsidRDefault="001F7667">
            <w:pPr>
              <w:pStyle w:val="P68B1DB1-Normal9"/>
              <w:spacing w:after="120"/>
              <w:jc w:val="center"/>
              <w:rPr>
                <w:noProof/>
              </w:rPr>
            </w:pPr>
            <w:r>
              <w:rPr>
                <w:noProof/>
              </w:rPr>
              <w:t>Тримесечие</w:t>
            </w:r>
          </w:p>
        </w:tc>
        <w:tc>
          <w:tcPr>
            <w:tcW w:w="708" w:type="dxa"/>
            <w:shd w:val="clear" w:color="auto" w:fill="BDD7EE"/>
            <w:vAlign w:val="center"/>
            <w:hideMark/>
          </w:tcPr>
          <w:p w14:paraId="26F3D08D" w14:textId="77777777" w:rsidR="006054AA" w:rsidRDefault="001F7667">
            <w:pPr>
              <w:pStyle w:val="P68B1DB1-Normal9"/>
              <w:spacing w:after="120"/>
              <w:jc w:val="center"/>
              <w:rPr>
                <w:noProof/>
              </w:rPr>
            </w:pPr>
            <w:r>
              <w:rPr>
                <w:noProof/>
              </w:rPr>
              <w:t>Година</w:t>
            </w:r>
          </w:p>
        </w:tc>
        <w:tc>
          <w:tcPr>
            <w:tcW w:w="3261" w:type="dxa"/>
            <w:vMerge/>
            <w:vAlign w:val="center"/>
            <w:hideMark/>
          </w:tcPr>
          <w:p w14:paraId="72946C43" w14:textId="77777777" w:rsidR="006054AA" w:rsidRDefault="006054AA">
            <w:pPr>
              <w:spacing w:after="120"/>
              <w:jc w:val="center"/>
              <w:rPr>
                <w:rFonts w:ascii="Arial Narrow" w:hAnsi="Arial Narrow"/>
                <w:b/>
                <w:noProof/>
                <w:sz w:val="20"/>
              </w:rPr>
            </w:pPr>
          </w:p>
        </w:tc>
      </w:tr>
      <w:tr w:rsidR="006054AA" w14:paraId="486CEA35" w14:textId="77777777">
        <w:trPr>
          <w:trHeight w:val="309"/>
        </w:trPr>
        <w:tc>
          <w:tcPr>
            <w:tcW w:w="1187" w:type="dxa"/>
            <w:shd w:val="clear" w:color="auto" w:fill="C6EFCE"/>
            <w:noWrap/>
            <w:vAlign w:val="center"/>
          </w:tcPr>
          <w:p w14:paraId="713589D9" w14:textId="05901AC2" w:rsidR="006054AA" w:rsidRDefault="001F7667">
            <w:pPr>
              <w:pStyle w:val="P68B1DB1-Normal11"/>
              <w:spacing w:after="120"/>
              <w:jc w:val="center"/>
              <w:rPr>
                <w:noProof/>
              </w:rPr>
            </w:pPr>
            <w:r>
              <w:rPr>
                <w:noProof/>
              </w:rPr>
              <w:t>M7—35</w:t>
            </w:r>
          </w:p>
        </w:tc>
        <w:tc>
          <w:tcPr>
            <w:tcW w:w="1559" w:type="dxa"/>
            <w:shd w:val="clear" w:color="auto" w:fill="C6EFCE"/>
            <w:noWrap/>
            <w:vAlign w:val="center"/>
          </w:tcPr>
          <w:p w14:paraId="2DF648FD" w14:textId="33E5DD2D" w:rsidR="006054AA" w:rsidRDefault="001F7667">
            <w:pPr>
              <w:pStyle w:val="P68B1DB1-Normal11"/>
              <w:spacing w:after="120"/>
              <w:jc w:val="center"/>
              <w:rPr>
                <w:noProof/>
              </w:rPr>
            </w:pPr>
            <w:r>
              <w:rPr>
                <w:noProof/>
              </w:rPr>
              <w:t>Инвестиция 13: Адриатическа линия, фаза 1 (компресорна станция Sulmona и газопровод Sestino-Minerbio)</w:t>
            </w:r>
          </w:p>
        </w:tc>
        <w:tc>
          <w:tcPr>
            <w:tcW w:w="1134" w:type="dxa"/>
            <w:shd w:val="clear" w:color="auto" w:fill="C6EFCE"/>
            <w:noWrap/>
            <w:vAlign w:val="center"/>
          </w:tcPr>
          <w:p w14:paraId="5C5ACED3" w14:textId="3734F7F6" w:rsidR="006054AA" w:rsidRDefault="001F7667">
            <w:pPr>
              <w:pStyle w:val="P68B1DB1-Normal11"/>
              <w:spacing w:after="120"/>
              <w:jc w:val="center"/>
              <w:rPr>
                <w:noProof/>
              </w:rPr>
            </w:pPr>
            <w:r>
              <w:rPr>
                <w:noProof/>
              </w:rPr>
              <w:t>Ключов етап</w:t>
            </w:r>
          </w:p>
        </w:tc>
        <w:tc>
          <w:tcPr>
            <w:tcW w:w="1417" w:type="dxa"/>
            <w:shd w:val="clear" w:color="auto" w:fill="C6EFCE"/>
            <w:noWrap/>
            <w:vAlign w:val="center"/>
          </w:tcPr>
          <w:p w14:paraId="22BD6858" w14:textId="73FB1B78" w:rsidR="006054AA" w:rsidRDefault="001F7667">
            <w:pPr>
              <w:pStyle w:val="P68B1DB1-Normal11"/>
              <w:spacing w:after="120"/>
              <w:jc w:val="center"/>
              <w:rPr>
                <w:noProof/>
              </w:rPr>
            </w:pPr>
            <w:r>
              <w:rPr>
                <w:noProof/>
              </w:rPr>
              <w:t>Приемане и актуализиране на съответните оценки на въздействието върху околната среда (VIncA)</w:t>
            </w:r>
          </w:p>
        </w:tc>
        <w:tc>
          <w:tcPr>
            <w:tcW w:w="1701" w:type="dxa"/>
            <w:shd w:val="clear" w:color="auto" w:fill="C6EFCE"/>
            <w:noWrap/>
            <w:vAlign w:val="center"/>
          </w:tcPr>
          <w:p w14:paraId="5758BCD4" w14:textId="3204C9DE" w:rsidR="006054AA" w:rsidRDefault="001F7667">
            <w:pPr>
              <w:pStyle w:val="P68B1DB1-Normal11"/>
              <w:spacing w:after="120"/>
              <w:jc w:val="center"/>
              <w:rPr>
                <w:noProof/>
              </w:rPr>
            </w:pPr>
            <w:r>
              <w:rPr>
                <w:noProof/>
              </w:rPr>
              <w:t>Определени ДКО и съответно Винка са преразгледани и приети</w:t>
            </w:r>
          </w:p>
        </w:tc>
        <w:tc>
          <w:tcPr>
            <w:tcW w:w="1276" w:type="dxa"/>
            <w:shd w:val="clear" w:color="auto" w:fill="C6EFCE"/>
            <w:noWrap/>
            <w:vAlign w:val="center"/>
          </w:tcPr>
          <w:p w14:paraId="0250E816"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74E44A03" w14:textId="77777777" w:rsidR="006054AA" w:rsidRDefault="006054AA">
            <w:pPr>
              <w:spacing w:after="120"/>
              <w:jc w:val="center"/>
              <w:rPr>
                <w:rFonts w:ascii="Arial Narrow" w:hAnsi="Arial Narrow"/>
                <w:noProof/>
                <w:color w:val="006100"/>
                <w:sz w:val="20"/>
              </w:rPr>
            </w:pPr>
          </w:p>
        </w:tc>
        <w:tc>
          <w:tcPr>
            <w:tcW w:w="1276" w:type="dxa"/>
            <w:shd w:val="clear" w:color="auto" w:fill="C6EFCE"/>
            <w:noWrap/>
            <w:vAlign w:val="center"/>
          </w:tcPr>
          <w:p w14:paraId="74F853DE" w14:textId="77777777" w:rsidR="006054AA" w:rsidRDefault="006054AA">
            <w:pPr>
              <w:spacing w:after="120"/>
              <w:jc w:val="center"/>
              <w:rPr>
                <w:rFonts w:ascii="Arial Narrow" w:hAnsi="Arial Narrow"/>
                <w:noProof/>
                <w:color w:val="006100"/>
                <w:sz w:val="20"/>
              </w:rPr>
            </w:pPr>
          </w:p>
        </w:tc>
        <w:tc>
          <w:tcPr>
            <w:tcW w:w="851" w:type="dxa"/>
            <w:shd w:val="clear" w:color="auto" w:fill="C6EFCE"/>
            <w:noWrap/>
            <w:vAlign w:val="center"/>
          </w:tcPr>
          <w:p w14:paraId="75B66973" w14:textId="3D8EFBBF" w:rsidR="006054AA" w:rsidRDefault="001F7667">
            <w:pPr>
              <w:pStyle w:val="P68B1DB1-Normal11"/>
              <w:spacing w:after="120"/>
              <w:jc w:val="center"/>
              <w:rPr>
                <w:noProof/>
              </w:rPr>
            </w:pPr>
            <w:r>
              <w:rPr>
                <w:noProof/>
              </w:rPr>
              <w:t>Т1 Г.</w:t>
            </w:r>
          </w:p>
        </w:tc>
        <w:tc>
          <w:tcPr>
            <w:tcW w:w="708" w:type="dxa"/>
            <w:shd w:val="clear" w:color="auto" w:fill="C6EFCE"/>
            <w:noWrap/>
            <w:vAlign w:val="center"/>
          </w:tcPr>
          <w:p w14:paraId="71F86014" w14:textId="197DF872"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10B0ED2E" w14:textId="194F44BE" w:rsidR="006054AA" w:rsidRDefault="001F7667">
            <w:pPr>
              <w:pStyle w:val="P68B1DB1-Normal11"/>
              <w:spacing w:after="120"/>
              <w:rPr>
                <w:noProof/>
              </w:rPr>
            </w:pPr>
            <w:bookmarkStart w:id="7" w:name="_Hlk147330404"/>
            <w:r>
              <w:rPr>
                <w:noProof/>
              </w:rPr>
              <w:t>Италианските органи:</w:t>
            </w:r>
          </w:p>
          <w:p w14:paraId="6E87C74A" w14:textId="77777777" w:rsidR="006054AA" w:rsidRDefault="001F7667">
            <w:pPr>
              <w:pStyle w:val="P68B1DB1-ListParagraph13"/>
              <w:numPr>
                <w:ilvl w:val="0"/>
                <w:numId w:val="22"/>
              </w:numPr>
              <w:spacing w:before="0"/>
              <w:contextualSpacing w:val="0"/>
              <w:jc w:val="left"/>
              <w:rPr>
                <w:noProof/>
              </w:rPr>
            </w:pPr>
            <w:r>
              <w:rPr>
                <w:noProof/>
              </w:rPr>
              <w:t>Определяне на специфичните за зоната природозащитни цели (SSCO) за защитените зони по „Натура 2000“, засегнати от проекта, в съответствие с методиката, приета от Министерството на околната среда и енергийната сигурност през 2022 г. и 2023 г.</w:t>
            </w:r>
          </w:p>
          <w:p w14:paraId="291561E1" w14:textId="77777777" w:rsidR="006054AA" w:rsidRDefault="001F7667">
            <w:pPr>
              <w:pStyle w:val="P68B1DB1-ListParagraph13"/>
              <w:numPr>
                <w:ilvl w:val="0"/>
                <w:numId w:val="22"/>
              </w:numPr>
              <w:spacing w:before="0"/>
              <w:contextualSpacing w:val="0"/>
              <w:jc w:val="left"/>
              <w:rPr>
                <w:noProof/>
              </w:rPr>
            </w:pPr>
            <w:r>
              <w:rPr>
                <w:noProof/>
              </w:rPr>
              <w:t>Да провери подходящите оценки, които вече са извършени съгласно Директивата за местообитанията (Vincas), в светлината на новосъздадените SSCO.</w:t>
            </w:r>
            <w:bookmarkEnd w:id="7"/>
          </w:p>
          <w:p w14:paraId="608AD07B" w14:textId="340B320D" w:rsidR="006054AA" w:rsidRDefault="001F7667">
            <w:pPr>
              <w:pStyle w:val="P68B1DB1-ListParagraph13"/>
              <w:numPr>
                <w:ilvl w:val="0"/>
                <w:numId w:val="22"/>
              </w:numPr>
              <w:spacing w:before="0"/>
              <w:contextualSpacing w:val="0"/>
              <w:jc w:val="left"/>
              <w:rPr>
                <w:noProof/>
              </w:rPr>
            </w:pPr>
            <w:r>
              <w:rPr>
                <w:noProof/>
              </w:rPr>
              <w:t>Актуализиране (ако е необходимо) на подходящите оценки (Vincas), които вече са извършени съгласно Директивата за местообитанията в съответствие с националните насоки от 28 декември 2019 г., и гарантиране на интегрирането им в цялостната процедура за оценка на въздействието върху околната среда.</w:t>
            </w:r>
          </w:p>
        </w:tc>
      </w:tr>
      <w:tr w:rsidR="006054AA" w14:paraId="31A96044" w14:textId="77777777">
        <w:trPr>
          <w:trHeight w:val="309"/>
        </w:trPr>
        <w:tc>
          <w:tcPr>
            <w:tcW w:w="1187" w:type="dxa"/>
            <w:shd w:val="clear" w:color="auto" w:fill="C6EFCE"/>
            <w:noWrap/>
            <w:vAlign w:val="center"/>
          </w:tcPr>
          <w:p w14:paraId="7D048B72" w14:textId="10CDB865" w:rsidR="006054AA" w:rsidRDefault="001F7667">
            <w:pPr>
              <w:pStyle w:val="P68B1DB1-Normal11"/>
              <w:spacing w:after="120"/>
              <w:jc w:val="center"/>
              <w:rPr>
                <w:noProof/>
              </w:rPr>
            </w:pPr>
            <w:r>
              <w:rPr>
                <w:noProof/>
              </w:rPr>
              <w:t>M7—36</w:t>
            </w:r>
          </w:p>
        </w:tc>
        <w:tc>
          <w:tcPr>
            <w:tcW w:w="1559" w:type="dxa"/>
            <w:shd w:val="clear" w:color="auto" w:fill="C6EFCE"/>
            <w:noWrap/>
            <w:vAlign w:val="center"/>
          </w:tcPr>
          <w:p w14:paraId="32668F73" w14:textId="7D327A27" w:rsidR="006054AA" w:rsidRDefault="001F7667">
            <w:pPr>
              <w:pStyle w:val="P68B1DB1-Normal11"/>
              <w:spacing w:after="120"/>
              <w:jc w:val="center"/>
              <w:rPr>
                <w:noProof/>
              </w:rPr>
            </w:pPr>
            <w:r>
              <w:rPr>
                <w:noProof/>
              </w:rPr>
              <w:t>Инвестиция 13: Адриатическа линия, фаза 1 (компресорна станция Sulmona и газопровод Sestino-Minerbio)</w:t>
            </w:r>
          </w:p>
        </w:tc>
        <w:tc>
          <w:tcPr>
            <w:tcW w:w="1134" w:type="dxa"/>
            <w:shd w:val="clear" w:color="auto" w:fill="C6EFCE"/>
            <w:noWrap/>
            <w:vAlign w:val="center"/>
          </w:tcPr>
          <w:p w14:paraId="2399EC25" w14:textId="113656EB" w:rsidR="006054AA" w:rsidRDefault="001F7667">
            <w:pPr>
              <w:pStyle w:val="P68B1DB1-Normal11"/>
              <w:spacing w:after="120"/>
              <w:jc w:val="center"/>
              <w:rPr>
                <w:noProof/>
              </w:rPr>
            </w:pPr>
            <w:r>
              <w:rPr>
                <w:noProof/>
              </w:rPr>
              <w:t>Ключов етап</w:t>
            </w:r>
          </w:p>
        </w:tc>
        <w:tc>
          <w:tcPr>
            <w:tcW w:w="1417" w:type="dxa"/>
            <w:shd w:val="clear" w:color="auto" w:fill="C6EFCE"/>
            <w:noWrap/>
            <w:vAlign w:val="center"/>
          </w:tcPr>
          <w:p w14:paraId="63051836" w14:textId="26318F37" w:rsidR="006054AA" w:rsidRDefault="001F7667">
            <w:pPr>
              <w:pStyle w:val="P68B1DB1-Normal11"/>
              <w:spacing w:after="120"/>
              <w:jc w:val="center"/>
              <w:rPr>
                <w:noProof/>
              </w:rPr>
            </w:pPr>
            <w:r>
              <w:rPr>
                <w:noProof/>
              </w:rPr>
              <w:t>Възлагане на договори</w:t>
            </w:r>
          </w:p>
        </w:tc>
        <w:tc>
          <w:tcPr>
            <w:tcW w:w="1701" w:type="dxa"/>
            <w:shd w:val="clear" w:color="auto" w:fill="C6EFCE"/>
            <w:noWrap/>
            <w:vAlign w:val="center"/>
          </w:tcPr>
          <w:p w14:paraId="557EC87A" w14:textId="554F07E5" w:rsidR="006054AA" w:rsidRDefault="001F7667">
            <w:pPr>
              <w:pStyle w:val="P68B1DB1-Normal11"/>
              <w:spacing w:after="120"/>
              <w:jc w:val="center"/>
              <w:rPr>
                <w:noProof/>
              </w:rPr>
            </w:pPr>
            <w:r>
              <w:rPr>
                <w:noProof/>
              </w:rPr>
              <w:t>Уведомяване за възлагането на поръчки</w:t>
            </w:r>
          </w:p>
        </w:tc>
        <w:tc>
          <w:tcPr>
            <w:tcW w:w="1276" w:type="dxa"/>
            <w:shd w:val="clear" w:color="auto" w:fill="C6EFCE"/>
            <w:noWrap/>
            <w:vAlign w:val="center"/>
          </w:tcPr>
          <w:p w14:paraId="7BDDC9A2" w14:textId="77777777"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068D397A" w14:textId="77777777" w:rsidR="006054AA" w:rsidRDefault="006054AA">
            <w:pPr>
              <w:spacing w:after="120"/>
              <w:jc w:val="center"/>
              <w:rPr>
                <w:rFonts w:ascii="Arial Narrow" w:hAnsi="Arial Narrow"/>
                <w:noProof/>
                <w:color w:val="006100"/>
                <w:sz w:val="20"/>
              </w:rPr>
            </w:pPr>
          </w:p>
        </w:tc>
        <w:tc>
          <w:tcPr>
            <w:tcW w:w="1276" w:type="dxa"/>
            <w:shd w:val="clear" w:color="auto" w:fill="C6EFCE"/>
            <w:noWrap/>
            <w:vAlign w:val="center"/>
          </w:tcPr>
          <w:p w14:paraId="72E2A6E7" w14:textId="77777777" w:rsidR="006054AA" w:rsidRDefault="006054AA">
            <w:pPr>
              <w:spacing w:after="120"/>
              <w:jc w:val="center"/>
              <w:rPr>
                <w:rFonts w:ascii="Arial Narrow" w:hAnsi="Arial Narrow"/>
                <w:noProof/>
                <w:color w:val="006100"/>
                <w:sz w:val="20"/>
              </w:rPr>
            </w:pPr>
          </w:p>
        </w:tc>
        <w:tc>
          <w:tcPr>
            <w:tcW w:w="851" w:type="dxa"/>
            <w:shd w:val="clear" w:color="auto" w:fill="C6EFCE"/>
            <w:noWrap/>
            <w:vAlign w:val="center"/>
          </w:tcPr>
          <w:p w14:paraId="7C29E4D9" w14:textId="3778E963" w:rsidR="006054AA" w:rsidRDefault="001F7667">
            <w:pPr>
              <w:pStyle w:val="P68B1DB1-Normal11"/>
              <w:spacing w:after="120"/>
              <w:jc w:val="center"/>
              <w:rPr>
                <w:noProof/>
              </w:rPr>
            </w:pPr>
            <w:r>
              <w:rPr>
                <w:noProof/>
              </w:rPr>
              <w:t>Т2 Г.</w:t>
            </w:r>
          </w:p>
        </w:tc>
        <w:tc>
          <w:tcPr>
            <w:tcW w:w="708" w:type="dxa"/>
            <w:shd w:val="clear" w:color="auto" w:fill="C6EFCE"/>
            <w:noWrap/>
            <w:vAlign w:val="center"/>
          </w:tcPr>
          <w:p w14:paraId="6E3D5FA0" w14:textId="37FD41F5"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438A74A3" w14:textId="66FBF93C" w:rsidR="006054AA" w:rsidRDefault="001F7667">
            <w:pPr>
              <w:pStyle w:val="P68B1DB1-ListParagraph13"/>
              <w:spacing w:before="0"/>
              <w:ind w:left="0"/>
              <w:contextualSpacing w:val="0"/>
              <w:jc w:val="left"/>
              <w:rPr>
                <w:noProof/>
              </w:rPr>
            </w:pPr>
            <w:r>
              <w:rPr>
                <w:noProof/>
              </w:rPr>
              <w:t>Уведомление за възлагането на всички поръчки за строителните работи, необходими за завършването на компресорната станция Sulmona и газопровода Sestino-Minerbio.</w:t>
            </w:r>
          </w:p>
        </w:tc>
      </w:tr>
      <w:tr w:rsidR="006054AA" w14:paraId="01EC62B7" w14:textId="77777777">
        <w:trPr>
          <w:trHeight w:val="309"/>
        </w:trPr>
        <w:tc>
          <w:tcPr>
            <w:tcW w:w="1187" w:type="dxa"/>
            <w:shd w:val="clear" w:color="auto" w:fill="C6EFCE"/>
            <w:noWrap/>
            <w:vAlign w:val="center"/>
          </w:tcPr>
          <w:p w14:paraId="38961761" w14:textId="73FA1C9D" w:rsidR="006054AA" w:rsidRDefault="001F7667">
            <w:pPr>
              <w:pStyle w:val="P68B1DB1-Normal11"/>
              <w:jc w:val="center"/>
              <w:rPr>
                <w:noProof/>
              </w:rPr>
            </w:pPr>
            <w:r>
              <w:rPr>
                <w:noProof/>
              </w:rPr>
              <w:t>M7—37</w:t>
            </w:r>
          </w:p>
        </w:tc>
        <w:tc>
          <w:tcPr>
            <w:tcW w:w="1559" w:type="dxa"/>
            <w:shd w:val="clear" w:color="auto" w:fill="C6EFCE"/>
            <w:noWrap/>
            <w:vAlign w:val="center"/>
          </w:tcPr>
          <w:p w14:paraId="710BA832" w14:textId="4571C212" w:rsidR="006054AA" w:rsidRDefault="001F7667">
            <w:pPr>
              <w:pStyle w:val="P68B1DB1-Normal11"/>
              <w:jc w:val="center"/>
              <w:rPr>
                <w:noProof/>
              </w:rPr>
            </w:pPr>
            <w:r>
              <w:rPr>
                <w:noProof/>
              </w:rPr>
              <w:t>Инвестиция 13: Адриатическа линия, фаза 1 (компресорна станция Sulmona и газопровод Sestino-Minerbio)</w:t>
            </w:r>
          </w:p>
        </w:tc>
        <w:tc>
          <w:tcPr>
            <w:tcW w:w="1134" w:type="dxa"/>
            <w:shd w:val="clear" w:color="auto" w:fill="C6EFCE"/>
            <w:noWrap/>
            <w:vAlign w:val="center"/>
          </w:tcPr>
          <w:p w14:paraId="67407CB3" w14:textId="14CA213B" w:rsidR="006054AA" w:rsidRDefault="001F7667">
            <w:pPr>
              <w:pStyle w:val="P68B1DB1-Normal11"/>
              <w:jc w:val="center"/>
              <w:rPr>
                <w:noProof/>
              </w:rPr>
            </w:pPr>
            <w:r>
              <w:rPr>
                <w:noProof/>
              </w:rPr>
              <w:t>Ключов етап</w:t>
            </w:r>
          </w:p>
        </w:tc>
        <w:tc>
          <w:tcPr>
            <w:tcW w:w="1417" w:type="dxa"/>
            <w:shd w:val="clear" w:color="auto" w:fill="C6EFCE"/>
            <w:noWrap/>
            <w:vAlign w:val="center"/>
          </w:tcPr>
          <w:p w14:paraId="2FFCC6A8" w14:textId="3902949A" w:rsidR="006054AA" w:rsidRDefault="001F7667">
            <w:pPr>
              <w:pStyle w:val="P68B1DB1-Normal11"/>
              <w:jc w:val="center"/>
              <w:rPr>
                <w:rFonts w:eastAsia="Calibri" w:cstheme="minorHAnsi"/>
                <w:noProof/>
              </w:rPr>
            </w:pPr>
            <w:r>
              <w:rPr>
                <w:noProof/>
              </w:rPr>
              <w:t>Приключване на строителните работи</w:t>
            </w:r>
          </w:p>
        </w:tc>
        <w:tc>
          <w:tcPr>
            <w:tcW w:w="1701" w:type="dxa"/>
            <w:shd w:val="clear" w:color="auto" w:fill="C6EFCE"/>
            <w:noWrap/>
            <w:vAlign w:val="center"/>
          </w:tcPr>
          <w:p w14:paraId="0F5DD687" w14:textId="37983213" w:rsidR="006054AA" w:rsidRDefault="001F7667">
            <w:pPr>
              <w:pStyle w:val="P68B1DB1-Normal11"/>
              <w:jc w:val="center"/>
              <w:rPr>
                <w:noProof/>
              </w:rPr>
            </w:pPr>
            <w:r>
              <w:rPr>
                <w:noProof/>
              </w:rPr>
              <w:t>Уведомление за приключване на строителните работи</w:t>
            </w:r>
          </w:p>
        </w:tc>
        <w:tc>
          <w:tcPr>
            <w:tcW w:w="1276" w:type="dxa"/>
            <w:shd w:val="clear" w:color="auto" w:fill="C6EFCE"/>
            <w:noWrap/>
            <w:vAlign w:val="center"/>
          </w:tcPr>
          <w:p w14:paraId="1DFBB510" w14:textId="633B5F97" w:rsidR="006054AA" w:rsidRDefault="006054AA">
            <w:pPr>
              <w:jc w:val="center"/>
              <w:rPr>
                <w:rFonts w:ascii="Arial Narrow" w:hAnsi="Arial Narrow"/>
                <w:noProof/>
                <w:color w:val="006100"/>
                <w:sz w:val="20"/>
              </w:rPr>
            </w:pPr>
          </w:p>
        </w:tc>
        <w:tc>
          <w:tcPr>
            <w:tcW w:w="992" w:type="dxa"/>
            <w:shd w:val="clear" w:color="auto" w:fill="C6EFCE"/>
            <w:noWrap/>
            <w:vAlign w:val="center"/>
          </w:tcPr>
          <w:p w14:paraId="5C5DED3E" w14:textId="53214C56" w:rsidR="006054AA" w:rsidRDefault="006054AA">
            <w:pPr>
              <w:jc w:val="center"/>
              <w:rPr>
                <w:rFonts w:ascii="Arial Narrow" w:hAnsi="Arial Narrow"/>
                <w:noProof/>
                <w:color w:val="006100"/>
                <w:sz w:val="20"/>
              </w:rPr>
            </w:pPr>
          </w:p>
        </w:tc>
        <w:tc>
          <w:tcPr>
            <w:tcW w:w="1276" w:type="dxa"/>
            <w:shd w:val="clear" w:color="auto" w:fill="C6EFCE"/>
            <w:noWrap/>
            <w:vAlign w:val="center"/>
          </w:tcPr>
          <w:p w14:paraId="1A6359D6" w14:textId="1F386FAF" w:rsidR="006054AA" w:rsidRDefault="006054AA">
            <w:pPr>
              <w:jc w:val="center"/>
              <w:rPr>
                <w:rFonts w:ascii="Arial Narrow" w:hAnsi="Arial Narrow"/>
                <w:noProof/>
                <w:color w:val="006100"/>
                <w:sz w:val="20"/>
              </w:rPr>
            </w:pPr>
          </w:p>
        </w:tc>
        <w:tc>
          <w:tcPr>
            <w:tcW w:w="851" w:type="dxa"/>
            <w:shd w:val="clear" w:color="auto" w:fill="C6EFCE"/>
            <w:noWrap/>
            <w:vAlign w:val="center"/>
          </w:tcPr>
          <w:p w14:paraId="707A394F" w14:textId="4E8AC454" w:rsidR="006054AA" w:rsidRDefault="001F7667">
            <w:pPr>
              <w:pStyle w:val="P68B1DB1-Normal11"/>
              <w:jc w:val="center"/>
              <w:rPr>
                <w:noProof/>
              </w:rPr>
            </w:pPr>
            <w:r>
              <w:rPr>
                <w:noProof/>
              </w:rPr>
              <w:t>Т2 Г.</w:t>
            </w:r>
          </w:p>
        </w:tc>
        <w:tc>
          <w:tcPr>
            <w:tcW w:w="708" w:type="dxa"/>
            <w:shd w:val="clear" w:color="auto" w:fill="C6EFCE"/>
            <w:noWrap/>
            <w:vAlign w:val="center"/>
          </w:tcPr>
          <w:p w14:paraId="1BF59259" w14:textId="3C9AB67D" w:rsidR="006054AA" w:rsidRDefault="001F7667">
            <w:pPr>
              <w:pStyle w:val="P68B1DB1-Normal11"/>
              <w:jc w:val="center"/>
              <w:rPr>
                <w:noProof/>
              </w:rPr>
            </w:pPr>
            <w:r>
              <w:rPr>
                <w:noProof/>
              </w:rPr>
              <w:t>2026</w:t>
            </w:r>
          </w:p>
        </w:tc>
        <w:tc>
          <w:tcPr>
            <w:tcW w:w="3261" w:type="dxa"/>
            <w:shd w:val="clear" w:color="auto" w:fill="C6EFCE"/>
            <w:noWrap/>
            <w:vAlign w:val="center"/>
          </w:tcPr>
          <w:p w14:paraId="36FC238B" w14:textId="19082E71" w:rsidR="006054AA" w:rsidRDefault="001F7667">
            <w:pPr>
              <w:pStyle w:val="P68B1DB1-Normal11"/>
              <w:rPr>
                <w:noProof/>
              </w:rPr>
            </w:pPr>
            <w:r>
              <w:rPr>
                <w:noProof/>
              </w:rPr>
              <w:t>Завършват се компресорната станция Sulmona и газопроводът Sestino-Minerbio.</w:t>
            </w:r>
          </w:p>
        </w:tc>
      </w:tr>
      <w:tr w:rsidR="006054AA" w14:paraId="33F6A0B9" w14:textId="77777777">
        <w:trPr>
          <w:trHeight w:val="309"/>
        </w:trPr>
        <w:tc>
          <w:tcPr>
            <w:tcW w:w="1187" w:type="dxa"/>
            <w:shd w:val="clear" w:color="auto" w:fill="C6EFCE"/>
            <w:noWrap/>
            <w:vAlign w:val="center"/>
          </w:tcPr>
          <w:p w14:paraId="1829C4C0" w14:textId="2AEE70F1" w:rsidR="006054AA" w:rsidRDefault="001F7667">
            <w:pPr>
              <w:pStyle w:val="P68B1DB1-Normal11"/>
              <w:jc w:val="center"/>
              <w:rPr>
                <w:noProof/>
              </w:rPr>
            </w:pPr>
            <w:r>
              <w:rPr>
                <w:noProof/>
              </w:rPr>
              <w:t>M7—38</w:t>
            </w:r>
          </w:p>
        </w:tc>
        <w:tc>
          <w:tcPr>
            <w:tcW w:w="1559" w:type="dxa"/>
            <w:shd w:val="clear" w:color="auto" w:fill="C6EFCE"/>
            <w:noWrap/>
            <w:vAlign w:val="center"/>
          </w:tcPr>
          <w:p w14:paraId="156DBD43" w14:textId="7D45BDBA" w:rsidR="006054AA" w:rsidRDefault="001F7667">
            <w:pPr>
              <w:pStyle w:val="P68B1DB1-Normal11"/>
              <w:jc w:val="center"/>
              <w:rPr>
                <w:noProof/>
              </w:rPr>
            </w:pPr>
            <w:r>
              <w:rPr>
                <w:noProof/>
              </w:rPr>
              <w:t>Инвестиция 14: Трансгранична инфраструктура за износ на газ</w:t>
            </w:r>
          </w:p>
        </w:tc>
        <w:tc>
          <w:tcPr>
            <w:tcW w:w="1134" w:type="dxa"/>
            <w:shd w:val="clear" w:color="auto" w:fill="C6EFCE"/>
            <w:noWrap/>
            <w:vAlign w:val="center"/>
          </w:tcPr>
          <w:p w14:paraId="2E028011" w14:textId="379B4BBF" w:rsidR="006054AA" w:rsidRDefault="001F7667">
            <w:pPr>
              <w:pStyle w:val="P68B1DB1-Normal11"/>
              <w:jc w:val="center"/>
              <w:rPr>
                <w:noProof/>
              </w:rPr>
            </w:pPr>
            <w:r>
              <w:rPr>
                <w:noProof/>
              </w:rPr>
              <w:t>Ключов етап</w:t>
            </w:r>
          </w:p>
        </w:tc>
        <w:tc>
          <w:tcPr>
            <w:tcW w:w="1417" w:type="dxa"/>
            <w:shd w:val="clear" w:color="auto" w:fill="C6EFCE"/>
            <w:noWrap/>
            <w:vAlign w:val="center"/>
          </w:tcPr>
          <w:p w14:paraId="30F7E604" w14:textId="34FEE9B6" w:rsidR="006054AA" w:rsidRDefault="001F7667">
            <w:pPr>
              <w:pStyle w:val="P68B1DB1-Normal11"/>
              <w:jc w:val="center"/>
              <w:rPr>
                <w:noProof/>
              </w:rPr>
            </w:pPr>
            <w:r>
              <w:rPr>
                <w:noProof/>
              </w:rPr>
              <w:t>Възлагане на договори</w:t>
            </w:r>
          </w:p>
        </w:tc>
        <w:tc>
          <w:tcPr>
            <w:tcW w:w="1701" w:type="dxa"/>
            <w:shd w:val="clear" w:color="auto" w:fill="C6EFCE"/>
            <w:noWrap/>
            <w:vAlign w:val="center"/>
          </w:tcPr>
          <w:p w14:paraId="313FF920" w14:textId="128B9C8D" w:rsidR="006054AA" w:rsidRDefault="001F7667">
            <w:pPr>
              <w:pStyle w:val="P68B1DB1-Normal11"/>
              <w:jc w:val="center"/>
              <w:rPr>
                <w:noProof/>
              </w:rPr>
            </w:pPr>
            <w:r>
              <w:rPr>
                <w:noProof/>
              </w:rPr>
              <w:t>Уведомяване за възлагането на поръчки</w:t>
            </w:r>
          </w:p>
        </w:tc>
        <w:tc>
          <w:tcPr>
            <w:tcW w:w="1276" w:type="dxa"/>
            <w:shd w:val="clear" w:color="auto" w:fill="C6EFCE"/>
            <w:noWrap/>
            <w:vAlign w:val="center"/>
          </w:tcPr>
          <w:p w14:paraId="7E451A03" w14:textId="3C32F1DB" w:rsidR="006054AA" w:rsidRDefault="006054AA">
            <w:pPr>
              <w:jc w:val="center"/>
              <w:rPr>
                <w:rFonts w:ascii="Arial Narrow" w:hAnsi="Arial Narrow"/>
                <w:noProof/>
                <w:color w:val="FF0000"/>
                <w:sz w:val="20"/>
              </w:rPr>
            </w:pPr>
          </w:p>
        </w:tc>
        <w:tc>
          <w:tcPr>
            <w:tcW w:w="992" w:type="dxa"/>
            <w:shd w:val="clear" w:color="auto" w:fill="C6EFCE"/>
            <w:noWrap/>
            <w:vAlign w:val="center"/>
          </w:tcPr>
          <w:p w14:paraId="3C03D9AE" w14:textId="77777777" w:rsidR="006054AA" w:rsidRDefault="006054AA">
            <w:pPr>
              <w:jc w:val="center"/>
              <w:rPr>
                <w:rFonts w:ascii="Arial Narrow" w:hAnsi="Arial Narrow"/>
                <w:noProof/>
                <w:color w:val="006100"/>
                <w:sz w:val="20"/>
              </w:rPr>
            </w:pPr>
          </w:p>
        </w:tc>
        <w:tc>
          <w:tcPr>
            <w:tcW w:w="1276" w:type="dxa"/>
            <w:shd w:val="clear" w:color="auto" w:fill="C6EFCE"/>
            <w:noWrap/>
            <w:vAlign w:val="center"/>
          </w:tcPr>
          <w:p w14:paraId="7AC2B3F6" w14:textId="77777777" w:rsidR="006054AA" w:rsidRDefault="006054AA">
            <w:pPr>
              <w:jc w:val="center"/>
              <w:rPr>
                <w:rFonts w:ascii="Arial Narrow" w:hAnsi="Arial Narrow"/>
                <w:noProof/>
                <w:color w:val="006100"/>
                <w:sz w:val="20"/>
              </w:rPr>
            </w:pPr>
          </w:p>
        </w:tc>
        <w:tc>
          <w:tcPr>
            <w:tcW w:w="851" w:type="dxa"/>
            <w:shd w:val="clear" w:color="auto" w:fill="C6EFCE"/>
            <w:noWrap/>
            <w:vAlign w:val="center"/>
          </w:tcPr>
          <w:p w14:paraId="1A7ED6B6" w14:textId="464F3E89" w:rsidR="006054AA" w:rsidRDefault="001F7667">
            <w:pPr>
              <w:pStyle w:val="P68B1DB1-Normal11"/>
              <w:jc w:val="center"/>
              <w:rPr>
                <w:noProof/>
              </w:rPr>
            </w:pPr>
            <w:r>
              <w:rPr>
                <w:noProof/>
              </w:rPr>
              <w:t>Т2 Г.</w:t>
            </w:r>
          </w:p>
        </w:tc>
        <w:tc>
          <w:tcPr>
            <w:tcW w:w="708" w:type="dxa"/>
            <w:shd w:val="clear" w:color="auto" w:fill="C6EFCE"/>
            <w:noWrap/>
            <w:vAlign w:val="center"/>
          </w:tcPr>
          <w:p w14:paraId="0EFFBECA" w14:textId="62B09172" w:rsidR="006054AA" w:rsidRDefault="001F7667">
            <w:pPr>
              <w:pStyle w:val="P68B1DB1-Normal11"/>
              <w:jc w:val="center"/>
              <w:rPr>
                <w:noProof/>
              </w:rPr>
            </w:pPr>
            <w:r>
              <w:rPr>
                <w:noProof/>
              </w:rPr>
              <w:t>2024</w:t>
            </w:r>
          </w:p>
        </w:tc>
        <w:tc>
          <w:tcPr>
            <w:tcW w:w="3261" w:type="dxa"/>
            <w:shd w:val="clear" w:color="auto" w:fill="C6EFCE"/>
            <w:noWrap/>
            <w:vAlign w:val="center"/>
          </w:tcPr>
          <w:p w14:paraId="0447077B" w14:textId="3AB7C980" w:rsidR="006054AA" w:rsidRDefault="001F7667">
            <w:pPr>
              <w:pStyle w:val="P68B1DB1-Normal11"/>
              <w:rPr>
                <w:noProof/>
              </w:rPr>
            </w:pPr>
            <w:r>
              <w:rPr>
                <w:noProof/>
              </w:rPr>
              <w:t>Уведомление за възлагането на всички поръчки за строителните работи, необходими за завършването на компресорната станция Poggio Renatico</w:t>
            </w:r>
          </w:p>
        </w:tc>
      </w:tr>
      <w:tr w:rsidR="006054AA" w14:paraId="5D835847" w14:textId="77777777">
        <w:trPr>
          <w:trHeight w:val="309"/>
        </w:trPr>
        <w:tc>
          <w:tcPr>
            <w:tcW w:w="1187" w:type="dxa"/>
            <w:shd w:val="clear" w:color="auto" w:fill="C6EFCE"/>
            <w:noWrap/>
            <w:vAlign w:val="center"/>
          </w:tcPr>
          <w:p w14:paraId="50FB7CAA" w14:textId="7FFAC309" w:rsidR="006054AA" w:rsidRDefault="001F7667">
            <w:pPr>
              <w:pStyle w:val="P68B1DB1-Normal11"/>
              <w:jc w:val="center"/>
              <w:rPr>
                <w:noProof/>
              </w:rPr>
            </w:pPr>
            <w:r>
              <w:rPr>
                <w:noProof/>
              </w:rPr>
              <w:t>M7—39</w:t>
            </w:r>
          </w:p>
        </w:tc>
        <w:tc>
          <w:tcPr>
            <w:tcW w:w="1559" w:type="dxa"/>
            <w:shd w:val="clear" w:color="auto" w:fill="C6EFCE"/>
            <w:noWrap/>
            <w:vAlign w:val="center"/>
          </w:tcPr>
          <w:p w14:paraId="5AEA7433" w14:textId="01842A7B" w:rsidR="006054AA" w:rsidRDefault="001F7667">
            <w:pPr>
              <w:pStyle w:val="P68B1DB1-Normal11"/>
              <w:jc w:val="center"/>
              <w:rPr>
                <w:noProof/>
              </w:rPr>
            </w:pPr>
            <w:r>
              <w:rPr>
                <w:noProof/>
              </w:rPr>
              <w:t>Инвестиция 14: Трансгранична инфраструктура за износ на газ</w:t>
            </w:r>
          </w:p>
        </w:tc>
        <w:tc>
          <w:tcPr>
            <w:tcW w:w="1134" w:type="dxa"/>
            <w:shd w:val="clear" w:color="auto" w:fill="C6EFCE"/>
            <w:noWrap/>
            <w:vAlign w:val="center"/>
          </w:tcPr>
          <w:p w14:paraId="6F78BEB0" w14:textId="04ACFFD8" w:rsidR="006054AA" w:rsidRDefault="001F7667">
            <w:pPr>
              <w:pStyle w:val="P68B1DB1-Normal11"/>
              <w:jc w:val="center"/>
              <w:rPr>
                <w:noProof/>
              </w:rPr>
            </w:pPr>
            <w:r>
              <w:rPr>
                <w:noProof/>
              </w:rPr>
              <w:t>Ключов етап</w:t>
            </w:r>
          </w:p>
        </w:tc>
        <w:tc>
          <w:tcPr>
            <w:tcW w:w="1417" w:type="dxa"/>
            <w:shd w:val="clear" w:color="auto" w:fill="C6EFCE"/>
            <w:noWrap/>
            <w:vAlign w:val="center"/>
          </w:tcPr>
          <w:p w14:paraId="063850F0" w14:textId="56371B69" w:rsidR="006054AA" w:rsidRDefault="001F7667">
            <w:pPr>
              <w:pStyle w:val="P68B1DB1-Normal11"/>
              <w:jc w:val="center"/>
              <w:rPr>
                <w:noProof/>
              </w:rPr>
            </w:pPr>
            <w:r>
              <w:rPr>
                <w:noProof/>
              </w:rPr>
              <w:t>Приключване на строителните работи</w:t>
            </w:r>
          </w:p>
        </w:tc>
        <w:tc>
          <w:tcPr>
            <w:tcW w:w="1701" w:type="dxa"/>
            <w:shd w:val="clear" w:color="auto" w:fill="C6EFCE"/>
            <w:noWrap/>
            <w:vAlign w:val="center"/>
          </w:tcPr>
          <w:p w14:paraId="3985C95A" w14:textId="386A2345" w:rsidR="006054AA" w:rsidRDefault="001F7667">
            <w:pPr>
              <w:pStyle w:val="P68B1DB1-Normal11"/>
              <w:jc w:val="center"/>
              <w:rPr>
                <w:noProof/>
              </w:rPr>
            </w:pPr>
            <w:r>
              <w:rPr>
                <w:noProof/>
              </w:rPr>
              <w:t>Уведомление за приключване на строителните работи</w:t>
            </w:r>
          </w:p>
        </w:tc>
        <w:tc>
          <w:tcPr>
            <w:tcW w:w="1276" w:type="dxa"/>
            <w:shd w:val="clear" w:color="auto" w:fill="C6EFCE"/>
            <w:noWrap/>
            <w:vAlign w:val="center"/>
          </w:tcPr>
          <w:p w14:paraId="5C8A4415" w14:textId="5AD7E9B4" w:rsidR="006054AA" w:rsidRDefault="006054AA">
            <w:pPr>
              <w:jc w:val="center"/>
              <w:rPr>
                <w:rFonts w:ascii="Arial Narrow" w:hAnsi="Arial Narrow"/>
                <w:noProof/>
                <w:color w:val="006100"/>
                <w:sz w:val="20"/>
              </w:rPr>
            </w:pPr>
          </w:p>
        </w:tc>
        <w:tc>
          <w:tcPr>
            <w:tcW w:w="992" w:type="dxa"/>
            <w:shd w:val="clear" w:color="auto" w:fill="C6EFCE"/>
            <w:noWrap/>
            <w:vAlign w:val="center"/>
          </w:tcPr>
          <w:p w14:paraId="3F62B0EC" w14:textId="282D7DDA" w:rsidR="006054AA" w:rsidRDefault="006054AA">
            <w:pPr>
              <w:jc w:val="center"/>
              <w:rPr>
                <w:rFonts w:ascii="Arial Narrow" w:hAnsi="Arial Narrow"/>
                <w:noProof/>
                <w:color w:val="006100"/>
                <w:sz w:val="20"/>
              </w:rPr>
            </w:pPr>
          </w:p>
        </w:tc>
        <w:tc>
          <w:tcPr>
            <w:tcW w:w="1276" w:type="dxa"/>
            <w:shd w:val="clear" w:color="auto" w:fill="C6EFCE"/>
            <w:noWrap/>
            <w:vAlign w:val="center"/>
          </w:tcPr>
          <w:p w14:paraId="482A18AA" w14:textId="7441D767" w:rsidR="006054AA" w:rsidRDefault="006054AA">
            <w:pPr>
              <w:jc w:val="center"/>
              <w:rPr>
                <w:rFonts w:ascii="Arial Narrow" w:hAnsi="Arial Narrow"/>
                <w:noProof/>
                <w:color w:val="006100"/>
                <w:sz w:val="20"/>
              </w:rPr>
            </w:pPr>
          </w:p>
        </w:tc>
        <w:tc>
          <w:tcPr>
            <w:tcW w:w="851" w:type="dxa"/>
            <w:shd w:val="clear" w:color="auto" w:fill="C6EFCE"/>
            <w:noWrap/>
            <w:vAlign w:val="center"/>
          </w:tcPr>
          <w:p w14:paraId="1200FDD0" w14:textId="3BFB6B59" w:rsidR="006054AA" w:rsidRDefault="001F7667">
            <w:pPr>
              <w:pStyle w:val="P68B1DB1-Normal11"/>
              <w:jc w:val="center"/>
              <w:rPr>
                <w:noProof/>
              </w:rPr>
            </w:pPr>
            <w:r>
              <w:rPr>
                <w:noProof/>
              </w:rPr>
              <w:t>Т2 Г.</w:t>
            </w:r>
          </w:p>
        </w:tc>
        <w:tc>
          <w:tcPr>
            <w:tcW w:w="708" w:type="dxa"/>
            <w:shd w:val="clear" w:color="auto" w:fill="C6EFCE"/>
            <w:noWrap/>
            <w:vAlign w:val="center"/>
          </w:tcPr>
          <w:p w14:paraId="4B15D60D" w14:textId="279807E7" w:rsidR="006054AA" w:rsidRDefault="001F7667">
            <w:pPr>
              <w:pStyle w:val="P68B1DB1-Normal11"/>
              <w:jc w:val="center"/>
              <w:rPr>
                <w:noProof/>
              </w:rPr>
            </w:pPr>
            <w:r>
              <w:rPr>
                <w:noProof/>
              </w:rPr>
              <w:t>2026</w:t>
            </w:r>
          </w:p>
        </w:tc>
        <w:tc>
          <w:tcPr>
            <w:tcW w:w="3261" w:type="dxa"/>
            <w:shd w:val="clear" w:color="auto" w:fill="C6EFCE"/>
            <w:noWrap/>
            <w:vAlign w:val="center"/>
          </w:tcPr>
          <w:p w14:paraId="1FC1811F" w14:textId="5102872E" w:rsidR="006054AA" w:rsidRDefault="001F7667">
            <w:pPr>
              <w:pStyle w:val="P68B1DB1-Normal11"/>
              <w:rPr>
                <w:noProof/>
              </w:rPr>
            </w:pPr>
            <w:r>
              <w:rPr>
                <w:noProof/>
              </w:rPr>
              <w:t>Компресорът в компресорната станция Poggio Renatico трябва да бъде завършен.</w:t>
            </w:r>
          </w:p>
        </w:tc>
      </w:tr>
      <w:tr w:rsidR="006054AA" w14:paraId="19B21631" w14:textId="77777777">
        <w:trPr>
          <w:trHeight w:val="309"/>
        </w:trPr>
        <w:tc>
          <w:tcPr>
            <w:tcW w:w="1187" w:type="dxa"/>
            <w:shd w:val="clear" w:color="auto" w:fill="C6EFCE"/>
            <w:noWrap/>
            <w:vAlign w:val="center"/>
          </w:tcPr>
          <w:p w14:paraId="4C065DBB" w14:textId="36B534DD" w:rsidR="006054AA" w:rsidRDefault="001F7667">
            <w:pPr>
              <w:pStyle w:val="P68B1DB1-Normal11"/>
              <w:jc w:val="center"/>
              <w:rPr>
                <w:noProof/>
              </w:rPr>
            </w:pPr>
            <w:r>
              <w:rPr>
                <w:noProof/>
              </w:rPr>
              <w:t>M7—40</w:t>
            </w:r>
          </w:p>
        </w:tc>
        <w:tc>
          <w:tcPr>
            <w:tcW w:w="1559" w:type="dxa"/>
            <w:shd w:val="clear" w:color="auto" w:fill="C6EFCE"/>
            <w:noWrap/>
            <w:vAlign w:val="center"/>
          </w:tcPr>
          <w:p w14:paraId="2B46A7E0" w14:textId="3012751A" w:rsidR="006054AA" w:rsidRDefault="001F7667">
            <w:pPr>
              <w:pStyle w:val="P68B1DB1-Normal11"/>
              <w:jc w:val="center"/>
              <w:rPr>
                <w:noProof/>
              </w:rPr>
            </w:pPr>
            <w:r>
              <w:rPr>
                <w:noProof/>
              </w:rPr>
              <w:t>Инвестиция 15: Трансилсионе 5.0 Зелено</w:t>
            </w:r>
          </w:p>
        </w:tc>
        <w:tc>
          <w:tcPr>
            <w:tcW w:w="1134" w:type="dxa"/>
            <w:shd w:val="clear" w:color="auto" w:fill="C6EFCE"/>
            <w:noWrap/>
            <w:vAlign w:val="center"/>
          </w:tcPr>
          <w:p w14:paraId="50A30727" w14:textId="6CC85106" w:rsidR="006054AA" w:rsidRDefault="001F7667">
            <w:pPr>
              <w:pStyle w:val="P68B1DB1-Normal11"/>
              <w:jc w:val="center"/>
              <w:rPr>
                <w:noProof/>
              </w:rPr>
            </w:pPr>
            <w:r>
              <w:rPr>
                <w:noProof/>
              </w:rPr>
              <w:t>Ключов етап</w:t>
            </w:r>
          </w:p>
        </w:tc>
        <w:tc>
          <w:tcPr>
            <w:tcW w:w="1417" w:type="dxa"/>
            <w:shd w:val="clear" w:color="auto" w:fill="C6EFCE"/>
            <w:noWrap/>
            <w:vAlign w:val="center"/>
          </w:tcPr>
          <w:p w14:paraId="195647A6" w14:textId="3B2FE18D" w:rsidR="006054AA" w:rsidRDefault="001F7667">
            <w:pPr>
              <w:pStyle w:val="P68B1DB1-Normal11"/>
              <w:jc w:val="center"/>
              <w:rPr>
                <w:noProof/>
              </w:rPr>
            </w:pPr>
            <w:r>
              <w:rPr>
                <w:noProof/>
              </w:rPr>
              <w:t>Влизане в сила на правния акт за установяване на критериите за допустимите интервенции</w:t>
            </w:r>
          </w:p>
        </w:tc>
        <w:tc>
          <w:tcPr>
            <w:tcW w:w="1701" w:type="dxa"/>
            <w:shd w:val="clear" w:color="auto" w:fill="C6EFCE"/>
            <w:noWrap/>
            <w:vAlign w:val="center"/>
          </w:tcPr>
          <w:p w14:paraId="30FC7F65" w14:textId="0359D165" w:rsidR="006054AA" w:rsidRDefault="001F7667">
            <w:pPr>
              <w:pStyle w:val="P68B1DB1-Normal11"/>
              <w:jc w:val="center"/>
              <w:rPr>
                <w:noProof/>
              </w:rPr>
            </w:pPr>
            <w:r>
              <w:rPr>
                <w:noProof/>
              </w:rPr>
              <w:t>Разпоредба в</w:t>
            </w:r>
          </w:p>
          <w:p w14:paraId="61B000E2" w14:textId="27C2BA7A" w:rsidR="006054AA" w:rsidRDefault="001F7667">
            <w:pPr>
              <w:pStyle w:val="P68B1DB1-Normal11"/>
              <w:jc w:val="center"/>
              <w:rPr>
                <w:noProof/>
              </w:rPr>
            </w:pPr>
            <w:r>
              <w:rPr>
                <w:noProof/>
              </w:rPr>
              <w:t>закон, в който се посочва:</w:t>
            </w:r>
          </w:p>
          <w:p w14:paraId="381ECAF9" w14:textId="7478A94B" w:rsidR="006054AA" w:rsidRDefault="001F7667">
            <w:pPr>
              <w:pStyle w:val="P68B1DB1-Normal11"/>
              <w:jc w:val="center"/>
              <w:rPr>
                <w:noProof/>
              </w:rPr>
            </w:pPr>
            <w:r>
              <w:rPr>
                <w:noProof/>
              </w:rPr>
              <w:t>влизането в</w:t>
            </w:r>
          </w:p>
          <w:p w14:paraId="1E077509" w14:textId="105D8961" w:rsidR="006054AA" w:rsidRDefault="001F7667">
            <w:pPr>
              <w:pStyle w:val="P68B1DB1-Normal11"/>
              <w:jc w:val="center"/>
              <w:rPr>
                <w:noProof/>
                <w:color w:val="FF0000"/>
              </w:rPr>
            </w:pPr>
            <w:r>
              <w:rPr>
                <w:noProof/>
              </w:rPr>
              <w:t>сила на закона</w:t>
            </w:r>
          </w:p>
        </w:tc>
        <w:tc>
          <w:tcPr>
            <w:tcW w:w="1276" w:type="dxa"/>
            <w:shd w:val="clear" w:color="auto" w:fill="C6EFCE"/>
            <w:noWrap/>
            <w:vAlign w:val="center"/>
          </w:tcPr>
          <w:p w14:paraId="1F21A9EC" w14:textId="77777777" w:rsidR="006054AA" w:rsidRDefault="006054AA">
            <w:pPr>
              <w:jc w:val="center"/>
              <w:rPr>
                <w:rFonts w:ascii="Arial Narrow" w:hAnsi="Arial Narrow"/>
                <w:noProof/>
                <w:color w:val="006100"/>
                <w:sz w:val="20"/>
              </w:rPr>
            </w:pPr>
          </w:p>
        </w:tc>
        <w:tc>
          <w:tcPr>
            <w:tcW w:w="992" w:type="dxa"/>
            <w:shd w:val="clear" w:color="auto" w:fill="C6EFCE"/>
            <w:noWrap/>
            <w:vAlign w:val="center"/>
          </w:tcPr>
          <w:p w14:paraId="6980796E" w14:textId="77777777" w:rsidR="006054AA" w:rsidRDefault="006054AA">
            <w:pPr>
              <w:jc w:val="center"/>
              <w:rPr>
                <w:rFonts w:ascii="Arial Narrow" w:hAnsi="Arial Narrow"/>
                <w:noProof/>
                <w:color w:val="006100"/>
                <w:sz w:val="20"/>
              </w:rPr>
            </w:pPr>
          </w:p>
        </w:tc>
        <w:tc>
          <w:tcPr>
            <w:tcW w:w="1276" w:type="dxa"/>
            <w:shd w:val="clear" w:color="auto" w:fill="C6EFCE"/>
            <w:noWrap/>
            <w:vAlign w:val="center"/>
          </w:tcPr>
          <w:p w14:paraId="00BF61BB" w14:textId="77777777" w:rsidR="006054AA" w:rsidRDefault="006054AA">
            <w:pPr>
              <w:jc w:val="center"/>
              <w:rPr>
                <w:rFonts w:ascii="Arial Narrow" w:hAnsi="Arial Narrow"/>
                <w:noProof/>
                <w:color w:val="006100"/>
                <w:sz w:val="20"/>
              </w:rPr>
            </w:pPr>
          </w:p>
        </w:tc>
        <w:tc>
          <w:tcPr>
            <w:tcW w:w="851" w:type="dxa"/>
            <w:shd w:val="clear" w:color="auto" w:fill="C6EFCE"/>
            <w:noWrap/>
            <w:vAlign w:val="center"/>
          </w:tcPr>
          <w:p w14:paraId="49150492" w14:textId="1BD5AED0" w:rsidR="006054AA" w:rsidRDefault="001F7667">
            <w:pPr>
              <w:pStyle w:val="P68B1DB1-Normal11"/>
              <w:jc w:val="center"/>
              <w:rPr>
                <w:noProof/>
              </w:rPr>
            </w:pPr>
            <w:r>
              <w:rPr>
                <w:noProof/>
              </w:rPr>
              <w:t>Т1 Г.</w:t>
            </w:r>
          </w:p>
        </w:tc>
        <w:tc>
          <w:tcPr>
            <w:tcW w:w="708" w:type="dxa"/>
            <w:shd w:val="clear" w:color="auto" w:fill="C6EFCE"/>
            <w:noWrap/>
            <w:vAlign w:val="center"/>
          </w:tcPr>
          <w:p w14:paraId="465D3360" w14:textId="6D2B5D18" w:rsidR="006054AA" w:rsidRDefault="001F7667">
            <w:pPr>
              <w:pStyle w:val="P68B1DB1-Normal11"/>
              <w:jc w:val="center"/>
              <w:rPr>
                <w:noProof/>
              </w:rPr>
            </w:pPr>
            <w:r>
              <w:rPr>
                <w:noProof/>
              </w:rPr>
              <w:t>2024</w:t>
            </w:r>
          </w:p>
        </w:tc>
        <w:tc>
          <w:tcPr>
            <w:tcW w:w="3261" w:type="dxa"/>
            <w:shd w:val="clear" w:color="auto" w:fill="C6EFCE"/>
            <w:noWrap/>
            <w:vAlign w:val="center"/>
          </w:tcPr>
          <w:p w14:paraId="0088C31E" w14:textId="69E45F86" w:rsidR="006054AA" w:rsidRDefault="001F7667">
            <w:pPr>
              <w:pStyle w:val="P68B1DB1-Normal11"/>
              <w:rPr>
                <w:noProof/>
              </w:rPr>
            </w:pPr>
            <w:r>
              <w:rPr>
                <w:noProof/>
              </w:rPr>
              <w:t>С правния акт данъчните кредити по Преход 5.0 се предоставят на потенциалните получатели, като се определят критериите за допустимост, включително по отношение на минималните икономии на енергия, и максималния таван на разходите за мярката.</w:t>
            </w:r>
          </w:p>
        </w:tc>
      </w:tr>
      <w:tr w:rsidR="006054AA" w14:paraId="00414DB7" w14:textId="77777777">
        <w:trPr>
          <w:trHeight w:val="64"/>
        </w:trPr>
        <w:tc>
          <w:tcPr>
            <w:tcW w:w="1187" w:type="dxa"/>
            <w:shd w:val="clear" w:color="auto" w:fill="C6EFCE"/>
            <w:noWrap/>
            <w:vAlign w:val="center"/>
          </w:tcPr>
          <w:p w14:paraId="6328F05C" w14:textId="51A45B74" w:rsidR="006054AA" w:rsidRDefault="001F7667">
            <w:pPr>
              <w:pStyle w:val="P68B1DB1-Normal11"/>
              <w:jc w:val="center"/>
              <w:rPr>
                <w:noProof/>
              </w:rPr>
            </w:pPr>
            <w:r>
              <w:rPr>
                <w:noProof/>
              </w:rPr>
              <w:t>M7—41</w:t>
            </w:r>
          </w:p>
        </w:tc>
        <w:tc>
          <w:tcPr>
            <w:tcW w:w="1559" w:type="dxa"/>
            <w:shd w:val="clear" w:color="auto" w:fill="C6EFCE"/>
            <w:noWrap/>
            <w:vAlign w:val="center"/>
          </w:tcPr>
          <w:p w14:paraId="3499E1CC" w14:textId="149658D1" w:rsidR="006054AA" w:rsidRDefault="001F7667">
            <w:pPr>
              <w:pStyle w:val="P68B1DB1-Normal11"/>
              <w:jc w:val="center"/>
              <w:rPr>
                <w:noProof/>
              </w:rPr>
            </w:pPr>
            <w:r>
              <w:rPr>
                <w:noProof/>
              </w:rPr>
              <w:t>Инвестиция 15: Трансилсионе 5.0 Зелено</w:t>
            </w:r>
          </w:p>
        </w:tc>
        <w:tc>
          <w:tcPr>
            <w:tcW w:w="1134" w:type="dxa"/>
            <w:shd w:val="clear" w:color="auto" w:fill="C6EFCE"/>
            <w:noWrap/>
            <w:vAlign w:val="center"/>
          </w:tcPr>
          <w:p w14:paraId="0E7829ED" w14:textId="32C6B92B" w:rsidR="006054AA" w:rsidRDefault="001F7667">
            <w:pPr>
              <w:pStyle w:val="P68B1DB1-Normal11"/>
              <w:jc w:val="center"/>
              <w:rPr>
                <w:noProof/>
              </w:rPr>
            </w:pPr>
            <w:r>
              <w:rPr>
                <w:noProof/>
              </w:rPr>
              <w:t>Целеви</w:t>
            </w:r>
          </w:p>
        </w:tc>
        <w:tc>
          <w:tcPr>
            <w:tcW w:w="1417" w:type="dxa"/>
            <w:shd w:val="clear" w:color="auto" w:fill="C6EFCE"/>
            <w:noWrap/>
            <w:vAlign w:val="center"/>
          </w:tcPr>
          <w:p w14:paraId="32ED2245" w14:textId="69E7A026" w:rsidR="006054AA" w:rsidRDefault="001F7667">
            <w:pPr>
              <w:pStyle w:val="P68B1DB1-Normal11"/>
              <w:jc w:val="center"/>
              <w:rPr>
                <w:noProof/>
              </w:rPr>
            </w:pPr>
            <w:r>
              <w:rPr>
                <w:noProof/>
              </w:rPr>
              <w:t>Предоставяне на ресурси по МВУ</w:t>
            </w:r>
          </w:p>
        </w:tc>
        <w:tc>
          <w:tcPr>
            <w:tcW w:w="1701" w:type="dxa"/>
            <w:shd w:val="clear" w:color="auto" w:fill="C6EFCE"/>
            <w:noWrap/>
            <w:vAlign w:val="center"/>
          </w:tcPr>
          <w:p w14:paraId="4E487B3F" w14:textId="77777777" w:rsidR="006054AA" w:rsidRDefault="006054AA">
            <w:pPr>
              <w:jc w:val="center"/>
              <w:rPr>
                <w:rFonts w:ascii="Arial Narrow" w:hAnsi="Arial Narrow"/>
                <w:noProof/>
                <w:color w:val="006100"/>
                <w:sz w:val="20"/>
              </w:rPr>
            </w:pPr>
          </w:p>
        </w:tc>
        <w:tc>
          <w:tcPr>
            <w:tcW w:w="1276" w:type="dxa"/>
            <w:shd w:val="clear" w:color="auto" w:fill="C6EFCE"/>
            <w:noWrap/>
            <w:vAlign w:val="center"/>
          </w:tcPr>
          <w:p w14:paraId="4DACF2FB" w14:textId="682DA812" w:rsidR="006054AA" w:rsidRDefault="001F7667">
            <w:pPr>
              <w:pStyle w:val="P68B1DB1-Normal11"/>
              <w:jc w:val="center"/>
              <w:rPr>
                <w:noProof/>
              </w:rPr>
            </w:pPr>
            <w:r>
              <w:rPr>
                <w:noProof/>
              </w:rPr>
              <w:t>Размер на предоставените ресурси (EUR)</w:t>
            </w:r>
          </w:p>
        </w:tc>
        <w:tc>
          <w:tcPr>
            <w:tcW w:w="992" w:type="dxa"/>
            <w:shd w:val="clear" w:color="auto" w:fill="C6EFCE"/>
            <w:noWrap/>
            <w:vAlign w:val="center"/>
          </w:tcPr>
          <w:p w14:paraId="7EF271E1" w14:textId="54038D51" w:rsidR="006054AA" w:rsidRDefault="001F7667">
            <w:pPr>
              <w:pStyle w:val="P68B1DB1-Normal11"/>
              <w:jc w:val="center"/>
              <w:rPr>
                <w:noProof/>
              </w:rPr>
            </w:pPr>
            <w:r>
              <w:rPr>
                <w:noProof/>
              </w:rPr>
              <w:t>0</w:t>
            </w:r>
          </w:p>
        </w:tc>
        <w:tc>
          <w:tcPr>
            <w:tcW w:w="1276" w:type="dxa"/>
            <w:shd w:val="clear" w:color="auto" w:fill="C6EFCE"/>
            <w:noWrap/>
            <w:vAlign w:val="center"/>
          </w:tcPr>
          <w:p w14:paraId="3607B7C1" w14:textId="367A8864" w:rsidR="006054AA" w:rsidRDefault="001F7667">
            <w:pPr>
              <w:pStyle w:val="P68B1DB1-Normal11"/>
              <w:jc w:val="center"/>
              <w:rPr>
                <w:noProof/>
              </w:rPr>
            </w:pPr>
            <w:r>
              <w:rPr>
                <w:noProof/>
              </w:rPr>
              <w:t>6 300 000 000</w:t>
            </w:r>
          </w:p>
        </w:tc>
        <w:tc>
          <w:tcPr>
            <w:tcW w:w="851" w:type="dxa"/>
            <w:shd w:val="clear" w:color="auto" w:fill="C6EFCE"/>
            <w:noWrap/>
            <w:vAlign w:val="center"/>
          </w:tcPr>
          <w:p w14:paraId="61213A0F" w14:textId="3CBAF6EE" w:rsidR="006054AA" w:rsidRDefault="001F7667">
            <w:pPr>
              <w:pStyle w:val="P68B1DB1-Normal11"/>
              <w:jc w:val="center"/>
              <w:rPr>
                <w:noProof/>
              </w:rPr>
            </w:pPr>
            <w:r>
              <w:rPr>
                <w:noProof/>
              </w:rPr>
              <w:t>Т2 Г.</w:t>
            </w:r>
          </w:p>
        </w:tc>
        <w:tc>
          <w:tcPr>
            <w:tcW w:w="708" w:type="dxa"/>
            <w:shd w:val="clear" w:color="auto" w:fill="C6EFCE"/>
            <w:noWrap/>
            <w:vAlign w:val="center"/>
          </w:tcPr>
          <w:p w14:paraId="52BD2E36" w14:textId="6F54DA2B" w:rsidR="006054AA" w:rsidRDefault="001F7667">
            <w:pPr>
              <w:pStyle w:val="P68B1DB1-Normal11"/>
              <w:jc w:val="center"/>
              <w:rPr>
                <w:noProof/>
              </w:rPr>
            </w:pPr>
            <w:r>
              <w:rPr>
                <w:noProof/>
              </w:rPr>
              <w:t>2026</w:t>
            </w:r>
          </w:p>
        </w:tc>
        <w:tc>
          <w:tcPr>
            <w:tcW w:w="3261" w:type="dxa"/>
            <w:shd w:val="clear" w:color="auto" w:fill="C6EFCE"/>
            <w:noWrap/>
            <w:vAlign w:val="center"/>
          </w:tcPr>
          <w:p w14:paraId="0723B7F5" w14:textId="77777777" w:rsidR="006054AA" w:rsidRDefault="001F7667">
            <w:pPr>
              <w:pStyle w:val="P68B1DB1-Normal11"/>
              <w:rPr>
                <w:noProof/>
              </w:rPr>
            </w:pPr>
            <w:r>
              <w:rPr>
                <w:noProof/>
              </w:rPr>
              <w:t xml:space="preserve">Уведомление за отпускането на всички ресурси по МВУ, предназначени за тази инвестиция. </w:t>
            </w:r>
          </w:p>
          <w:p w14:paraId="0054E269" w14:textId="77777777" w:rsidR="006054AA" w:rsidRDefault="006054AA">
            <w:pPr>
              <w:rPr>
                <w:rFonts w:ascii="Arial Narrow" w:hAnsi="Arial Narrow"/>
                <w:noProof/>
                <w:color w:val="006100"/>
                <w:sz w:val="20"/>
              </w:rPr>
            </w:pPr>
          </w:p>
          <w:p w14:paraId="3EA2A283" w14:textId="537E96A8" w:rsidR="006054AA" w:rsidRDefault="001F7667">
            <w:pPr>
              <w:pStyle w:val="P68B1DB1-Normal11"/>
              <w:rPr>
                <w:noProof/>
              </w:rPr>
            </w:pPr>
            <w:r>
              <w:rPr>
                <w:noProof/>
              </w:rPr>
              <w:t>Задоволителното изпълнение на целта зависи и от публикуването на доклада за оценка на инвестициите по МВУ, за които отговаря Министерството на предприятията и производството в Италия.</w:t>
            </w:r>
          </w:p>
        </w:tc>
      </w:tr>
      <w:tr w:rsidR="006054AA" w14:paraId="7560E5FF" w14:textId="77777777">
        <w:trPr>
          <w:trHeight w:val="309"/>
        </w:trPr>
        <w:tc>
          <w:tcPr>
            <w:tcW w:w="1187" w:type="dxa"/>
            <w:shd w:val="clear" w:color="auto" w:fill="C6EFCE"/>
            <w:noWrap/>
            <w:vAlign w:val="center"/>
          </w:tcPr>
          <w:p w14:paraId="1F12BA52" w14:textId="3755EB26" w:rsidR="006054AA" w:rsidRDefault="001F7667">
            <w:pPr>
              <w:pStyle w:val="P68B1DB1-Normal11"/>
              <w:spacing w:after="120"/>
              <w:jc w:val="center"/>
              <w:rPr>
                <w:noProof/>
              </w:rPr>
            </w:pPr>
            <w:r>
              <w:rPr>
                <w:noProof/>
              </w:rPr>
              <w:t>M7—42</w:t>
            </w:r>
          </w:p>
        </w:tc>
        <w:tc>
          <w:tcPr>
            <w:tcW w:w="1559" w:type="dxa"/>
            <w:shd w:val="clear" w:color="auto" w:fill="C6EFCE"/>
            <w:noWrap/>
            <w:vAlign w:val="center"/>
          </w:tcPr>
          <w:p w14:paraId="2C829290" w14:textId="41B14794" w:rsidR="006054AA" w:rsidRDefault="001F7667">
            <w:pPr>
              <w:pStyle w:val="P68B1DB1-Normal11"/>
              <w:spacing w:after="120"/>
              <w:jc w:val="center"/>
              <w:rPr>
                <w:noProof/>
              </w:rPr>
            </w:pPr>
            <w:r>
              <w:rPr>
                <w:noProof/>
              </w:rPr>
              <w:t>Инвестиция 15: Трансилсионе 5.0 Зелено</w:t>
            </w:r>
          </w:p>
        </w:tc>
        <w:tc>
          <w:tcPr>
            <w:tcW w:w="1134" w:type="dxa"/>
            <w:shd w:val="clear" w:color="auto" w:fill="C6EFCE"/>
            <w:noWrap/>
            <w:vAlign w:val="center"/>
          </w:tcPr>
          <w:p w14:paraId="283D6FB0" w14:textId="51DB775C" w:rsidR="006054AA" w:rsidRDefault="001F7667">
            <w:pPr>
              <w:pStyle w:val="P68B1DB1-Normal11"/>
              <w:spacing w:after="120"/>
              <w:jc w:val="center"/>
              <w:rPr>
                <w:noProof/>
              </w:rPr>
            </w:pPr>
            <w:r>
              <w:rPr>
                <w:noProof/>
              </w:rPr>
              <w:t>Целеви</w:t>
            </w:r>
          </w:p>
        </w:tc>
        <w:tc>
          <w:tcPr>
            <w:tcW w:w="1417" w:type="dxa"/>
            <w:shd w:val="clear" w:color="auto" w:fill="C6EFCE"/>
            <w:noWrap/>
            <w:vAlign w:val="center"/>
          </w:tcPr>
          <w:p w14:paraId="57F27074" w14:textId="242174F6" w:rsidR="006054AA" w:rsidRDefault="001F7667">
            <w:pPr>
              <w:pStyle w:val="P68B1DB1-Normal11"/>
              <w:spacing w:after="120"/>
              <w:jc w:val="center"/>
              <w:rPr>
                <w:noProof/>
              </w:rPr>
            </w:pPr>
            <w:r>
              <w:rPr>
                <w:noProof/>
              </w:rPr>
              <w:t>0.4 млн. т н.е. икономии на енергия при крайното потребление на енергия в периода 2024—2026 г.</w:t>
            </w:r>
          </w:p>
        </w:tc>
        <w:tc>
          <w:tcPr>
            <w:tcW w:w="1701" w:type="dxa"/>
            <w:shd w:val="clear" w:color="auto" w:fill="C6EFCE"/>
            <w:noWrap/>
            <w:vAlign w:val="center"/>
          </w:tcPr>
          <w:p w14:paraId="0AD0F0DB" w14:textId="553F5F56" w:rsidR="006054AA" w:rsidRDefault="006054AA">
            <w:pPr>
              <w:spacing w:after="120"/>
              <w:jc w:val="center"/>
              <w:rPr>
                <w:rFonts w:ascii="Arial Narrow" w:hAnsi="Arial Narrow"/>
                <w:noProof/>
                <w:color w:val="006100"/>
                <w:sz w:val="20"/>
              </w:rPr>
            </w:pPr>
          </w:p>
        </w:tc>
        <w:tc>
          <w:tcPr>
            <w:tcW w:w="1276" w:type="dxa"/>
            <w:shd w:val="clear" w:color="auto" w:fill="C6EFCE"/>
            <w:noWrap/>
            <w:vAlign w:val="center"/>
          </w:tcPr>
          <w:p w14:paraId="0CB4A574" w14:textId="2AEE5686" w:rsidR="006054AA" w:rsidRDefault="001F7667">
            <w:pPr>
              <w:pStyle w:val="P68B1DB1-Normal11"/>
              <w:spacing w:after="120"/>
              <w:jc w:val="center"/>
              <w:rPr>
                <w:noProof/>
              </w:rPr>
            </w:pPr>
            <w:r>
              <w:rPr>
                <w:noProof/>
              </w:rPr>
              <w:t>Mtoe</w:t>
            </w:r>
          </w:p>
        </w:tc>
        <w:tc>
          <w:tcPr>
            <w:tcW w:w="992" w:type="dxa"/>
            <w:shd w:val="clear" w:color="auto" w:fill="C6EFCE"/>
            <w:noWrap/>
            <w:vAlign w:val="center"/>
          </w:tcPr>
          <w:p w14:paraId="093C06D8" w14:textId="2CBA6B1F" w:rsidR="006054AA" w:rsidRDefault="001F7667">
            <w:pPr>
              <w:pStyle w:val="P68B1DB1-Normal11"/>
              <w:spacing w:after="120"/>
              <w:jc w:val="center"/>
              <w:rPr>
                <w:noProof/>
              </w:rPr>
            </w:pPr>
            <w:r>
              <w:rPr>
                <w:noProof/>
              </w:rPr>
              <w:t>0</w:t>
            </w:r>
          </w:p>
        </w:tc>
        <w:tc>
          <w:tcPr>
            <w:tcW w:w="1276" w:type="dxa"/>
            <w:shd w:val="clear" w:color="auto" w:fill="C6EFCE"/>
            <w:noWrap/>
            <w:vAlign w:val="center"/>
          </w:tcPr>
          <w:p w14:paraId="5EDF4CAE" w14:textId="42905948" w:rsidR="006054AA" w:rsidRDefault="001F7667">
            <w:pPr>
              <w:pStyle w:val="P68B1DB1-Normal11"/>
              <w:spacing w:after="120"/>
              <w:jc w:val="center"/>
              <w:rPr>
                <w:noProof/>
              </w:rPr>
            </w:pPr>
            <w:r>
              <w:rPr>
                <w:noProof/>
              </w:rPr>
              <w:t>0.4</w:t>
            </w:r>
          </w:p>
        </w:tc>
        <w:tc>
          <w:tcPr>
            <w:tcW w:w="851" w:type="dxa"/>
            <w:shd w:val="clear" w:color="auto" w:fill="C6EFCE"/>
            <w:noWrap/>
            <w:vAlign w:val="center"/>
          </w:tcPr>
          <w:p w14:paraId="378DA29A" w14:textId="7BD24414" w:rsidR="006054AA" w:rsidRDefault="001F7667">
            <w:pPr>
              <w:pStyle w:val="P68B1DB1-Normal11"/>
              <w:spacing w:after="120"/>
              <w:jc w:val="center"/>
              <w:rPr>
                <w:noProof/>
              </w:rPr>
            </w:pPr>
            <w:r>
              <w:rPr>
                <w:noProof/>
              </w:rPr>
              <w:t>Т2 Г.</w:t>
            </w:r>
          </w:p>
        </w:tc>
        <w:tc>
          <w:tcPr>
            <w:tcW w:w="708" w:type="dxa"/>
            <w:shd w:val="clear" w:color="auto" w:fill="C6EFCE"/>
            <w:noWrap/>
            <w:vAlign w:val="center"/>
          </w:tcPr>
          <w:p w14:paraId="4FA3BD4B" w14:textId="7D08D74F"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57A1CDCC" w14:textId="728DE1DE" w:rsidR="006054AA" w:rsidRDefault="001F7667">
            <w:pPr>
              <w:pStyle w:val="P68B1DB1-Normal11"/>
              <w:spacing w:after="120"/>
              <w:rPr>
                <w:noProof/>
              </w:rPr>
            </w:pPr>
            <w:r>
              <w:rPr>
                <w:noProof/>
              </w:rPr>
              <w:t>Инвестицията генерира 0.4 MTOE икономии на енергия при крайното потребление на енергия в периода 2024—2026 г.</w:t>
            </w:r>
          </w:p>
        </w:tc>
      </w:tr>
      <w:tr w:rsidR="006054AA" w14:paraId="610FEABA" w14:textId="77777777">
        <w:trPr>
          <w:trHeight w:val="309"/>
        </w:trPr>
        <w:tc>
          <w:tcPr>
            <w:tcW w:w="1187" w:type="dxa"/>
            <w:shd w:val="clear" w:color="auto" w:fill="C6EFCE"/>
            <w:noWrap/>
            <w:vAlign w:val="center"/>
          </w:tcPr>
          <w:p w14:paraId="452CD2A7" w14:textId="268F1E30" w:rsidR="006054AA" w:rsidRDefault="001F7667">
            <w:pPr>
              <w:pStyle w:val="P68B1DB1-Normal11"/>
              <w:spacing w:after="120"/>
              <w:jc w:val="center"/>
              <w:rPr>
                <w:noProof/>
              </w:rPr>
            </w:pPr>
            <w:r>
              <w:rPr>
                <w:noProof/>
              </w:rPr>
              <w:t>M7—43</w:t>
            </w:r>
          </w:p>
        </w:tc>
        <w:tc>
          <w:tcPr>
            <w:tcW w:w="1559" w:type="dxa"/>
            <w:shd w:val="clear" w:color="auto" w:fill="C6EFCE"/>
            <w:noWrap/>
            <w:vAlign w:val="center"/>
          </w:tcPr>
          <w:p w14:paraId="639A2E1A" w14:textId="192FCE39" w:rsidR="006054AA" w:rsidRDefault="001F7667">
            <w:pPr>
              <w:pStyle w:val="P68B1DB1-Normal11"/>
              <w:spacing w:after="120"/>
              <w:jc w:val="center"/>
              <w:rPr>
                <w:noProof/>
              </w:rPr>
            </w:pPr>
            <w:r>
              <w:rPr>
                <w:noProof/>
              </w:rPr>
              <w:t>Инвестиция 16: Подкрепа за МСП за собствено производство от възобновяеми енергийни източници</w:t>
            </w:r>
          </w:p>
        </w:tc>
        <w:tc>
          <w:tcPr>
            <w:tcW w:w="1134" w:type="dxa"/>
            <w:shd w:val="clear" w:color="auto" w:fill="C6EFCE"/>
            <w:noWrap/>
            <w:vAlign w:val="center"/>
          </w:tcPr>
          <w:p w14:paraId="2CE788B1" w14:textId="79142297" w:rsidR="006054AA" w:rsidRDefault="001F7667">
            <w:pPr>
              <w:pStyle w:val="P68B1DB1-Normal11"/>
              <w:spacing w:after="120"/>
              <w:jc w:val="center"/>
              <w:rPr>
                <w:noProof/>
              </w:rPr>
            </w:pPr>
            <w:r>
              <w:rPr>
                <w:noProof/>
              </w:rPr>
              <w:t>Ключов етап</w:t>
            </w:r>
          </w:p>
        </w:tc>
        <w:tc>
          <w:tcPr>
            <w:tcW w:w="1417" w:type="dxa"/>
            <w:shd w:val="clear" w:color="auto" w:fill="C6EFCE"/>
            <w:noWrap/>
            <w:vAlign w:val="center"/>
          </w:tcPr>
          <w:p w14:paraId="4973C1B2" w14:textId="65E2CECF" w:rsidR="006054AA" w:rsidRDefault="001F7667">
            <w:pPr>
              <w:pStyle w:val="P68B1DB1-Normal11"/>
              <w:spacing w:after="120"/>
              <w:jc w:val="center"/>
              <w:rPr>
                <w:noProof/>
              </w:rPr>
            </w:pPr>
            <w:r>
              <w:rPr>
                <w:noProof/>
              </w:rPr>
              <w:t>Споразумение за изпълнение</w:t>
            </w:r>
          </w:p>
        </w:tc>
        <w:tc>
          <w:tcPr>
            <w:tcW w:w="1701" w:type="dxa"/>
            <w:shd w:val="clear" w:color="auto" w:fill="C6EFCE"/>
            <w:noWrap/>
            <w:vAlign w:val="center"/>
          </w:tcPr>
          <w:p w14:paraId="78DAA9DE" w14:textId="0E788516" w:rsidR="006054AA" w:rsidRDefault="001F7667">
            <w:pPr>
              <w:pStyle w:val="P68B1DB1-Normal11"/>
              <w:spacing w:after="120"/>
              <w:jc w:val="center"/>
              <w:rPr>
                <w:noProof/>
              </w:rPr>
            </w:pPr>
            <w:r>
              <w:rPr>
                <w:noProof/>
              </w:rPr>
              <w:t>Влизане в сила на споразумението за прилагане</w:t>
            </w:r>
          </w:p>
        </w:tc>
        <w:tc>
          <w:tcPr>
            <w:tcW w:w="1276" w:type="dxa"/>
            <w:shd w:val="clear" w:color="auto" w:fill="C6EFCE"/>
            <w:noWrap/>
            <w:vAlign w:val="center"/>
          </w:tcPr>
          <w:p w14:paraId="77B3B28A" w14:textId="27514BFF"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43D552F1" w14:textId="74DD3ADE" w:rsidR="006054AA" w:rsidRDefault="006054AA">
            <w:pPr>
              <w:spacing w:after="120"/>
              <w:jc w:val="center"/>
              <w:rPr>
                <w:rFonts w:ascii="Arial Narrow" w:hAnsi="Arial Narrow"/>
                <w:noProof/>
                <w:color w:val="006100"/>
                <w:sz w:val="20"/>
              </w:rPr>
            </w:pPr>
          </w:p>
        </w:tc>
        <w:tc>
          <w:tcPr>
            <w:tcW w:w="1276" w:type="dxa"/>
            <w:shd w:val="clear" w:color="auto" w:fill="C6EFCE"/>
            <w:noWrap/>
            <w:vAlign w:val="center"/>
          </w:tcPr>
          <w:p w14:paraId="69DBB64C" w14:textId="6628508E" w:rsidR="006054AA" w:rsidRDefault="006054AA">
            <w:pPr>
              <w:spacing w:after="120"/>
              <w:jc w:val="center"/>
              <w:rPr>
                <w:rFonts w:ascii="Arial Narrow" w:hAnsi="Arial Narrow"/>
                <w:noProof/>
                <w:color w:val="006100"/>
                <w:sz w:val="20"/>
              </w:rPr>
            </w:pPr>
          </w:p>
        </w:tc>
        <w:tc>
          <w:tcPr>
            <w:tcW w:w="851" w:type="dxa"/>
            <w:shd w:val="clear" w:color="auto" w:fill="C6EFCE"/>
            <w:noWrap/>
            <w:vAlign w:val="center"/>
          </w:tcPr>
          <w:p w14:paraId="2CED7E24" w14:textId="492AD846" w:rsidR="006054AA" w:rsidRDefault="001F7667">
            <w:pPr>
              <w:pStyle w:val="P68B1DB1-Normal11"/>
              <w:spacing w:after="120"/>
              <w:jc w:val="center"/>
              <w:rPr>
                <w:noProof/>
              </w:rPr>
            </w:pPr>
            <w:r>
              <w:rPr>
                <w:noProof/>
              </w:rPr>
              <w:t>Т4 Г.</w:t>
            </w:r>
          </w:p>
        </w:tc>
        <w:tc>
          <w:tcPr>
            <w:tcW w:w="708" w:type="dxa"/>
            <w:shd w:val="clear" w:color="auto" w:fill="C6EFCE"/>
            <w:noWrap/>
            <w:vAlign w:val="center"/>
          </w:tcPr>
          <w:p w14:paraId="2E0D0093" w14:textId="25FED716"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43DBC48B" w14:textId="0CB7B2C2" w:rsidR="006054AA" w:rsidRDefault="001F7667">
            <w:pPr>
              <w:pStyle w:val="P68B1DB1-Normal11"/>
              <w:spacing w:after="120"/>
              <w:rPr>
                <w:noProof/>
              </w:rPr>
            </w:pPr>
            <w:r>
              <w:rPr>
                <w:noProof/>
              </w:rPr>
              <w:t>Влизане в сила на споразумението за изпълнение.</w:t>
            </w:r>
          </w:p>
        </w:tc>
      </w:tr>
      <w:tr w:rsidR="006054AA" w14:paraId="232C2BE7" w14:textId="77777777">
        <w:trPr>
          <w:trHeight w:val="309"/>
        </w:trPr>
        <w:tc>
          <w:tcPr>
            <w:tcW w:w="1187" w:type="dxa"/>
            <w:shd w:val="clear" w:color="auto" w:fill="C6EFCE"/>
            <w:noWrap/>
            <w:vAlign w:val="center"/>
          </w:tcPr>
          <w:p w14:paraId="0B66D527" w14:textId="7ED4FCD2" w:rsidR="006054AA" w:rsidRDefault="001F7667">
            <w:pPr>
              <w:pStyle w:val="P68B1DB1-Normal11"/>
              <w:spacing w:after="120"/>
              <w:jc w:val="center"/>
              <w:rPr>
                <w:noProof/>
                <w:color w:val="000000" w:themeColor="text1"/>
              </w:rPr>
            </w:pPr>
            <w:r>
              <w:rPr>
                <w:noProof/>
              </w:rPr>
              <w:t>M7—44</w:t>
            </w:r>
          </w:p>
        </w:tc>
        <w:tc>
          <w:tcPr>
            <w:tcW w:w="1559" w:type="dxa"/>
            <w:shd w:val="clear" w:color="auto" w:fill="C6EFCE"/>
            <w:noWrap/>
            <w:vAlign w:val="center"/>
          </w:tcPr>
          <w:p w14:paraId="030C0167" w14:textId="3D005885" w:rsidR="006054AA" w:rsidRDefault="001F7667">
            <w:pPr>
              <w:pStyle w:val="P68B1DB1-Normal11"/>
              <w:spacing w:after="120"/>
              <w:jc w:val="center"/>
              <w:rPr>
                <w:noProof/>
              </w:rPr>
            </w:pPr>
            <w:r>
              <w:rPr>
                <w:noProof/>
              </w:rPr>
              <w:t>Инвестиция 16: Подкрепа за МСП за собствено производство от възобновяеми енергийни източници</w:t>
            </w:r>
          </w:p>
        </w:tc>
        <w:tc>
          <w:tcPr>
            <w:tcW w:w="1134" w:type="dxa"/>
            <w:shd w:val="clear" w:color="auto" w:fill="C6EFCE"/>
            <w:noWrap/>
            <w:vAlign w:val="center"/>
          </w:tcPr>
          <w:p w14:paraId="7E9E83C9" w14:textId="0581B784" w:rsidR="006054AA" w:rsidRDefault="001F7667">
            <w:pPr>
              <w:pStyle w:val="P68B1DB1-Normal11"/>
              <w:spacing w:after="120"/>
              <w:jc w:val="center"/>
              <w:rPr>
                <w:noProof/>
              </w:rPr>
            </w:pPr>
            <w:r>
              <w:rPr>
                <w:noProof/>
              </w:rPr>
              <w:t>Ключов етап</w:t>
            </w:r>
          </w:p>
        </w:tc>
        <w:tc>
          <w:tcPr>
            <w:tcW w:w="1417" w:type="dxa"/>
            <w:shd w:val="clear" w:color="auto" w:fill="C6EFCE"/>
            <w:noWrap/>
            <w:vAlign w:val="center"/>
          </w:tcPr>
          <w:p w14:paraId="2232BF25" w14:textId="6A78709A" w:rsidR="006054AA" w:rsidRDefault="001F7667">
            <w:pPr>
              <w:pStyle w:val="P68B1DB1-Normal11"/>
              <w:spacing w:after="120"/>
              <w:jc w:val="center"/>
              <w:rPr>
                <w:noProof/>
              </w:rPr>
            </w:pPr>
            <w:r>
              <w:rPr>
                <w:noProof/>
              </w:rPr>
              <w:t>Министерството на предприятията и производителите в Италия е приключило прехвърлянето на средства към Invitalia</w:t>
            </w:r>
          </w:p>
        </w:tc>
        <w:tc>
          <w:tcPr>
            <w:tcW w:w="1701" w:type="dxa"/>
            <w:shd w:val="clear" w:color="auto" w:fill="C6EFCE"/>
            <w:noWrap/>
            <w:vAlign w:val="center"/>
          </w:tcPr>
          <w:p w14:paraId="0FDBA212" w14:textId="332DD118" w:rsidR="006054AA" w:rsidRDefault="001F7667">
            <w:pPr>
              <w:pStyle w:val="P68B1DB1-Normal11"/>
              <w:spacing w:after="120"/>
              <w:jc w:val="center"/>
              <w:rPr>
                <w:noProof/>
              </w:rPr>
            </w:pPr>
            <w:r>
              <w:rPr>
                <w:noProof/>
              </w:rPr>
              <w:t>Удостоверение за прехвърляне</w:t>
            </w:r>
          </w:p>
        </w:tc>
        <w:tc>
          <w:tcPr>
            <w:tcW w:w="1276" w:type="dxa"/>
            <w:shd w:val="clear" w:color="auto" w:fill="C6EFCE"/>
            <w:noWrap/>
            <w:vAlign w:val="center"/>
          </w:tcPr>
          <w:p w14:paraId="77E545C8" w14:textId="730C949F" w:rsidR="006054AA" w:rsidRDefault="006054AA">
            <w:pPr>
              <w:spacing w:after="120"/>
              <w:jc w:val="center"/>
              <w:rPr>
                <w:rFonts w:ascii="Arial Narrow" w:hAnsi="Arial Narrow"/>
                <w:noProof/>
                <w:color w:val="006100"/>
                <w:sz w:val="20"/>
              </w:rPr>
            </w:pPr>
          </w:p>
        </w:tc>
        <w:tc>
          <w:tcPr>
            <w:tcW w:w="992" w:type="dxa"/>
            <w:shd w:val="clear" w:color="auto" w:fill="C6EFCE"/>
            <w:noWrap/>
            <w:vAlign w:val="center"/>
          </w:tcPr>
          <w:p w14:paraId="31B3012B" w14:textId="44AE8049" w:rsidR="006054AA" w:rsidRDefault="006054AA">
            <w:pPr>
              <w:spacing w:after="120"/>
              <w:jc w:val="center"/>
              <w:rPr>
                <w:rFonts w:ascii="Arial Narrow" w:hAnsi="Arial Narrow"/>
                <w:noProof/>
                <w:color w:val="006100"/>
                <w:sz w:val="20"/>
              </w:rPr>
            </w:pPr>
          </w:p>
        </w:tc>
        <w:tc>
          <w:tcPr>
            <w:tcW w:w="1276" w:type="dxa"/>
            <w:shd w:val="clear" w:color="auto" w:fill="C6EFCE"/>
            <w:noWrap/>
            <w:vAlign w:val="center"/>
          </w:tcPr>
          <w:p w14:paraId="3B409DAC" w14:textId="757C5957" w:rsidR="006054AA" w:rsidRDefault="006054AA">
            <w:pPr>
              <w:spacing w:after="120"/>
              <w:jc w:val="center"/>
              <w:rPr>
                <w:rFonts w:ascii="Arial Narrow" w:hAnsi="Arial Narrow"/>
                <w:noProof/>
                <w:color w:val="006100"/>
                <w:sz w:val="20"/>
              </w:rPr>
            </w:pPr>
          </w:p>
        </w:tc>
        <w:tc>
          <w:tcPr>
            <w:tcW w:w="851" w:type="dxa"/>
            <w:shd w:val="clear" w:color="auto" w:fill="C6EFCE"/>
            <w:noWrap/>
            <w:vAlign w:val="center"/>
          </w:tcPr>
          <w:p w14:paraId="38ED9B2A" w14:textId="44F79564" w:rsidR="006054AA" w:rsidRDefault="001F7667">
            <w:pPr>
              <w:pStyle w:val="P68B1DB1-Normal11"/>
              <w:spacing w:after="120"/>
              <w:jc w:val="center"/>
              <w:rPr>
                <w:noProof/>
              </w:rPr>
            </w:pPr>
            <w:r>
              <w:rPr>
                <w:noProof/>
              </w:rPr>
              <w:t>Т4 Г.</w:t>
            </w:r>
          </w:p>
        </w:tc>
        <w:tc>
          <w:tcPr>
            <w:tcW w:w="708" w:type="dxa"/>
            <w:shd w:val="clear" w:color="auto" w:fill="C6EFCE"/>
            <w:noWrap/>
            <w:vAlign w:val="center"/>
          </w:tcPr>
          <w:p w14:paraId="0E665F45" w14:textId="306D1D64" w:rsidR="006054AA" w:rsidRDefault="001F7667">
            <w:pPr>
              <w:pStyle w:val="P68B1DB1-Normal11"/>
              <w:spacing w:after="120"/>
              <w:jc w:val="center"/>
              <w:rPr>
                <w:noProof/>
              </w:rPr>
            </w:pPr>
            <w:r>
              <w:rPr>
                <w:noProof/>
              </w:rPr>
              <w:t>2024</w:t>
            </w:r>
          </w:p>
        </w:tc>
        <w:tc>
          <w:tcPr>
            <w:tcW w:w="3261" w:type="dxa"/>
            <w:shd w:val="clear" w:color="auto" w:fill="C6EFCE"/>
            <w:noWrap/>
            <w:vAlign w:val="center"/>
          </w:tcPr>
          <w:p w14:paraId="086198B6" w14:textId="5E3207C7" w:rsidR="006054AA" w:rsidRDefault="001F7667">
            <w:pPr>
              <w:pStyle w:val="P68B1DB1-Normal11"/>
              <w:spacing w:after="120"/>
              <w:rPr>
                <w:noProof/>
              </w:rPr>
            </w:pPr>
            <w:r>
              <w:rPr>
                <w:noProof/>
              </w:rPr>
              <w:t>Италия прехвърля 320 000 000 EUR на Invitalia за механизма.</w:t>
            </w:r>
          </w:p>
        </w:tc>
      </w:tr>
      <w:tr w:rsidR="006054AA" w14:paraId="14E39A56" w14:textId="77777777">
        <w:trPr>
          <w:trHeight w:val="309"/>
        </w:trPr>
        <w:tc>
          <w:tcPr>
            <w:tcW w:w="1187" w:type="dxa"/>
            <w:shd w:val="clear" w:color="auto" w:fill="C6EFCE"/>
            <w:noWrap/>
            <w:vAlign w:val="center"/>
          </w:tcPr>
          <w:p w14:paraId="4E54FA68" w14:textId="6286BA22" w:rsidR="006054AA" w:rsidRDefault="001F7667">
            <w:pPr>
              <w:pStyle w:val="P68B1DB1-Normal11"/>
              <w:spacing w:after="120"/>
              <w:jc w:val="center"/>
              <w:rPr>
                <w:noProof/>
              </w:rPr>
            </w:pPr>
            <w:r>
              <w:rPr>
                <w:noProof/>
              </w:rPr>
              <w:t>M7—45</w:t>
            </w:r>
          </w:p>
        </w:tc>
        <w:tc>
          <w:tcPr>
            <w:tcW w:w="1559" w:type="dxa"/>
            <w:shd w:val="clear" w:color="auto" w:fill="C6EFCE"/>
            <w:noWrap/>
            <w:vAlign w:val="center"/>
          </w:tcPr>
          <w:p w14:paraId="2D173C14" w14:textId="152E8F33" w:rsidR="006054AA" w:rsidRDefault="001F7667">
            <w:pPr>
              <w:pStyle w:val="P68B1DB1-Normal11"/>
              <w:spacing w:after="120"/>
              <w:jc w:val="center"/>
              <w:rPr>
                <w:noProof/>
              </w:rPr>
            </w:pPr>
            <w:r>
              <w:rPr>
                <w:noProof/>
              </w:rPr>
              <w:t>Инвестиция 16: Подкрепа за МСП за собствено производство от възобновяеми енергийни източници</w:t>
            </w:r>
          </w:p>
        </w:tc>
        <w:tc>
          <w:tcPr>
            <w:tcW w:w="1134" w:type="dxa"/>
            <w:shd w:val="clear" w:color="auto" w:fill="C6EFCE"/>
            <w:noWrap/>
            <w:vAlign w:val="center"/>
          </w:tcPr>
          <w:p w14:paraId="6F688C00" w14:textId="382D013C" w:rsidR="006054AA" w:rsidRDefault="001F7667">
            <w:pPr>
              <w:pStyle w:val="P68B1DB1-Normal11"/>
              <w:spacing w:after="120"/>
              <w:jc w:val="center"/>
              <w:rPr>
                <w:noProof/>
              </w:rPr>
            </w:pPr>
            <w:r>
              <w:rPr>
                <w:noProof/>
              </w:rPr>
              <w:t>Целеви</w:t>
            </w:r>
          </w:p>
        </w:tc>
        <w:tc>
          <w:tcPr>
            <w:tcW w:w="1417" w:type="dxa"/>
            <w:shd w:val="clear" w:color="auto" w:fill="C6EFCE"/>
            <w:noWrap/>
            <w:vAlign w:val="center"/>
          </w:tcPr>
          <w:p w14:paraId="18CFD9CF" w14:textId="212E8BEC" w:rsidR="006054AA" w:rsidRDefault="001F7667">
            <w:pPr>
              <w:pStyle w:val="P68B1DB1-Normal11"/>
              <w:spacing w:after="120"/>
              <w:jc w:val="center"/>
              <w:rPr>
                <w:noProof/>
              </w:rPr>
            </w:pPr>
            <w:r>
              <w:rPr>
                <w:noProof/>
              </w:rPr>
              <w:t>Правни споразумения с крайни бенефициери</w:t>
            </w:r>
          </w:p>
        </w:tc>
        <w:tc>
          <w:tcPr>
            <w:tcW w:w="1701" w:type="dxa"/>
            <w:shd w:val="clear" w:color="auto" w:fill="C6EFCE"/>
            <w:noWrap/>
            <w:vAlign w:val="center"/>
          </w:tcPr>
          <w:p w14:paraId="78E38CC6" w14:textId="11BA8E44" w:rsidR="006054AA" w:rsidRDefault="001F7667">
            <w:pPr>
              <w:pStyle w:val="P68B1DB1-Normal11"/>
              <w:spacing w:after="120"/>
              <w:jc w:val="center"/>
              <w:rPr>
                <w:noProof/>
              </w:rPr>
            </w:pPr>
            <w:r>
              <w:rPr>
                <w:noProof/>
              </w:rPr>
              <w:t>Влизане в сила на актовете за предоставяне на безвъзмездни средства</w:t>
            </w:r>
          </w:p>
        </w:tc>
        <w:tc>
          <w:tcPr>
            <w:tcW w:w="1276" w:type="dxa"/>
            <w:shd w:val="clear" w:color="auto" w:fill="C6EFCE"/>
            <w:noWrap/>
            <w:vAlign w:val="center"/>
          </w:tcPr>
          <w:p w14:paraId="3CF07CA7" w14:textId="77777777" w:rsidR="006054AA" w:rsidRDefault="001F7667">
            <w:pPr>
              <w:pStyle w:val="P68B1DB1-Normal11"/>
              <w:spacing w:after="120"/>
              <w:jc w:val="center"/>
              <w:rPr>
                <w:noProof/>
              </w:rPr>
            </w:pPr>
            <w:r>
              <w:rPr>
                <w:noProof/>
              </w:rPr>
              <w:t>Проценти</w:t>
            </w:r>
          </w:p>
          <w:p w14:paraId="4C9C7912" w14:textId="70EAE41D" w:rsidR="006054AA" w:rsidRDefault="001F7667">
            <w:pPr>
              <w:pStyle w:val="P68B1DB1-Normal11"/>
              <w:spacing w:after="120"/>
              <w:jc w:val="center"/>
              <w:rPr>
                <w:noProof/>
              </w:rPr>
            </w:pPr>
            <w:r>
              <w:rPr>
                <w:noProof/>
              </w:rPr>
              <w:t>(%)</w:t>
            </w:r>
          </w:p>
        </w:tc>
        <w:tc>
          <w:tcPr>
            <w:tcW w:w="992" w:type="dxa"/>
            <w:shd w:val="clear" w:color="auto" w:fill="C6EFCE"/>
            <w:noWrap/>
            <w:vAlign w:val="center"/>
          </w:tcPr>
          <w:p w14:paraId="29DD8C2B" w14:textId="7E3E1761" w:rsidR="006054AA" w:rsidRDefault="001F7667">
            <w:pPr>
              <w:pStyle w:val="P68B1DB1-Normal11"/>
              <w:spacing w:after="120"/>
              <w:jc w:val="center"/>
              <w:rPr>
                <w:noProof/>
              </w:rPr>
            </w:pPr>
            <w:r>
              <w:rPr>
                <w:noProof/>
              </w:rPr>
              <w:t>0</w:t>
            </w:r>
          </w:p>
        </w:tc>
        <w:tc>
          <w:tcPr>
            <w:tcW w:w="1276" w:type="dxa"/>
            <w:shd w:val="clear" w:color="auto" w:fill="C6EFCE"/>
            <w:noWrap/>
            <w:vAlign w:val="center"/>
          </w:tcPr>
          <w:p w14:paraId="3357254A" w14:textId="2F13E557" w:rsidR="006054AA" w:rsidRDefault="001F7667">
            <w:pPr>
              <w:pStyle w:val="P68B1DB1-Normal11"/>
              <w:spacing w:after="120"/>
              <w:jc w:val="center"/>
              <w:rPr>
                <w:noProof/>
              </w:rPr>
            </w:pPr>
            <w:r>
              <w:rPr>
                <w:noProof/>
              </w:rPr>
              <w:t>100 %</w:t>
            </w:r>
          </w:p>
        </w:tc>
        <w:tc>
          <w:tcPr>
            <w:tcW w:w="851" w:type="dxa"/>
            <w:shd w:val="clear" w:color="auto" w:fill="C6EFCE"/>
            <w:noWrap/>
            <w:vAlign w:val="center"/>
          </w:tcPr>
          <w:p w14:paraId="313E4F4A" w14:textId="2952133F" w:rsidR="006054AA" w:rsidRDefault="001F7667">
            <w:pPr>
              <w:pStyle w:val="P68B1DB1-Normal11"/>
              <w:spacing w:after="120"/>
              <w:jc w:val="center"/>
              <w:rPr>
                <w:noProof/>
              </w:rPr>
            </w:pPr>
            <w:r>
              <w:rPr>
                <w:noProof/>
              </w:rPr>
              <w:t>Т2 Г.</w:t>
            </w:r>
          </w:p>
        </w:tc>
        <w:tc>
          <w:tcPr>
            <w:tcW w:w="708" w:type="dxa"/>
            <w:shd w:val="clear" w:color="auto" w:fill="C6EFCE"/>
            <w:noWrap/>
            <w:vAlign w:val="center"/>
          </w:tcPr>
          <w:p w14:paraId="3E74A7B2" w14:textId="4CB92D28" w:rsidR="006054AA" w:rsidRDefault="001F7667">
            <w:pPr>
              <w:pStyle w:val="P68B1DB1-Normal11"/>
              <w:spacing w:after="120"/>
              <w:jc w:val="center"/>
              <w:rPr>
                <w:noProof/>
              </w:rPr>
            </w:pPr>
            <w:r>
              <w:rPr>
                <w:noProof/>
              </w:rPr>
              <w:t>2026</w:t>
            </w:r>
          </w:p>
        </w:tc>
        <w:tc>
          <w:tcPr>
            <w:tcW w:w="3261" w:type="dxa"/>
            <w:shd w:val="clear" w:color="auto" w:fill="C6EFCE"/>
            <w:noWrap/>
            <w:vAlign w:val="center"/>
          </w:tcPr>
          <w:p w14:paraId="1C521B07" w14:textId="5F106AC4" w:rsidR="006054AA" w:rsidRDefault="001F7667">
            <w:pPr>
              <w:pStyle w:val="P68B1DB1-Normal11"/>
              <w:spacing w:after="120"/>
              <w:rPr>
                <w:noProof/>
              </w:rPr>
            </w:pPr>
            <w:r>
              <w:rPr>
                <w:noProof/>
              </w:rPr>
              <w:t xml:space="preserve">Invitalia приема актове за предоставяне в полза на крайни бенефициери за сума, необходима за използване на 100 % от инвестициите по МВУ в размер на 320 000 000 EUR </w:t>
            </w:r>
          </w:p>
        </w:tc>
      </w:tr>
      <w:tr w:rsidR="006054AA" w14:paraId="1A681D32"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664C31" w14:textId="611D425E" w:rsidR="006054AA" w:rsidRDefault="001F7667">
            <w:pPr>
              <w:pStyle w:val="P68B1DB1-Normal11"/>
              <w:spacing w:after="120"/>
              <w:jc w:val="center"/>
              <w:rPr>
                <w:noProof/>
              </w:rPr>
            </w:pPr>
            <w:r>
              <w:rPr>
                <w:noProof/>
              </w:rPr>
              <w:t>M7—46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5D91A" w14:textId="2B6DF6D6" w:rsidR="006054AA" w:rsidRDefault="001F7667">
            <w:pPr>
              <w:pStyle w:val="P68B1DB1-Normal11"/>
              <w:spacing w:after="120"/>
              <w:jc w:val="center"/>
              <w:rPr>
                <w:noProof/>
              </w:rPr>
            </w:pPr>
            <w:r>
              <w:rPr>
                <w:noProof/>
              </w:rPr>
              <w:t>Инвестиция 17: Финансов инструмент за енергийно саниране на обществени и социални жилища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E6AA76" w14:textId="1D2452FD" w:rsidR="006054AA" w:rsidRDefault="001F7667">
            <w:pPr>
              <w:pStyle w:val="P68B1DB1-Normal11"/>
              <w:spacing w:after="120"/>
              <w:jc w:val="center"/>
              <w:rPr>
                <w:noProof/>
              </w:rPr>
            </w:pPr>
            <w:r>
              <w:rPr>
                <w:noProof/>
              </w:rPr>
              <w:t>Ключов етап</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265FEA" w14:textId="77777777" w:rsidR="006054AA" w:rsidRDefault="001F7667">
            <w:pPr>
              <w:pStyle w:val="P68B1DB1-Normal11"/>
              <w:spacing w:after="120"/>
              <w:jc w:val="center"/>
              <w:rPr>
                <w:noProof/>
              </w:rPr>
            </w:pPr>
            <w:r>
              <w:rPr>
                <w:noProof/>
              </w:rPr>
              <w:t>Определяне на целта на заданието</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A4EFA" w14:textId="637CE1A6" w:rsidR="006054AA" w:rsidRDefault="001F7667">
            <w:pPr>
              <w:pStyle w:val="P68B1DB1-Normal11"/>
              <w:spacing w:after="120"/>
              <w:jc w:val="center"/>
              <w:rPr>
                <w:noProof/>
              </w:rPr>
            </w:pPr>
            <w:r>
              <w:rPr>
                <w:noProof/>
              </w:rPr>
              <w:t>Влизане в сила на акта с определяне на мандата на финансовия инструмент</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4A4CA" w14:textId="77777777" w:rsidR="006054AA" w:rsidRDefault="006054AA">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62964D" w14:textId="77777777" w:rsidR="006054AA" w:rsidRDefault="006054AA">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D54D" w14:textId="77777777" w:rsidR="006054AA" w:rsidRDefault="006054AA">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FAFD5" w14:textId="6DE81B87" w:rsidR="006054AA" w:rsidRDefault="001F7667">
            <w:pPr>
              <w:pStyle w:val="P68B1DB1-Normal11"/>
              <w:spacing w:after="120"/>
              <w:jc w:val="center"/>
              <w:rPr>
                <w:noProof/>
              </w:rPr>
            </w:pPr>
            <w:r>
              <w:rPr>
                <w:noProof/>
              </w:rPr>
              <w:t>Т3 Г.</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95573" w14:textId="77777777" w:rsidR="006054AA" w:rsidRDefault="001F7667">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41FD2CD" w14:textId="6EFF6143" w:rsidR="006054AA" w:rsidRDefault="001F7667">
            <w:pPr>
              <w:pStyle w:val="P68B1DB1-Normal11"/>
              <w:spacing w:after="120"/>
              <w:rPr>
                <w:noProof/>
              </w:rPr>
            </w:pPr>
            <w:r>
              <w:rPr>
                <w:noProof/>
              </w:rPr>
              <w:t xml:space="preserve">Определяне на мандата на финансовия инструмент, насочен към обществените и социалните жилища и енергийното саниране в домакинства с ниски доходи и уязвими домакинства в многофамилни жилищни сгради. </w:t>
            </w:r>
          </w:p>
          <w:p w14:paraId="13E6DAE4" w14:textId="77777777" w:rsidR="006054AA" w:rsidRDefault="006054AA">
            <w:pPr>
              <w:spacing w:after="120"/>
              <w:rPr>
                <w:rFonts w:ascii="Arial Narrow" w:hAnsi="Arial Narrow"/>
                <w:noProof/>
                <w:color w:val="006100"/>
                <w:sz w:val="20"/>
              </w:rPr>
            </w:pPr>
          </w:p>
        </w:tc>
      </w:tr>
      <w:tr w:rsidR="006054AA" w14:paraId="7B6229D6"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34BBC4" w14:textId="59217D68" w:rsidR="006054AA" w:rsidRDefault="001F7667">
            <w:pPr>
              <w:pStyle w:val="P68B1DB1-Normal11"/>
              <w:spacing w:after="120"/>
              <w:jc w:val="center"/>
              <w:rPr>
                <w:noProof/>
              </w:rPr>
            </w:pPr>
            <w:r>
              <w:rPr>
                <w:noProof/>
              </w:rPr>
              <w:t>M7—47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141550" w14:textId="70166B24" w:rsidR="006054AA" w:rsidRDefault="001F7667">
            <w:pPr>
              <w:pStyle w:val="P68B1DB1-Normal11"/>
              <w:spacing w:after="120"/>
              <w:jc w:val="center"/>
              <w:rPr>
                <w:noProof/>
              </w:rPr>
            </w:pPr>
            <w:r>
              <w:rPr>
                <w:noProof/>
              </w:rPr>
              <w:t>Инвестиция 17: Финансов инструмент за енергийно саниране на обществени и социални жилища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25FFF" w14:textId="0E19BA18" w:rsidR="006054AA" w:rsidRDefault="001F7667">
            <w:pPr>
              <w:pStyle w:val="P68B1DB1-Normal11"/>
              <w:spacing w:after="120"/>
              <w:jc w:val="center"/>
              <w:rPr>
                <w:noProof/>
              </w:rPr>
            </w:pPr>
            <w:r>
              <w:rPr>
                <w:noProof/>
              </w:rPr>
              <w:t>Ключов етап</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9B3D9" w14:textId="77777777" w:rsidR="006054AA" w:rsidRDefault="001F7667">
            <w:pPr>
              <w:pStyle w:val="P68B1DB1-Normal11"/>
              <w:spacing w:after="120"/>
              <w:jc w:val="center"/>
              <w:rPr>
                <w:noProof/>
              </w:rPr>
            </w:pPr>
            <w:r>
              <w:rPr>
                <w:noProof/>
              </w:rPr>
              <w:t>Споразумение за изпълнение</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54933" w14:textId="77777777" w:rsidR="006054AA" w:rsidRDefault="001F7667">
            <w:pPr>
              <w:pStyle w:val="P68B1DB1-Normal11"/>
              <w:spacing w:after="120"/>
              <w:jc w:val="center"/>
              <w:rPr>
                <w:noProof/>
              </w:rPr>
            </w:pPr>
            <w:r>
              <w:rPr>
                <w:noProof/>
              </w:rPr>
              <w:t>Влизане в сила на споразумението за прилагане</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5FA4E" w14:textId="7FBB56B6" w:rsidR="006054AA" w:rsidRDefault="006054AA">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504579" w14:textId="50FA91E1" w:rsidR="006054AA" w:rsidRDefault="006054AA">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60334" w14:textId="37BB580E" w:rsidR="006054AA" w:rsidRDefault="006054AA">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5D057" w14:textId="72D76196" w:rsidR="006054AA" w:rsidRDefault="001F7667">
            <w:pPr>
              <w:pStyle w:val="P68B1DB1-Normal11"/>
              <w:spacing w:after="120"/>
              <w:jc w:val="center"/>
              <w:rPr>
                <w:noProof/>
              </w:rPr>
            </w:pPr>
            <w:r>
              <w:rPr>
                <w:noProof/>
              </w:rPr>
              <w:t>Т1 Г.</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6430A" w14:textId="7E9CA1C1" w:rsidR="006054AA" w:rsidRDefault="001F7667">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5C6C1A1" w14:textId="77777777" w:rsidR="006054AA" w:rsidRDefault="001F7667">
            <w:pPr>
              <w:pStyle w:val="P68B1DB1-Normal11"/>
              <w:spacing w:after="120"/>
              <w:jc w:val="both"/>
              <w:rPr>
                <w:noProof/>
              </w:rPr>
            </w:pPr>
            <w:r>
              <w:rPr>
                <w:noProof/>
              </w:rPr>
              <w:t>Влизане в сила на споразумението за изпълнение в съответствие с изискванията, посочени в описанието на мярката.</w:t>
            </w:r>
          </w:p>
          <w:p w14:paraId="74FF2603" w14:textId="05185265" w:rsidR="006054AA" w:rsidRDefault="001F7667">
            <w:pPr>
              <w:pStyle w:val="P68B1DB1-Normal11"/>
              <w:spacing w:after="120"/>
              <w:jc w:val="both"/>
              <w:rPr>
                <w:noProof/>
              </w:rPr>
            </w:pPr>
            <w:r>
              <w:rPr>
                <w:noProof/>
              </w:rPr>
              <w:t>По-специално споразумението за изпълнение включва критерии за допустимост по отношение на минималното подобрение на енергийната ефективност, което инструментът трябва да постигне (най-малко 30 % намаление на потреблението на първична енергия) и отговарящите на условията домакинства (когато допустимостта се определя въз основа на тяхната уязвимост).</w:t>
            </w:r>
          </w:p>
        </w:tc>
      </w:tr>
      <w:tr w:rsidR="006054AA" w14:paraId="16B3F611"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BF48B" w14:textId="48B3F0C4" w:rsidR="006054AA" w:rsidRDefault="001F7667">
            <w:pPr>
              <w:pStyle w:val="P68B1DB1-Normal11"/>
              <w:spacing w:after="120"/>
              <w:jc w:val="center"/>
              <w:rPr>
                <w:noProof/>
              </w:rPr>
            </w:pPr>
            <w:r>
              <w:rPr>
                <w:noProof/>
              </w:rPr>
              <w:t>M7—48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177CD" w14:textId="6A0F1A40" w:rsidR="006054AA" w:rsidRDefault="001F7667">
            <w:pPr>
              <w:pStyle w:val="P68B1DB1-Normal11"/>
              <w:spacing w:after="120"/>
              <w:jc w:val="center"/>
              <w:rPr>
                <w:noProof/>
              </w:rPr>
            </w:pPr>
            <w:r>
              <w:rPr>
                <w:noProof/>
              </w:rPr>
              <w:t>Инвестиция 17: Финансов инструмент за енергийно саниране на обществени и социални жилища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DBE54" w14:textId="3D7A1AB1" w:rsidR="006054AA" w:rsidRDefault="001F7667">
            <w:pPr>
              <w:pStyle w:val="P68B1DB1-Normal11"/>
              <w:spacing w:after="120"/>
              <w:jc w:val="center"/>
              <w:rPr>
                <w:noProof/>
              </w:rPr>
            </w:pPr>
            <w:r>
              <w:rPr>
                <w:noProof/>
              </w:rPr>
              <w:t>Ключов етап</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619A" w14:textId="77777777" w:rsidR="006054AA" w:rsidRDefault="001F7667">
            <w:pPr>
              <w:pStyle w:val="P68B1DB1-Normal11"/>
              <w:spacing w:after="120"/>
              <w:jc w:val="center"/>
              <w:rPr>
                <w:noProof/>
              </w:rPr>
            </w:pPr>
            <w:r>
              <w:rPr>
                <w:noProof/>
              </w:rPr>
              <w:t>Министерството е приключило инвестицията</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C168E" w14:textId="77777777" w:rsidR="006054AA" w:rsidRDefault="001F7667">
            <w:pPr>
              <w:pStyle w:val="P68B1DB1-Normal11"/>
              <w:spacing w:after="120"/>
              <w:jc w:val="center"/>
              <w:rPr>
                <w:noProof/>
              </w:rPr>
            </w:pPr>
            <w:r>
              <w:rPr>
                <w:noProof/>
              </w:rPr>
              <w:t>Удостоверение за прехвърляне</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A159C" w14:textId="14AB2F04" w:rsidR="006054AA" w:rsidRDefault="001F7667">
            <w:pPr>
              <w:pStyle w:val="P68B1DB1-Normal11"/>
              <w:spacing w:after="120"/>
              <w:jc w:val="center"/>
              <w:rPr>
                <w:noProof/>
              </w:rPr>
            </w:pPr>
            <w:r>
              <w:rPr>
                <w:noProof/>
              </w:rPr>
              <w:t>ЕВРО</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BDB35" w14:textId="717D6BEF" w:rsidR="006054AA" w:rsidRDefault="001F7667">
            <w:pPr>
              <w:pStyle w:val="P68B1DB1-Normal11"/>
              <w:spacing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582C7" w14:textId="69CFA634" w:rsidR="006054AA" w:rsidRDefault="001F7667">
            <w:pPr>
              <w:pStyle w:val="P68B1DB1-Normal11"/>
              <w:spacing w:after="120"/>
              <w:jc w:val="center"/>
              <w:rPr>
                <w:noProof/>
              </w:rPr>
            </w:pPr>
            <w:r>
              <w:rPr>
                <w:noProof/>
              </w:rPr>
              <w:t>1 381 000 000</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6F651" w14:textId="77777777" w:rsidR="006054AA" w:rsidRDefault="001F7667">
            <w:pPr>
              <w:pStyle w:val="P68B1DB1-Normal11"/>
              <w:spacing w:after="120"/>
              <w:jc w:val="center"/>
              <w:rPr>
                <w:noProof/>
              </w:rPr>
            </w:pPr>
            <w:r>
              <w:rPr>
                <w:noProof/>
              </w:rPr>
              <w:t>Т4 Г.</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5C16" w14:textId="77777777" w:rsidR="006054AA" w:rsidRDefault="001F7667">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DDAFF4" w14:textId="09A0E592" w:rsidR="006054AA" w:rsidRDefault="001F7667">
            <w:pPr>
              <w:pStyle w:val="P68B1DB1-Normal11"/>
              <w:spacing w:after="120"/>
              <w:jc w:val="both"/>
              <w:rPr>
                <w:noProof/>
              </w:rPr>
            </w:pPr>
            <w:r>
              <w:rPr>
                <w:noProof/>
              </w:rPr>
              <w:t>Италия прехвърля 1 381 000 000 EUR на партньора по изпълнението за механизма.</w:t>
            </w:r>
          </w:p>
        </w:tc>
      </w:tr>
      <w:tr w:rsidR="006054AA" w14:paraId="4476B6A8"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39629" w14:textId="5FE61AA6" w:rsidR="006054AA" w:rsidRDefault="001F7667">
            <w:pPr>
              <w:pStyle w:val="P68B1DB1-Normal11"/>
              <w:spacing w:after="120"/>
              <w:jc w:val="center"/>
              <w:rPr>
                <w:noProof/>
              </w:rPr>
            </w:pPr>
            <w:r>
              <w:rPr>
                <w:noProof/>
              </w:rPr>
              <w:t>M7—49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46E45" w14:textId="5DFF7438" w:rsidR="006054AA" w:rsidRDefault="001F7667">
            <w:pPr>
              <w:pStyle w:val="P68B1DB1-Normal11"/>
              <w:spacing w:after="120"/>
              <w:jc w:val="center"/>
              <w:rPr>
                <w:noProof/>
              </w:rPr>
            </w:pPr>
            <w:r>
              <w:rPr>
                <w:noProof/>
              </w:rPr>
              <w:t>Инвестиция 17: Финансов инструмент за енергийно саниране на обществени и социални жилища</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742EE" w14:textId="78444F33" w:rsidR="006054AA" w:rsidRDefault="001F7667">
            <w:pPr>
              <w:pStyle w:val="P68B1DB1-Normal11"/>
              <w:spacing w:after="120"/>
              <w:jc w:val="center"/>
              <w:rPr>
                <w:noProof/>
              </w:rPr>
            </w:pPr>
            <w:r>
              <w:rPr>
                <w:noProof/>
              </w:rPr>
              <w:t>Целеви</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F73A8" w14:textId="77777777" w:rsidR="006054AA" w:rsidRDefault="001F7667">
            <w:pPr>
              <w:pStyle w:val="P68B1DB1-Normal11"/>
              <w:spacing w:after="120"/>
              <w:jc w:val="center"/>
              <w:rPr>
                <w:noProof/>
              </w:rPr>
            </w:pPr>
            <w:r>
              <w:rPr>
                <w:noProof/>
              </w:rPr>
              <w:t>Правни споразумения, подписани с крайните бенефициери</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4F403" w14:textId="77777777" w:rsidR="006054AA" w:rsidRDefault="006054AA">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81D3DC" w14:textId="77777777" w:rsidR="006054AA" w:rsidRDefault="001F7667">
            <w:pPr>
              <w:pStyle w:val="P68B1DB1-Normal11"/>
              <w:spacing w:after="120"/>
              <w:jc w:val="center"/>
              <w:rPr>
                <w:noProof/>
              </w:rPr>
            </w:pPr>
            <w:r>
              <w:rPr>
                <w:noProof/>
              </w:rPr>
              <w:t>Процент (%)</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95E50" w14:textId="77777777" w:rsidR="006054AA" w:rsidRDefault="001F7667">
            <w:pPr>
              <w:pStyle w:val="P68B1DB1-Normal11"/>
              <w:spacing w:after="120"/>
              <w:jc w:val="center"/>
              <w:rPr>
                <w:noProof/>
              </w:rPr>
            </w:pPr>
            <w:r>
              <w:rPr>
                <w:noProof/>
              </w:rPr>
              <w:t>0 %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3F02A" w14:textId="77777777" w:rsidR="006054AA" w:rsidRDefault="001F7667">
            <w:pPr>
              <w:pStyle w:val="P68B1DB1-Normal11"/>
              <w:spacing w:after="120"/>
              <w:jc w:val="center"/>
              <w:rPr>
                <w:noProof/>
              </w:rPr>
            </w:pPr>
            <w:r>
              <w:rPr>
                <w:noProof/>
              </w:rPr>
              <w:t>100 %</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15193" w14:textId="77777777" w:rsidR="006054AA" w:rsidRDefault="001F7667">
            <w:pPr>
              <w:pStyle w:val="P68B1DB1-Normal11"/>
              <w:spacing w:after="120"/>
              <w:jc w:val="center"/>
              <w:rPr>
                <w:noProof/>
              </w:rPr>
            </w:pPr>
            <w:r>
              <w:rPr>
                <w:noProof/>
              </w:rPr>
              <w:t>Т2 Г.</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5357D5" w14:textId="77777777" w:rsidR="006054AA" w:rsidRDefault="001F7667">
            <w:pPr>
              <w:pStyle w:val="P68B1DB1-Normal11"/>
              <w:spacing w:after="120"/>
              <w:jc w:val="center"/>
              <w:rPr>
                <w:noProof/>
              </w:rPr>
            </w:pPr>
            <w:r>
              <w:rPr>
                <w:noProof/>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65D61B8" w14:textId="77777777" w:rsidR="006054AA" w:rsidRDefault="001F7667">
            <w:pPr>
              <w:pStyle w:val="P68B1DB1-Normal11"/>
              <w:spacing w:after="120"/>
              <w:jc w:val="both"/>
              <w:rPr>
                <w:noProof/>
              </w:rPr>
            </w:pPr>
            <w:r>
              <w:rPr>
                <w:noProof/>
              </w:rPr>
              <w:t>Партньорът по изпълнението е сключил правни споразумения за финансиране с дружествата за енергийни услуги (ESCO) за сума, необходима за използване на 100 % от инвестициите по МВУ в механизма (като се вземат предвид таксите за управление).</w:t>
            </w:r>
          </w:p>
          <w:p w14:paraId="452407DB" w14:textId="77777777" w:rsidR="006054AA" w:rsidRDefault="001F7667">
            <w:pPr>
              <w:pStyle w:val="P68B1DB1-Normal11"/>
              <w:spacing w:after="120"/>
              <w:jc w:val="both"/>
              <w:rPr>
                <w:noProof/>
              </w:rPr>
            </w:pPr>
            <w:r>
              <w:rPr>
                <w:noProof/>
              </w:rPr>
              <w:t>В споразумението за финансиране с дружествата за енергийни услуги (ESCO) се посочва активът, който ще подлежи на саниране с цел повишаване на енергийната ефективност.</w:t>
            </w:r>
          </w:p>
          <w:p w14:paraId="477A936E" w14:textId="5A72B0FB" w:rsidR="006054AA" w:rsidRDefault="001F7667">
            <w:pPr>
              <w:pStyle w:val="P68B1DB1-Normal11"/>
              <w:spacing w:after="120"/>
              <w:jc w:val="both"/>
              <w:rPr>
                <w:noProof/>
              </w:rPr>
            </w:pPr>
            <w:r>
              <w:rPr>
                <w:noProof/>
              </w:rPr>
              <w:t>100 % от това финансиране допринася за постигането на целите в областта на климата, като се използва методиката в приложение VI към Регламента за МВУ.</w:t>
            </w:r>
          </w:p>
        </w:tc>
      </w:tr>
    </w:tbl>
    <w:p w14:paraId="45F22E0F" w14:textId="77777777" w:rsidR="006054AA" w:rsidRDefault="006054AA">
      <w:pPr>
        <w:spacing w:after="120"/>
        <w:jc w:val="both"/>
        <w:rPr>
          <w:rFonts w:ascii="Calibri" w:eastAsia="Calibri" w:hAnsi="Calibri" w:cs="Calibri"/>
          <w:noProof/>
          <w:color w:val="000000" w:themeColor="text1"/>
        </w:rPr>
        <w:sectPr w:rsidR="006054AA" w:rsidSect="00C9514F">
          <w:headerReference w:type="even" r:id="rId405"/>
          <w:headerReference w:type="default" r:id="rId406"/>
          <w:footerReference w:type="even" r:id="rId407"/>
          <w:footerReference w:type="default" r:id="rId408"/>
          <w:headerReference w:type="first" r:id="rId409"/>
          <w:footerReference w:type="first" r:id="rId410"/>
          <w:pgSz w:w="16838" w:h="11906" w:orient="landscape" w:code="12"/>
          <w:pgMar w:top="1440" w:right="1440" w:bottom="1440" w:left="1440" w:header="567" w:footer="567" w:gutter="0"/>
          <w:cols w:space="720"/>
          <w:docGrid w:linePitch="360"/>
        </w:sectPr>
      </w:pPr>
    </w:p>
    <w:p w14:paraId="4AF9AD57" w14:textId="77777777" w:rsidR="006054AA" w:rsidRDefault="001F7667">
      <w:pPr>
        <w:pStyle w:val="Heading1"/>
        <w:rPr>
          <w:noProof/>
        </w:rPr>
      </w:pPr>
      <w:r>
        <w:rPr>
          <w:noProof/>
        </w:rPr>
        <w:t xml:space="preserve">Прогнозни общи разходи за плана за възстановяване и устойчивост </w:t>
      </w:r>
    </w:p>
    <w:p w14:paraId="53BA8B92" w14:textId="10A433C9" w:rsidR="006054AA" w:rsidRDefault="001F7667">
      <w:pPr>
        <w:pStyle w:val="P68B1DB1-Normal41"/>
        <w:spacing w:before="120" w:after="120"/>
        <w:jc w:val="both"/>
        <w:rPr>
          <w:noProof/>
        </w:rPr>
      </w:pPr>
      <w:r>
        <w:rPr>
          <w:noProof/>
        </w:rPr>
        <w:t>Прогнозните общи разходи за плана за възстановяване и устойчивост на Италия възлизат на 194 415 951 466.</w:t>
      </w:r>
    </w:p>
    <w:p w14:paraId="10B07BC1" w14:textId="77777777" w:rsidR="006054AA" w:rsidRDefault="001F7667">
      <w:pPr>
        <w:pStyle w:val="P68B1DB1-Normal42"/>
        <w:spacing w:before="120" w:after="120"/>
        <w:jc w:val="both"/>
        <w:rPr>
          <w:noProof/>
        </w:rPr>
      </w:pPr>
      <w:r>
        <w:rPr>
          <w:noProof/>
        </w:rPr>
        <w:t>РАЗДЕЛ 2: ФИНАНСОВА ПОДКРЕПА</w:t>
      </w:r>
    </w:p>
    <w:p w14:paraId="06D860FA" w14:textId="77777777" w:rsidR="006054AA" w:rsidRDefault="001F7667">
      <w:pPr>
        <w:pStyle w:val="P68B1DB1-NumPar143"/>
        <w:numPr>
          <w:ilvl w:val="0"/>
          <w:numId w:val="141"/>
        </w:numPr>
        <w:rPr>
          <w:noProof/>
        </w:rPr>
      </w:pPr>
      <w:r>
        <w:rPr>
          <w:noProof/>
        </w:rPr>
        <w:t>Финансов принос</w:t>
      </w:r>
    </w:p>
    <w:p w14:paraId="2E81C0B0" w14:textId="77777777" w:rsidR="006054AA" w:rsidRDefault="001F7667">
      <w:pPr>
        <w:pStyle w:val="P68B1DB1-Normal44"/>
        <w:spacing w:before="120" w:after="120"/>
        <w:ind w:left="850"/>
        <w:jc w:val="both"/>
        <w:rPr>
          <w:noProof/>
        </w:rPr>
      </w:pPr>
      <w:r>
        <w:rPr>
          <w:noProof/>
        </w:rPr>
        <w:t>Вноските, посочени в член 2, параграф 2, се организират по следния начин:</w:t>
      </w:r>
    </w:p>
    <w:p w14:paraId="59D37537" w14:textId="43336A9A" w:rsidR="006054AA" w:rsidRDefault="001F7667">
      <w:pPr>
        <w:pStyle w:val="P68B1DB1-Normal44"/>
        <w:numPr>
          <w:ilvl w:val="1"/>
          <w:numId w:val="6"/>
        </w:numPr>
        <w:spacing w:before="120" w:after="120"/>
        <w:jc w:val="both"/>
        <w:rPr>
          <w:noProof/>
        </w:rPr>
      </w:pPr>
      <w:r>
        <w:rPr>
          <w:noProof/>
        </w:rPr>
        <w:t>Първа вноска (безвъзмездна подкрепа):</w:t>
      </w:r>
    </w:p>
    <w:tbl>
      <w:tblPr>
        <w:tblW w:w="9663" w:type="dxa"/>
        <w:tblInd w:w="113" w:type="dxa"/>
        <w:tblLook w:val="04A0" w:firstRow="1" w:lastRow="0" w:firstColumn="1" w:lastColumn="0" w:noHBand="0" w:noVBand="1"/>
      </w:tblPr>
      <w:tblGrid>
        <w:gridCol w:w="1413"/>
        <w:gridCol w:w="3118"/>
        <w:gridCol w:w="1418"/>
        <w:gridCol w:w="3714"/>
      </w:tblGrid>
      <w:tr w:rsidR="006054AA" w14:paraId="1D626B0F"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3593CA" w14:textId="77777777" w:rsidR="006054AA" w:rsidRDefault="001F7667">
            <w:pPr>
              <w:pStyle w:val="P68B1DB1-Normal45"/>
              <w:jc w:val="center"/>
              <w:rPr>
                <w:noProof/>
              </w:rPr>
            </w:pPr>
            <w:r>
              <w:rPr>
                <w:noProof/>
              </w:rPr>
              <w:t>Пореден номер</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73AB9D" w14:textId="77777777" w:rsidR="006054AA" w:rsidRDefault="001F7667">
            <w:pPr>
              <w:pStyle w:val="P68B1DB1-Normal45"/>
              <w:jc w:val="center"/>
              <w:rPr>
                <w:noProof/>
              </w:rPr>
            </w:pPr>
            <w:r>
              <w:rPr>
                <w:noProof/>
              </w:rPr>
              <w:t>Свързана мярка (реформа или инвестиции)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B8B7562" w14:textId="77777777" w:rsidR="006054AA" w:rsidRDefault="001F7667">
            <w:pPr>
              <w:pStyle w:val="P68B1DB1-Normal45"/>
              <w:jc w:val="center"/>
              <w:rPr>
                <w:noProof/>
              </w:rPr>
            </w:pPr>
            <w:r>
              <w:rPr>
                <w:noProof/>
              </w:rPr>
              <w:t>Ключов етап/Цел</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231827" w14:textId="77777777" w:rsidR="006054AA" w:rsidRDefault="001F7667">
            <w:pPr>
              <w:pStyle w:val="P68B1DB1-Normal45"/>
              <w:jc w:val="center"/>
              <w:rPr>
                <w:noProof/>
              </w:rPr>
            </w:pPr>
            <w:r>
              <w:rPr>
                <w:noProof/>
              </w:rPr>
              <w:t>Име</w:t>
            </w:r>
          </w:p>
        </w:tc>
      </w:tr>
      <w:tr w:rsidR="006054AA" w14:paraId="5C45399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B1DE96" w14:textId="77777777" w:rsidR="006054AA" w:rsidRDefault="006054AA">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B50CEA" w14:textId="77777777" w:rsidR="006054AA" w:rsidRDefault="006054AA">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BD407A" w14:textId="77777777" w:rsidR="006054AA" w:rsidRDefault="006054AA">
            <w:pPr>
              <w:rPr>
                <w:b/>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045F6F80" w14:textId="77777777" w:rsidR="006054AA" w:rsidRDefault="006054AA">
            <w:pPr>
              <w:rPr>
                <w:b/>
                <w:noProof/>
              </w:rPr>
            </w:pPr>
          </w:p>
        </w:tc>
      </w:tr>
      <w:tr w:rsidR="006054AA" w14:paraId="210B8C6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6C06479" w14:textId="77777777" w:rsidR="006054AA" w:rsidRDefault="001F7667">
            <w:pPr>
              <w:pStyle w:val="P68B1DB1-Normal12"/>
              <w:jc w:val="center"/>
              <w:rPr>
                <w:noProof/>
              </w:rPr>
            </w:pPr>
            <w:r>
              <w:rPr>
                <w:noProof/>
              </w:rPr>
              <w:t>M1C1—51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7DDB5C61"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6374010D" w14:textId="77777777" w:rsidR="006054AA" w:rsidRDefault="001F7667">
            <w:pPr>
              <w:pStyle w:val="P68B1DB1-Normal12"/>
              <w:rPr>
                <w:noProof/>
              </w:rPr>
            </w:pPr>
            <w:r>
              <w:rPr>
                <w:noProof/>
              </w:rPr>
              <w:t>Ключов етап</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74594DD3" w14:textId="77777777" w:rsidR="006054AA" w:rsidRDefault="001F7667">
            <w:pPr>
              <w:pStyle w:val="P68B1DB1-Normal12"/>
              <w:rPr>
                <w:noProof/>
              </w:rPr>
            </w:pPr>
            <w:r>
              <w:rPr>
                <w:noProof/>
              </w:rPr>
              <w:t>Влизане в сила на първичното законодателство относно управлението на италианския план за възстановяване и устойчивост</w:t>
            </w:r>
          </w:p>
        </w:tc>
      </w:tr>
      <w:tr w:rsidR="006054AA" w14:paraId="129A27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315B22B" w14:textId="77777777" w:rsidR="006054AA" w:rsidRDefault="001F7667">
            <w:pPr>
              <w:pStyle w:val="P68B1DB1-Normal12"/>
              <w:jc w:val="center"/>
              <w:rPr>
                <w:noProof/>
              </w:rPr>
            </w:pPr>
            <w:r>
              <w:rPr>
                <w:noProof/>
              </w:rPr>
              <w:t>M1C1—52</w:t>
            </w:r>
          </w:p>
        </w:tc>
        <w:tc>
          <w:tcPr>
            <w:tcW w:w="3118" w:type="dxa"/>
            <w:tcBorders>
              <w:top w:val="nil"/>
              <w:left w:val="nil"/>
              <w:bottom w:val="single" w:sz="4" w:space="0" w:color="auto"/>
              <w:right w:val="single" w:sz="4" w:space="0" w:color="auto"/>
            </w:tcBorders>
            <w:shd w:val="clear" w:color="auto" w:fill="C6EFCE"/>
            <w:noWrap/>
            <w:vAlign w:val="center"/>
            <w:hideMark/>
          </w:tcPr>
          <w:p w14:paraId="0260ED4C"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hideMark/>
          </w:tcPr>
          <w:p w14:paraId="5B7C2FA2"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hideMark/>
          </w:tcPr>
          <w:p w14:paraId="463C4E71" w14:textId="77777777" w:rsidR="006054AA" w:rsidRDefault="001F7667">
            <w:pPr>
              <w:pStyle w:val="P68B1DB1-Normal12"/>
              <w:rPr>
                <w:noProof/>
              </w:rPr>
            </w:pPr>
            <w:r>
              <w:rPr>
                <w:noProof/>
              </w:rPr>
              <w:t>Влизане в сила на първичното законодателство за опростяване на административните процедури за изпълнението на италианския план за възстановяване и устойчивост.</w:t>
            </w:r>
          </w:p>
        </w:tc>
      </w:tr>
      <w:tr w:rsidR="006054AA" w14:paraId="4F3DF7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3EF5F31C" w14:textId="77777777" w:rsidR="006054AA" w:rsidRDefault="001F7667">
            <w:pPr>
              <w:pStyle w:val="P68B1DB1-Normal12"/>
              <w:jc w:val="center"/>
              <w:rPr>
                <w:noProof/>
              </w:rPr>
            </w:pPr>
            <w:r>
              <w:rPr>
                <w:noProof/>
              </w:rPr>
              <w:t>M1C1—53</w:t>
            </w:r>
          </w:p>
        </w:tc>
        <w:tc>
          <w:tcPr>
            <w:tcW w:w="3118" w:type="dxa"/>
            <w:tcBorders>
              <w:top w:val="nil"/>
              <w:left w:val="nil"/>
              <w:bottom w:val="single" w:sz="4" w:space="0" w:color="auto"/>
              <w:right w:val="single" w:sz="4" w:space="0" w:color="auto"/>
            </w:tcBorders>
            <w:shd w:val="clear" w:color="auto" w:fill="C6EFCE"/>
            <w:noWrap/>
            <w:vAlign w:val="center"/>
            <w:hideMark/>
          </w:tcPr>
          <w:p w14:paraId="7C7C5AE0" w14:textId="77777777" w:rsidR="006054AA" w:rsidRDefault="001F7667">
            <w:pPr>
              <w:pStyle w:val="P68B1DB1-Normal12"/>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418" w:type="dxa"/>
            <w:tcBorders>
              <w:top w:val="nil"/>
              <w:left w:val="nil"/>
              <w:bottom w:val="single" w:sz="4" w:space="0" w:color="auto"/>
              <w:right w:val="single" w:sz="4" w:space="0" w:color="auto"/>
            </w:tcBorders>
            <w:shd w:val="clear" w:color="auto" w:fill="C6EFCE"/>
            <w:noWrap/>
            <w:vAlign w:val="center"/>
            <w:hideMark/>
          </w:tcPr>
          <w:p w14:paraId="49B73E2F"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hideMark/>
          </w:tcPr>
          <w:p w14:paraId="15D95FD4" w14:textId="77777777" w:rsidR="006054AA" w:rsidRDefault="001F7667">
            <w:pPr>
              <w:pStyle w:val="P68B1DB1-Normal12"/>
              <w:rPr>
                <w:noProof/>
              </w:rPr>
            </w:pPr>
            <w:r>
              <w:rPr>
                <w:noProof/>
              </w:rPr>
              <w:t>Влизане в сила на първичното законодателство за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r>
      <w:tr w:rsidR="006054AA" w14:paraId="507F82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5908C9" w14:textId="77777777" w:rsidR="006054AA" w:rsidRDefault="001F7667">
            <w:pPr>
              <w:pStyle w:val="P68B1DB1-Normal12"/>
              <w:jc w:val="center"/>
              <w:rPr>
                <w:noProof/>
              </w:rPr>
            </w:pPr>
            <w:r>
              <w:rPr>
                <w:noProof/>
              </w:rPr>
              <w:t>M1C1—69</w:t>
            </w:r>
          </w:p>
        </w:tc>
        <w:tc>
          <w:tcPr>
            <w:tcW w:w="3118" w:type="dxa"/>
            <w:tcBorders>
              <w:top w:val="nil"/>
              <w:left w:val="nil"/>
              <w:bottom w:val="single" w:sz="4" w:space="0" w:color="auto"/>
              <w:right w:val="single" w:sz="4" w:space="0" w:color="auto"/>
            </w:tcBorders>
            <w:shd w:val="clear" w:color="auto" w:fill="C6EFCE"/>
            <w:noWrap/>
            <w:vAlign w:val="center"/>
          </w:tcPr>
          <w:p w14:paraId="4DB2C429"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5E1C3B20"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7C15197B" w14:textId="77777777" w:rsidR="006054AA" w:rsidRDefault="001F7667">
            <w:pPr>
              <w:pStyle w:val="P68B1DB1-Normal12"/>
              <w:rPr>
                <w:noProof/>
              </w:rPr>
            </w:pPr>
            <w:r>
              <w:rPr>
                <w:noProof/>
              </w:rPr>
              <w:t>Влизане в сила на Наредбата за опростяване на системата за възлагане на обществени поръчки</w:t>
            </w:r>
          </w:p>
        </w:tc>
      </w:tr>
      <w:tr w:rsidR="006054AA" w14:paraId="1D64D9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4300F" w14:textId="77777777" w:rsidR="006054AA" w:rsidRDefault="001F7667">
            <w:pPr>
              <w:pStyle w:val="P68B1DB1-Normal12"/>
              <w:jc w:val="center"/>
              <w:rPr>
                <w:noProof/>
              </w:rPr>
            </w:pPr>
            <w:r>
              <w:rPr>
                <w:noProof/>
              </w:rPr>
              <w:t>M1C1—1</w:t>
            </w:r>
          </w:p>
        </w:tc>
        <w:tc>
          <w:tcPr>
            <w:tcW w:w="3118" w:type="dxa"/>
            <w:tcBorders>
              <w:top w:val="nil"/>
              <w:left w:val="nil"/>
              <w:bottom w:val="single" w:sz="4" w:space="0" w:color="auto"/>
              <w:right w:val="single" w:sz="4" w:space="0" w:color="auto"/>
            </w:tcBorders>
            <w:shd w:val="clear" w:color="auto" w:fill="C6EFCE"/>
            <w:noWrap/>
            <w:vAlign w:val="center"/>
          </w:tcPr>
          <w:p w14:paraId="09A47762" w14:textId="77777777" w:rsidR="006054AA" w:rsidRDefault="001F7667">
            <w:pPr>
              <w:pStyle w:val="P68B1DB1-Normal12"/>
              <w:rPr>
                <w:noProof/>
              </w:rPr>
            </w:pPr>
            <w:r>
              <w:rPr>
                <w:noProof/>
              </w:rPr>
              <w:t>Реформа 1.1: Обществени поръчки в областта на ИКТ</w:t>
            </w:r>
          </w:p>
        </w:tc>
        <w:tc>
          <w:tcPr>
            <w:tcW w:w="1418" w:type="dxa"/>
            <w:tcBorders>
              <w:top w:val="nil"/>
              <w:left w:val="nil"/>
              <w:bottom w:val="single" w:sz="4" w:space="0" w:color="auto"/>
              <w:right w:val="single" w:sz="4" w:space="0" w:color="auto"/>
            </w:tcBorders>
            <w:shd w:val="clear" w:color="auto" w:fill="C6EFCE"/>
            <w:noWrap/>
            <w:vAlign w:val="center"/>
          </w:tcPr>
          <w:p w14:paraId="0584AC78"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4DD91E1B" w14:textId="77777777" w:rsidR="006054AA" w:rsidRDefault="001F7667">
            <w:pPr>
              <w:pStyle w:val="P68B1DB1-Normal12"/>
              <w:rPr>
                <w:noProof/>
              </w:rPr>
            </w:pPr>
            <w:r>
              <w:rPr>
                <w:noProof/>
              </w:rPr>
              <w:t>Влизане в сила на укази за реформа от 1.1 г. „Обществени поръчки в областта на ИКТ“</w:t>
            </w:r>
          </w:p>
        </w:tc>
      </w:tr>
      <w:tr w:rsidR="006054AA" w14:paraId="445B02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FC18EC" w14:textId="77777777" w:rsidR="006054AA" w:rsidRDefault="001F7667">
            <w:pPr>
              <w:pStyle w:val="P68B1DB1-Normal12"/>
              <w:jc w:val="center"/>
              <w:rPr>
                <w:noProof/>
              </w:rPr>
            </w:pPr>
            <w:r>
              <w:rPr>
                <w:noProof/>
              </w:rPr>
              <w:t>M1C1—2</w:t>
            </w:r>
          </w:p>
        </w:tc>
        <w:tc>
          <w:tcPr>
            <w:tcW w:w="3118" w:type="dxa"/>
            <w:tcBorders>
              <w:top w:val="nil"/>
              <w:left w:val="nil"/>
              <w:bottom w:val="single" w:sz="4" w:space="0" w:color="auto"/>
              <w:right w:val="single" w:sz="4" w:space="0" w:color="auto"/>
            </w:tcBorders>
            <w:shd w:val="clear" w:color="auto" w:fill="C6EFCE"/>
            <w:noWrap/>
            <w:vAlign w:val="center"/>
          </w:tcPr>
          <w:p w14:paraId="2254EFE0" w14:textId="77777777" w:rsidR="006054AA" w:rsidRDefault="001F7667">
            <w:pPr>
              <w:pStyle w:val="P68B1DB1-Normal12"/>
              <w:rPr>
                <w:noProof/>
              </w:rPr>
            </w:pPr>
            <w:r>
              <w:rPr>
                <w:noProof/>
              </w:rPr>
              <w:t>Реформа 1.3: Компютърни услуги „в облак първо“ и оперативна съвместимост</w:t>
            </w:r>
          </w:p>
        </w:tc>
        <w:tc>
          <w:tcPr>
            <w:tcW w:w="1418" w:type="dxa"/>
            <w:tcBorders>
              <w:top w:val="nil"/>
              <w:left w:val="nil"/>
              <w:bottom w:val="single" w:sz="4" w:space="0" w:color="auto"/>
              <w:right w:val="single" w:sz="4" w:space="0" w:color="auto"/>
            </w:tcBorders>
            <w:shd w:val="clear" w:color="auto" w:fill="C6EFCE"/>
            <w:noWrap/>
            <w:vAlign w:val="center"/>
          </w:tcPr>
          <w:p w14:paraId="2F832B8F"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562AD5DA" w14:textId="77777777" w:rsidR="006054AA" w:rsidRDefault="001F7667">
            <w:pPr>
              <w:pStyle w:val="P68B1DB1-Normal12"/>
              <w:rPr>
                <w:noProof/>
              </w:rPr>
            </w:pPr>
            <w:r>
              <w:rPr>
                <w:noProof/>
              </w:rPr>
              <w:t>Влизане в сила на укази за реформа от 1.3 г. „Първо за компютърни услуги в облак и оперативна съвместимост“</w:t>
            </w:r>
          </w:p>
        </w:tc>
      </w:tr>
      <w:tr w:rsidR="006054AA" w14:paraId="04B4E2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3682F" w14:textId="77777777" w:rsidR="006054AA" w:rsidRDefault="001F7667">
            <w:pPr>
              <w:pStyle w:val="P68B1DB1-Normal12"/>
              <w:jc w:val="center"/>
              <w:rPr>
                <w:noProof/>
              </w:rPr>
            </w:pPr>
            <w:r>
              <w:rPr>
                <w:noProof/>
              </w:rPr>
              <w:t>M1C1—29</w:t>
            </w:r>
          </w:p>
        </w:tc>
        <w:tc>
          <w:tcPr>
            <w:tcW w:w="3118" w:type="dxa"/>
            <w:tcBorders>
              <w:top w:val="nil"/>
              <w:left w:val="nil"/>
              <w:bottom w:val="single" w:sz="4" w:space="0" w:color="auto"/>
              <w:right w:val="single" w:sz="4" w:space="0" w:color="auto"/>
            </w:tcBorders>
            <w:shd w:val="clear" w:color="auto" w:fill="C6EFCE"/>
            <w:noWrap/>
            <w:vAlign w:val="center"/>
          </w:tcPr>
          <w:p w14:paraId="5070BFB8" w14:textId="77777777" w:rsidR="006054AA" w:rsidRDefault="001F7667">
            <w:pPr>
              <w:pStyle w:val="P68B1DB1-Normal12"/>
              <w:rPr>
                <w:noProof/>
              </w:rPr>
            </w:pPr>
            <w:r>
              <w:rPr>
                <w:noProof/>
              </w:rPr>
              <w:t>Реформа 1.4: Реформа на гражданското правосъдие</w:t>
            </w:r>
          </w:p>
        </w:tc>
        <w:tc>
          <w:tcPr>
            <w:tcW w:w="1418" w:type="dxa"/>
            <w:tcBorders>
              <w:top w:val="nil"/>
              <w:left w:val="nil"/>
              <w:bottom w:val="single" w:sz="4" w:space="0" w:color="auto"/>
              <w:right w:val="single" w:sz="4" w:space="0" w:color="auto"/>
            </w:tcBorders>
            <w:shd w:val="clear" w:color="auto" w:fill="C6EFCE"/>
            <w:noWrap/>
            <w:vAlign w:val="center"/>
          </w:tcPr>
          <w:p w14:paraId="1077DE5F"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619AA4E5" w14:textId="77777777" w:rsidR="006054AA" w:rsidRDefault="001F7667">
            <w:pPr>
              <w:pStyle w:val="P68B1DB1-Normal12"/>
              <w:rPr>
                <w:noProof/>
              </w:rPr>
            </w:pPr>
            <w:r>
              <w:rPr>
                <w:noProof/>
              </w:rPr>
              <w:t>Влизане в сила на законодателство, даващо възможност за реформа на гражданското правосъдие</w:t>
            </w:r>
          </w:p>
        </w:tc>
      </w:tr>
      <w:tr w:rsidR="006054AA" w14:paraId="035B9C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6F69C3" w14:textId="77777777" w:rsidR="006054AA" w:rsidRDefault="001F7667">
            <w:pPr>
              <w:pStyle w:val="P68B1DB1-Normal12"/>
              <w:jc w:val="center"/>
              <w:rPr>
                <w:noProof/>
              </w:rPr>
            </w:pPr>
            <w:r>
              <w:rPr>
                <w:noProof/>
              </w:rPr>
              <w:t>M1C1—30</w:t>
            </w:r>
          </w:p>
        </w:tc>
        <w:tc>
          <w:tcPr>
            <w:tcW w:w="3118" w:type="dxa"/>
            <w:tcBorders>
              <w:top w:val="nil"/>
              <w:left w:val="nil"/>
              <w:bottom w:val="single" w:sz="4" w:space="0" w:color="auto"/>
              <w:right w:val="single" w:sz="4" w:space="0" w:color="auto"/>
            </w:tcBorders>
            <w:shd w:val="clear" w:color="auto" w:fill="C6EFCE"/>
            <w:noWrap/>
            <w:vAlign w:val="center"/>
          </w:tcPr>
          <w:p w14:paraId="0F3929E5" w14:textId="77777777" w:rsidR="006054AA" w:rsidRDefault="001F7667">
            <w:pPr>
              <w:pStyle w:val="P68B1DB1-Normal12"/>
              <w:rPr>
                <w:noProof/>
              </w:rPr>
            </w:pPr>
            <w:r>
              <w:rPr>
                <w:noProof/>
              </w:rPr>
              <w:t>Реформа 1.5: Реформа на наказателното правосъдие</w:t>
            </w:r>
          </w:p>
        </w:tc>
        <w:tc>
          <w:tcPr>
            <w:tcW w:w="1418" w:type="dxa"/>
            <w:tcBorders>
              <w:top w:val="nil"/>
              <w:left w:val="nil"/>
              <w:bottom w:val="single" w:sz="4" w:space="0" w:color="auto"/>
              <w:right w:val="single" w:sz="4" w:space="0" w:color="auto"/>
            </w:tcBorders>
            <w:shd w:val="clear" w:color="auto" w:fill="C6EFCE"/>
            <w:noWrap/>
            <w:vAlign w:val="center"/>
          </w:tcPr>
          <w:p w14:paraId="1F08F7AE"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36129E9C" w14:textId="77777777" w:rsidR="006054AA" w:rsidRDefault="001F7667">
            <w:pPr>
              <w:pStyle w:val="P68B1DB1-Normal12"/>
              <w:rPr>
                <w:noProof/>
              </w:rPr>
            </w:pPr>
            <w:r>
              <w:rPr>
                <w:noProof/>
              </w:rPr>
              <w:t>Влизане в сила на законодателство, даващо възможност за реформа на наказателното правосъдие</w:t>
            </w:r>
          </w:p>
        </w:tc>
      </w:tr>
      <w:tr w:rsidR="006054AA" w14:paraId="0F4A21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F9DB" w14:textId="77777777" w:rsidR="006054AA" w:rsidRDefault="001F7667">
            <w:pPr>
              <w:pStyle w:val="P68B1DB1-Normal12"/>
              <w:jc w:val="center"/>
              <w:rPr>
                <w:noProof/>
              </w:rPr>
            </w:pPr>
            <w:r>
              <w:rPr>
                <w:noProof/>
              </w:rPr>
              <w:t>M1C1—31</w:t>
            </w:r>
          </w:p>
        </w:tc>
        <w:tc>
          <w:tcPr>
            <w:tcW w:w="3118" w:type="dxa"/>
            <w:tcBorders>
              <w:top w:val="nil"/>
              <w:left w:val="nil"/>
              <w:bottom w:val="single" w:sz="4" w:space="0" w:color="auto"/>
              <w:right w:val="single" w:sz="4" w:space="0" w:color="auto"/>
            </w:tcBorders>
            <w:shd w:val="clear" w:color="auto" w:fill="C6EFCE"/>
            <w:noWrap/>
            <w:vAlign w:val="center"/>
          </w:tcPr>
          <w:p w14:paraId="76FC324D" w14:textId="77777777" w:rsidR="006054AA" w:rsidRDefault="001F7667">
            <w:pPr>
              <w:pStyle w:val="P68B1DB1-Normal12"/>
              <w:rPr>
                <w:noProof/>
              </w:rPr>
            </w:pPr>
            <w:r>
              <w:rPr>
                <w:noProof/>
              </w:rPr>
              <w:t>Реформа 1.6: Реформа на нормативната уредба в областта на несъстоятелността</w:t>
            </w:r>
          </w:p>
        </w:tc>
        <w:tc>
          <w:tcPr>
            <w:tcW w:w="1418" w:type="dxa"/>
            <w:tcBorders>
              <w:top w:val="nil"/>
              <w:left w:val="nil"/>
              <w:bottom w:val="single" w:sz="4" w:space="0" w:color="auto"/>
              <w:right w:val="single" w:sz="4" w:space="0" w:color="auto"/>
            </w:tcBorders>
            <w:shd w:val="clear" w:color="auto" w:fill="C6EFCE"/>
            <w:noWrap/>
            <w:vAlign w:val="center"/>
          </w:tcPr>
          <w:p w14:paraId="4422BBF8"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0391E6A6" w14:textId="77777777" w:rsidR="006054AA" w:rsidRDefault="001F7667">
            <w:pPr>
              <w:pStyle w:val="P68B1DB1-Normal12"/>
              <w:rPr>
                <w:noProof/>
              </w:rPr>
            </w:pPr>
            <w:r>
              <w:rPr>
                <w:noProof/>
              </w:rPr>
              <w:t>Влизане в сила на законодателство, даващо възможност за създаване на рамка за реформа в областта на несъстоятелността</w:t>
            </w:r>
          </w:p>
        </w:tc>
      </w:tr>
      <w:tr w:rsidR="006054AA" w14:paraId="6B55D8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FBE776" w14:textId="77777777" w:rsidR="006054AA" w:rsidRDefault="001F7667">
            <w:pPr>
              <w:pStyle w:val="P68B1DB1-Normal12"/>
              <w:jc w:val="center"/>
              <w:rPr>
                <w:noProof/>
              </w:rPr>
            </w:pPr>
            <w:r>
              <w:rPr>
                <w:noProof/>
              </w:rPr>
              <w:t>M1C1—32</w:t>
            </w:r>
          </w:p>
        </w:tc>
        <w:tc>
          <w:tcPr>
            <w:tcW w:w="3118" w:type="dxa"/>
            <w:tcBorders>
              <w:top w:val="nil"/>
              <w:left w:val="nil"/>
              <w:bottom w:val="single" w:sz="4" w:space="0" w:color="auto"/>
              <w:right w:val="single" w:sz="4" w:space="0" w:color="auto"/>
            </w:tcBorders>
            <w:shd w:val="clear" w:color="auto" w:fill="C6EFCE"/>
            <w:noWrap/>
            <w:vAlign w:val="center"/>
          </w:tcPr>
          <w:p w14:paraId="3FEB5104" w14:textId="77777777" w:rsidR="006054AA" w:rsidRDefault="001F7667">
            <w:pPr>
              <w:pStyle w:val="P68B1DB1-Normal12"/>
              <w:rPr>
                <w:noProof/>
              </w:rPr>
            </w:pPr>
            <w:r>
              <w:rPr>
                <w:noProof/>
              </w:rPr>
              <w:t>Инвестиция 1.8: Процедури за назначаване в граждански, наказателни и административни съдилища</w:t>
            </w:r>
          </w:p>
        </w:tc>
        <w:tc>
          <w:tcPr>
            <w:tcW w:w="1418" w:type="dxa"/>
            <w:tcBorders>
              <w:top w:val="nil"/>
              <w:left w:val="nil"/>
              <w:bottom w:val="single" w:sz="4" w:space="0" w:color="auto"/>
              <w:right w:val="single" w:sz="4" w:space="0" w:color="auto"/>
            </w:tcBorders>
            <w:shd w:val="clear" w:color="auto" w:fill="C6EFCE"/>
            <w:noWrap/>
            <w:vAlign w:val="center"/>
          </w:tcPr>
          <w:p w14:paraId="418FD44E"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45D0839C" w14:textId="77777777" w:rsidR="006054AA" w:rsidRDefault="001F7667">
            <w:pPr>
              <w:pStyle w:val="P68B1DB1-Normal12"/>
              <w:rPr>
                <w:noProof/>
              </w:rPr>
            </w:pPr>
            <w:r>
              <w:rPr>
                <w:noProof/>
              </w:rPr>
              <w:t>Влизане в сила на специално законодателство, уреждащо набирането на персонал по националния план за възстановяване и устойчивост</w:t>
            </w:r>
          </w:p>
        </w:tc>
      </w:tr>
      <w:tr w:rsidR="006054AA" w14:paraId="5FA8A4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56149F" w14:textId="77777777" w:rsidR="006054AA" w:rsidRDefault="001F7667">
            <w:pPr>
              <w:pStyle w:val="P68B1DB1-Normal12"/>
              <w:jc w:val="center"/>
              <w:rPr>
                <w:noProof/>
              </w:rPr>
            </w:pPr>
            <w:r>
              <w:rPr>
                <w:noProof/>
              </w:rPr>
              <w:t>M1C1—54</w:t>
            </w:r>
          </w:p>
        </w:tc>
        <w:tc>
          <w:tcPr>
            <w:tcW w:w="3118" w:type="dxa"/>
            <w:tcBorders>
              <w:top w:val="nil"/>
              <w:left w:val="nil"/>
              <w:bottom w:val="single" w:sz="4" w:space="0" w:color="auto"/>
              <w:right w:val="single" w:sz="4" w:space="0" w:color="auto"/>
            </w:tcBorders>
            <w:shd w:val="clear" w:color="auto" w:fill="C6EFCE"/>
            <w:noWrap/>
            <w:vAlign w:val="center"/>
          </w:tcPr>
          <w:p w14:paraId="1C61FDE4" w14:textId="77777777" w:rsidR="006054AA" w:rsidRDefault="001F7667">
            <w:pPr>
              <w:pStyle w:val="P68B1DB1-Normal12"/>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418" w:type="dxa"/>
            <w:tcBorders>
              <w:top w:val="nil"/>
              <w:left w:val="nil"/>
              <w:bottom w:val="single" w:sz="4" w:space="0" w:color="auto"/>
              <w:right w:val="single" w:sz="4" w:space="0" w:color="auto"/>
            </w:tcBorders>
            <w:shd w:val="clear" w:color="auto" w:fill="C6EFCE"/>
            <w:noWrap/>
            <w:vAlign w:val="center"/>
          </w:tcPr>
          <w:p w14:paraId="7655DD68" w14:textId="77777777" w:rsidR="006054AA" w:rsidRDefault="001F7667">
            <w:pPr>
              <w:pStyle w:val="P68B1DB1-Normal12"/>
              <w:rPr>
                <w:noProof/>
              </w:rPr>
            </w:pPr>
            <w:r>
              <w:rPr>
                <w:noProof/>
              </w:rPr>
              <w:t>Целеви</w:t>
            </w:r>
          </w:p>
        </w:tc>
        <w:tc>
          <w:tcPr>
            <w:tcW w:w="3714" w:type="dxa"/>
            <w:tcBorders>
              <w:top w:val="nil"/>
              <w:left w:val="nil"/>
              <w:bottom w:val="single" w:sz="4" w:space="0" w:color="auto"/>
              <w:right w:val="single" w:sz="4" w:space="0" w:color="auto"/>
            </w:tcBorders>
            <w:shd w:val="clear" w:color="auto" w:fill="C6EFCE"/>
            <w:noWrap/>
            <w:vAlign w:val="center"/>
          </w:tcPr>
          <w:p w14:paraId="571BC6DB" w14:textId="77777777" w:rsidR="006054AA" w:rsidRDefault="001F7667">
            <w:pPr>
              <w:pStyle w:val="P68B1DB1-Normal12"/>
              <w:rPr>
                <w:noProof/>
              </w:rPr>
            </w:pPr>
            <w:r>
              <w:rPr>
                <w:noProof/>
              </w:rPr>
              <w:t>Завършено набиране на експерти за изпълнението на италианския план за възстановяване и устойчивост</w:t>
            </w:r>
          </w:p>
        </w:tc>
      </w:tr>
      <w:tr w:rsidR="006054AA" w14:paraId="73F120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CC5BCF" w14:textId="77777777" w:rsidR="006054AA" w:rsidRDefault="001F7667">
            <w:pPr>
              <w:pStyle w:val="P68B1DB1-Normal12"/>
              <w:jc w:val="center"/>
              <w:rPr>
                <w:noProof/>
              </w:rPr>
            </w:pPr>
            <w:r>
              <w:rPr>
                <w:noProof/>
              </w:rPr>
              <w:t>M1C1—55</w:t>
            </w:r>
          </w:p>
        </w:tc>
        <w:tc>
          <w:tcPr>
            <w:tcW w:w="3118" w:type="dxa"/>
            <w:tcBorders>
              <w:top w:val="nil"/>
              <w:left w:val="nil"/>
              <w:bottom w:val="single" w:sz="4" w:space="0" w:color="auto"/>
              <w:right w:val="single" w:sz="4" w:space="0" w:color="auto"/>
            </w:tcBorders>
            <w:shd w:val="clear" w:color="auto" w:fill="C6EFCE"/>
            <w:noWrap/>
            <w:vAlign w:val="center"/>
          </w:tcPr>
          <w:p w14:paraId="31EAFF20"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1F4A29D2"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7B3323CB" w14:textId="77777777" w:rsidR="006054AA" w:rsidRDefault="001F7667">
            <w:pPr>
              <w:pStyle w:val="P68B1DB1-Normal12"/>
              <w:rPr>
                <w:noProof/>
              </w:rPr>
            </w:pPr>
            <w:r>
              <w:rPr>
                <w:noProof/>
              </w:rPr>
              <w:t>Разширяване на методологията, прилагана към италианския план за възстановяване и устойчивост, така че да включва и националния бюджет, за да се увеличи усвояването на инвестиции</w:t>
            </w:r>
          </w:p>
        </w:tc>
      </w:tr>
      <w:tr w:rsidR="006054AA" w14:paraId="3925E2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667AFF" w14:textId="77777777" w:rsidR="006054AA" w:rsidRDefault="001F7667">
            <w:pPr>
              <w:pStyle w:val="P68B1DB1-Normal12"/>
              <w:jc w:val="center"/>
              <w:rPr>
                <w:noProof/>
              </w:rPr>
            </w:pPr>
            <w:r>
              <w:rPr>
                <w:noProof/>
              </w:rPr>
              <w:t>M1C1—68</w:t>
            </w:r>
          </w:p>
        </w:tc>
        <w:tc>
          <w:tcPr>
            <w:tcW w:w="3118" w:type="dxa"/>
            <w:tcBorders>
              <w:top w:val="nil"/>
              <w:left w:val="nil"/>
              <w:bottom w:val="single" w:sz="4" w:space="0" w:color="auto"/>
              <w:right w:val="single" w:sz="4" w:space="0" w:color="auto"/>
            </w:tcBorders>
            <w:shd w:val="clear" w:color="auto" w:fill="C6EFCE"/>
            <w:noWrap/>
            <w:vAlign w:val="center"/>
          </w:tcPr>
          <w:p w14:paraId="6A894301"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2EDC6A4F"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58E73695" w14:textId="77777777" w:rsidR="006054AA" w:rsidRDefault="001F7667">
            <w:pPr>
              <w:pStyle w:val="P68B1DB1-Normal12"/>
              <w:rPr>
                <w:noProof/>
              </w:rPr>
            </w:pPr>
            <w:r>
              <w:rPr>
                <w:noProof/>
              </w:rPr>
              <w:t>Система от регистри за одит и контрол: информация за мониторинг на изпълнението на МВУ</w:t>
            </w:r>
          </w:p>
        </w:tc>
      </w:tr>
      <w:tr w:rsidR="006054AA" w14:paraId="401673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7B7351" w14:textId="77777777" w:rsidR="006054AA" w:rsidRDefault="001F7667">
            <w:pPr>
              <w:pStyle w:val="P68B1DB1-Normal12"/>
              <w:jc w:val="center"/>
              <w:rPr>
                <w:noProof/>
              </w:rPr>
            </w:pPr>
            <w:r>
              <w:rPr>
                <w:noProof/>
              </w:rPr>
              <w:t>M1C1—71</w:t>
            </w:r>
          </w:p>
        </w:tc>
        <w:tc>
          <w:tcPr>
            <w:tcW w:w="3118" w:type="dxa"/>
            <w:tcBorders>
              <w:top w:val="nil"/>
              <w:left w:val="nil"/>
              <w:bottom w:val="single" w:sz="4" w:space="0" w:color="auto"/>
              <w:right w:val="single" w:sz="4" w:space="0" w:color="auto"/>
            </w:tcBorders>
            <w:shd w:val="clear" w:color="auto" w:fill="C6EFCE"/>
            <w:noWrap/>
            <w:vAlign w:val="center"/>
          </w:tcPr>
          <w:p w14:paraId="0403F340"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26978570"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1DE6F374" w14:textId="77777777" w:rsidR="006054AA" w:rsidRDefault="001F7667">
            <w:pPr>
              <w:pStyle w:val="P68B1DB1-Normal12"/>
              <w:rPr>
                <w:noProof/>
              </w:rPr>
            </w:pPr>
            <w:r>
              <w:rPr>
                <w:noProof/>
              </w:rPr>
              <w:t>Влизане в сила на всички необходими законодателни актове, регламенти и актове за изпълнение (включително вторично законодателство) за системата за възлагане на обществени поръчки</w:t>
            </w:r>
          </w:p>
        </w:tc>
      </w:tr>
      <w:tr w:rsidR="006054AA" w14:paraId="5B4CC0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6702FB" w14:textId="77777777" w:rsidR="006054AA" w:rsidRDefault="001F7667">
            <w:pPr>
              <w:pStyle w:val="P68B1DB1-Normal12"/>
              <w:jc w:val="center"/>
              <w:rPr>
                <w:noProof/>
              </w:rPr>
            </w:pPr>
            <w:r>
              <w:rPr>
                <w:noProof/>
              </w:rPr>
              <w:t>M1C1—100</w:t>
            </w:r>
          </w:p>
        </w:tc>
        <w:tc>
          <w:tcPr>
            <w:tcW w:w="3118" w:type="dxa"/>
            <w:tcBorders>
              <w:top w:val="nil"/>
              <w:left w:val="nil"/>
              <w:bottom w:val="single" w:sz="4" w:space="0" w:color="auto"/>
              <w:right w:val="single" w:sz="4" w:space="0" w:color="auto"/>
            </w:tcBorders>
            <w:shd w:val="clear" w:color="auto" w:fill="C6EFCE"/>
            <w:noWrap/>
            <w:vAlign w:val="center"/>
          </w:tcPr>
          <w:p w14:paraId="62EA2508" w14:textId="77777777" w:rsidR="006054AA" w:rsidRDefault="001F7667">
            <w:pPr>
              <w:pStyle w:val="P68B1DB1-Normal12"/>
              <w:rPr>
                <w:noProof/>
              </w:rPr>
            </w:pPr>
            <w:r>
              <w:rPr>
                <w:noProof/>
              </w:rPr>
              <w:t>Реформа 1.13: Реформа на рамката за преглед на разходите</w:t>
            </w:r>
          </w:p>
        </w:tc>
        <w:tc>
          <w:tcPr>
            <w:tcW w:w="1418" w:type="dxa"/>
            <w:tcBorders>
              <w:top w:val="nil"/>
              <w:left w:val="nil"/>
              <w:bottom w:val="single" w:sz="4" w:space="0" w:color="auto"/>
              <w:right w:val="single" w:sz="4" w:space="0" w:color="auto"/>
            </w:tcBorders>
            <w:shd w:val="clear" w:color="auto" w:fill="C6EFCE"/>
            <w:noWrap/>
            <w:vAlign w:val="center"/>
          </w:tcPr>
          <w:p w14:paraId="4B9B998B"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2B5E4A15" w14:textId="77777777" w:rsidR="006054AA" w:rsidRDefault="001F7667">
            <w:pPr>
              <w:pStyle w:val="P68B1DB1-Normal12"/>
              <w:rPr>
                <w:noProof/>
              </w:rPr>
            </w:pPr>
            <w:r>
              <w:rPr>
                <w:noProof/>
              </w:rPr>
              <w:t>Влизане в сила на законодателни разпоредби за подобряване на ефективността на прегледа на разходите — укрепване на Министерството на финансите</w:t>
            </w:r>
          </w:p>
        </w:tc>
      </w:tr>
      <w:tr w:rsidR="006054AA" w14:paraId="47B709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79238F" w14:textId="77777777" w:rsidR="006054AA" w:rsidRDefault="001F7667">
            <w:pPr>
              <w:pStyle w:val="P68B1DB1-Normal12"/>
              <w:jc w:val="center"/>
              <w:rPr>
                <w:noProof/>
              </w:rPr>
            </w:pPr>
            <w:r>
              <w:rPr>
                <w:noProof/>
              </w:rPr>
              <w:t>M1C1—101</w:t>
            </w:r>
          </w:p>
        </w:tc>
        <w:tc>
          <w:tcPr>
            <w:tcW w:w="3118" w:type="dxa"/>
            <w:tcBorders>
              <w:top w:val="nil"/>
              <w:left w:val="nil"/>
              <w:bottom w:val="single" w:sz="4" w:space="0" w:color="auto"/>
              <w:right w:val="single" w:sz="4" w:space="0" w:color="auto"/>
            </w:tcBorders>
            <w:shd w:val="clear" w:color="auto" w:fill="C6EFCE"/>
            <w:noWrap/>
            <w:vAlign w:val="center"/>
          </w:tcPr>
          <w:p w14:paraId="0455EE88" w14:textId="77777777" w:rsidR="006054AA" w:rsidRDefault="001F7667">
            <w:pPr>
              <w:pStyle w:val="P68B1DB1-Normal12"/>
              <w:rPr>
                <w:noProof/>
              </w:rPr>
            </w:pPr>
            <w:r>
              <w:rPr>
                <w:noProof/>
              </w:rPr>
              <w:t xml:space="preserve">Реформа 1.12: Реформа на данъчната администрация </w:t>
            </w:r>
          </w:p>
        </w:tc>
        <w:tc>
          <w:tcPr>
            <w:tcW w:w="1418" w:type="dxa"/>
            <w:tcBorders>
              <w:top w:val="nil"/>
              <w:left w:val="nil"/>
              <w:bottom w:val="single" w:sz="4" w:space="0" w:color="auto"/>
              <w:right w:val="single" w:sz="4" w:space="0" w:color="auto"/>
            </w:tcBorders>
            <w:shd w:val="clear" w:color="auto" w:fill="C6EFCE"/>
            <w:noWrap/>
            <w:vAlign w:val="center"/>
          </w:tcPr>
          <w:p w14:paraId="6FAC991E"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4B7AF933" w14:textId="77777777" w:rsidR="006054AA" w:rsidRDefault="001F7667">
            <w:pPr>
              <w:pStyle w:val="P68B1DB1-Normal12"/>
              <w:rPr>
                <w:noProof/>
              </w:rPr>
            </w:pPr>
            <w:r>
              <w:rPr>
                <w:noProof/>
              </w:rPr>
              <w:t>Приемане на преглед на възможните действия за намаляване на отклонението от данъчно облагане</w:t>
            </w:r>
          </w:p>
        </w:tc>
      </w:tr>
      <w:tr w:rsidR="006054AA" w14:paraId="1A95A7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6088A" w14:textId="77777777" w:rsidR="006054AA" w:rsidRDefault="001F7667">
            <w:pPr>
              <w:pStyle w:val="P68B1DB1-Normal12"/>
              <w:jc w:val="center"/>
              <w:rPr>
                <w:noProof/>
              </w:rPr>
            </w:pPr>
            <w:r>
              <w:rPr>
                <w:noProof/>
              </w:rPr>
              <w:t>M1C2—1</w:t>
            </w:r>
          </w:p>
        </w:tc>
        <w:tc>
          <w:tcPr>
            <w:tcW w:w="3118" w:type="dxa"/>
            <w:tcBorders>
              <w:top w:val="nil"/>
              <w:left w:val="nil"/>
              <w:bottom w:val="single" w:sz="4" w:space="0" w:color="auto"/>
              <w:right w:val="single" w:sz="4" w:space="0" w:color="auto"/>
            </w:tcBorders>
            <w:shd w:val="clear" w:color="auto" w:fill="C6EFCE"/>
            <w:noWrap/>
            <w:vAlign w:val="center"/>
          </w:tcPr>
          <w:p w14:paraId="20B27751" w14:textId="77777777" w:rsidR="006054AA" w:rsidRDefault="001F7667">
            <w:pPr>
              <w:pStyle w:val="P68B1DB1-Normal12"/>
              <w:rPr>
                <w:noProof/>
              </w:rPr>
            </w:pPr>
            <w:r>
              <w:rPr>
                <w:noProof/>
              </w:rPr>
              <w:t>Инвестиция 1: Преход 4.0</w:t>
            </w:r>
          </w:p>
        </w:tc>
        <w:tc>
          <w:tcPr>
            <w:tcW w:w="1418" w:type="dxa"/>
            <w:tcBorders>
              <w:top w:val="nil"/>
              <w:left w:val="nil"/>
              <w:bottom w:val="single" w:sz="4" w:space="0" w:color="auto"/>
              <w:right w:val="single" w:sz="4" w:space="0" w:color="auto"/>
            </w:tcBorders>
            <w:shd w:val="clear" w:color="auto" w:fill="C6EFCE"/>
            <w:noWrap/>
            <w:vAlign w:val="center"/>
          </w:tcPr>
          <w:p w14:paraId="79982874"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5D54D5A9" w14:textId="77777777" w:rsidR="006054AA" w:rsidRDefault="001F7667">
            <w:pPr>
              <w:pStyle w:val="P68B1DB1-Normal12"/>
              <w:rPr>
                <w:noProof/>
              </w:rPr>
            </w:pPr>
            <w:r>
              <w:rPr>
                <w:noProof/>
              </w:rPr>
              <w:t>Влизане в сила на правни актове за предоставяне на данъчните кредити по Преход 4.0 на разположение на потенциалните бенефициери и създаване на Научния комитет</w:t>
            </w:r>
          </w:p>
        </w:tc>
      </w:tr>
      <w:tr w:rsidR="006054AA" w14:paraId="2B8AED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A03" w14:textId="77777777" w:rsidR="006054AA" w:rsidRDefault="001F7667">
            <w:pPr>
              <w:pStyle w:val="P68B1DB1-Normal12"/>
              <w:jc w:val="center"/>
              <w:rPr>
                <w:noProof/>
              </w:rPr>
            </w:pPr>
            <w:r>
              <w:rPr>
                <w:noProof/>
              </w:rPr>
              <w:t>M1C3—8</w:t>
            </w:r>
          </w:p>
        </w:tc>
        <w:tc>
          <w:tcPr>
            <w:tcW w:w="3118" w:type="dxa"/>
            <w:tcBorders>
              <w:top w:val="nil"/>
              <w:left w:val="nil"/>
              <w:bottom w:val="single" w:sz="4" w:space="0" w:color="auto"/>
              <w:right w:val="single" w:sz="4" w:space="0" w:color="auto"/>
            </w:tcBorders>
            <w:shd w:val="clear" w:color="auto" w:fill="C6EFCE"/>
            <w:noWrap/>
            <w:vAlign w:val="center"/>
          </w:tcPr>
          <w:p w14:paraId="2672813F" w14:textId="77777777" w:rsidR="006054AA" w:rsidRDefault="001F7667">
            <w:pPr>
              <w:pStyle w:val="P68B1DB1-Normal12"/>
              <w:rPr>
                <w:noProof/>
              </w:rPr>
            </w:pPr>
            <w:r>
              <w:rPr>
                <w:noProof/>
              </w:rPr>
              <w:t>Инвестиции — 4.1 цифров туристически център</w:t>
            </w:r>
          </w:p>
        </w:tc>
        <w:tc>
          <w:tcPr>
            <w:tcW w:w="1418" w:type="dxa"/>
            <w:tcBorders>
              <w:top w:val="nil"/>
              <w:left w:val="nil"/>
              <w:bottom w:val="single" w:sz="4" w:space="0" w:color="auto"/>
              <w:right w:val="single" w:sz="4" w:space="0" w:color="auto"/>
            </w:tcBorders>
            <w:shd w:val="clear" w:color="auto" w:fill="C6EFCE"/>
            <w:noWrap/>
            <w:vAlign w:val="center"/>
          </w:tcPr>
          <w:p w14:paraId="11D526FB"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39451D89" w14:textId="77777777" w:rsidR="006054AA" w:rsidRDefault="001F7667">
            <w:pPr>
              <w:pStyle w:val="P68B1DB1-Normal12"/>
              <w:rPr>
                <w:noProof/>
              </w:rPr>
            </w:pPr>
            <w:r>
              <w:rPr>
                <w:noProof/>
              </w:rPr>
              <w:t>Възлагане на договори за разработването на цифровия туристически портал</w:t>
            </w:r>
          </w:p>
        </w:tc>
      </w:tr>
      <w:tr w:rsidR="006054AA" w14:paraId="501214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B33035" w14:textId="77777777" w:rsidR="006054AA" w:rsidRDefault="001F7667">
            <w:pPr>
              <w:pStyle w:val="P68B1DB1-Normal12"/>
              <w:jc w:val="center"/>
              <w:rPr>
                <w:noProof/>
              </w:rPr>
            </w:pPr>
            <w:r>
              <w:rPr>
                <w:noProof/>
              </w:rPr>
              <w:t>M2C2—7</w:t>
            </w:r>
          </w:p>
        </w:tc>
        <w:tc>
          <w:tcPr>
            <w:tcW w:w="3118" w:type="dxa"/>
            <w:tcBorders>
              <w:top w:val="nil"/>
              <w:left w:val="nil"/>
              <w:bottom w:val="single" w:sz="4" w:space="0" w:color="auto"/>
              <w:right w:val="single" w:sz="4" w:space="0" w:color="auto"/>
            </w:tcBorders>
            <w:shd w:val="clear" w:color="auto" w:fill="C6EFCE"/>
            <w:noWrap/>
            <w:vAlign w:val="center"/>
          </w:tcPr>
          <w:p w14:paraId="744D29DB" w14:textId="77777777" w:rsidR="006054AA" w:rsidRDefault="001F7667">
            <w:pPr>
              <w:pStyle w:val="P68B1DB1-Normal12"/>
              <w:rPr>
                <w:noProof/>
              </w:rPr>
            </w:pPr>
            <w:r>
              <w:rPr>
                <w:noProof/>
              </w:rPr>
              <w:t>Реформа 2 Ново законодателство за насърчаване на производството и потреблението на газ от възобновяеми източници</w:t>
            </w:r>
          </w:p>
        </w:tc>
        <w:tc>
          <w:tcPr>
            <w:tcW w:w="1418" w:type="dxa"/>
            <w:tcBorders>
              <w:top w:val="nil"/>
              <w:left w:val="nil"/>
              <w:bottom w:val="single" w:sz="4" w:space="0" w:color="auto"/>
              <w:right w:val="single" w:sz="4" w:space="0" w:color="auto"/>
            </w:tcBorders>
            <w:shd w:val="clear" w:color="auto" w:fill="C6EFCE"/>
            <w:noWrap/>
            <w:vAlign w:val="center"/>
          </w:tcPr>
          <w:p w14:paraId="4F4BB723"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26BD87DE" w14:textId="77777777" w:rsidR="006054AA" w:rsidRDefault="001F7667">
            <w:pPr>
              <w:pStyle w:val="P68B1DB1-Normal12"/>
              <w:rPr>
                <w:noProof/>
              </w:rPr>
            </w:pPr>
            <w:r>
              <w:rPr>
                <w:noProof/>
              </w:rPr>
              <w:t>Влизане в сила на законодателен декрет за насърчаване на използването на газ от възобновяеми източници за използването на биометан в транспортния, промишления и жилищния сектор и постановление за изпълнение, в което се определят условията и критериите във връзка с неговото използване и новата система от стимули.</w:t>
            </w:r>
          </w:p>
        </w:tc>
      </w:tr>
      <w:tr w:rsidR="006054AA" w14:paraId="4C5D98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A6B66C" w14:textId="77777777" w:rsidR="006054AA" w:rsidRDefault="001F7667">
            <w:pPr>
              <w:pStyle w:val="P68B1DB1-Normal12"/>
              <w:jc w:val="center"/>
              <w:rPr>
                <w:noProof/>
              </w:rPr>
            </w:pPr>
            <w:r>
              <w:rPr>
                <w:noProof/>
              </w:rPr>
              <w:t>M2C2—37</w:t>
            </w:r>
          </w:p>
        </w:tc>
        <w:tc>
          <w:tcPr>
            <w:tcW w:w="3118" w:type="dxa"/>
            <w:tcBorders>
              <w:top w:val="nil"/>
              <w:left w:val="nil"/>
              <w:bottom w:val="single" w:sz="4" w:space="0" w:color="auto"/>
              <w:right w:val="single" w:sz="4" w:space="0" w:color="auto"/>
            </w:tcBorders>
            <w:shd w:val="clear" w:color="auto" w:fill="C6EFCE"/>
            <w:noWrap/>
            <w:vAlign w:val="center"/>
          </w:tcPr>
          <w:p w14:paraId="76B12DBD" w14:textId="77777777" w:rsidR="006054AA" w:rsidRDefault="001F7667">
            <w:pPr>
              <w:pStyle w:val="P68B1DB1-Normal12"/>
              <w:rPr>
                <w:noProof/>
              </w:rPr>
            </w:pPr>
            <w:r>
              <w:rPr>
                <w:noProof/>
              </w:rPr>
              <w:t>Реформа 5: По-интелигентни процедури за оценка на проекти в сектора на местните системи за обществен транспорт със стационарни инсталации и в сектора на бързия масов транспорт</w:t>
            </w:r>
          </w:p>
        </w:tc>
        <w:tc>
          <w:tcPr>
            <w:tcW w:w="1418" w:type="dxa"/>
            <w:tcBorders>
              <w:top w:val="nil"/>
              <w:left w:val="nil"/>
              <w:bottom w:val="single" w:sz="4" w:space="0" w:color="auto"/>
              <w:right w:val="single" w:sz="4" w:space="0" w:color="auto"/>
            </w:tcBorders>
            <w:shd w:val="clear" w:color="auto" w:fill="C6EFCE"/>
            <w:noWrap/>
            <w:vAlign w:val="center"/>
          </w:tcPr>
          <w:p w14:paraId="0634AA11"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2D6D1223" w14:textId="77777777" w:rsidR="006054AA" w:rsidRDefault="001F7667">
            <w:pPr>
              <w:pStyle w:val="P68B1DB1-Normal12"/>
              <w:rPr>
                <w:noProof/>
              </w:rPr>
            </w:pPr>
            <w:r>
              <w:rPr>
                <w:noProof/>
              </w:rPr>
              <w:t>Влизане в сила на Наредба-закон</w:t>
            </w:r>
          </w:p>
        </w:tc>
      </w:tr>
      <w:tr w:rsidR="006054AA" w14:paraId="626803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F23F1" w14:textId="77777777" w:rsidR="006054AA" w:rsidRDefault="001F7667">
            <w:pPr>
              <w:pStyle w:val="P68B1DB1-Normal12"/>
              <w:jc w:val="center"/>
              <w:rPr>
                <w:noProof/>
              </w:rPr>
            </w:pPr>
            <w:r>
              <w:rPr>
                <w:noProof/>
              </w:rPr>
              <w:t>M2C2—41</w:t>
            </w:r>
          </w:p>
        </w:tc>
        <w:tc>
          <w:tcPr>
            <w:tcW w:w="3118" w:type="dxa"/>
            <w:tcBorders>
              <w:top w:val="nil"/>
              <w:left w:val="nil"/>
              <w:bottom w:val="single" w:sz="4" w:space="0" w:color="auto"/>
              <w:right w:val="single" w:sz="4" w:space="0" w:color="auto"/>
            </w:tcBorders>
            <w:shd w:val="clear" w:color="auto" w:fill="C6EFCE"/>
            <w:noWrap/>
            <w:vAlign w:val="center"/>
          </w:tcPr>
          <w:p w14:paraId="68D2A878" w14:textId="77777777" w:rsidR="006054AA" w:rsidRDefault="001F7667">
            <w:pPr>
              <w:pStyle w:val="P68B1DB1-Normal12"/>
              <w:rPr>
                <w:noProof/>
              </w:rPr>
            </w:pPr>
            <w:r>
              <w:rPr>
                <w:noProof/>
              </w:rPr>
              <w:t>Инвестиция 5.3: Електрически автобуси</w:t>
            </w:r>
          </w:p>
        </w:tc>
        <w:tc>
          <w:tcPr>
            <w:tcW w:w="1418" w:type="dxa"/>
            <w:tcBorders>
              <w:top w:val="nil"/>
              <w:left w:val="nil"/>
              <w:bottom w:val="single" w:sz="4" w:space="0" w:color="auto"/>
              <w:right w:val="single" w:sz="4" w:space="0" w:color="auto"/>
            </w:tcBorders>
            <w:shd w:val="clear" w:color="auto" w:fill="C6EFCE"/>
            <w:noWrap/>
            <w:vAlign w:val="center"/>
          </w:tcPr>
          <w:p w14:paraId="7495EE37"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36E0A007" w14:textId="77777777" w:rsidR="006054AA" w:rsidRDefault="001F7667">
            <w:pPr>
              <w:pStyle w:val="P68B1DB1-Normal12"/>
              <w:rPr>
                <w:noProof/>
              </w:rPr>
            </w:pPr>
            <w:r>
              <w:rPr>
                <w:noProof/>
              </w:rPr>
              <w:t>Влизане в сила на министерско постановление, в което се определя размерът на наличните ресурси за постигане на целта на интервенцията (верига за доставки на автобуси)</w:t>
            </w:r>
          </w:p>
        </w:tc>
      </w:tr>
      <w:tr w:rsidR="006054AA" w14:paraId="66946D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6233EE" w14:textId="77777777" w:rsidR="006054AA" w:rsidRDefault="001F7667">
            <w:pPr>
              <w:pStyle w:val="P68B1DB1-Normal12"/>
              <w:jc w:val="center"/>
              <w:rPr>
                <w:noProof/>
              </w:rPr>
            </w:pPr>
            <w:r>
              <w:rPr>
                <w:noProof/>
              </w:rPr>
              <w:t>M2C3—1</w:t>
            </w:r>
          </w:p>
        </w:tc>
        <w:tc>
          <w:tcPr>
            <w:tcW w:w="3118" w:type="dxa"/>
            <w:tcBorders>
              <w:top w:val="nil"/>
              <w:left w:val="nil"/>
              <w:bottom w:val="single" w:sz="4" w:space="0" w:color="auto"/>
              <w:right w:val="single" w:sz="4" w:space="0" w:color="auto"/>
            </w:tcBorders>
            <w:shd w:val="clear" w:color="auto" w:fill="C6EFCE"/>
            <w:noWrap/>
            <w:vAlign w:val="center"/>
          </w:tcPr>
          <w:p w14:paraId="116F05C2" w14:textId="77777777" w:rsidR="006054AA" w:rsidRDefault="001F7667">
            <w:pPr>
              <w:pStyle w:val="P68B1DB1-Normal12"/>
              <w:rPr>
                <w:noProof/>
              </w:rPr>
            </w:pPr>
            <w:r>
              <w:rPr>
                <w:noProof/>
              </w:rPr>
              <w:t xml:space="preserve">Инвестиция 2.1 — Укрепване на Ecobonus за енергийна ефективност </w:t>
            </w:r>
          </w:p>
        </w:tc>
        <w:tc>
          <w:tcPr>
            <w:tcW w:w="1418" w:type="dxa"/>
            <w:tcBorders>
              <w:top w:val="nil"/>
              <w:left w:val="nil"/>
              <w:bottom w:val="single" w:sz="4" w:space="0" w:color="auto"/>
              <w:right w:val="single" w:sz="4" w:space="0" w:color="auto"/>
            </w:tcBorders>
            <w:shd w:val="clear" w:color="auto" w:fill="C6EFCE"/>
            <w:noWrap/>
            <w:vAlign w:val="center"/>
          </w:tcPr>
          <w:p w14:paraId="6B3CA436" w14:textId="77777777" w:rsidR="006054AA" w:rsidRDefault="001F7667">
            <w:pPr>
              <w:pStyle w:val="P68B1DB1-Normal12"/>
              <w:rPr>
                <w:noProof/>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1074A96D" w14:textId="77777777" w:rsidR="006054AA" w:rsidRDefault="001F7667">
            <w:pPr>
              <w:pStyle w:val="P68B1DB1-Normal12"/>
              <w:rPr>
                <w:noProof/>
              </w:rPr>
            </w:pPr>
            <w:r>
              <w:rPr>
                <w:noProof/>
              </w:rPr>
              <w:t xml:space="preserve">Влизане в сила на удължаването на срока на действие на Superbonus  </w:t>
            </w:r>
          </w:p>
        </w:tc>
      </w:tr>
      <w:tr w:rsidR="006054AA" w14:paraId="14BAAD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2D2220" w14:textId="77777777" w:rsidR="006054AA" w:rsidRDefault="001F7667">
            <w:pPr>
              <w:pStyle w:val="P68B1DB1-Normal12"/>
              <w:jc w:val="center"/>
              <w:rPr>
                <w:noProof/>
              </w:rPr>
            </w:pPr>
            <w:r>
              <w:rPr>
                <w:noProof/>
              </w:rPr>
              <w:t>M2C4—3</w:t>
            </w:r>
          </w:p>
        </w:tc>
        <w:tc>
          <w:tcPr>
            <w:tcW w:w="3118" w:type="dxa"/>
            <w:tcBorders>
              <w:top w:val="nil"/>
              <w:left w:val="nil"/>
              <w:bottom w:val="single" w:sz="4" w:space="0" w:color="auto"/>
              <w:right w:val="single" w:sz="4" w:space="0" w:color="auto"/>
            </w:tcBorders>
            <w:shd w:val="clear" w:color="auto" w:fill="C6EFCE"/>
            <w:noWrap/>
            <w:vAlign w:val="center"/>
          </w:tcPr>
          <w:p w14:paraId="49830A1B" w14:textId="77777777" w:rsidR="006054AA" w:rsidRDefault="001F7667">
            <w:pPr>
              <w:pStyle w:val="P68B1DB1-Normal12"/>
              <w:rPr>
                <w:noProof/>
              </w:rPr>
            </w:pPr>
            <w:r>
              <w:rPr>
                <w:noProof/>
              </w:rPr>
              <w:t>Реформа 4.2 „Мерки за осигуряване на пълен управленски капацитет за интегрирани водни услуги“</w:t>
            </w:r>
          </w:p>
        </w:tc>
        <w:tc>
          <w:tcPr>
            <w:tcW w:w="1418" w:type="dxa"/>
            <w:tcBorders>
              <w:top w:val="nil"/>
              <w:left w:val="nil"/>
              <w:bottom w:val="single" w:sz="4" w:space="0" w:color="auto"/>
              <w:right w:val="single" w:sz="4" w:space="0" w:color="auto"/>
            </w:tcBorders>
            <w:shd w:val="clear" w:color="auto" w:fill="C6EFCE"/>
            <w:noWrap/>
            <w:vAlign w:val="center"/>
          </w:tcPr>
          <w:p w14:paraId="4327778A" w14:textId="77777777" w:rsidR="006054AA" w:rsidRDefault="001F7667">
            <w:pPr>
              <w:pStyle w:val="P68B1DB1-Normal12"/>
              <w:rPr>
                <w:noProof/>
                <w:color w:val="006600"/>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5C21B8C8" w14:textId="77777777" w:rsidR="006054AA" w:rsidRDefault="001F7667">
            <w:pPr>
              <w:pStyle w:val="P68B1DB1-Normal12"/>
              <w:rPr>
                <w:noProof/>
                <w:color w:val="006600"/>
              </w:rPr>
            </w:pPr>
            <w:r>
              <w:rPr>
                <w:noProof/>
              </w:rPr>
              <w:t>Реформа на правната рамка за по-добро управление и устойчиво използване на водите</w:t>
            </w:r>
          </w:p>
        </w:tc>
      </w:tr>
      <w:tr w:rsidR="006054AA" w14:paraId="6DE04D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A7363F" w14:textId="77777777" w:rsidR="006054AA" w:rsidRDefault="001F7667">
            <w:pPr>
              <w:pStyle w:val="P68B1DB1-Normal12"/>
              <w:jc w:val="center"/>
              <w:rPr>
                <w:noProof/>
              </w:rPr>
            </w:pPr>
            <w:r>
              <w:rPr>
                <w:noProof/>
              </w:rPr>
              <w:t xml:space="preserve">M3C2—3 </w:t>
            </w:r>
          </w:p>
        </w:tc>
        <w:tc>
          <w:tcPr>
            <w:tcW w:w="3118" w:type="dxa"/>
            <w:tcBorders>
              <w:top w:val="nil"/>
              <w:left w:val="nil"/>
              <w:bottom w:val="single" w:sz="4" w:space="0" w:color="auto"/>
              <w:right w:val="single" w:sz="4" w:space="0" w:color="auto"/>
            </w:tcBorders>
            <w:shd w:val="clear" w:color="auto" w:fill="C6EFCE"/>
            <w:noWrap/>
            <w:vAlign w:val="center"/>
          </w:tcPr>
          <w:p w14:paraId="21D8F6E4" w14:textId="77777777" w:rsidR="006054AA" w:rsidRDefault="001F7667">
            <w:pPr>
              <w:pStyle w:val="P68B1DB1-Normal12"/>
              <w:rPr>
                <w:noProof/>
              </w:rPr>
            </w:pPr>
            <w:r>
              <w:rPr>
                <w:noProof/>
              </w:rPr>
              <w:t>Реформа 2.1 — Прилагане на обслужване на едно митническо гише („Sportello Unico Doganale“) </w:t>
            </w:r>
          </w:p>
        </w:tc>
        <w:tc>
          <w:tcPr>
            <w:tcW w:w="1418" w:type="dxa"/>
            <w:tcBorders>
              <w:top w:val="nil"/>
              <w:left w:val="nil"/>
              <w:bottom w:val="single" w:sz="4" w:space="0" w:color="auto"/>
              <w:right w:val="single" w:sz="4" w:space="0" w:color="auto"/>
            </w:tcBorders>
            <w:shd w:val="clear" w:color="auto" w:fill="C6EFCE"/>
            <w:noWrap/>
            <w:vAlign w:val="center"/>
          </w:tcPr>
          <w:p w14:paraId="1B8440CD" w14:textId="77777777" w:rsidR="006054AA" w:rsidRDefault="001F7667">
            <w:pPr>
              <w:pStyle w:val="P68B1DB1-Normal12"/>
              <w:rPr>
                <w:noProof/>
                <w:color w:val="006600"/>
              </w:rPr>
            </w:pPr>
            <w:r>
              <w:rPr>
                <w:noProof/>
              </w:rPr>
              <w:t>Ключов етап </w:t>
            </w:r>
          </w:p>
        </w:tc>
        <w:tc>
          <w:tcPr>
            <w:tcW w:w="3714" w:type="dxa"/>
            <w:tcBorders>
              <w:top w:val="nil"/>
              <w:left w:val="nil"/>
              <w:bottom w:val="single" w:sz="4" w:space="0" w:color="auto"/>
              <w:right w:val="single" w:sz="4" w:space="0" w:color="auto"/>
            </w:tcBorders>
            <w:shd w:val="clear" w:color="auto" w:fill="C6EFCE"/>
            <w:noWrap/>
            <w:vAlign w:val="center"/>
          </w:tcPr>
          <w:p w14:paraId="3BB6C640" w14:textId="77777777" w:rsidR="006054AA" w:rsidRDefault="001F7667">
            <w:pPr>
              <w:pStyle w:val="P68B1DB1-Normal12"/>
              <w:rPr>
                <w:noProof/>
                <w:color w:val="006600"/>
              </w:rPr>
            </w:pPr>
            <w:r>
              <w:rPr>
                <w:noProof/>
              </w:rPr>
              <w:t>Влизане в сила на Наредбата за единното митническо бюро (Sportello Unico Doganale) </w:t>
            </w:r>
          </w:p>
        </w:tc>
      </w:tr>
      <w:tr w:rsidR="006054AA" w14:paraId="2711B9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C254A" w14:textId="77777777" w:rsidR="006054AA" w:rsidRDefault="001F7667">
            <w:pPr>
              <w:pStyle w:val="P68B1DB1-Normal12"/>
              <w:jc w:val="center"/>
              <w:rPr>
                <w:noProof/>
              </w:rPr>
            </w:pPr>
            <w:r>
              <w:rPr>
                <w:noProof/>
              </w:rPr>
              <w:t>M4C1—1</w:t>
            </w:r>
          </w:p>
        </w:tc>
        <w:tc>
          <w:tcPr>
            <w:tcW w:w="3118" w:type="dxa"/>
            <w:tcBorders>
              <w:top w:val="nil"/>
              <w:left w:val="nil"/>
              <w:bottom w:val="single" w:sz="4" w:space="0" w:color="auto"/>
              <w:right w:val="single" w:sz="4" w:space="0" w:color="auto"/>
            </w:tcBorders>
            <w:shd w:val="clear" w:color="auto" w:fill="C6EFCE"/>
            <w:noWrap/>
            <w:vAlign w:val="center"/>
          </w:tcPr>
          <w:p w14:paraId="59FF6684" w14:textId="77777777" w:rsidR="006054AA" w:rsidRDefault="001F7667">
            <w:pPr>
              <w:pStyle w:val="P68B1DB1-Normal12"/>
              <w:rPr>
                <w:noProof/>
              </w:rPr>
            </w:pPr>
            <w:r>
              <w:rPr>
                <w:noProof/>
              </w:rPr>
              <w:t>Реформа 1.5: Реформа на групите университетски дипломи; Реформа 1.6: Създаване на условия за реформа на университетските степени; Реформа 4.1: Докторска степен „Програми за реформа“</w:t>
            </w:r>
          </w:p>
        </w:tc>
        <w:tc>
          <w:tcPr>
            <w:tcW w:w="1418" w:type="dxa"/>
            <w:tcBorders>
              <w:top w:val="nil"/>
              <w:left w:val="nil"/>
              <w:bottom w:val="single" w:sz="4" w:space="0" w:color="auto"/>
              <w:right w:val="single" w:sz="4" w:space="0" w:color="auto"/>
            </w:tcBorders>
            <w:shd w:val="clear" w:color="auto" w:fill="C6EFCE"/>
            <w:noWrap/>
            <w:vAlign w:val="center"/>
          </w:tcPr>
          <w:p w14:paraId="360CBF9A" w14:textId="77777777" w:rsidR="006054AA" w:rsidRDefault="001F7667">
            <w:pPr>
              <w:pStyle w:val="P68B1DB1-Normal12"/>
              <w:rPr>
                <w:noProof/>
                <w:color w:val="006600"/>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221F5522" w14:textId="77777777" w:rsidR="006054AA" w:rsidRDefault="001F7667">
            <w:pPr>
              <w:pStyle w:val="P68B1DB1-Normal12"/>
              <w:rPr>
                <w:noProof/>
                <w:color w:val="006600"/>
              </w:rPr>
            </w:pPr>
            <w:r>
              <w:rPr>
                <w:noProof/>
              </w:rPr>
              <w:t>Влизане в сила на реформите на системата на висшето образование с цел подобряване на образователните резултати (първично законодателство) относно: а) даване на възможност за получаване на университетски степени; групи за придобиване на университетска степен; реформа на докторските програми</w:t>
            </w:r>
          </w:p>
        </w:tc>
      </w:tr>
      <w:tr w:rsidR="006054AA" w14:paraId="563298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FA5D59" w14:textId="77777777" w:rsidR="006054AA" w:rsidRDefault="001F7667">
            <w:pPr>
              <w:pStyle w:val="P68B1DB1-Normal12"/>
              <w:jc w:val="center"/>
              <w:rPr>
                <w:noProof/>
              </w:rPr>
            </w:pPr>
            <w:r>
              <w:rPr>
                <w:noProof/>
              </w:rPr>
              <w:t>M4C1—2</w:t>
            </w:r>
          </w:p>
        </w:tc>
        <w:tc>
          <w:tcPr>
            <w:tcW w:w="3118" w:type="dxa"/>
            <w:tcBorders>
              <w:top w:val="nil"/>
              <w:left w:val="nil"/>
              <w:bottom w:val="single" w:sz="4" w:space="0" w:color="auto"/>
              <w:right w:val="single" w:sz="4" w:space="0" w:color="auto"/>
            </w:tcBorders>
            <w:shd w:val="clear" w:color="auto" w:fill="C6EFCE"/>
            <w:noWrap/>
            <w:vAlign w:val="center"/>
          </w:tcPr>
          <w:p w14:paraId="38DC034A" w14:textId="77777777" w:rsidR="006054AA" w:rsidRDefault="001F7667">
            <w:pPr>
              <w:pStyle w:val="P68B1DB1-Normal12"/>
              <w:rPr>
                <w:noProof/>
              </w:rPr>
            </w:pPr>
            <w:r>
              <w:rPr>
                <w:noProof/>
              </w:rPr>
              <w:t>Инвестиция 1.7: Стипендии за достъп до университет</w:t>
            </w:r>
          </w:p>
        </w:tc>
        <w:tc>
          <w:tcPr>
            <w:tcW w:w="1418" w:type="dxa"/>
            <w:tcBorders>
              <w:top w:val="nil"/>
              <w:left w:val="nil"/>
              <w:bottom w:val="single" w:sz="4" w:space="0" w:color="auto"/>
              <w:right w:val="single" w:sz="4" w:space="0" w:color="auto"/>
            </w:tcBorders>
            <w:shd w:val="clear" w:color="auto" w:fill="C6EFCE"/>
            <w:noWrap/>
            <w:vAlign w:val="center"/>
          </w:tcPr>
          <w:p w14:paraId="6B76ED58" w14:textId="77777777" w:rsidR="006054AA" w:rsidRDefault="001F7667">
            <w:pPr>
              <w:pStyle w:val="P68B1DB1-Normal12"/>
              <w:rPr>
                <w:noProof/>
                <w:color w:val="006600"/>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4C7C4367" w14:textId="77777777" w:rsidR="006054AA" w:rsidRDefault="001F7667">
            <w:pPr>
              <w:pStyle w:val="P68B1DB1-Normal12"/>
              <w:rPr>
                <w:noProof/>
                <w:color w:val="006600"/>
              </w:rPr>
            </w:pPr>
            <w:r>
              <w:rPr>
                <w:noProof/>
              </w:rPr>
              <w:t>Влизане в сила на министерски укази за реформа на стипендиите с цел подобряване на достъпа до висше образование</w:t>
            </w:r>
          </w:p>
        </w:tc>
      </w:tr>
      <w:tr w:rsidR="006054AA" w14:paraId="2D1B11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1B6294" w14:textId="77777777" w:rsidR="006054AA" w:rsidRDefault="001F7667">
            <w:pPr>
              <w:pStyle w:val="P68B1DB1-Normal12"/>
              <w:jc w:val="center"/>
              <w:rPr>
                <w:noProof/>
              </w:rPr>
            </w:pPr>
            <w:r>
              <w:rPr>
                <w:noProof/>
              </w:rPr>
              <w:t xml:space="preserve">M5C1—1 </w:t>
            </w:r>
          </w:p>
        </w:tc>
        <w:tc>
          <w:tcPr>
            <w:tcW w:w="3118" w:type="dxa"/>
            <w:tcBorders>
              <w:top w:val="nil"/>
              <w:left w:val="nil"/>
              <w:bottom w:val="single" w:sz="4" w:space="0" w:color="auto"/>
              <w:right w:val="single" w:sz="4" w:space="0" w:color="auto"/>
            </w:tcBorders>
            <w:shd w:val="clear" w:color="auto" w:fill="C6EFCE"/>
            <w:noWrap/>
            <w:vAlign w:val="center"/>
          </w:tcPr>
          <w:p w14:paraId="2BA1BDA1" w14:textId="77777777" w:rsidR="006054AA" w:rsidRDefault="001F7667">
            <w:pPr>
              <w:pStyle w:val="P68B1DB1-Normal12"/>
              <w:rPr>
                <w:noProof/>
              </w:rPr>
            </w:pPr>
            <w:r>
              <w:rPr>
                <w:noProof/>
              </w:rPr>
              <w:t>Реформа 1 — АППТ и професионално обучение</w:t>
            </w:r>
          </w:p>
        </w:tc>
        <w:tc>
          <w:tcPr>
            <w:tcW w:w="1418" w:type="dxa"/>
            <w:tcBorders>
              <w:top w:val="nil"/>
              <w:left w:val="nil"/>
              <w:bottom w:val="single" w:sz="4" w:space="0" w:color="auto"/>
              <w:right w:val="single" w:sz="4" w:space="0" w:color="auto"/>
            </w:tcBorders>
            <w:shd w:val="clear" w:color="auto" w:fill="C6EFCE"/>
            <w:noWrap/>
            <w:vAlign w:val="center"/>
          </w:tcPr>
          <w:p w14:paraId="76F498AF" w14:textId="77777777" w:rsidR="006054AA" w:rsidRDefault="001F7667">
            <w:pPr>
              <w:pStyle w:val="P68B1DB1-Normal12"/>
              <w:rPr>
                <w:noProof/>
                <w:color w:val="006600"/>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2092718E" w14:textId="77777777" w:rsidR="006054AA" w:rsidRDefault="001F7667">
            <w:pPr>
              <w:pStyle w:val="P68B1DB1-Normal12"/>
              <w:rPr>
                <w:noProof/>
                <w:color w:val="006600"/>
              </w:rPr>
            </w:pPr>
            <w:r>
              <w:rPr>
                <w:noProof/>
              </w:rPr>
              <w:t>Влизане в сила на междуведомственото постановление за създаване на национална програма за гарантирана заетост на работниците и междуведомствено постановление за създаване на национален план за нови умения</w:t>
            </w:r>
          </w:p>
        </w:tc>
      </w:tr>
      <w:tr w:rsidR="006054AA" w14:paraId="192BEC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758F74" w14:textId="77777777" w:rsidR="006054AA" w:rsidRDefault="001F7667">
            <w:pPr>
              <w:pStyle w:val="P68B1DB1-Normal12"/>
              <w:jc w:val="center"/>
              <w:rPr>
                <w:noProof/>
              </w:rPr>
            </w:pPr>
            <w:r>
              <w:rPr>
                <w:noProof/>
              </w:rPr>
              <w:t>M5C2—1</w:t>
            </w:r>
          </w:p>
        </w:tc>
        <w:tc>
          <w:tcPr>
            <w:tcW w:w="3118" w:type="dxa"/>
            <w:tcBorders>
              <w:top w:val="nil"/>
              <w:left w:val="nil"/>
              <w:bottom w:val="single" w:sz="4" w:space="0" w:color="auto"/>
              <w:right w:val="single" w:sz="4" w:space="0" w:color="auto"/>
            </w:tcBorders>
            <w:shd w:val="clear" w:color="auto" w:fill="C6EFCE"/>
            <w:noWrap/>
            <w:vAlign w:val="center"/>
          </w:tcPr>
          <w:p w14:paraId="730CFBE0" w14:textId="77777777" w:rsidR="006054AA" w:rsidRDefault="001F7667">
            <w:pPr>
              <w:pStyle w:val="P68B1DB1-Normal12"/>
              <w:rPr>
                <w:noProof/>
              </w:rPr>
            </w:pPr>
            <w:r>
              <w:rPr>
                <w:noProof/>
              </w:rPr>
              <w:t>Реформа 1 — Рамков закон за хората с увреждания</w:t>
            </w:r>
          </w:p>
        </w:tc>
        <w:tc>
          <w:tcPr>
            <w:tcW w:w="1418" w:type="dxa"/>
            <w:tcBorders>
              <w:top w:val="nil"/>
              <w:left w:val="nil"/>
              <w:bottom w:val="single" w:sz="4" w:space="0" w:color="auto"/>
              <w:right w:val="single" w:sz="4" w:space="0" w:color="auto"/>
            </w:tcBorders>
            <w:shd w:val="clear" w:color="auto" w:fill="C6EFCE"/>
            <w:noWrap/>
            <w:vAlign w:val="center"/>
          </w:tcPr>
          <w:p w14:paraId="5427BD0F" w14:textId="77777777" w:rsidR="006054AA" w:rsidRDefault="001F7667">
            <w:pPr>
              <w:pStyle w:val="P68B1DB1-Normal12"/>
              <w:rPr>
                <w:noProof/>
                <w:color w:val="006600"/>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138CBC99" w14:textId="77777777" w:rsidR="006054AA" w:rsidRDefault="001F7667">
            <w:pPr>
              <w:pStyle w:val="P68B1DB1-Normal12"/>
              <w:rPr>
                <w:noProof/>
                <w:color w:val="006600"/>
              </w:rPr>
            </w:pPr>
            <w:r>
              <w:rPr>
                <w:noProof/>
              </w:rPr>
              <w:t>Влизане в сила на Рамковия закон за укрепване на автономността на хората с увреждания.</w:t>
            </w:r>
          </w:p>
        </w:tc>
      </w:tr>
      <w:tr w:rsidR="006054AA" w14:paraId="50B715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184B49" w14:textId="77777777" w:rsidR="006054AA" w:rsidRDefault="001F7667">
            <w:pPr>
              <w:pStyle w:val="P68B1DB1-Normal12"/>
              <w:jc w:val="center"/>
              <w:rPr>
                <w:noProof/>
              </w:rPr>
            </w:pPr>
            <w:r>
              <w:rPr>
                <w:noProof/>
              </w:rPr>
              <w:t>M5C2—5</w:t>
            </w:r>
          </w:p>
        </w:tc>
        <w:tc>
          <w:tcPr>
            <w:tcW w:w="3118" w:type="dxa"/>
            <w:tcBorders>
              <w:top w:val="nil"/>
              <w:left w:val="nil"/>
              <w:bottom w:val="single" w:sz="4" w:space="0" w:color="auto"/>
              <w:right w:val="single" w:sz="4" w:space="0" w:color="auto"/>
            </w:tcBorders>
            <w:shd w:val="clear" w:color="auto" w:fill="C6EFCE"/>
            <w:noWrap/>
            <w:vAlign w:val="center"/>
          </w:tcPr>
          <w:p w14:paraId="500D07A2" w14:textId="77777777" w:rsidR="006054AA" w:rsidRDefault="001F7667">
            <w:pPr>
              <w:pStyle w:val="P68B1DB1-Normal12"/>
              <w:rPr>
                <w:noProof/>
              </w:rPr>
            </w:pPr>
            <w:r>
              <w:rPr>
                <w:noProof/>
              </w:rPr>
              <w:t>Инвестиция 1 — Подкрепа за уязвимите лица и предотвратяване на институционализацията</w:t>
            </w:r>
          </w:p>
        </w:tc>
        <w:tc>
          <w:tcPr>
            <w:tcW w:w="1418" w:type="dxa"/>
            <w:tcBorders>
              <w:top w:val="nil"/>
              <w:left w:val="nil"/>
              <w:bottom w:val="single" w:sz="4" w:space="0" w:color="auto"/>
              <w:right w:val="single" w:sz="4" w:space="0" w:color="auto"/>
            </w:tcBorders>
            <w:shd w:val="clear" w:color="auto" w:fill="C6EFCE"/>
            <w:noWrap/>
            <w:vAlign w:val="center"/>
          </w:tcPr>
          <w:p w14:paraId="1EEAC312" w14:textId="77777777" w:rsidR="006054AA" w:rsidRDefault="001F7667">
            <w:pPr>
              <w:pStyle w:val="P68B1DB1-Normal12"/>
              <w:rPr>
                <w:noProof/>
                <w:color w:val="006600"/>
              </w:rPr>
            </w:pPr>
            <w:r>
              <w:rPr>
                <w:noProof/>
              </w:rPr>
              <w:t>Ключов етап</w:t>
            </w:r>
          </w:p>
        </w:tc>
        <w:tc>
          <w:tcPr>
            <w:tcW w:w="3714" w:type="dxa"/>
            <w:tcBorders>
              <w:top w:val="nil"/>
              <w:left w:val="nil"/>
              <w:bottom w:val="single" w:sz="4" w:space="0" w:color="auto"/>
              <w:right w:val="single" w:sz="4" w:space="0" w:color="auto"/>
            </w:tcBorders>
            <w:shd w:val="clear" w:color="auto" w:fill="C6EFCE"/>
            <w:noWrap/>
            <w:vAlign w:val="center"/>
          </w:tcPr>
          <w:p w14:paraId="2F4A4EA0" w14:textId="77777777" w:rsidR="006054AA" w:rsidRDefault="001F7667">
            <w:pPr>
              <w:pStyle w:val="P68B1DB1-Normal12"/>
              <w:rPr>
                <w:noProof/>
                <w:color w:val="006600"/>
              </w:rPr>
            </w:pPr>
            <w:r>
              <w:rPr>
                <w:noProof/>
              </w:rPr>
              <w:t>Влизане в сила на оперативния план</w:t>
            </w:r>
          </w:p>
        </w:tc>
      </w:tr>
      <w:tr w:rsidR="006054AA" w14:paraId="7AC6A1E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C99D53" w14:textId="77777777" w:rsidR="006054AA" w:rsidRDefault="006054AA">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3A52C54" w14:textId="77777777" w:rsidR="006054AA" w:rsidRDefault="006054AA">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2A26EAE" w14:textId="77777777" w:rsidR="006054AA" w:rsidRDefault="001F7667">
            <w:pPr>
              <w:pStyle w:val="P68B1DB1-Normal12"/>
              <w:rPr>
                <w:noProof/>
              </w:rPr>
            </w:pPr>
            <w:r>
              <w:rPr>
                <w:noProof/>
              </w:rPr>
              <w:t>Размер на вноската</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1C7CCCB9" w14:textId="3FE8F320" w:rsidR="006054AA" w:rsidRDefault="001F7667">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00AFF423" w14:textId="77777777" w:rsidR="006054AA" w:rsidRDefault="006054AA">
      <w:pPr>
        <w:spacing w:before="120" w:after="120"/>
        <w:ind w:left="850"/>
        <w:jc w:val="both"/>
        <w:rPr>
          <w:rFonts w:eastAsia="Calibri"/>
          <w:noProof/>
        </w:rPr>
      </w:pPr>
    </w:p>
    <w:p w14:paraId="7AD70CCD" w14:textId="6D9EDEA5" w:rsidR="006054AA" w:rsidRDefault="001F7667">
      <w:pPr>
        <w:pStyle w:val="P68B1DB1-Normal44"/>
        <w:numPr>
          <w:ilvl w:val="1"/>
          <w:numId w:val="6"/>
        </w:numPr>
        <w:spacing w:before="120" w:after="120"/>
        <w:jc w:val="both"/>
        <w:rPr>
          <w:noProof/>
        </w:rPr>
      </w:pPr>
      <w:r>
        <w:rPr>
          <w:noProof/>
        </w:rPr>
        <w:t>Втора вноска (безвъзмездна подкрепа):</w:t>
      </w:r>
    </w:p>
    <w:tbl>
      <w:tblPr>
        <w:tblW w:w="9692" w:type="dxa"/>
        <w:tblInd w:w="113" w:type="dxa"/>
        <w:tblLook w:val="04A0" w:firstRow="1" w:lastRow="0" w:firstColumn="1" w:lastColumn="0" w:noHBand="0" w:noVBand="1"/>
      </w:tblPr>
      <w:tblGrid>
        <w:gridCol w:w="1413"/>
        <w:gridCol w:w="3118"/>
        <w:gridCol w:w="1418"/>
        <w:gridCol w:w="3743"/>
      </w:tblGrid>
      <w:tr w:rsidR="006054AA" w14:paraId="3835E09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3E3F36" w14:textId="77777777" w:rsidR="006054AA" w:rsidRDefault="001F7667">
            <w:pPr>
              <w:pStyle w:val="P68B1DB1-Normal45"/>
              <w:jc w:val="center"/>
              <w:rPr>
                <w:noProof/>
              </w:rPr>
            </w:pPr>
            <w:r>
              <w:rPr>
                <w:noProof/>
              </w:rPr>
              <w:t>Пореден номер</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0BDCD9" w14:textId="77777777" w:rsidR="006054AA" w:rsidRDefault="001F7667">
            <w:pPr>
              <w:pStyle w:val="P68B1DB1-Normal45"/>
              <w:jc w:val="center"/>
              <w:rPr>
                <w:noProof/>
              </w:rPr>
            </w:pPr>
            <w:r>
              <w:rPr>
                <w:noProof/>
              </w:rPr>
              <w:t>Свързана мярка (реформа или инвестиции)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4FB1" w14:textId="77777777" w:rsidR="006054AA" w:rsidRDefault="001F7667">
            <w:pPr>
              <w:pStyle w:val="P68B1DB1-Normal45"/>
              <w:jc w:val="center"/>
              <w:rPr>
                <w:noProof/>
              </w:rPr>
            </w:pPr>
            <w:r>
              <w:rPr>
                <w:noProof/>
              </w:rPr>
              <w:t>Ключов етап/Цел</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2117F" w14:textId="77777777" w:rsidR="006054AA" w:rsidRDefault="001F7667">
            <w:pPr>
              <w:pStyle w:val="P68B1DB1-Normal45"/>
              <w:jc w:val="center"/>
              <w:rPr>
                <w:noProof/>
              </w:rPr>
            </w:pPr>
            <w:r>
              <w:rPr>
                <w:noProof/>
              </w:rPr>
              <w:t>Име</w:t>
            </w:r>
          </w:p>
        </w:tc>
      </w:tr>
      <w:tr w:rsidR="006054AA" w14:paraId="330FA35D"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F60E8C" w14:textId="77777777" w:rsidR="006054AA" w:rsidRDefault="006054AA">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B98D6D8" w14:textId="77777777" w:rsidR="006054AA" w:rsidRDefault="006054AA">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76E8F9" w14:textId="77777777" w:rsidR="006054AA" w:rsidRDefault="006054AA">
            <w:pPr>
              <w:rPr>
                <w:b/>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09D45D65" w14:textId="77777777" w:rsidR="006054AA" w:rsidRDefault="006054AA">
            <w:pPr>
              <w:rPr>
                <w:b/>
                <w:noProof/>
              </w:rPr>
            </w:pPr>
          </w:p>
        </w:tc>
      </w:tr>
      <w:tr w:rsidR="006054AA" w14:paraId="7A94F07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AFF0C" w14:textId="77777777" w:rsidR="006054AA" w:rsidRDefault="001F7667">
            <w:pPr>
              <w:pStyle w:val="P68B1DB1-Normal12"/>
              <w:jc w:val="center"/>
              <w:rPr>
                <w:noProof/>
              </w:rPr>
            </w:pPr>
            <w:r>
              <w:rPr>
                <w:noProof/>
              </w:rPr>
              <w:t>M2C4—5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D176E84" w14:textId="77777777" w:rsidR="006054AA" w:rsidRDefault="001F7667">
            <w:pPr>
              <w:pStyle w:val="P68B1DB1-Normal12"/>
              <w:rPr>
                <w:noProof/>
              </w:rPr>
            </w:pPr>
            <w:r>
              <w:rPr>
                <w:noProof/>
              </w:rPr>
              <w:t>Инвестиция 3.2: Цифровизация на националните паркове</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F77ADE" w14:textId="77777777" w:rsidR="006054AA" w:rsidRDefault="001F7667">
            <w:pPr>
              <w:pStyle w:val="P68B1DB1-Normal12"/>
              <w:rPr>
                <w:noProof/>
              </w:rPr>
            </w:pPr>
            <w:r>
              <w:rPr>
                <w:noProof/>
              </w:rPr>
              <w:t>Ключов етап</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0F318A57" w14:textId="77777777" w:rsidR="006054AA" w:rsidRDefault="001F7667">
            <w:pPr>
              <w:pStyle w:val="P68B1DB1-Normal12"/>
              <w:rPr>
                <w:noProof/>
              </w:rPr>
            </w:pPr>
            <w:r>
              <w:rPr>
                <w:noProof/>
              </w:rPr>
              <w:t>Влизане в сила на административното опростяване и развитие на цифровите услуги за посетители на национални паркове и защитени морски зони</w:t>
            </w:r>
          </w:p>
        </w:tc>
      </w:tr>
      <w:tr w:rsidR="006054AA" w14:paraId="458D2A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9DC4C" w14:textId="77777777" w:rsidR="006054AA" w:rsidRDefault="001F7667">
            <w:pPr>
              <w:pStyle w:val="P68B1DB1-Normal12"/>
              <w:jc w:val="center"/>
              <w:rPr>
                <w:noProof/>
              </w:rPr>
            </w:pPr>
            <w:r>
              <w:rPr>
                <w:noProof/>
              </w:rPr>
              <w:t>M5C2—9</w:t>
            </w:r>
          </w:p>
        </w:tc>
        <w:tc>
          <w:tcPr>
            <w:tcW w:w="3118" w:type="dxa"/>
            <w:tcBorders>
              <w:top w:val="nil"/>
              <w:left w:val="nil"/>
              <w:bottom w:val="single" w:sz="4" w:space="0" w:color="auto"/>
              <w:right w:val="single" w:sz="4" w:space="0" w:color="auto"/>
            </w:tcBorders>
            <w:shd w:val="clear" w:color="auto" w:fill="C6EFCE"/>
            <w:noWrap/>
            <w:vAlign w:val="center"/>
          </w:tcPr>
          <w:p w14:paraId="46E52C25" w14:textId="77777777" w:rsidR="006054AA" w:rsidRDefault="001F7667">
            <w:pPr>
              <w:pStyle w:val="P68B1DB1-Normal12"/>
              <w:rPr>
                <w:noProof/>
              </w:rPr>
            </w:pPr>
            <w:r>
              <w:rPr>
                <w:noProof/>
              </w:rPr>
              <w:t>Инвестиция 3 — Жилищни първи и пощенски станции</w:t>
            </w:r>
          </w:p>
        </w:tc>
        <w:tc>
          <w:tcPr>
            <w:tcW w:w="1418" w:type="dxa"/>
            <w:tcBorders>
              <w:top w:val="nil"/>
              <w:left w:val="nil"/>
              <w:bottom w:val="single" w:sz="4" w:space="0" w:color="auto"/>
              <w:right w:val="single" w:sz="4" w:space="0" w:color="auto"/>
            </w:tcBorders>
            <w:shd w:val="clear" w:color="auto" w:fill="C6EFCE"/>
            <w:noWrap/>
            <w:vAlign w:val="center"/>
          </w:tcPr>
          <w:p w14:paraId="60DB6DCB"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5D0FE33B" w14:textId="77777777" w:rsidR="006054AA" w:rsidRDefault="001F7667">
            <w:pPr>
              <w:pStyle w:val="P68B1DB1-Normal12"/>
              <w:rPr>
                <w:noProof/>
              </w:rPr>
            </w:pPr>
            <w:r>
              <w:rPr>
                <w:noProof/>
              </w:rPr>
              <w:t>Влизане в сила на оперативния план по отношение на проекти за жилищно настаняване на първа и пощенска станция, определяне на изискванията за проекти, които могат да бъдат представяни от местните органи, и отправяне на покана за представяне на предложения</w:t>
            </w:r>
          </w:p>
        </w:tc>
      </w:tr>
      <w:tr w:rsidR="006054AA" w14:paraId="222E2E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6B3DE" w14:textId="77777777" w:rsidR="006054AA" w:rsidRDefault="001F7667">
            <w:pPr>
              <w:pStyle w:val="P68B1DB1-Normal12"/>
              <w:jc w:val="center"/>
              <w:rPr>
                <w:noProof/>
              </w:rPr>
            </w:pPr>
            <w:r>
              <w:rPr>
                <w:noProof/>
              </w:rPr>
              <w:t>M1C1—33</w:t>
            </w:r>
          </w:p>
        </w:tc>
        <w:tc>
          <w:tcPr>
            <w:tcW w:w="3118" w:type="dxa"/>
            <w:tcBorders>
              <w:top w:val="nil"/>
              <w:left w:val="nil"/>
              <w:bottom w:val="single" w:sz="4" w:space="0" w:color="auto"/>
              <w:right w:val="single" w:sz="4" w:space="0" w:color="auto"/>
            </w:tcBorders>
            <w:shd w:val="clear" w:color="auto" w:fill="C6EFCE"/>
            <w:noWrap/>
            <w:vAlign w:val="center"/>
          </w:tcPr>
          <w:p w14:paraId="577F311A" w14:textId="77777777" w:rsidR="006054AA" w:rsidRDefault="001F7667">
            <w:pPr>
              <w:pStyle w:val="P68B1DB1-Normal12"/>
              <w:rPr>
                <w:noProof/>
              </w:rPr>
            </w:pPr>
            <w:r>
              <w:rPr>
                <w:noProof/>
              </w:rPr>
              <w:t>Инвестиция 1.8: Процедури за набиране на персонал в административните съдилища</w:t>
            </w:r>
          </w:p>
        </w:tc>
        <w:tc>
          <w:tcPr>
            <w:tcW w:w="1418" w:type="dxa"/>
            <w:tcBorders>
              <w:top w:val="nil"/>
              <w:left w:val="nil"/>
              <w:bottom w:val="single" w:sz="4" w:space="0" w:color="auto"/>
              <w:right w:val="single" w:sz="4" w:space="0" w:color="auto"/>
            </w:tcBorders>
            <w:shd w:val="clear" w:color="auto" w:fill="C6EFCE"/>
            <w:noWrap/>
            <w:vAlign w:val="center"/>
          </w:tcPr>
          <w:p w14:paraId="458B8A09" w14:textId="77777777" w:rsidR="006054AA" w:rsidRDefault="001F7667">
            <w:pPr>
              <w:pStyle w:val="P68B1DB1-Normal12"/>
              <w:rPr>
                <w:noProof/>
              </w:rPr>
            </w:pPr>
            <w:r>
              <w:rPr>
                <w:noProof/>
              </w:rPr>
              <w:t>Целеви</w:t>
            </w:r>
          </w:p>
        </w:tc>
        <w:tc>
          <w:tcPr>
            <w:tcW w:w="3743" w:type="dxa"/>
            <w:tcBorders>
              <w:top w:val="nil"/>
              <w:left w:val="nil"/>
              <w:bottom w:val="single" w:sz="4" w:space="0" w:color="auto"/>
              <w:right w:val="single" w:sz="4" w:space="0" w:color="auto"/>
            </w:tcBorders>
            <w:shd w:val="clear" w:color="auto" w:fill="C6EFCE"/>
            <w:noWrap/>
            <w:vAlign w:val="center"/>
          </w:tcPr>
          <w:p w14:paraId="153B6213" w14:textId="77777777" w:rsidR="006054AA" w:rsidRDefault="001F7667">
            <w:pPr>
              <w:pStyle w:val="P68B1DB1-Normal12"/>
              <w:rPr>
                <w:noProof/>
              </w:rPr>
            </w:pPr>
            <w:r>
              <w:rPr>
                <w:noProof/>
              </w:rPr>
              <w:t>Начало на процедурите за набиране на персонал в административните съдилища</w:t>
            </w:r>
          </w:p>
        </w:tc>
      </w:tr>
      <w:tr w:rsidR="006054AA" w14:paraId="2856F2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99AF1" w14:textId="77777777" w:rsidR="006054AA" w:rsidRDefault="001F7667">
            <w:pPr>
              <w:pStyle w:val="P68B1DB1-Normal12"/>
              <w:jc w:val="center"/>
              <w:rPr>
                <w:noProof/>
              </w:rPr>
            </w:pPr>
            <w:r>
              <w:rPr>
                <w:noProof/>
              </w:rPr>
              <w:t>M1C1—56</w:t>
            </w:r>
          </w:p>
        </w:tc>
        <w:tc>
          <w:tcPr>
            <w:tcW w:w="3118" w:type="dxa"/>
            <w:tcBorders>
              <w:top w:val="nil"/>
              <w:left w:val="nil"/>
              <w:bottom w:val="single" w:sz="4" w:space="0" w:color="auto"/>
              <w:right w:val="single" w:sz="4" w:space="0" w:color="auto"/>
            </w:tcBorders>
            <w:shd w:val="clear" w:color="auto" w:fill="C6EFCE"/>
            <w:noWrap/>
            <w:vAlign w:val="center"/>
          </w:tcPr>
          <w:p w14:paraId="4B79F83A"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21349965"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79ED86BD" w14:textId="77777777" w:rsidR="006054AA" w:rsidRDefault="001F7667">
            <w:pPr>
              <w:pStyle w:val="P68B1DB1-Normal12"/>
              <w:rPr>
                <w:noProof/>
              </w:rPr>
            </w:pPr>
            <w:r>
              <w:rPr>
                <w:noProof/>
              </w:rPr>
              <w:t>Влизане в сила на законодателството, даващо възможност за реформа на заетостта в публичния сектор</w:t>
            </w:r>
          </w:p>
        </w:tc>
      </w:tr>
      <w:tr w:rsidR="006054AA" w14:paraId="678257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A9A88D" w14:textId="77777777" w:rsidR="006054AA" w:rsidRDefault="001F7667">
            <w:pPr>
              <w:pStyle w:val="P68B1DB1-Normal12"/>
              <w:jc w:val="center"/>
              <w:rPr>
                <w:noProof/>
              </w:rPr>
            </w:pPr>
            <w:r>
              <w:rPr>
                <w:noProof/>
              </w:rPr>
              <w:t>M1C1—70</w:t>
            </w:r>
          </w:p>
        </w:tc>
        <w:tc>
          <w:tcPr>
            <w:tcW w:w="3118" w:type="dxa"/>
            <w:tcBorders>
              <w:top w:val="nil"/>
              <w:left w:val="nil"/>
              <w:bottom w:val="single" w:sz="4" w:space="0" w:color="auto"/>
              <w:right w:val="single" w:sz="4" w:space="0" w:color="auto"/>
            </w:tcBorders>
            <w:shd w:val="clear" w:color="auto" w:fill="C6EFCE"/>
            <w:noWrap/>
            <w:vAlign w:val="center"/>
          </w:tcPr>
          <w:p w14:paraId="49B3F5CD"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17E98561"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74AE8DC9" w14:textId="77777777" w:rsidR="006054AA" w:rsidRDefault="001F7667">
            <w:pPr>
              <w:pStyle w:val="P68B1DB1-Normal12"/>
              <w:rPr>
                <w:noProof/>
              </w:rPr>
            </w:pPr>
            <w:r>
              <w:rPr>
                <w:noProof/>
              </w:rPr>
              <w:t>Влизане в сила на преразглеждането на Кодекса за обществените поръчки (D.Lgs. № 50/2016)</w:t>
            </w:r>
          </w:p>
        </w:tc>
      </w:tr>
      <w:tr w:rsidR="006054AA" w14:paraId="59CC2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515687" w14:textId="77777777" w:rsidR="006054AA" w:rsidRDefault="001F7667">
            <w:pPr>
              <w:pStyle w:val="P68B1DB1-Normal12"/>
              <w:jc w:val="center"/>
              <w:rPr>
                <w:noProof/>
              </w:rPr>
            </w:pPr>
            <w:r>
              <w:rPr>
                <w:noProof/>
              </w:rPr>
              <w:t>M1C1—103</w:t>
            </w:r>
          </w:p>
        </w:tc>
        <w:tc>
          <w:tcPr>
            <w:tcW w:w="3118" w:type="dxa"/>
            <w:tcBorders>
              <w:top w:val="nil"/>
              <w:left w:val="nil"/>
              <w:bottom w:val="single" w:sz="4" w:space="0" w:color="auto"/>
              <w:right w:val="single" w:sz="4" w:space="0" w:color="auto"/>
            </w:tcBorders>
            <w:shd w:val="clear" w:color="auto" w:fill="C6EFCE"/>
            <w:noWrap/>
            <w:vAlign w:val="center"/>
          </w:tcPr>
          <w:p w14:paraId="6171283F" w14:textId="77777777" w:rsidR="006054AA" w:rsidRDefault="001F7667">
            <w:pPr>
              <w:pStyle w:val="P68B1DB1-Normal12"/>
              <w:rPr>
                <w:noProof/>
              </w:rPr>
            </w:pPr>
            <w:r>
              <w:rPr>
                <w:noProof/>
              </w:rPr>
              <w:t>Реформа 1.12: Реформа на данъчната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4D21E35C"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281C1E89" w14:textId="77777777" w:rsidR="006054AA" w:rsidRDefault="001F7667">
            <w:pPr>
              <w:pStyle w:val="P68B1DB1-Normal12"/>
              <w:rPr>
                <w:noProof/>
              </w:rPr>
            </w:pPr>
            <w:r>
              <w:rPr>
                <w:noProof/>
              </w:rPr>
              <w:t>Влизане в сила на първично и вторично законодателство и регулаторни разпоредби и приключване на административните процеси за насърчаване на спазването на данъчното законодателство и подобряване на одитите и контрола</w:t>
            </w:r>
          </w:p>
        </w:tc>
      </w:tr>
      <w:tr w:rsidR="006054AA" w14:paraId="5C55D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F33640" w14:textId="77777777" w:rsidR="006054AA" w:rsidRDefault="001F7667">
            <w:pPr>
              <w:pStyle w:val="P68B1DB1-Normal12"/>
              <w:jc w:val="center"/>
              <w:rPr>
                <w:noProof/>
              </w:rPr>
            </w:pPr>
            <w:r>
              <w:rPr>
                <w:noProof/>
              </w:rPr>
              <w:t>M1C1—104</w:t>
            </w:r>
          </w:p>
        </w:tc>
        <w:tc>
          <w:tcPr>
            <w:tcW w:w="3118" w:type="dxa"/>
            <w:tcBorders>
              <w:top w:val="nil"/>
              <w:left w:val="nil"/>
              <w:bottom w:val="single" w:sz="4" w:space="0" w:color="auto"/>
              <w:right w:val="single" w:sz="4" w:space="0" w:color="auto"/>
            </w:tcBorders>
            <w:shd w:val="clear" w:color="auto" w:fill="C6EFCE"/>
            <w:noWrap/>
            <w:vAlign w:val="center"/>
          </w:tcPr>
          <w:p w14:paraId="1874F278" w14:textId="77777777" w:rsidR="006054AA" w:rsidRDefault="001F7667">
            <w:pPr>
              <w:pStyle w:val="P68B1DB1-Normal12"/>
              <w:rPr>
                <w:noProof/>
              </w:rPr>
            </w:pPr>
            <w:r>
              <w:rPr>
                <w:noProof/>
              </w:rPr>
              <w:t>Реформа 1.13: Реформа на рамката за преглед на разходите</w:t>
            </w:r>
          </w:p>
        </w:tc>
        <w:tc>
          <w:tcPr>
            <w:tcW w:w="1418" w:type="dxa"/>
            <w:tcBorders>
              <w:top w:val="nil"/>
              <w:left w:val="nil"/>
              <w:bottom w:val="single" w:sz="4" w:space="0" w:color="auto"/>
              <w:right w:val="single" w:sz="4" w:space="0" w:color="auto"/>
            </w:tcBorders>
            <w:shd w:val="clear" w:color="auto" w:fill="C6EFCE"/>
            <w:noWrap/>
            <w:vAlign w:val="center"/>
          </w:tcPr>
          <w:p w14:paraId="5986A86E"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1DF85EB4" w14:textId="77777777" w:rsidR="006054AA" w:rsidRDefault="001F7667">
            <w:pPr>
              <w:pStyle w:val="P68B1DB1-Normal12"/>
              <w:rPr>
                <w:noProof/>
              </w:rPr>
            </w:pPr>
            <w:r>
              <w:rPr>
                <w:noProof/>
              </w:rPr>
              <w:t>Приемане на цели за икономии за прегледите на разходите за периода 2023—2025 г.</w:t>
            </w:r>
          </w:p>
        </w:tc>
      </w:tr>
      <w:tr w:rsidR="006054AA" w14:paraId="41C4C3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68284" w14:textId="77777777" w:rsidR="006054AA" w:rsidRDefault="001F7667">
            <w:pPr>
              <w:pStyle w:val="P68B1DB1-Normal12"/>
              <w:jc w:val="center"/>
              <w:rPr>
                <w:noProof/>
              </w:rPr>
            </w:pPr>
            <w:r>
              <w:rPr>
                <w:noProof/>
              </w:rPr>
              <w:t>M1C3—11</w:t>
            </w:r>
          </w:p>
        </w:tc>
        <w:tc>
          <w:tcPr>
            <w:tcW w:w="3118" w:type="dxa"/>
            <w:tcBorders>
              <w:top w:val="nil"/>
              <w:left w:val="nil"/>
              <w:bottom w:val="single" w:sz="4" w:space="0" w:color="auto"/>
              <w:right w:val="single" w:sz="4" w:space="0" w:color="auto"/>
            </w:tcBorders>
            <w:shd w:val="clear" w:color="auto" w:fill="C6EFCE"/>
            <w:noWrap/>
            <w:vAlign w:val="center"/>
          </w:tcPr>
          <w:p w14:paraId="08D9FB0A" w14:textId="77777777" w:rsidR="006054AA" w:rsidRDefault="001F7667">
            <w:pPr>
              <w:pStyle w:val="P68B1DB1-Normal12"/>
              <w:rPr>
                <w:noProof/>
              </w:rPr>
            </w:pPr>
            <w:r>
              <w:rPr>
                <w:noProof/>
              </w:rPr>
              <w:t>Инвестиция 1.3 — Подобряване на енергийната ефективност в киното, театрите и музеите</w:t>
            </w:r>
          </w:p>
        </w:tc>
        <w:tc>
          <w:tcPr>
            <w:tcW w:w="1418" w:type="dxa"/>
            <w:tcBorders>
              <w:top w:val="nil"/>
              <w:left w:val="nil"/>
              <w:bottom w:val="single" w:sz="4" w:space="0" w:color="auto"/>
              <w:right w:val="single" w:sz="4" w:space="0" w:color="auto"/>
            </w:tcBorders>
            <w:shd w:val="clear" w:color="auto" w:fill="C6EFCE"/>
            <w:noWrap/>
            <w:vAlign w:val="center"/>
          </w:tcPr>
          <w:p w14:paraId="2D80767E"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344E7AAB" w14:textId="77777777" w:rsidR="006054AA" w:rsidRDefault="001F7667">
            <w:pPr>
              <w:pStyle w:val="P68B1DB1-Normal12"/>
              <w:rPr>
                <w:noProof/>
              </w:rPr>
            </w:pPr>
            <w:r>
              <w:rPr>
                <w:noProof/>
              </w:rPr>
              <w:t xml:space="preserve">Влизане в сила на постановлението на Министерството на културата за разпределението на ресурсите: подобряване на енергийната ефективност на местата на културата </w:t>
            </w:r>
          </w:p>
        </w:tc>
      </w:tr>
      <w:tr w:rsidR="006054AA" w14:paraId="7E6698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3D4D" w14:textId="77777777" w:rsidR="006054AA" w:rsidRDefault="001F7667">
            <w:pPr>
              <w:pStyle w:val="P68B1DB1-Normal12"/>
              <w:jc w:val="center"/>
              <w:rPr>
                <w:noProof/>
              </w:rPr>
            </w:pPr>
            <w:r>
              <w:rPr>
                <w:noProof/>
              </w:rPr>
              <w:t>M2C1—1</w:t>
            </w:r>
          </w:p>
        </w:tc>
        <w:tc>
          <w:tcPr>
            <w:tcW w:w="3118" w:type="dxa"/>
            <w:tcBorders>
              <w:top w:val="nil"/>
              <w:left w:val="nil"/>
              <w:bottom w:val="single" w:sz="4" w:space="0" w:color="auto"/>
              <w:right w:val="single" w:sz="4" w:space="0" w:color="auto"/>
            </w:tcBorders>
            <w:shd w:val="clear" w:color="auto" w:fill="C6EFCE"/>
            <w:noWrap/>
            <w:vAlign w:val="center"/>
          </w:tcPr>
          <w:p w14:paraId="6A027FEC" w14:textId="77777777" w:rsidR="006054AA" w:rsidRDefault="001F7667">
            <w:pPr>
              <w:pStyle w:val="P68B1DB1-Normal12"/>
              <w:rPr>
                <w:noProof/>
              </w:rPr>
            </w:pPr>
            <w:r>
              <w:rPr>
                <w:noProof/>
              </w:rPr>
              <w:t>Реформа 1.1 — Национална стратегия за кръговата икономика</w:t>
            </w:r>
          </w:p>
        </w:tc>
        <w:tc>
          <w:tcPr>
            <w:tcW w:w="1418" w:type="dxa"/>
            <w:tcBorders>
              <w:top w:val="nil"/>
              <w:left w:val="nil"/>
              <w:bottom w:val="single" w:sz="4" w:space="0" w:color="auto"/>
              <w:right w:val="single" w:sz="4" w:space="0" w:color="auto"/>
            </w:tcBorders>
            <w:shd w:val="clear" w:color="auto" w:fill="C6EFCE"/>
            <w:noWrap/>
            <w:vAlign w:val="center"/>
          </w:tcPr>
          <w:p w14:paraId="7CF26F7A"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7BAB86FD" w14:textId="77777777" w:rsidR="006054AA" w:rsidRDefault="001F7667">
            <w:pPr>
              <w:pStyle w:val="P68B1DB1-Normal12"/>
              <w:rPr>
                <w:noProof/>
              </w:rPr>
            </w:pPr>
            <w:r>
              <w:rPr>
                <w:noProof/>
              </w:rPr>
              <w:t>Влизане в сила на Министерския указ за приемане на Националната стратегия за кръговата икономика</w:t>
            </w:r>
          </w:p>
        </w:tc>
      </w:tr>
      <w:tr w:rsidR="006054AA" w14:paraId="58ADD8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320FD" w14:textId="77777777" w:rsidR="006054AA" w:rsidRDefault="001F7667">
            <w:pPr>
              <w:pStyle w:val="P68B1DB1-Normal12"/>
              <w:jc w:val="center"/>
              <w:rPr>
                <w:noProof/>
              </w:rPr>
            </w:pPr>
            <w:r>
              <w:rPr>
                <w:noProof/>
              </w:rPr>
              <w:t>M2C1—2</w:t>
            </w:r>
          </w:p>
        </w:tc>
        <w:tc>
          <w:tcPr>
            <w:tcW w:w="3118" w:type="dxa"/>
            <w:tcBorders>
              <w:top w:val="nil"/>
              <w:left w:val="nil"/>
              <w:bottom w:val="single" w:sz="4" w:space="0" w:color="auto"/>
              <w:right w:val="single" w:sz="4" w:space="0" w:color="auto"/>
            </w:tcBorders>
            <w:shd w:val="clear" w:color="auto" w:fill="C6EFCE"/>
            <w:noWrap/>
            <w:vAlign w:val="center"/>
          </w:tcPr>
          <w:p w14:paraId="3015677F" w14:textId="77777777" w:rsidR="006054AA" w:rsidRDefault="001F7667">
            <w:pPr>
              <w:pStyle w:val="P68B1DB1-Normal12"/>
              <w:rPr>
                <w:noProof/>
              </w:rPr>
            </w:pPr>
            <w:r>
              <w:rPr>
                <w:noProof/>
              </w:rPr>
              <w:t>Реформа 1.3 — Техническа подкрепа за местните власти</w:t>
            </w:r>
          </w:p>
        </w:tc>
        <w:tc>
          <w:tcPr>
            <w:tcW w:w="1418" w:type="dxa"/>
            <w:tcBorders>
              <w:top w:val="nil"/>
              <w:left w:val="nil"/>
              <w:bottom w:val="single" w:sz="4" w:space="0" w:color="auto"/>
              <w:right w:val="single" w:sz="4" w:space="0" w:color="auto"/>
            </w:tcBorders>
            <w:shd w:val="clear" w:color="auto" w:fill="C6EFCE"/>
            <w:noWrap/>
            <w:vAlign w:val="center"/>
          </w:tcPr>
          <w:p w14:paraId="403047F5"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17454D29" w14:textId="77777777" w:rsidR="006054AA" w:rsidRDefault="001F7667">
            <w:pPr>
              <w:pStyle w:val="P68B1DB1-Normal12"/>
              <w:rPr>
                <w:noProof/>
              </w:rPr>
            </w:pPr>
            <w:r>
              <w:rPr>
                <w:noProof/>
              </w:rPr>
              <w:t>Одобряване на споразумение за разработването на план за действие за изграждане на капацитет в подкрепа на местните публични органи</w:t>
            </w:r>
          </w:p>
        </w:tc>
      </w:tr>
      <w:tr w:rsidR="006054AA" w14:paraId="678D62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570EE6" w14:textId="77777777" w:rsidR="006054AA" w:rsidRDefault="001F7667">
            <w:pPr>
              <w:pStyle w:val="P68B1DB1-Normal12"/>
              <w:jc w:val="center"/>
              <w:rPr>
                <w:noProof/>
              </w:rPr>
            </w:pPr>
            <w:r>
              <w:rPr>
                <w:noProof/>
              </w:rPr>
              <w:t>M2C1—11</w:t>
            </w:r>
          </w:p>
        </w:tc>
        <w:tc>
          <w:tcPr>
            <w:tcW w:w="3118" w:type="dxa"/>
            <w:tcBorders>
              <w:top w:val="nil"/>
              <w:left w:val="nil"/>
              <w:bottom w:val="single" w:sz="4" w:space="0" w:color="auto"/>
              <w:right w:val="single" w:sz="4" w:space="0" w:color="auto"/>
            </w:tcBorders>
            <w:shd w:val="clear" w:color="auto" w:fill="C6EFCE"/>
            <w:noWrap/>
            <w:vAlign w:val="center"/>
          </w:tcPr>
          <w:p w14:paraId="46E35F14" w14:textId="77777777" w:rsidR="006054AA" w:rsidRDefault="001F7667">
            <w:pPr>
              <w:pStyle w:val="P68B1DB1-Normal12"/>
              <w:rPr>
                <w:noProof/>
              </w:rPr>
            </w:pPr>
            <w:r>
              <w:rPr>
                <w:noProof/>
              </w:rPr>
              <w:t>Инвестиция 3.3: Култура и осведоменост по екологични теми и предизвикателства</w:t>
            </w:r>
          </w:p>
        </w:tc>
        <w:tc>
          <w:tcPr>
            <w:tcW w:w="1418" w:type="dxa"/>
            <w:tcBorders>
              <w:top w:val="nil"/>
              <w:left w:val="nil"/>
              <w:bottom w:val="single" w:sz="4" w:space="0" w:color="auto"/>
              <w:right w:val="single" w:sz="4" w:space="0" w:color="auto"/>
            </w:tcBorders>
            <w:shd w:val="clear" w:color="auto" w:fill="C6EFCE"/>
            <w:noWrap/>
            <w:vAlign w:val="center"/>
          </w:tcPr>
          <w:p w14:paraId="1BC34DB9"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2E896250" w14:textId="77777777" w:rsidR="006054AA" w:rsidRDefault="001F7667">
            <w:pPr>
              <w:pStyle w:val="P68B1DB1-Normal12"/>
              <w:rPr>
                <w:noProof/>
              </w:rPr>
            </w:pPr>
            <w:r>
              <w:rPr>
                <w:noProof/>
              </w:rPr>
              <w:t>Стартиране на уеб платформа и договори с автори</w:t>
            </w:r>
          </w:p>
        </w:tc>
      </w:tr>
      <w:tr w:rsidR="006054AA" w14:paraId="7F215F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7F933" w14:textId="77777777" w:rsidR="006054AA" w:rsidRDefault="001F7667">
            <w:pPr>
              <w:pStyle w:val="P68B1DB1-Normal12"/>
              <w:jc w:val="center"/>
              <w:rPr>
                <w:noProof/>
              </w:rPr>
            </w:pPr>
            <w:r>
              <w:rPr>
                <w:noProof/>
              </w:rPr>
              <w:t>M2C2—18</w:t>
            </w:r>
          </w:p>
        </w:tc>
        <w:tc>
          <w:tcPr>
            <w:tcW w:w="3118" w:type="dxa"/>
            <w:tcBorders>
              <w:top w:val="nil"/>
              <w:left w:val="nil"/>
              <w:bottom w:val="single" w:sz="4" w:space="0" w:color="auto"/>
              <w:right w:val="single" w:sz="4" w:space="0" w:color="auto"/>
            </w:tcBorders>
            <w:shd w:val="clear" w:color="auto" w:fill="C6EFCE"/>
            <w:noWrap/>
            <w:vAlign w:val="center"/>
          </w:tcPr>
          <w:p w14:paraId="051FD6E6" w14:textId="77777777" w:rsidR="006054AA" w:rsidRDefault="001F7667">
            <w:pPr>
              <w:pStyle w:val="P68B1DB1-Normal12"/>
              <w:rPr>
                <w:noProof/>
              </w:rPr>
            </w:pPr>
            <w:r>
              <w:rPr>
                <w:noProof/>
              </w:rPr>
              <w:t>Инвестиция 3.5 Научноизследователска и развойна дейност в областта на водорода</w:t>
            </w:r>
          </w:p>
        </w:tc>
        <w:tc>
          <w:tcPr>
            <w:tcW w:w="1418" w:type="dxa"/>
            <w:tcBorders>
              <w:top w:val="nil"/>
              <w:left w:val="nil"/>
              <w:bottom w:val="single" w:sz="4" w:space="0" w:color="auto"/>
              <w:right w:val="single" w:sz="4" w:space="0" w:color="auto"/>
            </w:tcBorders>
            <w:shd w:val="clear" w:color="auto" w:fill="C6EFCE"/>
            <w:noWrap/>
            <w:vAlign w:val="center"/>
          </w:tcPr>
          <w:p w14:paraId="3183DFF7"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2B33D93A" w14:textId="77777777" w:rsidR="006054AA" w:rsidRDefault="001F7667">
            <w:pPr>
              <w:pStyle w:val="P68B1DB1-Normal12"/>
              <w:rPr>
                <w:noProof/>
              </w:rPr>
            </w:pPr>
            <w:r>
              <w:rPr>
                <w:noProof/>
              </w:rPr>
              <w:t>Възлагане на всички обществени поръчки в областта на НИРД за научноизследователски проекти в областта на водорода</w:t>
            </w:r>
          </w:p>
        </w:tc>
      </w:tr>
      <w:tr w:rsidR="006054AA" w14:paraId="738F57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552039" w14:textId="77777777" w:rsidR="006054AA" w:rsidRDefault="001F7667">
            <w:pPr>
              <w:pStyle w:val="P68B1DB1-Normal12"/>
              <w:jc w:val="center"/>
              <w:rPr>
                <w:noProof/>
              </w:rPr>
            </w:pPr>
            <w:r>
              <w:rPr>
                <w:noProof/>
              </w:rPr>
              <w:t>M2C2—21</w:t>
            </w:r>
          </w:p>
        </w:tc>
        <w:tc>
          <w:tcPr>
            <w:tcW w:w="3118" w:type="dxa"/>
            <w:tcBorders>
              <w:top w:val="nil"/>
              <w:left w:val="nil"/>
              <w:bottom w:val="single" w:sz="4" w:space="0" w:color="auto"/>
              <w:right w:val="single" w:sz="4" w:space="0" w:color="auto"/>
            </w:tcBorders>
            <w:shd w:val="clear" w:color="auto" w:fill="C6EFCE"/>
            <w:noWrap/>
            <w:vAlign w:val="center"/>
          </w:tcPr>
          <w:p w14:paraId="62C1FAA7" w14:textId="77777777" w:rsidR="006054AA" w:rsidRDefault="001F7667">
            <w:pPr>
              <w:pStyle w:val="P68B1DB1-Normal12"/>
              <w:rPr>
                <w:noProof/>
              </w:rPr>
            </w:pPr>
            <w:r>
              <w:rPr>
                <w:noProof/>
              </w:rPr>
              <w:t>Реформа 4 Мерки за насърчаване на конкурентоспособността на водорода</w:t>
            </w:r>
          </w:p>
        </w:tc>
        <w:tc>
          <w:tcPr>
            <w:tcW w:w="1418" w:type="dxa"/>
            <w:tcBorders>
              <w:top w:val="nil"/>
              <w:left w:val="nil"/>
              <w:bottom w:val="single" w:sz="4" w:space="0" w:color="auto"/>
              <w:right w:val="single" w:sz="4" w:space="0" w:color="auto"/>
            </w:tcBorders>
            <w:shd w:val="clear" w:color="auto" w:fill="C6EFCE"/>
            <w:noWrap/>
            <w:vAlign w:val="center"/>
          </w:tcPr>
          <w:p w14:paraId="46B9D19A"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61AAE13A" w14:textId="77777777" w:rsidR="006054AA" w:rsidRDefault="001F7667">
            <w:pPr>
              <w:pStyle w:val="P68B1DB1-Normal12"/>
              <w:rPr>
                <w:noProof/>
              </w:rPr>
            </w:pPr>
            <w:r>
              <w:rPr>
                <w:noProof/>
              </w:rPr>
              <w:t>Влизане в сила на фискалните стимули</w:t>
            </w:r>
          </w:p>
        </w:tc>
      </w:tr>
      <w:tr w:rsidR="006054AA" w14:paraId="39F793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F4C49" w14:textId="77777777" w:rsidR="006054AA" w:rsidRDefault="001F7667">
            <w:pPr>
              <w:pStyle w:val="P68B1DB1-Normal12"/>
              <w:jc w:val="center"/>
              <w:rPr>
                <w:noProof/>
              </w:rPr>
            </w:pPr>
            <w:r>
              <w:rPr>
                <w:noProof/>
              </w:rPr>
              <w:t>M2C2—38</w:t>
            </w:r>
          </w:p>
        </w:tc>
        <w:tc>
          <w:tcPr>
            <w:tcW w:w="3118" w:type="dxa"/>
            <w:tcBorders>
              <w:top w:val="nil"/>
              <w:left w:val="nil"/>
              <w:bottom w:val="single" w:sz="4" w:space="0" w:color="auto"/>
              <w:right w:val="single" w:sz="4" w:space="0" w:color="auto"/>
            </w:tcBorders>
            <w:shd w:val="clear" w:color="auto" w:fill="C6EFCE"/>
            <w:noWrap/>
            <w:vAlign w:val="center"/>
          </w:tcPr>
          <w:p w14:paraId="14BE7B0B" w14:textId="77777777" w:rsidR="006054AA" w:rsidRDefault="001F7667">
            <w:pPr>
              <w:pStyle w:val="P68B1DB1-Normal12"/>
              <w:rPr>
                <w:noProof/>
              </w:rPr>
            </w:pPr>
            <w:r>
              <w:rPr>
                <w:noProof/>
              </w:rPr>
              <w:t>Инвестиция 5.1: Възобновяеми енергийни източници и акумулаторни батерии</w:t>
            </w:r>
          </w:p>
        </w:tc>
        <w:tc>
          <w:tcPr>
            <w:tcW w:w="1418" w:type="dxa"/>
            <w:tcBorders>
              <w:top w:val="nil"/>
              <w:left w:val="nil"/>
              <w:bottom w:val="single" w:sz="4" w:space="0" w:color="auto"/>
              <w:right w:val="single" w:sz="4" w:space="0" w:color="auto"/>
            </w:tcBorders>
            <w:shd w:val="clear" w:color="auto" w:fill="C6EFCE"/>
            <w:noWrap/>
            <w:vAlign w:val="center"/>
          </w:tcPr>
          <w:p w14:paraId="6A830566"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3F7300EE" w14:textId="77777777" w:rsidR="006054AA" w:rsidRDefault="001F7667">
            <w:pPr>
              <w:pStyle w:val="P68B1DB1-Normal12"/>
              <w:rPr>
                <w:noProof/>
              </w:rPr>
            </w:pPr>
            <w:r>
              <w:rPr>
                <w:noProof/>
              </w:rPr>
              <w:t>Влизане в сила на министерско постановление</w:t>
            </w:r>
          </w:p>
        </w:tc>
      </w:tr>
      <w:tr w:rsidR="006054AA" w14:paraId="1E4A84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15A6" w14:textId="77777777" w:rsidR="006054AA" w:rsidRDefault="001F7667">
            <w:pPr>
              <w:pStyle w:val="P68B1DB1-Normal12"/>
              <w:jc w:val="center"/>
              <w:rPr>
                <w:noProof/>
              </w:rPr>
            </w:pPr>
            <w:r>
              <w:rPr>
                <w:noProof/>
              </w:rPr>
              <w:t>M2C2—42</w:t>
            </w:r>
          </w:p>
        </w:tc>
        <w:tc>
          <w:tcPr>
            <w:tcW w:w="3118" w:type="dxa"/>
            <w:tcBorders>
              <w:top w:val="nil"/>
              <w:left w:val="nil"/>
              <w:bottom w:val="single" w:sz="4" w:space="0" w:color="auto"/>
              <w:right w:val="single" w:sz="4" w:space="0" w:color="auto"/>
            </w:tcBorders>
            <w:shd w:val="clear" w:color="auto" w:fill="C6EFCE"/>
            <w:noWrap/>
            <w:vAlign w:val="center"/>
          </w:tcPr>
          <w:p w14:paraId="61946A5A" w14:textId="77777777" w:rsidR="006054AA" w:rsidRDefault="001F7667">
            <w:pPr>
              <w:pStyle w:val="P68B1DB1-Normal12"/>
              <w:rPr>
                <w:noProof/>
              </w:rPr>
            </w:pPr>
            <w:r>
              <w:rPr>
                <w:noProof/>
              </w:rPr>
              <w:t>Инвестиция 5.4: Подкрепа за стартиращи предприятия и рисков капитал, осъществяващи дейност в екологичния преход</w:t>
            </w:r>
          </w:p>
        </w:tc>
        <w:tc>
          <w:tcPr>
            <w:tcW w:w="1418" w:type="dxa"/>
            <w:tcBorders>
              <w:top w:val="nil"/>
              <w:left w:val="nil"/>
              <w:bottom w:val="single" w:sz="4" w:space="0" w:color="auto"/>
              <w:right w:val="single" w:sz="4" w:space="0" w:color="auto"/>
            </w:tcBorders>
            <w:shd w:val="clear" w:color="auto" w:fill="C6EFCE"/>
            <w:noWrap/>
            <w:vAlign w:val="center"/>
          </w:tcPr>
          <w:p w14:paraId="15C0F1DD"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260B65BB" w14:textId="77777777" w:rsidR="006054AA" w:rsidRDefault="001F7667">
            <w:pPr>
              <w:pStyle w:val="P68B1DB1-Normal12"/>
              <w:rPr>
                <w:noProof/>
              </w:rPr>
            </w:pPr>
            <w:r>
              <w:rPr>
                <w:noProof/>
              </w:rPr>
              <w:t>Подписване на финансовото споразумение</w:t>
            </w:r>
          </w:p>
        </w:tc>
      </w:tr>
      <w:tr w:rsidR="006054AA" w14:paraId="75C687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C962D0" w14:textId="77777777" w:rsidR="006054AA" w:rsidRDefault="001F7667">
            <w:pPr>
              <w:pStyle w:val="P68B1DB1-Normal12"/>
              <w:jc w:val="center"/>
              <w:rPr>
                <w:noProof/>
              </w:rPr>
            </w:pPr>
            <w:r>
              <w:rPr>
                <w:noProof/>
              </w:rPr>
              <w:t>M2C3—4</w:t>
            </w:r>
          </w:p>
        </w:tc>
        <w:tc>
          <w:tcPr>
            <w:tcW w:w="3118" w:type="dxa"/>
            <w:tcBorders>
              <w:top w:val="nil"/>
              <w:left w:val="nil"/>
              <w:bottom w:val="single" w:sz="4" w:space="0" w:color="auto"/>
              <w:right w:val="single" w:sz="4" w:space="0" w:color="auto"/>
            </w:tcBorders>
            <w:shd w:val="clear" w:color="auto" w:fill="C6EFCE"/>
            <w:noWrap/>
            <w:vAlign w:val="center"/>
          </w:tcPr>
          <w:p w14:paraId="67E09044" w14:textId="77777777" w:rsidR="006054AA" w:rsidRDefault="001F7667">
            <w:pPr>
              <w:pStyle w:val="P68B1DB1-Normal12"/>
              <w:rPr>
                <w:noProof/>
              </w:rPr>
            </w:pPr>
            <w:r>
              <w:rPr>
                <w:noProof/>
              </w:rPr>
              <w:t>Реформа 1.1: Опростяване и ускоряване на процедурите за интервенции в областта на енергийната ефективност</w:t>
            </w:r>
          </w:p>
        </w:tc>
        <w:tc>
          <w:tcPr>
            <w:tcW w:w="1418" w:type="dxa"/>
            <w:tcBorders>
              <w:top w:val="nil"/>
              <w:left w:val="nil"/>
              <w:bottom w:val="single" w:sz="4" w:space="0" w:color="auto"/>
              <w:right w:val="single" w:sz="4" w:space="0" w:color="auto"/>
            </w:tcBorders>
            <w:shd w:val="clear" w:color="auto" w:fill="C6EFCE"/>
            <w:noWrap/>
            <w:vAlign w:val="center"/>
          </w:tcPr>
          <w:p w14:paraId="2D0B5E37"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282A31D5" w14:textId="77777777" w:rsidR="006054AA" w:rsidRDefault="001F7667">
            <w:pPr>
              <w:pStyle w:val="P68B1DB1-Normal12"/>
              <w:rPr>
                <w:noProof/>
              </w:rPr>
            </w:pPr>
            <w:r>
              <w:rPr>
                <w:noProof/>
              </w:rPr>
              <w:t>Опростяване и ускоряване на процедурите за интервенции в областта на енергийната ефективност</w:t>
            </w:r>
          </w:p>
        </w:tc>
      </w:tr>
      <w:tr w:rsidR="006054AA" w14:paraId="769BE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EF240" w14:textId="77777777" w:rsidR="006054AA" w:rsidRDefault="001F7667">
            <w:pPr>
              <w:pStyle w:val="P68B1DB1-Normal12"/>
              <w:jc w:val="center"/>
              <w:rPr>
                <w:noProof/>
              </w:rPr>
            </w:pPr>
            <w:r>
              <w:rPr>
                <w:noProof/>
              </w:rPr>
              <w:t>M2C4—1</w:t>
            </w:r>
          </w:p>
        </w:tc>
        <w:tc>
          <w:tcPr>
            <w:tcW w:w="3118" w:type="dxa"/>
            <w:tcBorders>
              <w:top w:val="nil"/>
              <w:left w:val="nil"/>
              <w:bottom w:val="single" w:sz="4" w:space="0" w:color="auto"/>
              <w:right w:val="single" w:sz="4" w:space="0" w:color="auto"/>
            </w:tcBorders>
            <w:shd w:val="clear" w:color="auto" w:fill="C6EFCE"/>
            <w:noWrap/>
            <w:vAlign w:val="center"/>
          </w:tcPr>
          <w:p w14:paraId="5BB06055" w14:textId="77777777" w:rsidR="006054AA" w:rsidRDefault="001F7667">
            <w:pPr>
              <w:pStyle w:val="P68B1DB1-Normal12"/>
              <w:rPr>
                <w:noProof/>
              </w:rPr>
            </w:pPr>
            <w:r>
              <w:rPr>
                <w:noProof/>
              </w:rPr>
              <w:t>Реформа 2.1. Опростяване и ускоряване на процедурите за изпълнение на интервенции срещу хидрогеоложката нестабилност</w:t>
            </w:r>
          </w:p>
        </w:tc>
        <w:tc>
          <w:tcPr>
            <w:tcW w:w="1418" w:type="dxa"/>
            <w:tcBorders>
              <w:top w:val="nil"/>
              <w:left w:val="nil"/>
              <w:bottom w:val="single" w:sz="4" w:space="0" w:color="auto"/>
              <w:right w:val="single" w:sz="4" w:space="0" w:color="auto"/>
            </w:tcBorders>
            <w:shd w:val="clear" w:color="auto" w:fill="C6EFCE"/>
            <w:noWrap/>
            <w:vAlign w:val="center"/>
          </w:tcPr>
          <w:p w14:paraId="186C89FA"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16F60148" w14:textId="77777777" w:rsidR="006054AA" w:rsidRDefault="001F7667">
            <w:pPr>
              <w:pStyle w:val="P68B1DB1-Normal12"/>
              <w:rPr>
                <w:noProof/>
              </w:rPr>
            </w:pPr>
            <w:r>
              <w:rPr>
                <w:noProof/>
              </w:rPr>
              <w:t>Влизане в сила на опростяването на правната рамка за по-добро управление на хидроложките рискове</w:t>
            </w:r>
          </w:p>
        </w:tc>
      </w:tr>
      <w:tr w:rsidR="006054AA" w14:paraId="05819B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4FD14E" w14:textId="77777777" w:rsidR="006054AA" w:rsidRDefault="001F7667">
            <w:pPr>
              <w:pStyle w:val="P68B1DB1-Normal12"/>
              <w:jc w:val="center"/>
              <w:rPr>
                <w:noProof/>
              </w:rPr>
            </w:pPr>
            <w:r>
              <w:rPr>
                <w:noProof/>
              </w:rPr>
              <w:t>M2C4—4</w:t>
            </w:r>
          </w:p>
        </w:tc>
        <w:tc>
          <w:tcPr>
            <w:tcW w:w="3118" w:type="dxa"/>
            <w:tcBorders>
              <w:top w:val="nil"/>
              <w:left w:val="nil"/>
              <w:bottom w:val="single" w:sz="4" w:space="0" w:color="auto"/>
              <w:right w:val="single" w:sz="4" w:space="0" w:color="auto"/>
            </w:tcBorders>
            <w:shd w:val="clear" w:color="auto" w:fill="C6EFCE"/>
            <w:noWrap/>
            <w:vAlign w:val="center"/>
          </w:tcPr>
          <w:p w14:paraId="4F1D78D3" w14:textId="77777777" w:rsidR="006054AA" w:rsidRDefault="001F7667">
            <w:pPr>
              <w:pStyle w:val="P68B1DB1-Normal12"/>
              <w:rPr>
                <w:noProof/>
              </w:rPr>
            </w:pPr>
            <w:r>
              <w:rPr>
                <w:noProof/>
              </w:rPr>
              <w:t>Реформа 4.2 „Мерки за осигуряване на пълен управленски капацитет за интегрирани водни услуги“</w:t>
            </w:r>
          </w:p>
        </w:tc>
        <w:tc>
          <w:tcPr>
            <w:tcW w:w="1418" w:type="dxa"/>
            <w:tcBorders>
              <w:top w:val="nil"/>
              <w:left w:val="nil"/>
              <w:bottom w:val="single" w:sz="4" w:space="0" w:color="auto"/>
              <w:right w:val="single" w:sz="4" w:space="0" w:color="auto"/>
            </w:tcBorders>
            <w:shd w:val="clear" w:color="auto" w:fill="C6EFCE"/>
            <w:noWrap/>
            <w:vAlign w:val="center"/>
          </w:tcPr>
          <w:p w14:paraId="38B1082D"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7A9371CC" w14:textId="77777777" w:rsidR="006054AA" w:rsidRDefault="001F7667">
            <w:pPr>
              <w:pStyle w:val="P68B1DB1-Normal12"/>
              <w:rPr>
                <w:noProof/>
              </w:rPr>
            </w:pPr>
            <w:r>
              <w:rPr>
                <w:noProof/>
              </w:rPr>
              <w:t>Влизане в сила на новата правна рамка за целите на напояването</w:t>
            </w:r>
          </w:p>
        </w:tc>
      </w:tr>
      <w:tr w:rsidR="006054AA" w14:paraId="13031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4837B4" w14:textId="77777777" w:rsidR="006054AA" w:rsidRDefault="001F7667">
            <w:pPr>
              <w:pStyle w:val="P68B1DB1-Normal12"/>
              <w:jc w:val="center"/>
              <w:rPr>
                <w:noProof/>
              </w:rPr>
            </w:pPr>
            <w:r>
              <w:rPr>
                <w:noProof/>
              </w:rPr>
              <w:t>M4C1—3</w:t>
            </w:r>
          </w:p>
        </w:tc>
        <w:tc>
          <w:tcPr>
            <w:tcW w:w="3118" w:type="dxa"/>
            <w:tcBorders>
              <w:top w:val="nil"/>
              <w:left w:val="nil"/>
              <w:bottom w:val="single" w:sz="4" w:space="0" w:color="auto"/>
              <w:right w:val="single" w:sz="4" w:space="0" w:color="auto"/>
            </w:tcBorders>
            <w:shd w:val="clear" w:color="auto" w:fill="C6EFCE"/>
            <w:noWrap/>
            <w:vAlign w:val="center"/>
          </w:tcPr>
          <w:p w14:paraId="658DD559" w14:textId="77777777" w:rsidR="006054AA" w:rsidRDefault="001F7667">
            <w:pPr>
              <w:pStyle w:val="P68B1DB1-Normal12"/>
              <w:rPr>
                <w:noProof/>
              </w:rPr>
            </w:pPr>
            <w:r>
              <w:rPr>
                <w:noProof/>
              </w:rPr>
              <w:t>Реформа 2.1: Набиране на учители</w:t>
            </w:r>
          </w:p>
        </w:tc>
        <w:tc>
          <w:tcPr>
            <w:tcW w:w="1418" w:type="dxa"/>
            <w:tcBorders>
              <w:top w:val="nil"/>
              <w:left w:val="nil"/>
              <w:bottom w:val="single" w:sz="4" w:space="0" w:color="auto"/>
              <w:right w:val="single" w:sz="4" w:space="0" w:color="auto"/>
            </w:tcBorders>
            <w:shd w:val="clear" w:color="auto" w:fill="C6EFCE"/>
            <w:noWrap/>
            <w:vAlign w:val="center"/>
          </w:tcPr>
          <w:p w14:paraId="0D3E92D3"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349353D0" w14:textId="77777777" w:rsidR="006054AA" w:rsidRDefault="001F7667">
            <w:pPr>
              <w:pStyle w:val="P68B1DB1-Normal12"/>
              <w:rPr>
                <w:noProof/>
              </w:rPr>
            </w:pPr>
            <w:r>
              <w:rPr>
                <w:noProof/>
              </w:rPr>
              <w:t>Влизане в сила на реформата на учителската професия.</w:t>
            </w:r>
          </w:p>
        </w:tc>
      </w:tr>
      <w:tr w:rsidR="006054AA" w14:paraId="427DF0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A355EB" w14:textId="77777777" w:rsidR="006054AA" w:rsidRDefault="001F7667">
            <w:pPr>
              <w:pStyle w:val="P68B1DB1-Normal12"/>
              <w:jc w:val="center"/>
              <w:rPr>
                <w:noProof/>
              </w:rPr>
            </w:pPr>
            <w:r>
              <w:rPr>
                <w:noProof/>
              </w:rPr>
              <w:t>M4C1—4</w:t>
            </w:r>
          </w:p>
        </w:tc>
        <w:tc>
          <w:tcPr>
            <w:tcW w:w="3118" w:type="dxa"/>
            <w:tcBorders>
              <w:top w:val="nil"/>
              <w:left w:val="nil"/>
              <w:bottom w:val="single" w:sz="4" w:space="0" w:color="auto"/>
              <w:right w:val="single" w:sz="4" w:space="0" w:color="auto"/>
            </w:tcBorders>
            <w:shd w:val="clear" w:color="auto" w:fill="C6EFCE"/>
            <w:noWrap/>
            <w:vAlign w:val="center"/>
          </w:tcPr>
          <w:p w14:paraId="0A2409BE" w14:textId="77777777" w:rsidR="006054AA" w:rsidRDefault="001F7667">
            <w:pPr>
              <w:pStyle w:val="P68B1DB1-Normal12"/>
              <w:rPr>
                <w:noProof/>
              </w:rPr>
            </w:pPr>
            <w:r>
              <w:rPr>
                <w:noProof/>
              </w:rPr>
              <w:t>Инвестиция 3.2: Училище 4.0: иновативни училища, окабеляване, нови класни стаи и семинари</w:t>
            </w:r>
          </w:p>
        </w:tc>
        <w:tc>
          <w:tcPr>
            <w:tcW w:w="1418" w:type="dxa"/>
            <w:tcBorders>
              <w:top w:val="nil"/>
              <w:left w:val="nil"/>
              <w:bottom w:val="single" w:sz="4" w:space="0" w:color="auto"/>
              <w:right w:val="single" w:sz="4" w:space="0" w:color="auto"/>
            </w:tcBorders>
            <w:shd w:val="clear" w:color="auto" w:fill="C6EFCE"/>
            <w:noWrap/>
            <w:vAlign w:val="center"/>
          </w:tcPr>
          <w:p w14:paraId="23966AC2"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5C8A58CF" w14:textId="77777777" w:rsidR="006054AA" w:rsidRDefault="001F7667">
            <w:pPr>
              <w:pStyle w:val="P68B1DB1-Normal12"/>
              <w:rPr>
                <w:noProof/>
              </w:rPr>
            </w:pPr>
            <w:r>
              <w:rPr>
                <w:noProof/>
              </w:rPr>
              <w:t>Приет е план „Училище 4.0“ за насърчаване на цифровия преход на италианската училищна система</w:t>
            </w:r>
          </w:p>
        </w:tc>
      </w:tr>
      <w:tr w:rsidR="006054AA" w14:paraId="7D119B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540D9" w14:textId="77777777" w:rsidR="006054AA" w:rsidRDefault="001F7667">
            <w:pPr>
              <w:pStyle w:val="P68B1DB1-Normal12"/>
              <w:jc w:val="center"/>
              <w:rPr>
                <w:noProof/>
              </w:rPr>
            </w:pPr>
            <w:r>
              <w:rPr>
                <w:noProof/>
              </w:rPr>
              <w:t>M4C2—4</w:t>
            </w:r>
          </w:p>
        </w:tc>
        <w:tc>
          <w:tcPr>
            <w:tcW w:w="3118" w:type="dxa"/>
            <w:tcBorders>
              <w:top w:val="nil"/>
              <w:left w:val="nil"/>
              <w:bottom w:val="single" w:sz="4" w:space="0" w:color="auto"/>
              <w:right w:val="single" w:sz="4" w:space="0" w:color="auto"/>
            </w:tcBorders>
            <w:shd w:val="clear" w:color="auto" w:fill="C6EFCE"/>
            <w:noWrap/>
            <w:vAlign w:val="center"/>
          </w:tcPr>
          <w:p w14:paraId="5145C0FD" w14:textId="77777777" w:rsidR="006054AA" w:rsidRDefault="001F7667">
            <w:pPr>
              <w:pStyle w:val="P68B1DB1-Normal12"/>
              <w:rPr>
                <w:noProof/>
              </w:rPr>
            </w:pPr>
            <w:r>
              <w:rPr>
                <w:noProof/>
              </w:rPr>
              <w:t>Реформа 1.1: Прилагане на мерки за подкрепа на НИРД с цел насърчаване на опростяването и мобилността</w:t>
            </w:r>
          </w:p>
        </w:tc>
        <w:tc>
          <w:tcPr>
            <w:tcW w:w="1418" w:type="dxa"/>
            <w:tcBorders>
              <w:top w:val="nil"/>
              <w:left w:val="nil"/>
              <w:bottom w:val="single" w:sz="4" w:space="0" w:color="auto"/>
              <w:right w:val="single" w:sz="4" w:space="0" w:color="auto"/>
            </w:tcBorders>
            <w:shd w:val="clear" w:color="auto" w:fill="C6EFCE"/>
            <w:noWrap/>
            <w:vAlign w:val="center"/>
          </w:tcPr>
          <w:p w14:paraId="7C0982FF" w14:textId="77777777" w:rsidR="006054AA" w:rsidRDefault="001F7667">
            <w:pPr>
              <w:pStyle w:val="P68B1DB1-Normal12"/>
              <w:rPr>
                <w:noProof/>
              </w:rPr>
            </w:pPr>
            <w:r>
              <w:rPr>
                <w:noProof/>
              </w:rPr>
              <w:t>Ключов етап</w:t>
            </w:r>
          </w:p>
        </w:tc>
        <w:tc>
          <w:tcPr>
            <w:tcW w:w="3743" w:type="dxa"/>
            <w:tcBorders>
              <w:top w:val="nil"/>
              <w:left w:val="nil"/>
              <w:bottom w:val="single" w:sz="4" w:space="0" w:color="auto"/>
              <w:right w:val="single" w:sz="4" w:space="0" w:color="auto"/>
            </w:tcBorders>
            <w:shd w:val="clear" w:color="auto" w:fill="C6EFCE"/>
            <w:noWrap/>
            <w:vAlign w:val="center"/>
          </w:tcPr>
          <w:p w14:paraId="13F36FB8" w14:textId="77777777" w:rsidR="006054AA" w:rsidRDefault="001F7667">
            <w:pPr>
              <w:pStyle w:val="P68B1DB1-Normal12"/>
              <w:rPr>
                <w:noProof/>
              </w:rPr>
            </w:pPr>
            <w:r>
              <w:rPr>
                <w:noProof/>
              </w:rPr>
              <w:t>Влизане в сила на министерски укази за опростяване на научноизследователската и развойна дейност и мобилност, свързани с обикновения фонд за финансиране.</w:t>
            </w:r>
          </w:p>
        </w:tc>
      </w:tr>
      <w:tr w:rsidR="006054AA" w14:paraId="2E5C1B5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8FAC53" w14:textId="77777777" w:rsidR="006054AA" w:rsidRDefault="006054AA">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DD2B4E8" w14:textId="77777777" w:rsidR="006054AA" w:rsidRDefault="006054AA">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773106F" w14:textId="77777777" w:rsidR="006054AA" w:rsidRDefault="001F7667">
            <w:pPr>
              <w:pStyle w:val="P68B1DB1-Normal12"/>
              <w:rPr>
                <w:noProof/>
              </w:rPr>
            </w:pPr>
            <w:r>
              <w:rPr>
                <w:noProof/>
              </w:rPr>
              <w:t>Размер на вноската</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044A383C" w14:textId="060E6C35" w:rsidR="006054AA" w:rsidRDefault="001F7667">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4608591D" w14:textId="1F3C23D8" w:rsidR="006054AA" w:rsidRDefault="001F7667">
      <w:pPr>
        <w:pStyle w:val="P68B1DB1-Normal44"/>
        <w:numPr>
          <w:ilvl w:val="1"/>
          <w:numId w:val="6"/>
        </w:numPr>
        <w:spacing w:before="120" w:after="120"/>
        <w:jc w:val="both"/>
        <w:rPr>
          <w:noProof/>
        </w:rPr>
      </w:pPr>
      <w:r>
        <w:rPr>
          <w:noProof/>
        </w:rPr>
        <w:t>Трета вноска (безвъзмездна подкрепа):</w:t>
      </w:r>
    </w:p>
    <w:tbl>
      <w:tblPr>
        <w:tblW w:w="9814" w:type="dxa"/>
        <w:tblInd w:w="113" w:type="dxa"/>
        <w:tblLook w:val="04A0" w:firstRow="1" w:lastRow="0" w:firstColumn="1" w:lastColumn="0" w:noHBand="0" w:noVBand="1"/>
      </w:tblPr>
      <w:tblGrid>
        <w:gridCol w:w="1413"/>
        <w:gridCol w:w="3118"/>
        <w:gridCol w:w="1418"/>
        <w:gridCol w:w="3865"/>
      </w:tblGrid>
      <w:tr w:rsidR="006054AA" w14:paraId="024385C5"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1C294" w14:textId="77777777" w:rsidR="006054AA" w:rsidRDefault="001F7667">
            <w:pPr>
              <w:pStyle w:val="P68B1DB1-Normal45"/>
              <w:jc w:val="center"/>
              <w:rPr>
                <w:noProof/>
              </w:rPr>
            </w:pPr>
            <w:r>
              <w:rPr>
                <w:noProof/>
              </w:rPr>
              <w:t>Пореден номер</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A2855B" w14:textId="77777777" w:rsidR="006054AA" w:rsidRDefault="001F7667">
            <w:pPr>
              <w:pStyle w:val="P68B1DB1-Normal45"/>
              <w:jc w:val="center"/>
              <w:rPr>
                <w:noProof/>
              </w:rPr>
            </w:pPr>
            <w:r>
              <w:rPr>
                <w:noProof/>
              </w:rPr>
              <w:t>Свързана мярка (реформа или инвестиции)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2A284" w14:textId="77777777" w:rsidR="006054AA" w:rsidRDefault="001F7667">
            <w:pPr>
              <w:pStyle w:val="P68B1DB1-Normal45"/>
              <w:jc w:val="center"/>
              <w:rPr>
                <w:noProof/>
              </w:rPr>
            </w:pPr>
            <w:r>
              <w:rPr>
                <w:noProof/>
              </w:rPr>
              <w:t>Ключов етап/Цел</w:t>
            </w:r>
          </w:p>
        </w:tc>
        <w:tc>
          <w:tcPr>
            <w:tcW w:w="38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816D1B" w14:textId="77777777" w:rsidR="006054AA" w:rsidRDefault="001F7667">
            <w:pPr>
              <w:pStyle w:val="P68B1DB1-Normal45"/>
              <w:jc w:val="center"/>
              <w:rPr>
                <w:noProof/>
              </w:rPr>
            </w:pPr>
            <w:r>
              <w:rPr>
                <w:noProof/>
              </w:rPr>
              <w:t>Име</w:t>
            </w:r>
          </w:p>
        </w:tc>
      </w:tr>
      <w:tr w:rsidR="006054AA" w14:paraId="4C58571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6F8BB0" w14:textId="77777777" w:rsidR="006054AA" w:rsidRDefault="006054AA">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94ED6D4" w14:textId="77777777" w:rsidR="006054AA" w:rsidRDefault="006054AA">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0943F30" w14:textId="77777777" w:rsidR="006054AA" w:rsidRDefault="006054AA">
            <w:pPr>
              <w:rPr>
                <w:b/>
                <w:noProof/>
              </w:rPr>
            </w:pPr>
          </w:p>
        </w:tc>
        <w:tc>
          <w:tcPr>
            <w:tcW w:w="3865" w:type="dxa"/>
            <w:vMerge/>
            <w:tcBorders>
              <w:top w:val="single" w:sz="4" w:space="0" w:color="auto"/>
              <w:left w:val="single" w:sz="4" w:space="0" w:color="auto"/>
              <w:bottom w:val="single" w:sz="4" w:space="0" w:color="auto"/>
              <w:right w:val="single" w:sz="4" w:space="0" w:color="auto"/>
            </w:tcBorders>
            <w:vAlign w:val="center"/>
            <w:hideMark/>
          </w:tcPr>
          <w:p w14:paraId="5248C271" w14:textId="77777777" w:rsidR="006054AA" w:rsidRDefault="006054AA">
            <w:pPr>
              <w:rPr>
                <w:b/>
                <w:noProof/>
              </w:rPr>
            </w:pPr>
          </w:p>
        </w:tc>
      </w:tr>
      <w:tr w:rsidR="006054AA" w14:paraId="09249A6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31F0B" w14:textId="77777777" w:rsidR="006054AA" w:rsidRDefault="001F7667">
            <w:pPr>
              <w:pStyle w:val="P68B1DB1-Normal12"/>
              <w:jc w:val="center"/>
              <w:rPr>
                <w:noProof/>
              </w:rPr>
            </w:pPr>
            <w:r>
              <w:rPr>
                <w:noProof/>
              </w:rPr>
              <w:t>M2C4—2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C9AE096" w14:textId="77777777" w:rsidR="006054AA" w:rsidRDefault="001F7667">
            <w:pPr>
              <w:pStyle w:val="P68B1DB1-Normal12"/>
              <w:rPr>
                <w:noProof/>
              </w:rPr>
            </w:pPr>
            <w:r>
              <w:rPr>
                <w:noProof/>
              </w:rPr>
              <w:t>Реформа 4.2 „Мерки за осигуряване на пълен управленски капацитет за интегрирани водни услуги“</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CA68A11" w14:textId="77777777" w:rsidR="006054AA" w:rsidRDefault="001F7667">
            <w:pPr>
              <w:pStyle w:val="P68B1DB1-Normal12"/>
              <w:rPr>
                <w:noProof/>
              </w:rPr>
            </w:pPr>
            <w:r>
              <w:rPr>
                <w:noProof/>
              </w:rPr>
              <w:t>Ключов етап</w:t>
            </w:r>
          </w:p>
        </w:tc>
        <w:tc>
          <w:tcPr>
            <w:tcW w:w="3865" w:type="dxa"/>
            <w:tcBorders>
              <w:top w:val="single" w:sz="4" w:space="0" w:color="auto"/>
              <w:left w:val="nil"/>
              <w:bottom w:val="single" w:sz="4" w:space="0" w:color="auto"/>
              <w:right w:val="single" w:sz="4" w:space="0" w:color="auto"/>
            </w:tcBorders>
            <w:shd w:val="clear" w:color="auto" w:fill="C6EFCE"/>
            <w:noWrap/>
            <w:vAlign w:val="center"/>
          </w:tcPr>
          <w:p w14:paraId="1C0BBB7E" w14:textId="77777777" w:rsidR="006054AA" w:rsidRDefault="001F7667">
            <w:pPr>
              <w:pStyle w:val="P68B1DB1-Normal12"/>
              <w:rPr>
                <w:noProof/>
              </w:rPr>
            </w:pPr>
            <w:r>
              <w:rPr>
                <w:noProof/>
              </w:rPr>
              <w:t xml:space="preserve">Влизане в сила на реформата за осигуряване на пълен управленски капацитет за интегрирани водни услуги </w:t>
            </w:r>
          </w:p>
        </w:tc>
      </w:tr>
      <w:tr w:rsidR="006054AA" w14:paraId="7F06C0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536A4" w14:textId="77777777" w:rsidR="006054AA" w:rsidRDefault="001F7667">
            <w:pPr>
              <w:pStyle w:val="P68B1DB1-Normal12"/>
              <w:jc w:val="center"/>
              <w:rPr>
                <w:noProof/>
              </w:rPr>
            </w:pPr>
            <w:r>
              <w:rPr>
                <w:noProof/>
              </w:rPr>
              <w:t>M1C1—3</w:t>
            </w:r>
          </w:p>
        </w:tc>
        <w:tc>
          <w:tcPr>
            <w:tcW w:w="3118" w:type="dxa"/>
            <w:tcBorders>
              <w:top w:val="nil"/>
              <w:left w:val="nil"/>
              <w:bottom w:val="single" w:sz="4" w:space="0" w:color="auto"/>
              <w:right w:val="single" w:sz="4" w:space="0" w:color="auto"/>
            </w:tcBorders>
            <w:shd w:val="clear" w:color="auto" w:fill="C6EFCE"/>
            <w:noWrap/>
            <w:vAlign w:val="center"/>
          </w:tcPr>
          <w:p w14:paraId="664E12C2" w14:textId="77777777" w:rsidR="006054AA" w:rsidRDefault="001F7667">
            <w:pPr>
              <w:pStyle w:val="P68B1DB1-Normal12"/>
              <w:rPr>
                <w:noProof/>
              </w:rPr>
            </w:pPr>
            <w:r>
              <w:rPr>
                <w:noProof/>
              </w:rPr>
              <w:t>Инвестиция 1.1: Цифрова инфраструктура</w:t>
            </w:r>
          </w:p>
        </w:tc>
        <w:tc>
          <w:tcPr>
            <w:tcW w:w="1418" w:type="dxa"/>
            <w:tcBorders>
              <w:top w:val="nil"/>
              <w:left w:val="nil"/>
              <w:bottom w:val="single" w:sz="4" w:space="0" w:color="auto"/>
              <w:right w:val="single" w:sz="4" w:space="0" w:color="auto"/>
            </w:tcBorders>
            <w:shd w:val="clear" w:color="auto" w:fill="C6EFCE"/>
            <w:noWrap/>
            <w:vAlign w:val="center"/>
          </w:tcPr>
          <w:p w14:paraId="5C328CDE"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1A530C2C" w14:textId="77777777" w:rsidR="006054AA" w:rsidRDefault="001F7667">
            <w:pPr>
              <w:pStyle w:val="P68B1DB1-Normal12"/>
              <w:rPr>
                <w:noProof/>
              </w:rPr>
            </w:pPr>
            <w:r>
              <w:rPr>
                <w:noProof/>
              </w:rPr>
              <w:t>Приключване на Polo Strategico Nazionale (PSN)</w:t>
            </w:r>
          </w:p>
        </w:tc>
      </w:tr>
      <w:tr w:rsidR="006054AA" w14:paraId="62D183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62037" w14:textId="77777777" w:rsidR="006054AA" w:rsidRDefault="001F7667">
            <w:pPr>
              <w:pStyle w:val="P68B1DB1-Normal12"/>
              <w:jc w:val="center"/>
              <w:rPr>
                <w:noProof/>
              </w:rPr>
            </w:pPr>
            <w:r>
              <w:rPr>
                <w:noProof/>
              </w:rPr>
              <w:t>M1C1—4</w:t>
            </w:r>
          </w:p>
        </w:tc>
        <w:tc>
          <w:tcPr>
            <w:tcW w:w="3118" w:type="dxa"/>
            <w:tcBorders>
              <w:top w:val="nil"/>
              <w:left w:val="nil"/>
              <w:bottom w:val="single" w:sz="4" w:space="0" w:color="auto"/>
              <w:right w:val="single" w:sz="4" w:space="0" w:color="auto"/>
            </w:tcBorders>
            <w:shd w:val="clear" w:color="auto" w:fill="C6EFCE"/>
            <w:noWrap/>
            <w:vAlign w:val="center"/>
          </w:tcPr>
          <w:p w14:paraId="08DEB7F9" w14:textId="77777777" w:rsidR="006054AA" w:rsidRDefault="001F7667">
            <w:pPr>
              <w:pStyle w:val="P68B1DB1-Normal12"/>
              <w:rPr>
                <w:noProof/>
              </w:rPr>
            </w:pPr>
            <w:r>
              <w:rPr>
                <w:noProof/>
              </w:rPr>
              <w:t>Инвестиция 1.3.1: Национална платформа за цифрови данни</w:t>
            </w:r>
          </w:p>
        </w:tc>
        <w:tc>
          <w:tcPr>
            <w:tcW w:w="1418" w:type="dxa"/>
            <w:tcBorders>
              <w:top w:val="nil"/>
              <w:left w:val="nil"/>
              <w:bottom w:val="single" w:sz="4" w:space="0" w:color="auto"/>
              <w:right w:val="single" w:sz="4" w:space="0" w:color="auto"/>
            </w:tcBorders>
            <w:shd w:val="clear" w:color="auto" w:fill="C6EFCE"/>
            <w:noWrap/>
            <w:vAlign w:val="center"/>
          </w:tcPr>
          <w:p w14:paraId="634484B3"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56A3BE89" w14:textId="77777777" w:rsidR="006054AA" w:rsidRDefault="001F7667">
            <w:pPr>
              <w:pStyle w:val="P68B1DB1-Normal12"/>
              <w:rPr>
                <w:noProof/>
              </w:rPr>
            </w:pPr>
            <w:r>
              <w:rPr>
                <w:noProof/>
              </w:rPr>
              <w:t>Функционираща национална платформа за цифрови данни</w:t>
            </w:r>
          </w:p>
        </w:tc>
      </w:tr>
      <w:tr w:rsidR="006054AA" w14:paraId="73F43A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F8DE2" w14:textId="77777777" w:rsidR="006054AA" w:rsidRDefault="001F7667">
            <w:pPr>
              <w:pStyle w:val="P68B1DB1-Normal12"/>
              <w:jc w:val="center"/>
              <w:rPr>
                <w:noProof/>
              </w:rPr>
            </w:pPr>
            <w:r>
              <w:rPr>
                <w:noProof/>
              </w:rPr>
              <w:t>M1C1—5</w:t>
            </w:r>
          </w:p>
        </w:tc>
        <w:tc>
          <w:tcPr>
            <w:tcW w:w="3118" w:type="dxa"/>
            <w:tcBorders>
              <w:top w:val="nil"/>
              <w:left w:val="nil"/>
              <w:bottom w:val="single" w:sz="4" w:space="0" w:color="auto"/>
              <w:right w:val="single" w:sz="4" w:space="0" w:color="auto"/>
            </w:tcBorders>
            <w:shd w:val="clear" w:color="auto" w:fill="C6EFCE"/>
            <w:noWrap/>
            <w:vAlign w:val="center"/>
          </w:tcPr>
          <w:p w14:paraId="7612E03B"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4D311C10"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700E698D" w14:textId="77777777" w:rsidR="006054AA" w:rsidRDefault="001F7667">
            <w:pPr>
              <w:pStyle w:val="P68B1DB1-Normal12"/>
              <w:rPr>
                <w:noProof/>
              </w:rPr>
            </w:pPr>
            <w:r>
              <w:rPr>
                <w:noProof/>
              </w:rPr>
              <w:t>Създаване на новата Национална агенция за киберсигурност</w:t>
            </w:r>
          </w:p>
        </w:tc>
      </w:tr>
      <w:tr w:rsidR="006054AA" w14:paraId="5F088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86C934" w14:textId="77777777" w:rsidR="006054AA" w:rsidRDefault="001F7667">
            <w:pPr>
              <w:pStyle w:val="P68B1DB1-Normal12"/>
              <w:jc w:val="center"/>
              <w:rPr>
                <w:noProof/>
              </w:rPr>
            </w:pPr>
            <w:r>
              <w:rPr>
                <w:noProof/>
              </w:rPr>
              <w:t>M1C1—6</w:t>
            </w:r>
          </w:p>
        </w:tc>
        <w:tc>
          <w:tcPr>
            <w:tcW w:w="3118" w:type="dxa"/>
            <w:tcBorders>
              <w:top w:val="nil"/>
              <w:left w:val="nil"/>
              <w:bottom w:val="single" w:sz="4" w:space="0" w:color="auto"/>
              <w:right w:val="single" w:sz="4" w:space="0" w:color="auto"/>
            </w:tcBorders>
            <w:shd w:val="clear" w:color="auto" w:fill="C6EFCE"/>
            <w:noWrap/>
            <w:vAlign w:val="center"/>
          </w:tcPr>
          <w:p w14:paraId="7CE1C7FF"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7CC2886E"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4DF8DB79" w14:textId="77777777" w:rsidR="006054AA" w:rsidRDefault="001F7667">
            <w:pPr>
              <w:pStyle w:val="P68B1DB1-Normal12"/>
              <w:rPr>
                <w:noProof/>
              </w:rPr>
            </w:pPr>
            <w:r>
              <w:rPr>
                <w:noProof/>
              </w:rPr>
              <w:t>Първоначално внедряване на националните услуги в областта на киберсигурността</w:t>
            </w:r>
          </w:p>
        </w:tc>
      </w:tr>
      <w:tr w:rsidR="006054AA" w14:paraId="0754A1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239867" w14:textId="77777777" w:rsidR="006054AA" w:rsidRDefault="001F7667">
            <w:pPr>
              <w:pStyle w:val="P68B1DB1-Normal12"/>
              <w:jc w:val="center"/>
              <w:rPr>
                <w:noProof/>
              </w:rPr>
            </w:pPr>
            <w:r>
              <w:rPr>
                <w:noProof/>
              </w:rPr>
              <w:t>M1C1—7</w:t>
            </w:r>
          </w:p>
        </w:tc>
        <w:tc>
          <w:tcPr>
            <w:tcW w:w="3118" w:type="dxa"/>
            <w:tcBorders>
              <w:top w:val="nil"/>
              <w:left w:val="nil"/>
              <w:bottom w:val="single" w:sz="4" w:space="0" w:color="auto"/>
              <w:right w:val="single" w:sz="4" w:space="0" w:color="auto"/>
            </w:tcBorders>
            <w:shd w:val="clear" w:color="auto" w:fill="C6EFCE"/>
            <w:noWrap/>
            <w:vAlign w:val="center"/>
          </w:tcPr>
          <w:p w14:paraId="449A92CA"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78FE3462"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4B2C8E1C" w14:textId="77777777" w:rsidR="006054AA" w:rsidRDefault="001F7667">
            <w:pPr>
              <w:pStyle w:val="P68B1DB1-Normal12"/>
              <w:rPr>
                <w:noProof/>
              </w:rPr>
            </w:pPr>
            <w:r>
              <w:rPr>
                <w:noProof/>
              </w:rPr>
              <w:t>Стартиране на мрежата от лаборатории за скрининг и сертифициране на киберсигурността</w:t>
            </w:r>
          </w:p>
        </w:tc>
      </w:tr>
      <w:tr w:rsidR="006054AA" w14:paraId="6B880E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C11FCC" w14:textId="77777777" w:rsidR="006054AA" w:rsidRDefault="001F7667">
            <w:pPr>
              <w:pStyle w:val="P68B1DB1-Normal12"/>
              <w:jc w:val="center"/>
              <w:rPr>
                <w:noProof/>
              </w:rPr>
            </w:pPr>
            <w:r>
              <w:rPr>
                <w:noProof/>
              </w:rPr>
              <w:t>M1C1—8</w:t>
            </w:r>
          </w:p>
        </w:tc>
        <w:tc>
          <w:tcPr>
            <w:tcW w:w="3118" w:type="dxa"/>
            <w:tcBorders>
              <w:top w:val="nil"/>
              <w:left w:val="nil"/>
              <w:bottom w:val="single" w:sz="4" w:space="0" w:color="auto"/>
              <w:right w:val="single" w:sz="4" w:space="0" w:color="auto"/>
            </w:tcBorders>
            <w:shd w:val="clear" w:color="auto" w:fill="C6EFCE"/>
            <w:noWrap/>
            <w:vAlign w:val="center"/>
          </w:tcPr>
          <w:p w14:paraId="0FEDA91B"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2B7D3C0A"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7E750D31" w14:textId="77777777" w:rsidR="006054AA" w:rsidRDefault="001F7667">
            <w:pPr>
              <w:pStyle w:val="P68B1DB1-Normal12"/>
              <w:rPr>
                <w:noProof/>
              </w:rPr>
            </w:pPr>
            <w:r>
              <w:rPr>
                <w:noProof/>
              </w:rPr>
              <w:t>Активиране на Централно звено за одит на мерките за сигурност PSNC -NIS</w:t>
            </w:r>
          </w:p>
        </w:tc>
      </w:tr>
      <w:tr w:rsidR="006054AA" w14:paraId="61DDCD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24974" w14:textId="77777777" w:rsidR="006054AA" w:rsidRDefault="001F7667">
            <w:pPr>
              <w:pStyle w:val="P68B1DB1-Normal12"/>
              <w:jc w:val="center"/>
              <w:rPr>
                <w:noProof/>
              </w:rPr>
            </w:pPr>
            <w:r>
              <w:rPr>
                <w:noProof/>
              </w:rPr>
              <w:t>M1C1—9</w:t>
            </w:r>
          </w:p>
        </w:tc>
        <w:tc>
          <w:tcPr>
            <w:tcW w:w="3118" w:type="dxa"/>
            <w:tcBorders>
              <w:top w:val="nil"/>
              <w:left w:val="nil"/>
              <w:bottom w:val="single" w:sz="4" w:space="0" w:color="auto"/>
              <w:right w:val="single" w:sz="4" w:space="0" w:color="auto"/>
            </w:tcBorders>
            <w:shd w:val="clear" w:color="auto" w:fill="C6EFCE"/>
            <w:noWrap/>
            <w:vAlign w:val="center"/>
          </w:tcPr>
          <w:p w14:paraId="35E8BD16"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3CAAB595" w14:textId="77777777" w:rsidR="006054AA" w:rsidRDefault="001F7667">
            <w:pPr>
              <w:pStyle w:val="P68B1DB1-Normal12"/>
              <w:rPr>
                <w:noProof/>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7C04DEA1" w14:textId="77777777" w:rsidR="006054AA" w:rsidRDefault="001F7667">
            <w:pPr>
              <w:pStyle w:val="P68B1DB1-Normal12"/>
              <w:rPr>
                <w:noProof/>
              </w:rPr>
            </w:pPr>
            <w:r>
              <w:rPr>
                <w:noProof/>
              </w:rPr>
              <w:t>Подкрепа за модернизирането на структурите за сигурност T1</w:t>
            </w:r>
          </w:p>
        </w:tc>
      </w:tr>
      <w:tr w:rsidR="006054AA" w14:paraId="41A43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3196E" w14:textId="77777777" w:rsidR="006054AA" w:rsidRDefault="001F7667">
            <w:pPr>
              <w:pStyle w:val="P68B1DB1-Normal12"/>
              <w:jc w:val="center"/>
              <w:rPr>
                <w:noProof/>
              </w:rPr>
            </w:pPr>
            <w:r>
              <w:rPr>
                <w:noProof/>
              </w:rPr>
              <w:t>M1C1—10</w:t>
            </w:r>
          </w:p>
        </w:tc>
        <w:tc>
          <w:tcPr>
            <w:tcW w:w="3118" w:type="dxa"/>
            <w:tcBorders>
              <w:top w:val="nil"/>
              <w:left w:val="nil"/>
              <w:bottom w:val="single" w:sz="4" w:space="0" w:color="auto"/>
              <w:right w:val="single" w:sz="4" w:space="0" w:color="auto"/>
            </w:tcBorders>
            <w:shd w:val="clear" w:color="auto" w:fill="C6EFCE"/>
            <w:noWrap/>
            <w:vAlign w:val="center"/>
          </w:tcPr>
          <w:p w14:paraId="64635A3D" w14:textId="77777777" w:rsidR="006054AA" w:rsidRDefault="001F7667">
            <w:pPr>
              <w:pStyle w:val="P68B1DB1-Normal12"/>
              <w:rPr>
                <w:noProof/>
              </w:rPr>
            </w:pPr>
            <w:r>
              <w:rPr>
                <w:noProof/>
              </w:rPr>
              <w:t>Реформа 1.2: Подкрепа за трансформацията</w:t>
            </w:r>
          </w:p>
        </w:tc>
        <w:tc>
          <w:tcPr>
            <w:tcW w:w="1418" w:type="dxa"/>
            <w:tcBorders>
              <w:top w:val="nil"/>
              <w:left w:val="nil"/>
              <w:bottom w:val="single" w:sz="4" w:space="0" w:color="auto"/>
              <w:right w:val="single" w:sz="4" w:space="0" w:color="auto"/>
            </w:tcBorders>
            <w:shd w:val="clear" w:color="auto" w:fill="C6EFCE"/>
            <w:noWrap/>
            <w:vAlign w:val="center"/>
          </w:tcPr>
          <w:p w14:paraId="5289C8BA"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0AE656FF" w14:textId="77777777" w:rsidR="006054AA" w:rsidRDefault="001F7667">
            <w:pPr>
              <w:pStyle w:val="P68B1DB1-Normal12"/>
              <w:rPr>
                <w:noProof/>
              </w:rPr>
            </w:pPr>
            <w:r>
              <w:rPr>
                <w:noProof/>
              </w:rPr>
              <w:t>Влизане в сила на създаването на Transformation Team и NewCo</w:t>
            </w:r>
          </w:p>
        </w:tc>
      </w:tr>
      <w:tr w:rsidR="006054AA" w14:paraId="5EC086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D0E83" w14:textId="77777777" w:rsidR="006054AA" w:rsidRDefault="001F7667">
            <w:pPr>
              <w:pStyle w:val="P68B1DB1-Normal12"/>
              <w:jc w:val="center"/>
              <w:rPr>
                <w:noProof/>
              </w:rPr>
            </w:pPr>
            <w:r>
              <w:rPr>
                <w:noProof/>
              </w:rPr>
              <w:t>M1C1—34</w:t>
            </w:r>
          </w:p>
        </w:tc>
        <w:tc>
          <w:tcPr>
            <w:tcW w:w="3118" w:type="dxa"/>
            <w:tcBorders>
              <w:top w:val="nil"/>
              <w:left w:val="nil"/>
              <w:bottom w:val="single" w:sz="4" w:space="0" w:color="auto"/>
              <w:right w:val="single" w:sz="4" w:space="0" w:color="auto"/>
            </w:tcBorders>
            <w:shd w:val="clear" w:color="auto" w:fill="C6EFCE"/>
            <w:noWrap/>
            <w:vAlign w:val="center"/>
          </w:tcPr>
          <w:p w14:paraId="73E29E77" w14:textId="77777777" w:rsidR="006054AA" w:rsidRDefault="001F7667">
            <w:pPr>
              <w:pStyle w:val="P68B1DB1-Normal12"/>
              <w:rPr>
                <w:noProof/>
              </w:rPr>
            </w:pPr>
            <w:r>
              <w:rPr>
                <w:noProof/>
              </w:rPr>
              <w:t>Инвестиция 1.8: Процедури за назначаване на съдебна служба в гражданските и наказателните съдилища</w:t>
            </w:r>
          </w:p>
        </w:tc>
        <w:tc>
          <w:tcPr>
            <w:tcW w:w="1418" w:type="dxa"/>
            <w:tcBorders>
              <w:top w:val="nil"/>
              <w:left w:val="nil"/>
              <w:bottom w:val="single" w:sz="4" w:space="0" w:color="auto"/>
              <w:right w:val="single" w:sz="4" w:space="0" w:color="auto"/>
            </w:tcBorders>
            <w:shd w:val="clear" w:color="auto" w:fill="C6EFCE"/>
            <w:noWrap/>
            <w:vAlign w:val="center"/>
          </w:tcPr>
          <w:p w14:paraId="57E62421" w14:textId="77777777" w:rsidR="006054AA" w:rsidRDefault="001F7667">
            <w:pPr>
              <w:pStyle w:val="P68B1DB1-Normal12"/>
              <w:rPr>
                <w:noProof/>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3304EB38" w14:textId="77777777" w:rsidR="006054AA" w:rsidRDefault="001F7667">
            <w:pPr>
              <w:pStyle w:val="P68B1DB1-Normal12"/>
              <w:rPr>
                <w:noProof/>
              </w:rPr>
            </w:pPr>
            <w:r>
              <w:rPr>
                <w:noProof/>
              </w:rPr>
              <w:t>Начало на процедурите за набиране на персонал в гражданските и наказателните съдилища</w:t>
            </w:r>
          </w:p>
        </w:tc>
      </w:tr>
      <w:tr w:rsidR="006054AA" w14:paraId="6A9F3B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2ADB6" w14:textId="77777777" w:rsidR="006054AA" w:rsidRDefault="001F7667">
            <w:pPr>
              <w:pStyle w:val="P68B1DB1-Normal12"/>
              <w:jc w:val="center"/>
              <w:rPr>
                <w:noProof/>
              </w:rPr>
            </w:pPr>
            <w:r>
              <w:rPr>
                <w:noProof/>
              </w:rPr>
              <w:t>M1C1—35</w:t>
            </w:r>
          </w:p>
        </w:tc>
        <w:tc>
          <w:tcPr>
            <w:tcW w:w="3118" w:type="dxa"/>
            <w:tcBorders>
              <w:top w:val="nil"/>
              <w:left w:val="nil"/>
              <w:bottom w:val="single" w:sz="4" w:space="0" w:color="auto"/>
              <w:right w:val="single" w:sz="4" w:space="0" w:color="auto"/>
            </w:tcBorders>
            <w:shd w:val="clear" w:color="auto" w:fill="C6EFCE"/>
            <w:noWrap/>
            <w:vAlign w:val="center"/>
          </w:tcPr>
          <w:p w14:paraId="052ED991" w14:textId="77777777" w:rsidR="006054AA" w:rsidRDefault="001F7667">
            <w:pPr>
              <w:pStyle w:val="P68B1DB1-Normal12"/>
              <w:rPr>
                <w:noProof/>
              </w:rPr>
            </w:pPr>
            <w:r>
              <w:rPr>
                <w:noProof/>
              </w:rPr>
              <w:t>Реформа 1.7: Реформа на данъчните съдилища</w:t>
            </w:r>
          </w:p>
        </w:tc>
        <w:tc>
          <w:tcPr>
            <w:tcW w:w="1418" w:type="dxa"/>
            <w:tcBorders>
              <w:top w:val="nil"/>
              <w:left w:val="nil"/>
              <w:bottom w:val="single" w:sz="4" w:space="0" w:color="auto"/>
              <w:right w:val="single" w:sz="4" w:space="0" w:color="auto"/>
            </w:tcBorders>
            <w:shd w:val="clear" w:color="auto" w:fill="C6EFCE"/>
            <w:noWrap/>
            <w:vAlign w:val="center"/>
          </w:tcPr>
          <w:p w14:paraId="715D36DC"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200E960D" w14:textId="77777777" w:rsidR="006054AA" w:rsidRDefault="001F7667">
            <w:pPr>
              <w:pStyle w:val="P68B1DB1-Normal12"/>
              <w:rPr>
                <w:noProof/>
              </w:rPr>
            </w:pPr>
            <w:r>
              <w:rPr>
                <w:noProof/>
              </w:rPr>
              <w:t>Цялостна реформа на данъчните съдилища от първа и втора инстанция</w:t>
            </w:r>
          </w:p>
        </w:tc>
      </w:tr>
      <w:tr w:rsidR="006054AA" w14:paraId="29DAC0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BD61D9" w14:textId="77777777" w:rsidR="006054AA" w:rsidRDefault="001F7667">
            <w:pPr>
              <w:pStyle w:val="P68B1DB1-Normal12"/>
              <w:jc w:val="center"/>
              <w:rPr>
                <w:noProof/>
              </w:rPr>
            </w:pPr>
            <w:r>
              <w:rPr>
                <w:noProof/>
              </w:rPr>
              <w:t>M1C1—36</w:t>
            </w:r>
          </w:p>
        </w:tc>
        <w:tc>
          <w:tcPr>
            <w:tcW w:w="3118" w:type="dxa"/>
            <w:tcBorders>
              <w:top w:val="nil"/>
              <w:left w:val="nil"/>
              <w:bottom w:val="single" w:sz="4" w:space="0" w:color="auto"/>
              <w:right w:val="single" w:sz="4" w:space="0" w:color="auto"/>
            </w:tcBorders>
            <w:shd w:val="clear" w:color="auto" w:fill="C6EFCE"/>
            <w:noWrap/>
            <w:vAlign w:val="center"/>
          </w:tcPr>
          <w:p w14:paraId="715FADCD" w14:textId="77777777" w:rsidR="006054AA" w:rsidRDefault="001F7667">
            <w:pPr>
              <w:pStyle w:val="P68B1DB1-Normal12"/>
              <w:rPr>
                <w:noProof/>
              </w:rPr>
            </w:pPr>
            <w:r>
              <w:rPr>
                <w:noProof/>
              </w:rPr>
              <w:t>Реформи 1.4, 1.5 и 1.6: Реформа на гражданското и наказателното правосъдие и реформа в областта на несъстоятелността</w:t>
            </w:r>
          </w:p>
        </w:tc>
        <w:tc>
          <w:tcPr>
            <w:tcW w:w="1418" w:type="dxa"/>
            <w:tcBorders>
              <w:top w:val="nil"/>
              <w:left w:val="nil"/>
              <w:bottom w:val="single" w:sz="4" w:space="0" w:color="auto"/>
              <w:right w:val="single" w:sz="4" w:space="0" w:color="auto"/>
            </w:tcBorders>
            <w:shd w:val="clear" w:color="auto" w:fill="C6EFCE"/>
            <w:noWrap/>
            <w:vAlign w:val="center"/>
          </w:tcPr>
          <w:p w14:paraId="7E9B87EE"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2FBABC68" w14:textId="77777777" w:rsidR="006054AA" w:rsidRDefault="001F7667">
            <w:pPr>
              <w:pStyle w:val="P68B1DB1-Normal12"/>
              <w:rPr>
                <w:noProof/>
              </w:rPr>
            </w:pPr>
            <w:r>
              <w:rPr>
                <w:noProof/>
              </w:rPr>
              <w:t>Влизане в сила на делегирани актове за реформите на гражданското и наказателното правосъдие и на реформата в областта на несъстоятелността</w:t>
            </w:r>
          </w:p>
        </w:tc>
      </w:tr>
      <w:tr w:rsidR="006054AA" w14:paraId="6FB276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25CB61" w14:textId="77777777" w:rsidR="006054AA" w:rsidRDefault="001F7667">
            <w:pPr>
              <w:pStyle w:val="P68B1DB1-Normal12"/>
              <w:jc w:val="center"/>
              <w:rPr>
                <w:noProof/>
              </w:rPr>
            </w:pPr>
            <w:r>
              <w:rPr>
                <w:noProof/>
              </w:rPr>
              <w:t>M1C1—57</w:t>
            </w:r>
          </w:p>
        </w:tc>
        <w:tc>
          <w:tcPr>
            <w:tcW w:w="3118" w:type="dxa"/>
            <w:tcBorders>
              <w:top w:val="nil"/>
              <w:left w:val="nil"/>
              <w:bottom w:val="single" w:sz="4" w:space="0" w:color="auto"/>
              <w:right w:val="single" w:sz="4" w:space="0" w:color="auto"/>
            </w:tcBorders>
            <w:shd w:val="clear" w:color="auto" w:fill="C6EFCE"/>
            <w:noWrap/>
            <w:vAlign w:val="center"/>
          </w:tcPr>
          <w:p w14:paraId="6CF8340F"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08F20BE7"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48BF587C" w14:textId="77777777" w:rsidR="006054AA" w:rsidRDefault="001F7667">
            <w:pPr>
              <w:pStyle w:val="P68B1DB1-Normal12"/>
              <w:rPr>
                <w:noProof/>
              </w:rPr>
            </w:pPr>
            <w:r>
              <w:rPr>
                <w:noProof/>
              </w:rPr>
              <w:t>Влизане в сила на административните процедури за реформата за опростяване, насочена към прилагането на МВУ</w:t>
            </w:r>
          </w:p>
        </w:tc>
      </w:tr>
      <w:tr w:rsidR="006054AA" w14:paraId="685A52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4E95E" w14:textId="77777777" w:rsidR="006054AA" w:rsidRDefault="001F7667">
            <w:pPr>
              <w:pStyle w:val="P68B1DB1-Normal12"/>
              <w:jc w:val="center"/>
              <w:rPr>
                <w:noProof/>
              </w:rPr>
            </w:pPr>
            <w:r>
              <w:rPr>
                <w:noProof/>
              </w:rPr>
              <w:t>M1C1—102</w:t>
            </w:r>
          </w:p>
        </w:tc>
        <w:tc>
          <w:tcPr>
            <w:tcW w:w="3118" w:type="dxa"/>
            <w:tcBorders>
              <w:top w:val="nil"/>
              <w:left w:val="nil"/>
              <w:bottom w:val="single" w:sz="4" w:space="0" w:color="auto"/>
              <w:right w:val="single" w:sz="4" w:space="0" w:color="auto"/>
            </w:tcBorders>
            <w:shd w:val="clear" w:color="auto" w:fill="C6EFCE"/>
            <w:noWrap/>
            <w:vAlign w:val="center"/>
          </w:tcPr>
          <w:p w14:paraId="1C298B8D" w14:textId="77777777" w:rsidR="006054AA" w:rsidRDefault="001F7667">
            <w:pPr>
              <w:pStyle w:val="P68B1DB1-Normal12"/>
              <w:rPr>
                <w:noProof/>
              </w:rPr>
            </w:pPr>
            <w:r>
              <w:rPr>
                <w:noProof/>
              </w:rPr>
              <w:t>Реформа 1.13: Реформа на рамката за преглед на разходите</w:t>
            </w:r>
          </w:p>
        </w:tc>
        <w:tc>
          <w:tcPr>
            <w:tcW w:w="1418" w:type="dxa"/>
            <w:tcBorders>
              <w:top w:val="nil"/>
              <w:left w:val="nil"/>
              <w:bottom w:val="single" w:sz="4" w:space="0" w:color="auto"/>
              <w:right w:val="single" w:sz="4" w:space="0" w:color="auto"/>
            </w:tcBorders>
            <w:shd w:val="clear" w:color="auto" w:fill="C6EFCE"/>
            <w:noWrap/>
            <w:vAlign w:val="center"/>
          </w:tcPr>
          <w:p w14:paraId="00DB4FE2" w14:textId="77777777" w:rsidR="006054AA" w:rsidRDefault="001F7667">
            <w:pPr>
              <w:pStyle w:val="P68B1DB1-Normal12"/>
              <w:rPr>
                <w:noProof/>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7894324B" w14:textId="77777777" w:rsidR="006054AA" w:rsidRDefault="001F7667">
            <w:pPr>
              <w:pStyle w:val="P68B1DB1-Normal12"/>
              <w:rPr>
                <w:noProof/>
              </w:rPr>
            </w:pPr>
            <w:r>
              <w:rPr>
                <w:noProof/>
              </w:rPr>
              <w:t>Приемане на доклад за ефективността на практиките, използвани от избрани публични администрации за формулиране и прилагане на планове за икономии</w:t>
            </w:r>
          </w:p>
        </w:tc>
      </w:tr>
      <w:tr w:rsidR="006054AA" w14:paraId="047137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2EC74B" w14:textId="77777777" w:rsidR="006054AA" w:rsidRDefault="001F7667">
            <w:pPr>
              <w:pStyle w:val="P68B1DB1-Normal12"/>
              <w:jc w:val="center"/>
              <w:rPr>
                <w:noProof/>
              </w:rPr>
            </w:pPr>
            <w:r>
              <w:rPr>
                <w:noProof/>
              </w:rPr>
              <w:t>M1C1—105</w:t>
            </w:r>
          </w:p>
        </w:tc>
        <w:tc>
          <w:tcPr>
            <w:tcW w:w="3118" w:type="dxa"/>
            <w:tcBorders>
              <w:top w:val="nil"/>
              <w:left w:val="nil"/>
              <w:bottom w:val="single" w:sz="4" w:space="0" w:color="auto"/>
              <w:right w:val="single" w:sz="4" w:space="0" w:color="auto"/>
            </w:tcBorders>
            <w:shd w:val="clear" w:color="auto" w:fill="C6EFCE"/>
            <w:noWrap/>
            <w:vAlign w:val="center"/>
          </w:tcPr>
          <w:p w14:paraId="59A06D19" w14:textId="77777777" w:rsidR="006054AA" w:rsidRDefault="001F7667">
            <w:pPr>
              <w:pStyle w:val="P68B1DB1-Normal12"/>
              <w:rPr>
                <w:noProof/>
              </w:rPr>
            </w:pPr>
            <w:r>
              <w:rPr>
                <w:noProof/>
              </w:rPr>
              <w:t>Реформа 1.12: Реформа на данъчната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7A8644CD" w14:textId="77777777" w:rsidR="006054AA" w:rsidRDefault="001F7667">
            <w:pPr>
              <w:pStyle w:val="P68B1DB1-Normal12"/>
              <w:rPr>
                <w:noProof/>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0C0A5BD2" w14:textId="77777777" w:rsidR="006054AA" w:rsidRDefault="001F7667">
            <w:pPr>
              <w:pStyle w:val="P68B1DB1-Normal12"/>
              <w:rPr>
                <w:noProof/>
              </w:rPr>
            </w:pPr>
            <w:r>
              <w:rPr>
                <w:noProof/>
              </w:rPr>
              <w:t>По-голям брой „писма за съответствие“</w:t>
            </w:r>
          </w:p>
        </w:tc>
      </w:tr>
      <w:tr w:rsidR="006054AA" w14:paraId="0694D8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5480D" w14:textId="77777777" w:rsidR="006054AA" w:rsidRDefault="001F7667">
            <w:pPr>
              <w:pStyle w:val="P68B1DB1-Normal12"/>
              <w:jc w:val="center"/>
              <w:rPr>
                <w:noProof/>
              </w:rPr>
            </w:pPr>
            <w:r>
              <w:rPr>
                <w:noProof/>
              </w:rPr>
              <w:t>M1C1—106</w:t>
            </w:r>
          </w:p>
        </w:tc>
        <w:tc>
          <w:tcPr>
            <w:tcW w:w="3118" w:type="dxa"/>
            <w:tcBorders>
              <w:top w:val="nil"/>
              <w:left w:val="nil"/>
              <w:bottom w:val="single" w:sz="4" w:space="0" w:color="auto"/>
              <w:right w:val="single" w:sz="4" w:space="0" w:color="auto"/>
            </w:tcBorders>
            <w:shd w:val="clear" w:color="auto" w:fill="C6EFCE"/>
            <w:noWrap/>
            <w:vAlign w:val="center"/>
          </w:tcPr>
          <w:p w14:paraId="5C59D923" w14:textId="77777777" w:rsidR="006054AA" w:rsidRDefault="001F7667">
            <w:pPr>
              <w:pStyle w:val="P68B1DB1-Normal12"/>
              <w:rPr>
                <w:noProof/>
              </w:rPr>
            </w:pPr>
            <w:r>
              <w:rPr>
                <w:noProof/>
              </w:rPr>
              <w:t>Реформа 1.12: Реформа на данъчната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7DEBF950" w14:textId="77777777" w:rsidR="006054AA" w:rsidRDefault="001F7667">
            <w:pPr>
              <w:pStyle w:val="P68B1DB1-Normal12"/>
              <w:rPr>
                <w:noProof/>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60C87DF4" w14:textId="77777777" w:rsidR="006054AA" w:rsidRDefault="001F7667">
            <w:pPr>
              <w:pStyle w:val="P68B1DB1-Normal12"/>
              <w:rPr>
                <w:noProof/>
              </w:rPr>
            </w:pPr>
            <w:r>
              <w:rPr>
                <w:noProof/>
              </w:rPr>
              <w:t>Намаляване на броя на фалшивите положителни писма за съответствие</w:t>
            </w:r>
          </w:p>
        </w:tc>
      </w:tr>
      <w:tr w:rsidR="006054AA" w14:paraId="529CC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39DF15" w14:textId="77777777" w:rsidR="006054AA" w:rsidRDefault="001F7667">
            <w:pPr>
              <w:pStyle w:val="P68B1DB1-Normal12"/>
              <w:jc w:val="center"/>
              <w:rPr>
                <w:noProof/>
              </w:rPr>
            </w:pPr>
            <w:r>
              <w:rPr>
                <w:noProof/>
              </w:rPr>
              <w:t>M1C1—107</w:t>
            </w:r>
          </w:p>
        </w:tc>
        <w:tc>
          <w:tcPr>
            <w:tcW w:w="3118" w:type="dxa"/>
            <w:tcBorders>
              <w:top w:val="nil"/>
              <w:left w:val="nil"/>
              <w:bottom w:val="single" w:sz="4" w:space="0" w:color="auto"/>
              <w:right w:val="single" w:sz="4" w:space="0" w:color="auto"/>
            </w:tcBorders>
            <w:shd w:val="clear" w:color="auto" w:fill="C6EFCE"/>
            <w:noWrap/>
            <w:vAlign w:val="center"/>
          </w:tcPr>
          <w:p w14:paraId="222FE074" w14:textId="77777777" w:rsidR="006054AA" w:rsidRDefault="001F7667">
            <w:pPr>
              <w:pStyle w:val="P68B1DB1-Normal12"/>
              <w:rPr>
                <w:noProof/>
              </w:rPr>
            </w:pPr>
            <w:r>
              <w:rPr>
                <w:noProof/>
              </w:rPr>
              <w:t>Реформа 1.12: Реформа на данъчната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21C281FB" w14:textId="77777777" w:rsidR="006054AA" w:rsidRDefault="001F7667">
            <w:pPr>
              <w:pStyle w:val="P68B1DB1-Normal12"/>
              <w:rPr>
                <w:noProof/>
                <w:color w:val="006600"/>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3E014ABB" w14:textId="77777777" w:rsidR="006054AA" w:rsidRDefault="001F7667">
            <w:pPr>
              <w:pStyle w:val="P68B1DB1-Normal12"/>
              <w:rPr>
                <w:noProof/>
                <w:color w:val="006600"/>
              </w:rPr>
            </w:pPr>
            <w:r>
              <w:rPr>
                <w:noProof/>
              </w:rPr>
              <w:t>Увеличение на данъчните приходи, генерирани от „писмата за съответствие“</w:t>
            </w:r>
          </w:p>
        </w:tc>
      </w:tr>
      <w:tr w:rsidR="006054AA" w14:paraId="1F4A0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46A924" w14:textId="77777777" w:rsidR="006054AA" w:rsidRDefault="001F7667">
            <w:pPr>
              <w:pStyle w:val="P68B1DB1-Normal12"/>
              <w:jc w:val="center"/>
              <w:rPr>
                <w:noProof/>
              </w:rPr>
            </w:pPr>
            <w:r>
              <w:rPr>
                <w:noProof/>
              </w:rPr>
              <w:t>M1C2—6</w:t>
            </w:r>
          </w:p>
        </w:tc>
        <w:tc>
          <w:tcPr>
            <w:tcW w:w="3118" w:type="dxa"/>
            <w:tcBorders>
              <w:top w:val="nil"/>
              <w:left w:val="nil"/>
              <w:bottom w:val="single" w:sz="4" w:space="0" w:color="auto"/>
              <w:right w:val="single" w:sz="4" w:space="0" w:color="auto"/>
            </w:tcBorders>
            <w:shd w:val="clear" w:color="auto" w:fill="C6EFCE"/>
            <w:noWrap/>
            <w:vAlign w:val="center"/>
          </w:tcPr>
          <w:p w14:paraId="05D3B694" w14:textId="77777777" w:rsidR="006054AA" w:rsidRDefault="001F7667">
            <w:pPr>
              <w:pStyle w:val="P68B1DB1-Normal12"/>
              <w:rPr>
                <w:noProof/>
              </w:rPr>
            </w:pPr>
            <w:r>
              <w:rPr>
                <w:noProof/>
              </w:rPr>
              <w:t>Реформа 2: Годишни закони в областта на конкуренцията</w:t>
            </w:r>
          </w:p>
        </w:tc>
        <w:tc>
          <w:tcPr>
            <w:tcW w:w="1418" w:type="dxa"/>
            <w:tcBorders>
              <w:top w:val="nil"/>
              <w:left w:val="nil"/>
              <w:bottom w:val="single" w:sz="4" w:space="0" w:color="auto"/>
              <w:right w:val="single" w:sz="4" w:space="0" w:color="auto"/>
            </w:tcBorders>
            <w:shd w:val="clear" w:color="auto" w:fill="C6EFCE"/>
            <w:noWrap/>
            <w:vAlign w:val="center"/>
          </w:tcPr>
          <w:p w14:paraId="260FFFD8"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4ED6BE29" w14:textId="77777777" w:rsidR="006054AA" w:rsidRDefault="001F7667">
            <w:pPr>
              <w:pStyle w:val="P68B1DB1-Normal12"/>
              <w:rPr>
                <w:noProof/>
                <w:color w:val="006600"/>
              </w:rPr>
            </w:pPr>
            <w:r>
              <w:rPr>
                <w:noProof/>
              </w:rPr>
              <w:t>Влизане в сила на годишния закон за конкуренцията за 2021 г.</w:t>
            </w:r>
          </w:p>
        </w:tc>
      </w:tr>
      <w:tr w:rsidR="006054AA" w14:paraId="3CC81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62296E" w14:textId="77777777" w:rsidR="006054AA" w:rsidRDefault="001F7667">
            <w:pPr>
              <w:pStyle w:val="P68B1DB1-Normal12"/>
              <w:jc w:val="center"/>
              <w:rPr>
                <w:noProof/>
              </w:rPr>
            </w:pPr>
            <w:r>
              <w:rPr>
                <w:noProof/>
              </w:rPr>
              <w:t>M1C2—7</w:t>
            </w:r>
          </w:p>
        </w:tc>
        <w:tc>
          <w:tcPr>
            <w:tcW w:w="3118" w:type="dxa"/>
            <w:tcBorders>
              <w:top w:val="nil"/>
              <w:left w:val="nil"/>
              <w:bottom w:val="single" w:sz="4" w:space="0" w:color="auto"/>
              <w:right w:val="single" w:sz="4" w:space="0" w:color="auto"/>
            </w:tcBorders>
            <w:shd w:val="clear" w:color="auto" w:fill="C6EFCE"/>
            <w:noWrap/>
            <w:vAlign w:val="center"/>
          </w:tcPr>
          <w:p w14:paraId="2EDC5D45" w14:textId="77777777" w:rsidR="006054AA" w:rsidRDefault="001F7667">
            <w:pPr>
              <w:pStyle w:val="P68B1DB1-Normal12"/>
              <w:rPr>
                <w:noProof/>
              </w:rPr>
            </w:pPr>
            <w:r>
              <w:rPr>
                <w:noProof/>
              </w:rPr>
              <w:t>Реформа 2: Годишни закони в областта на конкуренцията</w:t>
            </w:r>
          </w:p>
        </w:tc>
        <w:tc>
          <w:tcPr>
            <w:tcW w:w="1418" w:type="dxa"/>
            <w:tcBorders>
              <w:top w:val="nil"/>
              <w:left w:val="nil"/>
              <w:bottom w:val="single" w:sz="4" w:space="0" w:color="auto"/>
              <w:right w:val="single" w:sz="4" w:space="0" w:color="auto"/>
            </w:tcBorders>
            <w:shd w:val="clear" w:color="auto" w:fill="C6EFCE"/>
            <w:noWrap/>
            <w:vAlign w:val="center"/>
          </w:tcPr>
          <w:p w14:paraId="56F2E0BA"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3EA43668" w14:textId="77777777" w:rsidR="006054AA" w:rsidRDefault="001F7667">
            <w:pPr>
              <w:pStyle w:val="P68B1DB1-Normal12"/>
              <w:rPr>
                <w:noProof/>
                <w:color w:val="006600"/>
              </w:rPr>
            </w:pPr>
            <w:r>
              <w:rPr>
                <w:noProof/>
              </w:rPr>
              <w:t>Влизане в сила на всички свързани с енергетиката мерки за прилагане и вторично законодателство (ако е необходимо)</w:t>
            </w:r>
          </w:p>
        </w:tc>
      </w:tr>
      <w:tr w:rsidR="006054AA" w14:paraId="0E6A4F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381900" w14:textId="77777777" w:rsidR="006054AA" w:rsidRDefault="001F7667">
            <w:pPr>
              <w:pStyle w:val="P68B1DB1-Normal12"/>
              <w:jc w:val="center"/>
              <w:rPr>
                <w:noProof/>
              </w:rPr>
            </w:pPr>
            <w:r>
              <w:rPr>
                <w:noProof/>
              </w:rPr>
              <w:t>M1C2—8</w:t>
            </w:r>
          </w:p>
        </w:tc>
        <w:tc>
          <w:tcPr>
            <w:tcW w:w="3118" w:type="dxa"/>
            <w:tcBorders>
              <w:top w:val="nil"/>
              <w:left w:val="nil"/>
              <w:bottom w:val="single" w:sz="4" w:space="0" w:color="auto"/>
              <w:right w:val="single" w:sz="4" w:space="0" w:color="auto"/>
            </w:tcBorders>
            <w:shd w:val="clear" w:color="auto" w:fill="C6EFCE"/>
            <w:noWrap/>
            <w:vAlign w:val="center"/>
          </w:tcPr>
          <w:p w14:paraId="1D240120" w14:textId="77777777" w:rsidR="006054AA" w:rsidRDefault="001F7667">
            <w:pPr>
              <w:pStyle w:val="P68B1DB1-Normal12"/>
              <w:rPr>
                <w:noProof/>
              </w:rPr>
            </w:pPr>
            <w:r>
              <w:rPr>
                <w:noProof/>
              </w:rPr>
              <w:t>Реформа 2: Годишни закони в областта на конкуренцията</w:t>
            </w:r>
          </w:p>
        </w:tc>
        <w:tc>
          <w:tcPr>
            <w:tcW w:w="1418" w:type="dxa"/>
            <w:tcBorders>
              <w:top w:val="nil"/>
              <w:left w:val="nil"/>
              <w:bottom w:val="single" w:sz="4" w:space="0" w:color="auto"/>
              <w:right w:val="single" w:sz="4" w:space="0" w:color="auto"/>
            </w:tcBorders>
            <w:shd w:val="clear" w:color="auto" w:fill="C6EFCE"/>
            <w:noWrap/>
            <w:vAlign w:val="center"/>
          </w:tcPr>
          <w:p w14:paraId="094BE03A"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3EE5BC01" w14:textId="77777777" w:rsidR="006054AA" w:rsidRDefault="001F7667">
            <w:pPr>
              <w:pStyle w:val="P68B1DB1-Normal12"/>
              <w:rPr>
                <w:noProof/>
                <w:color w:val="006600"/>
              </w:rPr>
            </w:pPr>
            <w:r>
              <w:rPr>
                <w:noProof/>
              </w:rPr>
              <w:t>Влизане в сила на всички мерки за изпълнение (включително вторично законодателство, ако е необходимо) за ефективното изпълнение и прилагане на мерките, произтичащи от Годишния закон за конкуренцията за 2021 г.</w:t>
            </w:r>
          </w:p>
        </w:tc>
      </w:tr>
      <w:tr w:rsidR="006054AA" w14:paraId="5D73684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701343" w14:textId="77777777" w:rsidR="006054AA" w:rsidRDefault="001F7667">
            <w:pPr>
              <w:pStyle w:val="P68B1DB1-Normal12"/>
              <w:jc w:val="center"/>
              <w:rPr>
                <w:noProof/>
              </w:rPr>
            </w:pPr>
            <w:r>
              <w:rPr>
                <w:noProof/>
              </w:rPr>
              <w:t>M1C3—6</w:t>
            </w:r>
          </w:p>
        </w:tc>
        <w:tc>
          <w:tcPr>
            <w:tcW w:w="3118" w:type="dxa"/>
            <w:tcBorders>
              <w:top w:val="nil"/>
              <w:left w:val="nil"/>
              <w:bottom w:val="single" w:sz="4" w:space="0" w:color="auto"/>
              <w:right w:val="single" w:sz="4" w:space="0" w:color="auto"/>
            </w:tcBorders>
            <w:shd w:val="clear" w:color="auto" w:fill="C6EFCE"/>
            <w:noWrap/>
            <w:vAlign w:val="center"/>
          </w:tcPr>
          <w:p w14:paraId="299FBB39" w14:textId="77777777" w:rsidR="006054AA" w:rsidRDefault="001F7667">
            <w:pPr>
              <w:pStyle w:val="P68B1DB1-Normal12"/>
              <w:rPr>
                <w:noProof/>
              </w:rPr>
            </w:pPr>
            <w:r>
              <w:rPr>
                <w:noProof/>
              </w:rPr>
              <w:t>Реформа — Минимални екологични критерии за културни прояви от 3.1 г.</w:t>
            </w:r>
          </w:p>
        </w:tc>
        <w:tc>
          <w:tcPr>
            <w:tcW w:w="1418" w:type="dxa"/>
            <w:tcBorders>
              <w:top w:val="nil"/>
              <w:left w:val="nil"/>
              <w:bottom w:val="single" w:sz="4" w:space="0" w:color="auto"/>
              <w:right w:val="single" w:sz="4" w:space="0" w:color="auto"/>
            </w:tcBorders>
            <w:shd w:val="clear" w:color="auto" w:fill="C6EFCE"/>
            <w:noWrap/>
            <w:vAlign w:val="center"/>
          </w:tcPr>
          <w:p w14:paraId="6FDE30ED"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3A07EF48" w14:textId="77777777" w:rsidR="006054AA" w:rsidRDefault="001F7667">
            <w:pPr>
              <w:pStyle w:val="P68B1DB1-Normal12"/>
              <w:rPr>
                <w:noProof/>
                <w:color w:val="006600"/>
              </w:rPr>
            </w:pPr>
            <w:r>
              <w:rPr>
                <w:noProof/>
              </w:rPr>
              <w:t>Влизане в сила на постановление за определяне на социални и екологични критерии в търговете за обществени поръчки във връзка с културни събития, финансирани с публични средства</w:t>
            </w:r>
          </w:p>
        </w:tc>
      </w:tr>
      <w:tr w:rsidR="006054AA" w14:paraId="5EAB29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57FA8" w14:textId="77777777" w:rsidR="006054AA" w:rsidRDefault="001F7667">
            <w:pPr>
              <w:pStyle w:val="P68B1DB1-Normal12"/>
              <w:jc w:val="center"/>
              <w:rPr>
                <w:noProof/>
              </w:rPr>
            </w:pPr>
            <w:r>
              <w:rPr>
                <w:noProof/>
              </w:rPr>
              <w:t>M2C1—3</w:t>
            </w:r>
          </w:p>
        </w:tc>
        <w:tc>
          <w:tcPr>
            <w:tcW w:w="3118" w:type="dxa"/>
            <w:tcBorders>
              <w:top w:val="nil"/>
              <w:left w:val="nil"/>
              <w:bottom w:val="single" w:sz="4" w:space="0" w:color="auto"/>
              <w:right w:val="single" w:sz="4" w:space="0" w:color="auto"/>
            </w:tcBorders>
            <w:shd w:val="clear" w:color="auto" w:fill="C6EFCE"/>
            <w:noWrap/>
            <w:vAlign w:val="center"/>
          </w:tcPr>
          <w:p w14:paraId="49AF2B85" w14:textId="77777777" w:rsidR="006054AA" w:rsidRDefault="001F7667">
            <w:pPr>
              <w:pStyle w:val="P68B1DB1-Normal12"/>
              <w:rPr>
                <w:noProof/>
              </w:rPr>
            </w:pPr>
            <w:r>
              <w:rPr>
                <w:noProof/>
              </w:rPr>
              <w:t>Инвестиция 2.1: Логистичен план за секторите на хранително-вкусовата промишленост, рибарството и аквакултурите, горското стопанство, цветарството и растениевъдството</w:t>
            </w:r>
          </w:p>
        </w:tc>
        <w:tc>
          <w:tcPr>
            <w:tcW w:w="1418" w:type="dxa"/>
            <w:tcBorders>
              <w:top w:val="nil"/>
              <w:left w:val="nil"/>
              <w:bottom w:val="single" w:sz="4" w:space="0" w:color="auto"/>
              <w:right w:val="single" w:sz="4" w:space="0" w:color="auto"/>
            </w:tcBorders>
            <w:shd w:val="clear" w:color="auto" w:fill="C6EFCE"/>
            <w:noWrap/>
            <w:vAlign w:val="center"/>
          </w:tcPr>
          <w:p w14:paraId="60255ED6"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14B42990" w14:textId="77777777" w:rsidR="006054AA" w:rsidRDefault="001F7667">
            <w:pPr>
              <w:pStyle w:val="P68B1DB1-Normal12"/>
              <w:rPr>
                <w:noProof/>
                <w:color w:val="006600"/>
              </w:rPr>
            </w:pPr>
            <w:r>
              <w:rPr>
                <w:noProof/>
              </w:rPr>
              <w:t>Публикуване на окончателното класиране по схемата за логистични стимули</w:t>
            </w:r>
          </w:p>
        </w:tc>
      </w:tr>
      <w:tr w:rsidR="006054AA" w14:paraId="380B01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60B8DF" w14:textId="77777777" w:rsidR="006054AA" w:rsidRDefault="001F7667">
            <w:pPr>
              <w:pStyle w:val="P68B1DB1-Normal12"/>
              <w:jc w:val="center"/>
              <w:rPr>
                <w:noProof/>
              </w:rPr>
            </w:pPr>
            <w:r>
              <w:rPr>
                <w:noProof/>
              </w:rPr>
              <w:t>M2C1—4</w:t>
            </w:r>
          </w:p>
        </w:tc>
        <w:tc>
          <w:tcPr>
            <w:tcW w:w="3118" w:type="dxa"/>
            <w:tcBorders>
              <w:top w:val="nil"/>
              <w:left w:val="nil"/>
              <w:bottom w:val="single" w:sz="4" w:space="0" w:color="auto"/>
              <w:right w:val="single" w:sz="4" w:space="0" w:color="auto"/>
            </w:tcBorders>
            <w:shd w:val="clear" w:color="auto" w:fill="C6EFCE"/>
            <w:noWrap/>
            <w:vAlign w:val="center"/>
          </w:tcPr>
          <w:p w14:paraId="04A13C66" w14:textId="77777777" w:rsidR="006054AA" w:rsidRDefault="001F7667">
            <w:pPr>
              <w:pStyle w:val="P68B1DB1-Normal12"/>
              <w:rPr>
                <w:noProof/>
              </w:rPr>
            </w:pPr>
            <w:r>
              <w:rPr>
                <w:noProof/>
              </w:rPr>
              <w:t>Инвестиция 2.2: Агрослънчев парк</w:t>
            </w:r>
          </w:p>
        </w:tc>
        <w:tc>
          <w:tcPr>
            <w:tcW w:w="1418" w:type="dxa"/>
            <w:tcBorders>
              <w:top w:val="nil"/>
              <w:left w:val="nil"/>
              <w:bottom w:val="single" w:sz="4" w:space="0" w:color="auto"/>
              <w:right w:val="single" w:sz="4" w:space="0" w:color="auto"/>
            </w:tcBorders>
            <w:shd w:val="clear" w:color="auto" w:fill="C6EFCE"/>
            <w:noWrap/>
            <w:vAlign w:val="center"/>
          </w:tcPr>
          <w:p w14:paraId="3896D26C" w14:textId="77777777" w:rsidR="006054AA" w:rsidRDefault="001F7667">
            <w:pPr>
              <w:pStyle w:val="P68B1DB1-Normal12"/>
              <w:rPr>
                <w:noProof/>
                <w:color w:val="006600"/>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0D134A03" w14:textId="77777777" w:rsidR="006054AA" w:rsidRDefault="001F7667">
            <w:pPr>
              <w:pStyle w:val="P68B1DB1-Normal12"/>
              <w:rPr>
                <w:noProof/>
                <w:color w:val="006600"/>
              </w:rPr>
            </w:pPr>
            <w:r>
              <w:rPr>
                <w:noProof/>
              </w:rPr>
              <w:t>Разпределение на ресурсите за бенефициерите като% от общия размер на финансовите ресурси, предназначени за инвестицията</w:t>
            </w:r>
          </w:p>
        </w:tc>
      </w:tr>
      <w:tr w:rsidR="006054AA" w14:paraId="464B82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3AC106" w14:textId="77777777" w:rsidR="006054AA" w:rsidRDefault="001F7667">
            <w:pPr>
              <w:pStyle w:val="P68B1DB1-Normal12"/>
              <w:jc w:val="center"/>
              <w:rPr>
                <w:noProof/>
              </w:rPr>
            </w:pPr>
            <w:r>
              <w:rPr>
                <w:noProof/>
              </w:rPr>
              <w:t>M2C2—8</w:t>
            </w:r>
          </w:p>
        </w:tc>
        <w:tc>
          <w:tcPr>
            <w:tcW w:w="3118" w:type="dxa"/>
            <w:tcBorders>
              <w:top w:val="nil"/>
              <w:left w:val="nil"/>
              <w:bottom w:val="single" w:sz="4" w:space="0" w:color="auto"/>
              <w:right w:val="single" w:sz="4" w:space="0" w:color="auto"/>
            </w:tcBorders>
            <w:shd w:val="clear" w:color="auto" w:fill="C6EFCE"/>
            <w:noWrap/>
            <w:vAlign w:val="center"/>
          </w:tcPr>
          <w:p w14:paraId="7E0BCA6F" w14:textId="77777777" w:rsidR="006054AA" w:rsidRDefault="001F7667">
            <w:pPr>
              <w:pStyle w:val="P68B1DB1-Normal12"/>
              <w:rPr>
                <w:noProof/>
              </w:rPr>
            </w:pPr>
            <w:r>
              <w:rPr>
                <w:noProof/>
              </w:rPr>
              <w:t>Инвестиция 2.1 Укрепване на интелигентните мрежи</w:t>
            </w:r>
          </w:p>
        </w:tc>
        <w:tc>
          <w:tcPr>
            <w:tcW w:w="1418" w:type="dxa"/>
            <w:tcBorders>
              <w:top w:val="nil"/>
              <w:left w:val="nil"/>
              <w:bottom w:val="single" w:sz="4" w:space="0" w:color="auto"/>
              <w:right w:val="single" w:sz="4" w:space="0" w:color="auto"/>
            </w:tcBorders>
            <w:shd w:val="clear" w:color="auto" w:fill="C6EFCE"/>
            <w:noWrap/>
            <w:vAlign w:val="center"/>
          </w:tcPr>
          <w:p w14:paraId="2561FA90"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3AD63211" w14:textId="77777777" w:rsidR="006054AA" w:rsidRDefault="001F7667">
            <w:pPr>
              <w:pStyle w:val="P68B1DB1-Normal12"/>
              <w:rPr>
                <w:noProof/>
                <w:color w:val="006600"/>
              </w:rPr>
            </w:pPr>
            <w:r>
              <w:rPr>
                <w:noProof/>
              </w:rPr>
              <w:t>Възлагане на (всички) обществени поръчки за увеличаване на капацитета на мрежата</w:t>
            </w:r>
          </w:p>
        </w:tc>
      </w:tr>
      <w:tr w:rsidR="006054AA" w14:paraId="03E4DF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CCF30D" w14:textId="77777777" w:rsidR="006054AA" w:rsidRDefault="001F7667">
            <w:pPr>
              <w:pStyle w:val="P68B1DB1-Normal12"/>
              <w:jc w:val="center"/>
              <w:rPr>
                <w:noProof/>
              </w:rPr>
            </w:pPr>
            <w:r>
              <w:rPr>
                <w:noProof/>
              </w:rPr>
              <w:t>M2C2—12</w:t>
            </w:r>
          </w:p>
        </w:tc>
        <w:tc>
          <w:tcPr>
            <w:tcW w:w="3118" w:type="dxa"/>
            <w:tcBorders>
              <w:top w:val="nil"/>
              <w:left w:val="nil"/>
              <w:bottom w:val="single" w:sz="4" w:space="0" w:color="auto"/>
              <w:right w:val="single" w:sz="4" w:space="0" w:color="auto"/>
            </w:tcBorders>
            <w:shd w:val="clear" w:color="auto" w:fill="C6EFCE"/>
            <w:noWrap/>
            <w:vAlign w:val="center"/>
          </w:tcPr>
          <w:p w14:paraId="26950E3E" w14:textId="77777777" w:rsidR="006054AA" w:rsidRDefault="001F7667">
            <w:pPr>
              <w:pStyle w:val="P68B1DB1-Normal12"/>
              <w:rPr>
                <w:noProof/>
              </w:rPr>
            </w:pPr>
            <w:r>
              <w:rPr>
                <w:noProof/>
              </w:rPr>
              <w:t>Инвестиция 2.2 Интервенции за повишаване на устойчивостта на електроенергийната мрежа</w:t>
            </w:r>
          </w:p>
        </w:tc>
        <w:tc>
          <w:tcPr>
            <w:tcW w:w="1418" w:type="dxa"/>
            <w:tcBorders>
              <w:top w:val="nil"/>
              <w:left w:val="nil"/>
              <w:bottom w:val="single" w:sz="4" w:space="0" w:color="auto"/>
              <w:right w:val="single" w:sz="4" w:space="0" w:color="auto"/>
            </w:tcBorders>
            <w:shd w:val="clear" w:color="auto" w:fill="C6EFCE"/>
            <w:noWrap/>
            <w:vAlign w:val="center"/>
          </w:tcPr>
          <w:p w14:paraId="3F50362B"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033ADAB4" w14:textId="77777777" w:rsidR="006054AA" w:rsidRDefault="001F7667">
            <w:pPr>
              <w:pStyle w:val="P68B1DB1-Normal12"/>
              <w:rPr>
                <w:noProof/>
                <w:color w:val="006600"/>
              </w:rPr>
            </w:pPr>
            <w:r>
              <w:rPr>
                <w:noProof/>
              </w:rPr>
              <w:t>Възлагане на проекти за повишаване на устойчивостта на електроенергийната мрежа</w:t>
            </w:r>
          </w:p>
        </w:tc>
      </w:tr>
      <w:tr w:rsidR="006054AA" w14:paraId="4CE6E6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C7C0F" w14:textId="77777777" w:rsidR="006054AA" w:rsidRDefault="001F7667">
            <w:pPr>
              <w:pStyle w:val="P68B1DB1-Normal12"/>
              <w:jc w:val="center"/>
              <w:rPr>
                <w:noProof/>
              </w:rPr>
            </w:pPr>
            <w:r>
              <w:rPr>
                <w:noProof/>
              </w:rPr>
              <w:t>M3C2—1</w:t>
            </w:r>
          </w:p>
        </w:tc>
        <w:tc>
          <w:tcPr>
            <w:tcW w:w="3118" w:type="dxa"/>
            <w:tcBorders>
              <w:top w:val="nil"/>
              <w:left w:val="nil"/>
              <w:bottom w:val="single" w:sz="4" w:space="0" w:color="auto"/>
              <w:right w:val="single" w:sz="4" w:space="0" w:color="auto"/>
            </w:tcBorders>
            <w:shd w:val="clear" w:color="auto" w:fill="C6EFCE"/>
            <w:noWrap/>
            <w:vAlign w:val="center"/>
          </w:tcPr>
          <w:p w14:paraId="574059F4" w14:textId="77777777" w:rsidR="006054AA" w:rsidRDefault="001F7667">
            <w:pPr>
              <w:pStyle w:val="P68B1DB1-Normal12"/>
              <w:rPr>
                <w:noProof/>
              </w:rPr>
            </w:pPr>
            <w:r>
              <w:rPr>
                <w:noProof/>
              </w:rPr>
              <w:t xml:space="preserve">Реформа 1.1 — Опростяване на процедурите за процеса на стратегическо планиране </w:t>
            </w:r>
          </w:p>
        </w:tc>
        <w:tc>
          <w:tcPr>
            <w:tcW w:w="1418" w:type="dxa"/>
            <w:tcBorders>
              <w:top w:val="nil"/>
              <w:left w:val="nil"/>
              <w:bottom w:val="single" w:sz="4" w:space="0" w:color="auto"/>
              <w:right w:val="single" w:sz="4" w:space="0" w:color="auto"/>
            </w:tcBorders>
            <w:shd w:val="clear" w:color="auto" w:fill="C6EFCE"/>
            <w:noWrap/>
            <w:vAlign w:val="center"/>
          </w:tcPr>
          <w:p w14:paraId="5AC7C2C6"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3C881DAA" w14:textId="77777777" w:rsidR="006054AA" w:rsidRDefault="001F7667">
            <w:pPr>
              <w:pStyle w:val="P68B1DB1-Normal12"/>
              <w:rPr>
                <w:noProof/>
                <w:color w:val="006600"/>
              </w:rPr>
            </w:pPr>
            <w:r>
              <w:rPr>
                <w:noProof/>
              </w:rPr>
              <w:t>Влизане в сила на законодателни изменения, свързани с опростяването на процедурите за процеса на стратегическо планиране</w:t>
            </w:r>
          </w:p>
        </w:tc>
      </w:tr>
      <w:tr w:rsidR="006054AA" w14:paraId="47A14F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2AD9EC" w14:textId="77777777" w:rsidR="006054AA" w:rsidRDefault="001F7667">
            <w:pPr>
              <w:pStyle w:val="P68B1DB1-Normal12"/>
              <w:jc w:val="center"/>
              <w:rPr>
                <w:noProof/>
              </w:rPr>
            </w:pPr>
            <w:r>
              <w:rPr>
                <w:noProof/>
              </w:rPr>
              <w:t>M3C2—2</w:t>
            </w:r>
          </w:p>
        </w:tc>
        <w:tc>
          <w:tcPr>
            <w:tcW w:w="3118" w:type="dxa"/>
            <w:tcBorders>
              <w:top w:val="nil"/>
              <w:left w:val="nil"/>
              <w:bottom w:val="single" w:sz="4" w:space="0" w:color="auto"/>
              <w:right w:val="single" w:sz="4" w:space="0" w:color="auto"/>
            </w:tcBorders>
            <w:shd w:val="clear" w:color="auto" w:fill="C6EFCE"/>
            <w:noWrap/>
            <w:vAlign w:val="center"/>
          </w:tcPr>
          <w:p w14:paraId="73F72359" w14:textId="77777777" w:rsidR="006054AA" w:rsidRDefault="001F7667">
            <w:pPr>
              <w:pStyle w:val="P68B1DB1-Normal12"/>
              <w:rPr>
                <w:noProof/>
              </w:rPr>
            </w:pPr>
            <w:r>
              <w:rPr>
                <w:noProof/>
              </w:rPr>
              <w:t>Реформа 1.2 — Конкурентно възлагане на концесии в италианските пристанища</w:t>
            </w:r>
          </w:p>
        </w:tc>
        <w:tc>
          <w:tcPr>
            <w:tcW w:w="1418" w:type="dxa"/>
            <w:tcBorders>
              <w:top w:val="nil"/>
              <w:left w:val="nil"/>
              <w:bottom w:val="single" w:sz="4" w:space="0" w:color="auto"/>
              <w:right w:val="single" w:sz="4" w:space="0" w:color="auto"/>
            </w:tcBorders>
            <w:shd w:val="clear" w:color="auto" w:fill="C6EFCE"/>
            <w:noWrap/>
            <w:vAlign w:val="center"/>
          </w:tcPr>
          <w:p w14:paraId="6B140DC2"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7B60B233" w14:textId="77777777" w:rsidR="006054AA" w:rsidRDefault="001F7667">
            <w:pPr>
              <w:pStyle w:val="P68B1DB1-Normal12"/>
              <w:rPr>
                <w:noProof/>
                <w:color w:val="006600"/>
              </w:rPr>
            </w:pPr>
            <w:r>
              <w:rPr>
                <w:noProof/>
              </w:rPr>
              <w:t>Влизане в сила на Регламента за пристанищните концесии</w:t>
            </w:r>
          </w:p>
        </w:tc>
      </w:tr>
      <w:tr w:rsidR="006054AA" w14:paraId="2EA511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842B9D" w14:textId="77777777" w:rsidR="006054AA" w:rsidRDefault="001F7667">
            <w:pPr>
              <w:pStyle w:val="P68B1DB1-Normal12"/>
              <w:jc w:val="center"/>
              <w:rPr>
                <w:noProof/>
              </w:rPr>
            </w:pPr>
            <w:r>
              <w:rPr>
                <w:noProof/>
              </w:rPr>
              <w:t>M3C2—4</w:t>
            </w:r>
          </w:p>
        </w:tc>
        <w:tc>
          <w:tcPr>
            <w:tcW w:w="3118" w:type="dxa"/>
            <w:tcBorders>
              <w:top w:val="nil"/>
              <w:left w:val="nil"/>
              <w:bottom w:val="single" w:sz="4" w:space="0" w:color="auto"/>
              <w:right w:val="single" w:sz="4" w:space="0" w:color="auto"/>
            </w:tcBorders>
            <w:shd w:val="clear" w:color="auto" w:fill="C6EFCE"/>
            <w:noWrap/>
            <w:vAlign w:val="center"/>
          </w:tcPr>
          <w:p w14:paraId="7389EAD1" w14:textId="77777777" w:rsidR="006054AA" w:rsidRDefault="001F7667">
            <w:pPr>
              <w:pStyle w:val="P68B1DB1-Normal12"/>
              <w:rPr>
                <w:noProof/>
              </w:rPr>
            </w:pPr>
            <w:r>
              <w:rPr>
                <w:noProof/>
              </w:rPr>
              <w:t>Реформа 1.3 — Опростяване на процедурите за издаване на разрешения за инсталации за студено гладене</w:t>
            </w:r>
          </w:p>
        </w:tc>
        <w:tc>
          <w:tcPr>
            <w:tcW w:w="1418" w:type="dxa"/>
            <w:tcBorders>
              <w:top w:val="nil"/>
              <w:left w:val="nil"/>
              <w:bottom w:val="single" w:sz="4" w:space="0" w:color="auto"/>
              <w:right w:val="single" w:sz="4" w:space="0" w:color="auto"/>
            </w:tcBorders>
            <w:shd w:val="clear" w:color="auto" w:fill="C6EFCE"/>
            <w:noWrap/>
            <w:vAlign w:val="center"/>
          </w:tcPr>
          <w:p w14:paraId="0D024A64"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2BEC988D" w14:textId="77777777" w:rsidR="006054AA" w:rsidRDefault="001F7667">
            <w:pPr>
              <w:pStyle w:val="P68B1DB1-Normal12"/>
              <w:rPr>
                <w:noProof/>
                <w:color w:val="006600"/>
              </w:rPr>
            </w:pPr>
            <w:r>
              <w:rPr>
                <w:noProof/>
              </w:rPr>
              <w:t>Влизане в сила на опростяването на разрешителните процедури за инсталации за студено гладене</w:t>
            </w:r>
          </w:p>
        </w:tc>
      </w:tr>
      <w:tr w:rsidR="006054AA" w14:paraId="59B6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B57C7" w14:textId="77777777" w:rsidR="006054AA" w:rsidRDefault="001F7667">
            <w:pPr>
              <w:pStyle w:val="P68B1DB1-Normal12"/>
              <w:jc w:val="center"/>
              <w:rPr>
                <w:noProof/>
              </w:rPr>
            </w:pPr>
            <w:r>
              <w:rPr>
                <w:noProof/>
              </w:rPr>
              <w:t>M4C1—5</w:t>
            </w:r>
          </w:p>
        </w:tc>
        <w:tc>
          <w:tcPr>
            <w:tcW w:w="3118" w:type="dxa"/>
            <w:tcBorders>
              <w:top w:val="nil"/>
              <w:left w:val="nil"/>
              <w:bottom w:val="single" w:sz="4" w:space="0" w:color="auto"/>
              <w:right w:val="single" w:sz="4" w:space="0" w:color="auto"/>
            </w:tcBorders>
            <w:shd w:val="clear" w:color="auto" w:fill="C6EFCE"/>
            <w:noWrap/>
            <w:vAlign w:val="center"/>
          </w:tcPr>
          <w:p w14:paraId="015336E0" w14:textId="77777777" w:rsidR="006054AA" w:rsidRDefault="001F7667">
            <w:pPr>
              <w:pStyle w:val="P68B1DB1-Normal12"/>
              <w:rPr>
                <w:noProof/>
              </w:rPr>
            </w:pPr>
            <w:r>
              <w:rPr>
                <w:noProof/>
              </w:rPr>
              <w:t>Реформа 1.3: Реорганизация на училищната система; Реформа 1.2: Реформа на системата за висше професионално обучение (ИТС); Реформа 1.1: Реформа на техническите и професионалните институти; Реформа 1.4: Реформа на системата за ориентиране</w:t>
            </w:r>
          </w:p>
        </w:tc>
        <w:tc>
          <w:tcPr>
            <w:tcW w:w="1418" w:type="dxa"/>
            <w:tcBorders>
              <w:top w:val="nil"/>
              <w:left w:val="nil"/>
              <w:bottom w:val="single" w:sz="4" w:space="0" w:color="auto"/>
              <w:right w:val="single" w:sz="4" w:space="0" w:color="auto"/>
            </w:tcBorders>
            <w:shd w:val="clear" w:color="auto" w:fill="C6EFCE"/>
            <w:noWrap/>
            <w:vAlign w:val="center"/>
          </w:tcPr>
          <w:p w14:paraId="706CF116" w14:textId="77777777" w:rsidR="006054AA" w:rsidRDefault="001F7667">
            <w:pPr>
              <w:pStyle w:val="P68B1DB1-Normal12"/>
              <w:rPr>
                <w:noProof/>
                <w:color w:val="006600"/>
              </w:rPr>
            </w:pPr>
            <w:r>
              <w:rPr>
                <w:noProof/>
              </w:rPr>
              <w:t>Основни етапи</w:t>
            </w:r>
          </w:p>
        </w:tc>
        <w:tc>
          <w:tcPr>
            <w:tcW w:w="3865" w:type="dxa"/>
            <w:tcBorders>
              <w:top w:val="nil"/>
              <w:left w:val="nil"/>
              <w:bottom w:val="single" w:sz="4" w:space="0" w:color="auto"/>
              <w:right w:val="single" w:sz="4" w:space="0" w:color="auto"/>
            </w:tcBorders>
            <w:shd w:val="clear" w:color="auto" w:fill="C6EFCE"/>
            <w:noWrap/>
            <w:vAlign w:val="center"/>
          </w:tcPr>
          <w:p w14:paraId="1E69BE4C" w14:textId="77777777" w:rsidR="006054AA" w:rsidRDefault="001F7667">
            <w:pPr>
              <w:pStyle w:val="P68B1DB1-Normal12"/>
              <w:rPr>
                <w:noProof/>
                <w:color w:val="006600"/>
              </w:rPr>
            </w:pPr>
            <w:r>
              <w:rPr>
                <w:noProof/>
              </w:rPr>
              <w:t>Влизане в сила на реформите в системата на основното и средното образование с цел подобряване на образователните резултати</w:t>
            </w:r>
          </w:p>
        </w:tc>
      </w:tr>
      <w:tr w:rsidR="006054AA" w14:paraId="4706A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942C78" w14:textId="77777777" w:rsidR="006054AA" w:rsidRDefault="001F7667">
            <w:pPr>
              <w:pStyle w:val="P68B1DB1-Normal12"/>
              <w:jc w:val="center"/>
              <w:rPr>
                <w:noProof/>
              </w:rPr>
            </w:pPr>
            <w:r>
              <w:rPr>
                <w:noProof/>
              </w:rPr>
              <w:t>M4C1—6</w:t>
            </w:r>
          </w:p>
        </w:tc>
        <w:tc>
          <w:tcPr>
            <w:tcW w:w="3118" w:type="dxa"/>
            <w:tcBorders>
              <w:top w:val="nil"/>
              <w:left w:val="nil"/>
              <w:bottom w:val="single" w:sz="4" w:space="0" w:color="auto"/>
              <w:right w:val="single" w:sz="4" w:space="0" w:color="auto"/>
            </w:tcBorders>
            <w:shd w:val="clear" w:color="auto" w:fill="C6EFCE"/>
            <w:noWrap/>
            <w:vAlign w:val="center"/>
          </w:tcPr>
          <w:p w14:paraId="327AC3F2" w14:textId="77777777" w:rsidR="006054AA" w:rsidRDefault="001F7667">
            <w:pPr>
              <w:pStyle w:val="P68B1DB1-Normal12"/>
              <w:rPr>
                <w:noProof/>
              </w:rPr>
            </w:pPr>
            <w:r>
              <w:rPr>
                <w:noProof/>
              </w:rPr>
              <w:t>Реформа 2.2: Висше училище и продължаващо обучение за училищни ръководители, учители, административен и технически персонал</w:t>
            </w:r>
          </w:p>
        </w:tc>
        <w:tc>
          <w:tcPr>
            <w:tcW w:w="1418" w:type="dxa"/>
            <w:tcBorders>
              <w:top w:val="nil"/>
              <w:left w:val="nil"/>
              <w:bottom w:val="single" w:sz="4" w:space="0" w:color="auto"/>
              <w:right w:val="single" w:sz="4" w:space="0" w:color="auto"/>
            </w:tcBorders>
            <w:shd w:val="clear" w:color="auto" w:fill="C6EFCE"/>
            <w:noWrap/>
            <w:vAlign w:val="center"/>
          </w:tcPr>
          <w:p w14:paraId="2ABBF847"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08307BB6" w14:textId="77777777" w:rsidR="006054AA" w:rsidRDefault="001F7667">
            <w:pPr>
              <w:pStyle w:val="P68B1DB1-Normal12"/>
              <w:rPr>
                <w:noProof/>
                <w:color w:val="006600"/>
              </w:rPr>
            </w:pPr>
            <w:r>
              <w:rPr>
                <w:noProof/>
              </w:rPr>
              <w:t>Влизане в сила на законодателство, насочено към изграждане на система за качествено обучение за училищата.</w:t>
            </w:r>
          </w:p>
        </w:tc>
      </w:tr>
      <w:tr w:rsidR="006054AA" w14:paraId="6D466F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84E6" w14:textId="77777777" w:rsidR="006054AA" w:rsidRDefault="001F7667">
            <w:pPr>
              <w:pStyle w:val="P68B1DB1-Normal12"/>
              <w:jc w:val="center"/>
              <w:rPr>
                <w:noProof/>
              </w:rPr>
            </w:pPr>
            <w:r>
              <w:rPr>
                <w:noProof/>
              </w:rPr>
              <w:t>M4C2—1</w:t>
            </w:r>
          </w:p>
        </w:tc>
        <w:tc>
          <w:tcPr>
            <w:tcW w:w="3118" w:type="dxa"/>
            <w:tcBorders>
              <w:top w:val="nil"/>
              <w:left w:val="nil"/>
              <w:bottom w:val="single" w:sz="4" w:space="0" w:color="auto"/>
              <w:right w:val="single" w:sz="4" w:space="0" w:color="auto"/>
            </w:tcBorders>
            <w:shd w:val="clear" w:color="auto" w:fill="C6EFCE"/>
            <w:noWrap/>
            <w:vAlign w:val="center"/>
          </w:tcPr>
          <w:p w14:paraId="6B68519B" w14:textId="77777777" w:rsidR="006054AA" w:rsidRDefault="001F7667">
            <w:pPr>
              <w:pStyle w:val="P68B1DB1-Normal12"/>
              <w:rPr>
                <w:noProof/>
              </w:rPr>
            </w:pPr>
            <w:r>
              <w:rPr>
                <w:noProof/>
              </w:rPr>
              <w:t>Инвестиция 1.2: Финансиране на проекти, представени от млади изследователи</w:t>
            </w:r>
          </w:p>
        </w:tc>
        <w:tc>
          <w:tcPr>
            <w:tcW w:w="1418" w:type="dxa"/>
            <w:tcBorders>
              <w:top w:val="nil"/>
              <w:left w:val="nil"/>
              <w:bottom w:val="single" w:sz="4" w:space="0" w:color="auto"/>
              <w:right w:val="single" w:sz="4" w:space="0" w:color="auto"/>
            </w:tcBorders>
            <w:shd w:val="clear" w:color="auto" w:fill="C6EFCE"/>
            <w:noWrap/>
            <w:vAlign w:val="center"/>
          </w:tcPr>
          <w:p w14:paraId="1C0F9049" w14:textId="77777777" w:rsidR="006054AA" w:rsidRDefault="001F7667">
            <w:pPr>
              <w:pStyle w:val="P68B1DB1-Normal12"/>
              <w:rPr>
                <w:noProof/>
                <w:color w:val="006600"/>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1C1F066E" w14:textId="77777777" w:rsidR="006054AA" w:rsidRDefault="001F7667">
            <w:pPr>
              <w:pStyle w:val="P68B1DB1-Normal12"/>
              <w:rPr>
                <w:noProof/>
                <w:color w:val="006600"/>
              </w:rPr>
            </w:pPr>
            <w:r>
              <w:rPr>
                <w:noProof/>
              </w:rPr>
              <w:t>Брой на студентите, получили стипендия за научни изследвания</w:t>
            </w:r>
          </w:p>
        </w:tc>
      </w:tr>
      <w:tr w:rsidR="006054AA" w14:paraId="51D002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02431" w14:textId="77777777" w:rsidR="006054AA" w:rsidRDefault="001F7667">
            <w:pPr>
              <w:pStyle w:val="P68B1DB1-Normal12"/>
              <w:jc w:val="center"/>
              <w:rPr>
                <w:noProof/>
              </w:rPr>
            </w:pPr>
            <w:r>
              <w:rPr>
                <w:noProof/>
              </w:rPr>
              <w:t xml:space="preserve">M5C1—2 </w:t>
            </w:r>
          </w:p>
        </w:tc>
        <w:tc>
          <w:tcPr>
            <w:tcW w:w="3118" w:type="dxa"/>
            <w:tcBorders>
              <w:top w:val="nil"/>
              <w:left w:val="nil"/>
              <w:bottom w:val="single" w:sz="4" w:space="0" w:color="auto"/>
              <w:right w:val="single" w:sz="4" w:space="0" w:color="auto"/>
            </w:tcBorders>
            <w:shd w:val="clear" w:color="auto" w:fill="C6EFCE"/>
            <w:noWrap/>
            <w:vAlign w:val="center"/>
          </w:tcPr>
          <w:p w14:paraId="4BE94989" w14:textId="77777777" w:rsidR="006054AA" w:rsidRDefault="001F7667">
            <w:pPr>
              <w:pStyle w:val="P68B1DB1-Normal12"/>
              <w:rPr>
                <w:noProof/>
              </w:rPr>
            </w:pPr>
            <w:r>
              <w:rPr>
                <w:noProof/>
              </w:rPr>
              <w:t>Реформа 1 — АППТ и професионално обучение</w:t>
            </w:r>
          </w:p>
        </w:tc>
        <w:tc>
          <w:tcPr>
            <w:tcW w:w="1418" w:type="dxa"/>
            <w:tcBorders>
              <w:top w:val="nil"/>
              <w:left w:val="nil"/>
              <w:bottom w:val="single" w:sz="4" w:space="0" w:color="auto"/>
              <w:right w:val="single" w:sz="4" w:space="0" w:color="auto"/>
            </w:tcBorders>
            <w:shd w:val="clear" w:color="auto" w:fill="C6EFCE"/>
            <w:noWrap/>
            <w:vAlign w:val="center"/>
          </w:tcPr>
          <w:p w14:paraId="4FB6EF86"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380FD0F4" w14:textId="77777777" w:rsidR="006054AA" w:rsidRDefault="001F7667">
            <w:pPr>
              <w:pStyle w:val="P68B1DB1-Normal12"/>
              <w:rPr>
                <w:noProof/>
                <w:color w:val="006600"/>
              </w:rPr>
            </w:pPr>
            <w:r>
              <w:rPr>
                <w:noProof/>
              </w:rPr>
              <w:t xml:space="preserve">Влизане в сила на регионално равнище на всички планове за публичните служби по заетостта (ПСЗ)  </w:t>
            </w:r>
          </w:p>
        </w:tc>
      </w:tr>
      <w:tr w:rsidR="006054AA" w14:paraId="03649E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F6E4C7" w14:textId="77777777" w:rsidR="006054AA" w:rsidRDefault="001F7667">
            <w:pPr>
              <w:pStyle w:val="P68B1DB1-Normal12"/>
              <w:jc w:val="center"/>
              <w:rPr>
                <w:noProof/>
              </w:rPr>
            </w:pPr>
            <w:r>
              <w:rPr>
                <w:noProof/>
              </w:rPr>
              <w:t xml:space="preserve">M5C1—6 </w:t>
            </w:r>
          </w:p>
        </w:tc>
        <w:tc>
          <w:tcPr>
            <w:tcW w:w="3118" w:type="dxa"/>
            <w:tcBorders>
              <w:top w:val="nil"/>
              <w:left w:val="nil"/>
              <w:bottom w:val="single" w:sz="4" w:space="0" w:color="auto"/>
              <w:right w:val="single" w:sz="4" w:space="0" w:color="auto"/>
            </w:tcBorders>
            <w:shd w:val="clear" w:color="auto" w:fill="C6EFCE"/>
            <w:noWrap/>
            <w:vAlign w:val="center"/>
          </w:tcPr>
          <w:p w14:paraId="21B374F8" w14:textId="77777777" w:rsidR="006054AA" w:rsidRDefault="001F7667">
            <w:pPr>
              <w:pStyle w:val="P68B1DB1-Normal12"/>
              <w:rPr>
                <w:noProof/>
              </w:rPr>
            </w:pPr>
            <w:r>
              <w:rPr>
                <w:noProof/>
              </w:rPr>
              <w:t xml:space="preserve">Инвестиция 1 — Укрепване на публичните служби по заетостта (ПСЗ) </w:t>
            </w:r>
          </w:p>
        </w:tc>
        <w:tc>
          <w:tcPr>
            <w:tcW w:w="1418" w:type="dxa"/>
            <w:tcBorders>
              <w:top w:val="nil"/>
              <w:left w:val="nil"/>
              <w:bottom w:val="single" w:sz="4" w:space="0" w:color="auto"/>
              <w:right w:val="single" w:sz="4" w:space="0" w:color="auto"/>
            </w:tcBorders>
            <w:shd w:val="clear" w:color="auto" w:fill="C6EFCE"/>
            <w:noWrap/>
            <w:vAlign w:val="center"/>
          </w:tcPr>
          <w:p w14:paraId="7C9B1D4A" w14:textId="77777777" w:rsidR="006054AA" w:rsidRDefault="001F7667">
            <w:pPr>
              <w:pStyle w:val="P68B1DB1-Normal12"/>
              <w:rPr>
                <w:noProof/>
                <w:color w:val="006600"/>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65BF9FDC" w14:textId="77777777" w:rsidR="006054AA" w:rsidRDefault="001F7667">
            <w:pPr>
              <w:pStyle w:val="P68B1DB1-Normal12"/>
              <w:rPr>
                <w:noProof/>
                <w:color w:val="006600"/>
              </w:rPr>
            </w:pPr>
            <w:r>
              <w:rPr>
                <w:noProof/>
              </w:rPr>
              <w:t>Публичните служби по заетостта (ПСЗ) изпълняват дейностите, предвидени в плана за укрепване, през тригодишния период 2021—2023 г.</w:t>
            </w:r>
          </w:p>
        </w:tc>
      </w:tr>
      <w:tr w:rsidR="006054AA" w14:paraId="0FCB49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03E7A" w14:textId="77777777" w:rsidR="006054AA" w:rsidRDefault="001F7667">
            <w:pPr>
              <w:pStyle w:val="P68B1DB1-Normal12"/>
              <w:jc w:val="center"/>
              <w:rPr>
                <w:noProof/>
              </w:rPr>
            </w:pPr>
            <w:r>
              <w:rPr>
                <w:noProof/>
              </w:rPr>
              <w:t xml:space="preserve">M5C1—8 </w:t>
            </w:r>
          </w:p>
        </w:tc>
        <w:tc>
          <w:tcPr>
            <w:tcW w:w="3118" w:type="dxa"/>
            <w:tcBorders>
              <w:top w:val="nil"/>
              <w:left w:val="nil"/>
              <w:bottom w:val="single" w:sz="4" w:space="0" w:color="auto"/>
              <w:right w:val="single" w:sz="4" w:space="0" w:color="auto"/>
            </w:tcBorders>
            <w:shd w:val="clear" w:color="auto" w:fill="C6EFCE"/>
            <w:noWrap/>
            <w:vAlign w:val="center"/>
          </w:tcPr>
          <w:p w14:paraId="78399B6B" w14:textId="77777777" w:rsidR="006054AA" w:rsidRDefault="001F7667">
            <w:pPr>
              <w:pStyle w:val="P68B1DB1-Normal12"/>
              <w:rPr>
                <w:noProof/>
              </w:rPr>
            </w:pPr>
            <w:r>
              <w:rPr>
                <w:noProof/>
              </w:rPr>
              <w:t>Реформа 2 — Недеклариран труд</w:t>
            </w:r>
          </w:p>
        </w:tc>
        <w:tc>
          <w:tcPr>
            <w:tcW w:w="1418" w:type="dxa"/>
            <w:tcBorders>
              <w:top w:val="nil"/>
              <w:left w:val="nil"/>
              <w:bottom w:val="single" w:sz="4" w:space="0" w:color="auto"/>
              <w:right w:val="single" w:sz="4" w:space="0" w:color="auto"/>
            </w:tcBorders>
            <w:shd w:val="clear" w:color="auto" w:fill="C6EFCE"/>
            <w:noWrap/>
            <w:vAlign w:val="center"/>
          </w:tcPr>
          <w:p w14:paraId="550C548D"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551488A7" w14:textId="77777777" w:rsidR="006054AA" w:rsidRDefault="001F7667">
            <w:pPr>
              <w:pStyle w:val="P68B1DB1-Normal12"/>
              <w:rPr>
                <w:noProof/>
                <w:color w:val="006600"/>
              </w:rPr>
            </w:pPr>
            <w:r>
              <w:rPr>
                <w:noProof/>
              </w:rPr>
              <w:t>Влизане в сила на национален план и пътна карта за изпълнение за борба с недекларирания труд във всички икономически сектори.</w:t>
            </w:r>
          </w:p>
        </w:tc>
      </w:tr>
      <w:tr w:rsidR="006054AA" w14:paraId="6FC084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01272" w14:textId="77777777" w:rsidR="006054AA" w:rsidRDefault="001F7667">
            <w:pPr>
              <w:pStyle w:val="P68B1DB1-Normal12"/>
              <w:jc w:val="center"/>
              <w:rPr>
                <w:noProof/>
              </w:rPr>
            </w:pPr>
            <w:r>
              <w:rPr>
                <w:noProof/>
              </w:rPr>
              <w:t>M5C1—12</w:t>
            </w:r>
          </w:p>
        </w:tc>
        <w:tc>
          <w:tcPr>
            <w:tcW w:w="3118" w:type="dxa"/>
            <w:tcBorders>
              <w:top w:val="nil"/>
              <w:left w:val="nil"/>
              <w:bottom w:val="single" w:sz="4" w:space="0" w:color="auto"/>
              <w:right w:val="single" w:sz="4" w:space="0" w:color="auto"/>
            </w:tcBorders>
            <w:shd w:val="clear" w:color="auto" w:fill="C6EFCE"/>
            <w:noWrap/>
            <w:vAlign w:val="center"/>
          </w:tcPr>
          <w:p w14:paraId="233050DE" w14:textId="77777777" w:rsidR="006054AA" w:rsidRDefault="001F7667">
            <w:pPr>
              <w:pStyle w:val="P68B1DB1-Normal12"/>
              <w:rPr>
                <w:noProof/>
              </w:rPr>
            </w:pPr>
            <w:r>
              <w:rPr>
                <w:noProof/>
              </w:rPr>
              <w:t>Инвестиция 2 — Система за сертифициране на равенството между половете</w:t>
            </w:r>
          </w:p>
        </w:tc>
        <w:tc>
          <w:tcPr>
            <w:tcW w:w="1418" w:type="dxa"/>
            <w:tcBorders>
              <w:top w:val="nil"/>
              <w:left w:val="nil"/>
              <w:bottom w:val="single" w:sz="4" w:space="0" w:color="auto"/>
              <w:right w:val="single" w:sz="4" w:space="0" w:color="auto"/>
            </w:tcBorders>
            <w:shd w:val="clear" w:color="auto" w:fill="C6EFCE"/>
            <w:noWrap/>
            <w:vAlign w:val="center"/>
          </w:tcPr>
          <w:p w14:paraId="0F9B29FF"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4EA6CAD7" w14:textId="77777777" w:rsidR="006054AA" w:rsidRDefault="001F7667">
            <w:pPr>
              <w:pStyle w:val="P68B1DB1-Normal12"/>
              <w:rPr>
                <w:noProof/>
                <w:color w:val="006600"/>
              </w:rPr>
            </w:pPr>
            <w:r>
              <w:rPr>
                <w:noProof/>
              </w:rPr>
              <w:t xml:space="preserve">Влизане в сила на система за сертифициране на равенството между половете и съпътстващи механизми за стимулиране на дружествата </w:t>
            </w:r>
          </w:p>
        </w:tc>
      </w:tr>
      <w:tr w:rsidR="006054AA" w14:paraId="30D709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AAFFE0" w14:textId="77777777" w:rsidR="006054AA" w:rsidRDefault="001F7667">
            <w:pPr>
              <w:pStyle w:val="P68B1DB1-Normal12"/>
              <w:jc w:val="center"/>
              <w:rPr>
                <w:noProof/>
              </w:rPr>
            </w:pPr>
            <w:r>
              <w:rPr>
                <w:noProof/>
              </w:rPr>
              <w:t>M5C2—7</w:t>
            </w:r>
          </w:p>
        </w:tc>
        <w:tc>
          <w:tcPr>
            <w:tcW w:w="3118" w:type="dxa"/>
            <w:tcBorders>
              <w:top w:val="nil"/>
              <w:left w:val="nil"/>
              <w:bottom w:val="single" w:sz="4" w:space="0" w:color="auto"/>
              <w:right w:val="single" w:sz="4" w:space="0" w:color="auto"/>
            </w:tcBorders>
            <w:shd w:val="clear" w:color="auto" w:fill="C6EFCE"/>
            <w:noWrap/>
            <w:vAlign w:val="center"/>
          </w:tcPr>
          <w:p w14:paraId="0627139D" w14:textId="77777777" w:rsidR="006054AA" w:rsidRDefault="001F7667">
            <w:pPr>
              <w:pStyle w:val="P68B1DB1-Normal12"/>
              <w:rPr>
                <w:noProof/>
              </w:rPr>
            </w:pPr>
            <w:r>
              <w:rPr>
                <w:noProof/>
              </w:rPr>
              <w:t>Инвестиция 2 — Самостоятелни модели за хората с увреждания</w:t>
            </w:r>
          </w:p>
        </w:tc>
        <w:tc>
          <w:tcPr>
            <w:tcW w:w="1418" w:type="dxa"/>
            <w:tcBorders>
              <w:top w:val="nil"/>
              <w:left w:val="nil"/>
              <w:bottom w:val="single" w:sz="4" w:space="0" w:color="auto"/>
              <w:right w:val="single" w:sz="4" w:space="0" w:color="auto"/>
            </w:tcBorders>
            <w:shd w:val="clear" w:color="auto" w:fill="C6EFCE"/>
            <w:noWrap/>
            <w:vAlign w:val="center"/>
          </w:tcPr>
          <w:p w14:paraId="24281C58" w14:textId="77777777" w:rsidR="006054AA" w:rsidRDefault="001F7667">
            <w:pPr>
              <w:pStyle w:val="P68B1DB1-Normal12"/>
              <w:rPr>
                <w:noProof/>
                <w:color w:val="006600"/>
              </w:rPr>
            </w:pPr>
            <w:r>
              <w:rPr>
                <w:noProof/>
              </w:rPr>
              <w:t>Целеви</w:t>
            </w:r>
          </w:p>
        </w:tc>
        <w:tc>
          <w:tcPr>
            <w:tcW w:w="3865" w:type="dxa"/>
            <w:tcBorders>
              <w:top w:val="nil"/>
              <w:left w:val="nil"/>
              <w:bottom w:val="single" w:sz="4" w:space="0" w:color="auto"/>
              <w:right w:val="single" w:sz="4" w:space="0" w:color="auto"/>
            </w:tcBorders>
            <w:shd w:val="clear" w:color="auto" w:fill="C6EFCE"/>
            <w:noWrap/>
            <w:vAlign w:val="center"/>
          </w:tcPr>
          <w:p w14:paraId="31D41930" w14:textId="77777777" w:rsidR="006054AA" w:rsidRDefault="001F7667">
            <w:pPr>
              <w:pStyle w:val="P68B1DB1-Normal12"/>
              <w:rPr>
                <w:noProof/>
                <w:color w:val="006600"/>
              </w:rPr>
            </w:pPr>
            <w:r>
              <w:rPr>
                <w:noProof/>
              </w:rPr>
              <w:t>Социалните квартали са осъществили поне един проект във връзка с обновяването на жилищни помещения и/или предоставянето на ИКТ устройства на хора с увреждания, придружен от обучение по цифрови умения</w:t>
            </w:r>
          </w:p>
        </w:tc>
      </w:tr>
      <w:tr w:rsidR="006054AA" w14:paraId="34D8B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8B9D2B" w14:textId="77777777" w:rsidR="006054AA" w:rsidRDefault="001F7667">
            <w:pPr>
              <w:pStyle w:val="P68B1DB1-Normal12"/>
              <w:jc w:val="center"/>
              <w:rPr>
                <w:noProof/>
              </w:rPr>
            </w:pPr>
            <w:r>
              <w:rPr>
                <w:noProof/>
              </w:rPr>
              <w:t>M5C3—1</w:t>
            </w:r>
          </w:p>
        </w:tc>
        <w:tc>
          <w:tcPr>
            <w:tcW w:w="3118" w:type="dxa"/>
            <w:tcBorders>
              <w:top w:val="nil"/>
              <w:left w:val="nil"/>
              <w:bottom w:val="single" w:sz="4" w:space="0" w:color="auto"/>
              <w:right w:val="single" w:sz="4" w:space="0" w:color="auto"/>
            </w:tcBorders>
            <w:shd w:val="clear" w:color="auto" w:fill="C6EFCE"/>
            <w:noWrap/>
            <w:vAlign w:val="center"/>
          </w:tcPr>
          <w:p w14:paraId="3B195330" w14:textId="77777777" w:rsidR="006054AA" w:rsidRDefault="001F7667">
            <w:pPr>
              <w:pStyle w:val="P68B1DB1-Normal12"/>
              <w:rPr>
                <w:noProof/>
              </w:rPr>
            </w:pPr>
            <w:r>
              <w:rPr>
                <w:noProof/>
              </w:rPr>
              <w:t>Инвестиция 1.1.1: Вътрешно укрепване на социалните услуги и инфраструктури на общността</w:t>
            </w:r>
          </w:p>
        </w:tc>
        <w:tc>
          <w:tcPr>
            <w:tcW w:w="1418" w:type="dxa"/>
            <w:tcBorders>
              <w:top w:val="nil"/>
              <w:left w:val="nil"/>
              <w:bottom w:val="single" w:sz="4" w:space="0" w:color="auto"/>
              <w:right w:val="single" w:sz="4" w:space="0" w:color="auto"/>
            </w:tcBorders>
            <w:shd w:val="clear" w:color="auto" w:fill="C6EFCE"/>
            <w:noWrap/>
            <w:vAlign w:val="center"/>
          </w:tcPr>
          <w:p w14:paraId="559926BD"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6F6FF361" w14:textId="77777777" w:rsidR="006054AA" w:rsidRDefault="001F7667">
            <w:pPr>
              <w:pStyle w:val="P68B1DB1-Normal12"/>
              <w:rPr>
                <w:noProof/>
                <w:color w:val="006600"/>
              </w:rPr>
            </w:pPr>
            <w:r>
              <w:rPr>
                <w:noProof/>
              </w:rPr>
              <w:t>Възлагане на обществена поръчка за интервенции за подобряване на социалните услуги и инфраструктури във вътрешните райони и за подпомагане на аптеки в общини с по-малко от 3000 жители</w:t>
            </w:r>
          </w:p>
        </w:tc>
      </w:tr>
      <w:tr w:rsidR="006054AA" w14:paraId="6444DB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0F6FD5" w14:textId="77777777" w:rsidR="006054AA" w:rsidRDefault="001F7667">
            <w:pPr>
              <w:pStyle w:val="P68B1DB1-Normal12"/>
              <w:jc w:val="center"/>
              <w:rPr>
                <w:noProof/>
              </w:rPr>
            </w:pPr>
            <w:r>
              <w:rPr>
                <w:noProof/>
              </w:rPr>
              <w:t>M6C2—1</w:t>
            </w:r>
          </w:p>
        </w:tc>
        <w:tc>
          <w:tcPr>
            <w:tcW w:w="3118" w:type="dxa"/>
            <w:tcBorders>
              <w:top w:val="nil"/>
              <w:left w:val="nil"/>
              <w:bottom w:val="single" w:sz="4" w:space="0" w:color="auto"/>
              <w:right w:val="single" w:sz="4" w:space="0" w:color="auto"/>
            </w:tcBorders>
            <w:shd w:val="clear" w:color="auto" w:fill="C6EFCE"/>
            <w:noWrap/>
            <w:vAlign w:val="center"/>
          </w:tcPr>
          <w:p w14:paraId="3D423CB5" w14:textId="77777777" w:rsidR="006054AA" w:rsidRDefault="001F7667">
            <w:pPr>
              <w:pStyle w:val="P68B1DB1-Normal12"/>
              <w:rPr>
                <w:noProof/>
              </w:rPr>
            </w:pPr>
            <w:r>
              <w:rPr>
                <w:noProof/>
              </w:rPr>
              <w:t>Реформа 1: Преразглеждане и актуализиране на настоящата правна рамка на научните институти за хоспитализация и грижи (IRCCS) и научноизследователските политики на Министерството на здравеопазването с цел укрепване на връзката между научните изследвания, иновациите и здравеопазването</w:t>
            </w:r>
          </w:p>
        </w:tc>
        <w:tc>
          <w:tcPr>
            <w:tcW w:w="1418" w:type="dxa"/>
            <w:tcBorders>
              <w:top w:val="nil"/>
              <w:left w:val="nil"/>
              <w:bottom w:val="single" w:sz="4" w:space="0" w:color="auto"/>
              <w:right w:val="single" w:sz="4" w:space="0" w:color="auto"/>
            </w:tcBorders>
            <w:shd w:val="clear" w:color="auto" w:fill="C6EFCE"/>
            <w:noWrap/>
            <w:vAlign w:val="center"/>
          </w:tcPr>
          <w:p w14:paraId="311FCF2F" w14:textId="77777777" w:rsidR="006054AA" w:rsidRDefault="001F7667">
            <w:pPr>
              <w:pStyle w:val="P68B1DB1-Normal12"/>
              <w:rPr>
                <w:noProof/>
                <w:color w:val="006600"/>
              </w:rPr>
            </w:pPr>
            <w:r>
              <w:rPr>
                <w:noProof/>
              </w:rPr>
              <w:t>Ключов етап</w:t>
            </w:r>
          </w:p>
        </w:tc>
        <w:tc>
          <w:tcPr>
            <w:tcW w:w="3865" w:type="dxa"/>
            <w:tcBorders>
              <w:top w:val="nil"/>
              <w:left w:val="nil"/>
              <w:bottom w:val="single" w:sz="4" w:space="0" w:color="auto"/>
              <w:right w:val="single" w:sz="4" w:space="0" w:color="auto"/>
            </w:tcBorders>
            <w:shd w:val="clear" w:color="auto" w:fill="C6EFCE"/>
            <w:noWrap/>
            <w:vAlign w:val="center"/>
          </w:tcPr>
          <w:p w14:paraId="2C5C1957" w14:textId="77777777" w:rsidR="006054AA" w:rsidRDefault="001F7667">
            <w:pPr>
              <w:pStyle w:val="P68B1DB1-Normal12"/>
              <w:rPr>
                <w:noProof/>
                <w:color w:val="006600"/>
              </w:rPr>
            </w:pPr>
            <w:r>
              <w:rPr>
                <w:noProof/>
              </w:rPr>
              <w:t>Влизане в сила на законодателния декрет, предвиждащ реорганизация на правната уредба на научните институти за хоспитализация и грижи (IRCSS)</w:t>
            </w:r>
          </w:p>
        </w:tc>
      </w:tr>
      <w:tr w:rsidR="006054AA" w14:paraId="5B5BC10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9AF186" w14:textId="77777777" w:rsidR="006054AA" w:rsidRDefault="006054AA">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3307707" w14:textId="77777777" w:rsidR="006054AA" w:rsidRDefault="006054AA">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552F6BF" w14:textId="77777777" w:rsidR="006054AA" w:rsidRDefault="001F7667">
            <w:pPr>
              <w:pStyle w:val="P68B1DB1-Normal12"/>
              <w:rPr>
                <w:noProof/>
              </w:rPr>
            </w:pPr>
            <w:r>
              <w:rPr>
                <w:noProof/>
              </w:rPr>
              <w:t>Размер на вноската</w:t>
            </w:r>
          </w:p>
        </w:tc>
        <w:tc>
          <w:tcPr>
            <w:tcW w:w="3865" w:type="dxa"/>
            <w:tcBorders>
              <w:top w:val="single" w:sz="4" w:space="0" w:color="auto"/>
              <w:left w:val="nil"/>
              <w:bottom w:val="single" w:sz="4" w:space="0" w:color="auto"/>
              <w:right w:val="single" w:sz="4" w:space="0" w:color="auto"/>
            </w:tcBorders>
            <w:shd w:val="clear" w:color="auto" w:fill="C6EFCE"/>
            <w:noWrap/>
            <w:vAlign w:val="bottom"/>
          </w:tcPr>
          <w:p w14:paraId="1AD0E7DD" w14:textId="008A678E" w:rsidR="006054AA" w:rsidRDefault="001F7667">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EUR</w:t>
            </w:r>
          </w:p>
        </w:tc>
      </w:tr>
    </w:tbl>
    <w:p w14:paraId="494F8700" w14:textId="5EB227EF" w:rsidR="006054AA" w:rsidRDefault="001F7667">
      <w:pPr>
        <w:pStyle w:val="P68B1DB1-Normal44"/>
        <w:numPr>
          <w:ilvl w:val="1"/>
          <w:numId w:val="6"/>
        </w:numPr>
        <w:spacing w:before="120" w:after="120"/>
        <w:jc w:val="both"/>
        <w:rPr>
          <w:noProof/>
        </w:rPr>
      </w:pPr>
      <w:r>
        <w:rPr>
          <w:noProof/>
        </w:rPr>
        <w:t>Четвърта вноска (безвъзмездна подкрепа):</w:t>
      </w:r>
    </w:p>
    <w:tbl>
      <w:tblPr>
        <w:tblW w:w="9704" w:type="dxa"/>
        <w:tblInd w:w="113" w:type="dxa"/>
        <w:tblLook w:val="04A0" w:firstRow="1" w:lastRow="0" w:firstColumn="1" w:lastColumn="0" w:noHBand="0" w:noVBand="1"/>
      </w:tblPr>
      <w:tblGrid>
        <w:gridCol w:w="1413"/>
        <w:gridCol w:w="3118"/>
        <w:gridCol w:w="1418"/>
        <w:gridCol w:w="3755"/>
      </w:tblGrid>
      <w:tr w:rsidR="006054AA" w14:paraId="5E30C45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EE780" w14:textId="77777777" w:rsidR="006054AA" w:rsidRDefault="001F7667">
            <w:pPr>
              <w:pStyle w:val="P68B1DB1-Normal45"/>
              <w:jc w:val="center"/>
              <w:rPr>
                <w:noProof/>
              </w:rPr>
            </w:pPr>
            <w:r>
              <w:rPr>
                <w:noProof/>
              </w:rPr>
              <w:t>Пореден номер</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43F955" w14:textId="77777777" w:rsidR="006054AA" w:rsidRDefault="001F7667">
            <w:pPr>
              <w:pStyle w:val="P68B1DB1-Normal45"/>
              <w:jc w:val="center"/>
              <w:rPr>
                <w:noProof/>
              </w:rPr>
            </w:pPr>
            <w:r>
              <w:rPr>
                <w:noProof/>
              </w:rPr>
              <w:t>Свързана мярка (реформа или инвестиции)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C117EE" w14:textId="77777777" w:rsidR="006054AA" w:rsidRDefault="001F7667">
            <w:pPr>
              <w:pStyle w:val="P68B1DB1-Normal45"/>
              <w:jc w:val="center"/>
              <w:rPr>
                <w:noProof/>
              </w:rPr>
            </w:pPr>
            <w:r>
              <w:rPr>
                <w:noProof/>
              </w:rPr>
              <w:t>Ключов етап/Цел</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BFEE97" w14:textId="77777777" w:rsidR="006054AA" w:rsidRDefault="001F7667">
            <w:pPr>
              <w:pStyle w:val="P68B1DB1-Normal45"/>
              <w:jc w:val="center"/>
              <w:rPr>
                <w:noProof/>
              </w:rPr>
            </w:pPr>
            <w:r>
              <w:rPr>
                <w:noProof/>
              </w:rPr>
              <w:t>Име</w:t>
            </w:r>
          </w:p>
        </w:tc>
      </w:tr>
      <w:tr w:rsidR="006054AA" w14:paraId="588D981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FE8FAE7" w14:textId="77777777" w:rsidR="006054AA" w:rsidRDefault="006054AA">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7EE1ED2" w14:textId="77777777" w:rsidR="006054AA" w:rsidRDefault="006054AA">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215342" w14:textId="77777777" w:rsidR="006054AA" w:rsidRDefault="006054AA">
            <w:pPr>
              <w:rPr>
                <w:b/>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A83ACEB" w14:textId="77777777" w:rsidR="006054AA" w:rsidRDefault="006054AA">
            <w:pPr>
              <w:rPr>
                <w:b/>
                <w:noProof/>
              </w:rPr>
            </w:pPr>
          </w:p>
        </w:tc>
      </w:tr>
      <w:tr w:rsidR="006054AA" w14:paraId="7EBB3D6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FEF89" w14:textId="77777777" w:rsidR="006054AA" w:rsidRDefault="001F7667">
            <w:pPr>
              <w:pStyle w:val="P68B1DB1-Normal12"/>
              <w:jc w:val="center"/>
              <w:rPr>
                <w:noProof/>
              </w:rPr>
            </w:pPr>
            <w:r>
              <w:rPr>
                <w:noProof/>
              </w:rPr>
              <w:t>M1C1—11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D65446B" w14:textId="77777777" w:rsidR="006054AA" w:rsidRDefault="001F7667">
            <w:pPr>
              <w:pStyle w:val="P68B1DB1-Normal12"/>
              <w:rPr>
                <w:noProof/>
              </w:rPr>
            </w:pPr>
            <w:r>
              <w:rPr>
                <w:noProof/>
              </w:rPr>
              <w:t>Инвестиция 1.6.6: Цифровизация на финансовата полиция</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0FE9B0E" w14:textId="77777777" w:rsidR="006054AA" w:rsidRDefault="001F7667">
            <w:pPr>
              <w:pStyle w:val="P68B1DB1-Normal12"/>
              <w:rPr>
                <w:noProof/>
              </w:rPr>
            </w:pPr>
            <w:r>
              <w:rPr>
                <w:noProof/>
              </w:rPr>
              <w:t>Целеви</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728F4E49" w14:textId="77777777" w:rsidR="006054AA" w:rsidRDefault="001F7667">
            <w:pPr>
              <w:pStyle w:val="P68B1DB1-Normal12"/>
              <w:rPr>
                <w:noProof/>
              </w:rPr>
            </w:pPr>
            <w:r>
              <w:rPr>
                <w:noProof/>
              </w:rPr>
              <w:t>Финансова полиция — закупуване на професионални услуги в областта на науката за данните T1</w:t>
            </w:r>
          </w:p>
        </w:tc>
      </w:tr>
      <w:tr w:rsidR="006054AA" w14:paraId="2A1573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088FD" w14:textId="77777777" w:rsidR="006054AA" w:rsidRDefault="001F7667">
            <w:pPr>
              <w:pStyle w:val="P68B1DB1-Normal12"/>
              <w:jc w:val="center"/>
              <w:rPr>
                <w:noProof/>
              </w:rPr>
            </w:pPr>
            <w:r>
              <w:rPr>
                <w:noProof/>
              </w:rPr>
              <w:t>M1C1—72</w:t>
            </w:r>
          </w:p>
        </w:tc>
        <w:tc>
          <w:tcPr>
            <w:tcW w:w="3118" w:type="dxa"/>
            <w:tcBorders>
              <w:top w:val="nil"/>
              <w:left w:val="nil"/>
              <w:bottom w:val="single" w:sz="4" w:space="0" w:color="auto"/>
              <w:right w:val="single" w:sz="4" w:space="0" w:color="auto"/>
            </w:tcBorders>
            <w:shd w:val="clear" w:color="auto" w:fill="C6EFCE"/>
            <w:noWrap/>
            <w:vAlign w:val="center"/>
          </w:tcPr>
          <w:p w14:paraId="11043EA2" w14:textId="77777777" w:rsidR="006054AA" w:rsidRDefault="001F7667">
            <w:pPr>
              <w:pStyle w:val="P68B1DB1-Normal12"/>
              <w:rPr>
                <w:noProof/>
              </w:rPr>
            </w:pPr>
            <w:r>
              <w:rPr>
                <w:noProof/>
              </w:rPr>
              <w:t>Реформа 1.11: Намаляване на забавените плащания от страна на публичните администрации и здравните органи</w:t>
            </w:r>
          </w:p>
        </w:tc>
        <w:tc>
          <w:tcPr>
            <w:tcW w:w="1418" w:type="dxa"/>
            <w:tcBorders>
              <w:top w:val="nil"/>
              <w:left w:val="nil"/>
              <w:bottom w:val="single" w:sz="4" w:space="0" w:color="auto"/>
              <w:right w:val="single" w:sz="4" w:space="0" w:color="auto"/>
            </w:tcBorders>
            <w:shd w:val="clear" w:color="auto" w:fill="C6EFCE"/>
            <w:noWrap/>
            <w:vAlign w:val="center"/>
          </w:tcPr>
          <w:p w14:paraId="6AE395E8"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37FAC2F1" w14:textId="77777777" w:rsidR="006054AA" w:rsidRDefault="001F7667">
            <w:pPr>
              <w:pStyle w:val="P68B1DB1-Normal12"/>
              <w:rPr>
                <w:noProof/>
              </w:rPr>
            </w:pPr>
            <w:r>
              <w:rPr>
                <w:noProof/>
              </w:rPr>
              <w:t>Одобрени са мерки за намаляване на забавените плащания от публичната администрация към предприятията</w:t>
            </w:r>
          </w:p>
        </w:tc>
      </w:tr>
      <w:tr w:rsidR="006054AA" w14:paraId="73A2B0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FC5762" w14:textId="77777777" w:rsidR="006054AA" w:rsidRDefault="001F7667">
            <w:pPr>
              <w:pStyle w:val="P68B1DB1-Normal12"/>
              <w:jc w:val="center"/>
              <w:rPr>
                <w:noProof/>
              </w:rPr>
            </w:pPr>
            <w:r>
              <w:rPr>
                <w:noProof/>
              </w:rPr>
              <w:t>M1C1—73</w:t>
            </w:r>
          </w:p>
        </w:tc>
        <w:tc>
          <w:tcPr>
            <w:tcW w:w="3118" w:type="dxa"/>
            <w:tcBorders>
              <w:top w:val="nil"/>
              <w:left w:val="nil"/>
              <w:bottom w:val="single" w:sz="4" w:space="0" w:color="auto"/>
              <w:right w:val="single" w:sz="4" w:space="0" w:color="auto"/>
            </w:tcBorders>
            <w:shd w:val="clear" w:color="auto" w:fill="C6EFCE"/>
            <w:noWrap/>
            <w:vAlign w:val="center"/>
          </w:tcPr>
          <w:p w14:paraId="52B0FD54"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6AF3583A"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148CABAC" w14:textId="77777777" w:rsidR="006054AA" w:rsidRDefault="001F7667">
            <w:pPr>
              <w:pStyle w:val="P68B1DB1-Normal12"/>
              <w:rPr>
                <w:noProof/>
              </w:rPr>
            </w:pPr>
            <w:r>
              <w:rPr>
                <w:noProof/>
              </w:rPr>
              <w:t>Влизане в сила на реформата на Кодекса за обществените поръчки</w:t>
            </w:r>
          </w:p>
        </w:tc>
      </w:tr>
      <w:tr w:rsidR="006054AA" w14:paraId="620D58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483F35" w14:textId="77777777" w:rsidR="006054AA" w:rsidRDefault="001F7667">
            <w:pPr>
              <w:pStyle w:val="P68B1DB1-Normal12"/>
              <w:jc w:val="center"/>
              <w:rPr>
                <w:noProof/>
              </w:rPr>
            </w:pPr>
            <w:r>
              <w:rPr>
                <w:noProof/>
              </w:rPr>
              <w:t>M2C2—14</w:t>
            </w:r>
          </w:p>
        </w:tc>
        <w:tc>
          <w:tcPr>
            <w:tcW w:w="3118" w:type="dxa"/>
            <w:tcBorders>
              <w:top w:val="nil"/>
              <w:left w:val="nil"/>
              <w:bottom w:val="single" w:sz="4" w:space="0" w:color="auto"/>
              <w:right w:val="single" w:sz="4" w:space="0" w:color="auto"/>
            </w:tcBorders>
            <w:shd w:val="clear" w:color="auto" w:fill="C6EFCE"/>
            <w:noWrap/>
            <w:vAlign w:val="center"/>
          </w:tcPr>
          <w:p w14:paraId="45ADAA7F" w14:textId="77777777" w:rsidR="006054AA" w:rsidRDefault="001F7667">
            <w:pPr>
              <w:pStyle w:val="P68B1DB1-Normal12"/>
              <w:rPr>
                <w:noProof/>
              </w:rPr>
            </w:pPr>
            <w:r>
              <w:rPr>
                <w:noProof/>
              </w:rPr>
              <w:t>Инвестиция 3.3 Изпитване на водород за автомобилния транспорт</w:t>
            </w:r>
          </w:p>
        </w:tc>
        <w:tc>
          <w:tcPr>
            <w:tcW w:w="1418" w:type="dxa"/>
            <w:tcBorders>
              <w:top w:val="nil"/>
              <w:left w:val="nil"/>
              <w:bottom w:val="single" w:sz="4" w:space="0" w:color="auto"/>
              <w:right w:val="single" w:sz="4" w:space="0" w:color="auto"/>
            </w:tcBorders>
            <w:shd w:val="clear" w:color="auto" w:fill="C6EFCE"/>
            <w:noWrap/>
            <w:vAlign w:val="center"/>
          </w:tcPr>
          <w:p w14:paraId="3272A699"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736E1AF7" w14:textId="77777777" w:rsidR="006054AA" w:rsidRDefault="001F7667">
            <w:pPr>
              <w:pStyle w:val="P68B1DB1-Normal12"/>
              <w:rPr>
                <w:noProof/>
              </w:rPr>
            </w:pPr>
            <w:r>
              <w:rPr>
                <w:noProof/>
              </w:rPr>
              <w:t>Възлагане на (всички) обществени поръчки за изграждане на станции за презареждане с водород</w:t>
            </w:r>
          </w:p>
        </w:tc>
      </w:tr>
      <w:tr w:rsidR="006054AA" w14:paraId="28166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02B695" w14:textId="77777777" w:rsidR="006054AA" w:rsidRDefault="001F7667">
            <w:pPr>
              <w:pStyle w:val="P68B1DB1-Normal12"/>
              <w:jc w:val="center"/>
              <w:rPr>
                <w:noProof/>
              </w:rPr>
            </w:pPr>
            <w:r>
              <w:rPr>
                <w:noProof/>
              </w:rPr>
              <w:t>M2C2—16</w:t>
            </w:r>
          </w:p>
        </w:tc>
        <w:tc>
          <w:tcPr>
            <w:tcW w:w="3118" w:type="dxa"/>
            <w:tcBorders>
              <w:top w:val="nil"/>
              <w:left w:val="nil"/>
              <w:bottom w:val="single" w:sz="4" w:space="0" w:color="auto"/>
              <w:right w:val="single" w:sz="4" w:space="0" w:color="auto"/>
            </w:tcBorders>
            <w:shd w:val="clear" w:color="auto" w:fill="C6EFCE"/>
            <w:noWrap/>
            <w:vAlign w:val="center"/>
          </w:tcPr>
          <w:p w14:paraId="442335B7" w14:textId="77777777" w:rsidR="006054AA" w:rsidRDefault="001F7667">
            <w:pPr>
              <w:pStyle w:val="P68B1DB1-Normal12"/>
              <w:rPr>
                <w:noProof/>
              </w:rPr>
            </w:pPr>
            <w:r>
              <w:rPr>
                <w:noProof/>
              </w:rPr>
              <w:t>Инвестиция 3.4 Изпитване на водород за железопътна мобилност</w:t>
            </w:r>
          </w:p>
        </w:tc>
        <w:tc>
          <w:tcPr>
            <w:tcW w:w="1418" w:type="dxa"/>
            <w:tcBorders>
              <w:top w:val="nil"/>
              <w:left w:val="nil"/>
              <w:bottom w:val="single" w:sz="4" w:space="0" w:color="auto"/>
              <w:right w:val="single" w:sz="4" w:space="0" w:color="auto"/>
            </w:tcBorders>
            <w:shd w:val="clear" w:color="auto" w:fill="C6EFCE"/>
            <w:noWrap/>
            <w:vAlign w:val="center"/>
          </w:tcPr>
          <w:p w14:paraId="15D0812E"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7AF87110" w14:textId="77777777" w:rsidR="006054AA" w:rsidRDefault="001F7667">
            <w:pPr>
              <w:pStyle w:val="P68B1DB1-Normal12"/>
              <w:rPr>
                <w:noProof/>
              </w:rPr>
            </w:pPr>
            <w:r>
              <w:rPr>
                <w:noProof/>
              </w:rPr>
              <w:t>Разпределение на ресурсите за изпитване на водорода за железопътна мобилност</w:t>
            </w:r>
          </w:p>
        </w:tc>
      </w:tr>
      <w:tr w:rsidR="006054AA" w14:paraId="20F8BC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C3FA5" w14:textId="77777777" w:rsidR="006054AA" w:rsidRDefault="001F7667">
            <w:pPr>
              <w:pStyle w:val="P68B1DB1-Normal12"/>
              <w:jc w:val="center"/>
              <w:rPr>
                <w:noProof/>
              </w:rPr>
            </w:pPr>
            <w:r>
              <w:rPr>
                <w:noProof/>
              </w:rPr>
              <w:t>M2C2—20</w:t>
            </w:r>
          </w:p>
        </w:tc>
        <w:tc>
          <w:tcPr>
            <w:tcW w:w="3118" w:type="dxa"/>
            <w:tcBorders>
              <w:top w:val="nil"/>
              <w:left w:val="nil"/>
              <w:bottom w:val="single" w:sz="4" w:space="0" w:color="auto"/>
              <w:right w:val="single" w:sz="4" w:space="0" w:color="auto"/>
            </w:tcBorders>
            <w:shd w:val="clear" w:color="auto" w:fill="C6EFCE"/>
            <w:noWrap/>
            <w:vAlign w:val="center"/>
          </w:tcPr>
          <w:p w14:paraId="79C2AA41" w14:textId="77777777" w:rsidR="006054AA" w:rsidRDefault="001F7667">
            <w:pPr>
              <w:pStyle w:val="P68B1DB1-Normal12"/>
              <w:rPr>
                <w:noProof/>
              </w:rPr>
            </w:pPr>
            <w:r>
              <w:rPr>
                <w:noProof/>
              </w:rPr>
              <w:t>Реформа 3 Административно опростяване и намаляване на регулаторните пречки пред внедряването на водорода</w:t>
            </w:r>
          </w:p>
        </w:tc>
        <w:tc>
          <w:tcPr>
            <w:tcW w:w="1418" w:type="dxa"/>
            <w:tcBorders>
              <w:top w:val="nil"/>
              <w:left w:val="nil"/>
              <w:bottom w:val="single" w:sz="4" w:space="0" w:color="auto"/>
              <w:right w:val="single" w:sz="4" w:space="0" w:color="auto"/>
            </w:tcBorders>
            <w:shd w:val="clear" w:color="auto" w:fill="C6EFCE"/>
            <w:noWrap/>
            <w:vAlign w:val="center"/>
          </w:tcPr>
          <w:p w14:paraId="3C0A6FA2"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7769629B" w14:textId="77777777" w:rsidR="006054AA" w:rsidRDefault="001F7667">
            <w:pPr>
              <w:pStyle w:val="P68B1DB1-Normal12"/>
              <w:rPr>
                <w:noProof/>
              </w:rPr>
            </w:pPr>
            <w:r>
              <w:rPr>
                <w:noProof/>
              </w:rPr>
              <w:t>Влизане в сила на необходимите законодателни действия</w:t>
            </w:r>
          </w:p>
        </w:tc>
      </w:tr>
      <w:tr w:rsidR="006054AA" w14:paraId="1A927C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2C0EE" w14:textId="77777777" w:rsidR="006054AA" w:rsidRDefault="001F7667">
            <w:pPr>
              <w:pStyle w:val="P68B1DB1-Normal12"/>
              <w:jc w:val="center"/>
              <w:rPr>
                <w:noProof/>
              </w:rPr>
            </w:pPr>
            <w:r>
              <w:rPr>
                <w:noProof/>
              </w:rPr>
              <w:t>M5C2—3</w:t>
            </w:r>
          </w:p>
        </w:tc>
        <w:tc>
          <w:tcPr>
            <w:tcW w:w="3118" w:type="dxa"/>
            <w:tcBorders>
              <w:top w:val="nil"/>
              <w:left w:val="nil"/>
              <w:bottom w:val="single" w:sz="4" w:space="0" w:color="auto"/>
              <w:right w:val="single" w:sz="4" w:space="0" w:color="auto"/>
            </w:tcBorders>
            <w:shd w:val="clear" w:color="auto" w:fill="C6EFCE"/>
            <w:noWrap/>
            <w:vAlign w:val="center"/>
          </w:tcPr>
          <w:p w14:paraId="44901791" w14:textId="77777777" w:rsidR="006054AA" w:rsidRDefault="001F7667">
            <w:pPr>
              <w:pStyle w:val="P68B1DB1-Normal12"/>
              <w:rPr>
                <w:noProof/>
              </w:rPr>
            </w:pPr>
            <w:r>
              <w:rPr>
                <w:noProof/>
              </w:rPr>
              <w:t>Реформа 2 — Реформа за възрастните хора, които не са самодостатъчни</w:t>
            </w:r>
          </w:p>
        </w:tc>
        <w:tc>
          <w:tcPr>
            <w:tcW w:w="1418" w:type="dxa"/>
            <w:tcBorders>
              <w:top w:val="nil"/>
              <w:left w:val="nil"/>
              <w:bottom w:val="single" w:sz="4" w:space="0" w:color="auto"/>
              <w:right w:val="single" w:sz="4" w:space="0" w:color="auto"/>
            </w:tcBorders>
            <w:shd w:val="clear" w:color="auto" w:fill="C6EFCE"/>
            <w:noWrap/>
            <w:vAlign w:val="center"/>
          </w:tcPr>
          <w:p w14:paraId="66E4FCDA"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79C52111" w14:textId="77777777" w:rsidR="006054AA" w:rsidRDefault="001F7667">
            <w:pPr>
              <w:pStyle w:val="P68B1DB1-Normal12"/>
              <w:rPr>
                <w:noProof/>
              </w:rPr>
            </w:pPr>
            <w:r>
              <w:rPr>
                <w:noProof/>
              </w:rPr>
              <w:t>Влизане в сила на рамков закон, който засилва действията в полза на възрастните хора, които не са самодостатъчни</w:t>
            </w:r>
          </w:p>
        </w:tc>
      </w:tr>
      <w:tr w:rsidR="006054AA" w14:paraId="18A66F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B6168C" w14:textId="77777777" w:rsidR="006054AA" w:rsidRDefault="001F7667">
            <w:pPr>
              <w:pStyle w:val="P68B1DB1-Normal12"/>
              <w:jc w:val="center"/>
              <w:rPr>
                <w:noProof/>
              </w:rPr>
            </w:pPr>
            <w:r>
              <w:rPr>
                <w:noProof/>
              </w:rPr>
              <w:t>M1C1—37</w:t>
            </w:r>
          </w:p>
        </w:tc>
        <w:tc>
          <w:tcPr>
            <w:tcW w:w="3118" w:type="dxa"/>
            <w:tcBorders>
              <w:top w:val="nil"/>
              <w:left w:val="nil"/>
              <w:bottom w:val="single" w:sz="4" w:space="0" w:color="auto"/>
              <w:right w:val="single" w:sz="4" w:space="0" w:color="auto"/>
            </w:tcBorders>
            <w:shd w:val="clear" w:color="auto" w:fill="C6EFCE"/>
            <w:noWrap/>
            <w:vAlign w:val="center"/>
          </w:tcPr>
          <w:p w14:paraId="648BA42B" w14:textId="77777777" w:rsidR="006054AA" w:rsidRDefault="001F7667">
            <w:pPr>
              <w:pStyle w:val="P68B1DB1-Normal12"/>
              <w:rPr>
                <w:noProof/>
              </w:rPr>
            </w:pPr>
            <w:r>
              <w:rPr>
                <w:noProof/>
              </w:rPr>
              <w:t>Реформи 1.4 и 1.5: Реформа на гражданското и наказателното правосъдие</w:t>
            </w:r>
          </w:p>
        </w:tc>
        <w:tc>
          <w:tcPr>
            <w:tcW w:w="1418" w:type="dxa"/>
            <w:tcBorders>
              <w:top w:val="nil"/>
              <w:left w:val="nil"/>
              <w:bottom w:val="single" w:sz="4" w:space="0" w:color="auto"/>
              <w:right w:val="single" w:sz="4" w:space="0" w:color="auto"/>
            </w:tcBorders>
            <w:shd w:val="clear" w:color="auto" w:fill="C6EFCE"/>
            <w:noWrap/>
            <w:vAlign w:val="center"/>
          </w:tcPr>
          <w:p w14:paraId="5C25DF03"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33E94FC8" w14:textId="77777777" w:rsidR="006054AA" w:rsidRDefault="001F7667">
            <w:pPr>
              <w:pStyle w:val="P68B1DB1-Normal12"/>
              <w:rPr>
                <w:noProof/>
              </w:rPr>
            </w:pPr>
            <w:r>
              <w:rPr>
                <w:noProof/>
              </w:rPr>
              <w:t>Влизане в сила на реформата на гражданското и наказателното правосъдие</w:t>
            </w:r>
          </w:p>
        </w:tc>
      </w:tr>
      <w:tr w:rsidR="006054AA" w14:paraId="0709B6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C30F6" w14:textId="77777777" w:rsidR="006054AA" w:rsidRDefault="001F7667">
            <w:pPr>
              <w:pStyle w:val="P68B1DB1-Normal12"/>
              <w:jc w:val="center"/>
              <w:rPr>
                <w:noProof/>
              </w:rPr>
            </w:pPr>
            <w:r>
              <w:rPr>
                <w:noProof/>
              </w:rPr>
              <w:t>M1C1—58</w:t>
            </w:r>
          </w:p>
        </w:tc>
        <w:tc>
          <w:tcPr>
            <w:tcW w:w="3118" w:type="dxa"/>
            <w:tcBorders>
              <w:top w:val="nil"/>
              <w:left w:val="nil"/>
              <w:bottom w:val="single" w:sz="4" w:space="0" w:color="auto"/>
              <w:right w:val="single" w:sz="4" w:space="0" w:color="auto"/>
            </w:tcBorders>
            <w:shd w:val="clear" w:color="auto" w:fill="C6EFCE"/>
            <w:noWrap/>
            <w:vAlign w:val="center"/>
          </w:tcPr>
          <w:p w14:paraId="22BF1AD8"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1875A344"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74053686" w14:textId="77777777" w:rsidR="006054AA" w:rsidRDefault="001F7667">
            <w:pPr>
              <w:pStyle w:val="P68B1DB1-Normal12"/>
              <w:rPr>
                <w:noProof/>
              </w:rPr>
            </w:pPr>
            <w:r>
              <w:rPr>
                <w:noProof/>
              </w:rPr>
              <w:t>Влизане в сила на правни актове за реформа на заетостта в публичния сектор</w:t>
            </w:r>
          </w:p>
        </w:tc>
      </w:tr>
      <w:tr w:rsidR="006054AA" w14:paraId="7084DF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ED429" w14:textId="77777777" w:rsidR="006054AA" w:rsidRDefault="001F7667">
            <w:pPr>
              <w:pStyle w:val="P68B1DB1-Normal12"/>
              <w:jc w:val="center"/>
              <w:rPr>
                <w:noProof/>
              </w:rPr>
            </w:pPr>
            <w:r>
              <w:rPr>
                <w:noProof/>
              </w:rPr>
              <w:t>M1C1—74</w:t>
            </w:r>
          </w:p>
        </w:tc>
        <w:tc>
          <w:tcPr>
            <w:tcW w:w="3118" w:type="dxa"/>
            <w:tcBorders>
              <w:top w:val="nil"/>
              <w:left w:val="nil"/>
              <w:bottom w:val="single" w:sz="4" w:space="0" w:color="auto"/>
              <w:right w:val="single" w:sz="4" w:space="0" w:color="auto"/>
            </w:tcBorders>
            <w:shd w:val="clear" w:color="auto" w:fill="C6EFCE"/>
            <w:noWrap/>
            <w:vAlign w:val="center"/>
          </w:tcPr>
          <w:p w14:paraId="5A3DED61"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14C87CD4"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6A699BA4" w14:textId="77777777" w:rsidR="006054AA" w:rsidRDefault="001F7667">
            <w:pPr>
              <w:pStyle w:val="P68B1DB1-Normal12"/>
              <w:rPr>
                <w:noProof/>
              </w:rPr>
            </w:pPr>
            <w:r>
              <w:rPr>
                <w:noProof/>
              </w:rPr>
              <w:t>Влизане в сила на всички необходими мерки за прилагане и вторично законодателство за реформата за опростяване на Кодекса за обществените поръчки</w:t>
            </w:r>
          </w:p>
        </w:tc>
      </w:tr>
      <w:tr w:rsidR="006054AA" w14:paraId="1FE7A8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6A05" w14:textId="77777777" w:rsidR="006054AA" w:rsidRDefault="001F7667">
            <w:pPr>
              <w:pStyle w:val="P68B1DB1-Normal12"/>
              <w:jc w:val="center"/>
              <w:rPr>
                <w:noProof/>
              </w:rPr>
            </w:pPr>
            <w:r>
              <w:rPr>
                <w:noProof/>
              </w:rPr>
              <w:t>M1C1—109</w:t>
            </w:r>
          </w:p>
        </w:tc>
        <w:tc>
          <w:tcPr>
            <w:tcW w:w="3118" w:type="dxa"/>
            <w:tcBorders>
              <w:top w:val="nil"/>
              <w:left w:val="nil"/>
              <w:bottom w:val="single" w:sz="4" w:space="0" w:color="auto"/>
              <w:right w:val="single" w:sz="4" w:space="0" w:color="auto"/>
            </w:tcBorders>
            <w:shd w:val="clear" w:color="auto" w:fill="C6EFCE"/>
            <w:noWrap/>
            <w:vAlign w:val="center"/>
          </w:tcPr>
          <w:p w14:paraId="70B610DD" w14:textId="77777777" w:rsidR="006054AA" w:rsidRDefault="001F7667">
            <w:pPr>
              <w:pStyle w:val="P68B1DB1-Normal12"/>
              <w:rPr>
                <w:noProof/>
              </w:rPr>
            </w:pPr>
            <w:r>
              <w:rPr>
                <w:noProof/>
              </w:rPr>
              <w:t>Реформа 1.12: Реформа на данъчната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13B1E054" w14:textId="77777777" w:rsidR="006054AA" w:rsidRDefault="001F7667">
            <w:pPr>
              <w:pStyle w:val="P68B1DB1-Normal12"/>
              <w:rPr>
                <w:noProof/>
              </w:rPr>
            </w:pPr>
            <w:r>
              <w:rPr>
                <w:noProof/>
              </w:rPr>
              <w:t>Целеви</w:t>
            </w:r>
          </w:p>
        </w:tc>
        <w:tc>
          <w:tcPr>
            <w:tcW w:w="3755" w:type="dxa"/>
            <w:tcBorders>
              <w:top w:val="nil"/>
              <w:left w:val="nil"/>
              <w:bottom w:val="single" w:sz="4" w:space="0" w:color="auto"/>
              <w:right w:val="single" w:sz="4" w:space="0" w:color="auto"/>
            </w:tcBorders>
            <w:shd w:val="clear" w:color="auto" w:fill="C6EFCE"/>
            <w:noWrap/>
            <w:vAlign w:val="center"/>
          </w:tcPr>
          <w:p w14:paraId="29F7BBAD" w14:textId="77777777" w:rsidR="006054AA" w:rsidRDefault="001F7667">
            <w:pPr>
              <w:pStyle w:val="P68B1DB1-Normal12"/>
              <w:rPr>
                <w:noProof/>
              </w:rPr>
            </w:pPr>
            <w:r>
              <w:rPr>
                <w:noProof/>
              </w:rPr>
              <w:t>Изпращане на първите предварително попълнени данъчни декларации за ДДС</w:t>
            </w:r>
          </w:p>
        </w:tc>
      </w:tr>
      <w:tr w:rsidR="006054AA" w14:paraId="2F3826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52981" w14:textId="77777777" w:rsidR="006054AA" w:rsidRDefault="001F7667">
            <w:pPr>
              <w:pStyle w:val="P68B1DB1-Normal12"/>
              <w:jc w:val="center"/>
              <w:rPr>
                <w:noProof/>
              </w:rPr>
            </w:pPr>
            <w:r>
              <w:rPr>
                <w:noProof/>
              </w:rPr>
              <w:t>M2C2—27</w:t>
            </w:r>
          </w:p>
        </w:tc>
        <w:tc>
          <w:tcPr>
            <w:tcW w:w="3118" w:type="dxa"/>
            <w:tcBorders>
              <w:top w:val="nil"/>
              <w:left w:val="nil"/>
              <w:bottom w:val="single" w:sz="4" w:space="0" w:color="auto"/>
              <w:right w:val="single" w:sz="4" w:space="0" w:color="auto"/>
            </w:tcBorders>
            <w:shd w:val="clear" w:color="auto" w:fill="C6EFCE"/>
            <w:noWrap/>
            <w:vAlign w:val="center"/>
          </w:tcPr>
          <w:p w14:paraId="3385ED6A" w14:textId="77777777" w:rsidR="006054AA" w:rsidRDefault="001F7667">
            <w:pPr>
              <w:pStyle w:val="P68B1DB1-Normal12"/>
              <w:rPr>
                <w:noProof/>
              </w:rPr>
            </w:pPr>
            <w:r>
              <w:rPr>
                <w:noProof/>
              </w:rPr>
              <w:t>Инвестиция 4.3 Инсталиране на инфраструктури за зареждане</w:t>
            </w:r>
          </w:p>
        </w:tc>
        <w:tc>
          <w:tcPr>
            <w:tcW w:w="1418" w:type="dxa"/>
            <w:tcBorders>
              <w:top w:val="nil"/>
              <w:left w:val="nil"/>
              <w:bottom w:val="single" w:sz="4" w:space="0" w:color="auto"/>
              <w:right w:val="single" w:sz="4" w:space="0" w:color="auto"/>
            </w:tcBorders>
            <w:shd w:val="clear" w:color="auto" w:fill="C6EFCE"/>
            <w:noWrap/>
            <w:vAlign w:val="center"/>
          </w:tcPr>
          <w:p w14:paraId="33F1D426" w14:textId="77777777" w:rsidR="006054AA" w:rsidRDefault="001F7667">
            <w:pPr>
              <w:pStyle w:val="P68B1DB1-Normal12"/>
              <w:rPr>
                <w:noProof/>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5F648B12" w14:textId="77777777" w:rsidR="006054AA" w:rsidRDefault="001F7667">
            <w:pPr>
              <w:pStyle w:val="P68B1DB1-Normal12"/>
              <w:rPr>
                <w:noProof/>
              </w:rPr>
            </w:pPr>
            <w:r>
              <w:rPr>
                <w:noProof/>
              </w:rPr>
              <w:t>Възлагане на всички обществени поръчки за инсталиране на инфраструктури за зареждане М1</w:t>
            </w:r>
          </w:p>
        </w:tc>
      </w:tr>
      <w:tr w:rsidR="006054AA" w14:paraId="7A2255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9EB19" w14:textId="77777777" w:rsidR="006054AA" w:rsidRDefault="001F7667">
            <w:pPr>
              <w:pStyle w:val="P68B1DB1-Normal12"/>
              <w:jc w:val="center"/>
              <w:rPr>
                <w:noProof/>
              </w:rPr>
            </w:pPr>
            <w:r>
              <w:rPr>
                <w:noProof/>
              </w:rPr>
              <w:t>M2C2—33</w:t>
            </w:r>
          </w:p>
        </w:tc>
        <w:tc>
          <w:tcPr>
            <w:tcW w:w="3118" w:type="dxa"/>
            <w:tcBorders>
              <w:top w:val="nil"/>
              <w:left w:val="nil"/>
              <w:bottom w:val="single" w:sz="4" w:space="0" w:color="auto"/>
              <w:right w:val="single" w:sz="4" w:space="0" w:color="auto"/>
            </w:tcBorders>
            <w:shd w:val="clear" w:color="auto" w:fill="C6EFCE"/>
            <w:noWrap/>
            <w:vAlign w:val="center"/>
          </w:tcPr>
          <w:p w14:paraId="1B2CD575" w14:textId="77777777" w:rsidR="006054AA" w:rsidRDefault="001F7667">
            <w:pPr>
              <w:rPr>
                <w:noProof/>
                <w:color w:val="006100"/>
                <w:sz w:val="20"/>
              </w:rPr>
            </w:pPr>
            <w:r>
              <w:rPr>
                <w:noProof/>
                <w:color w:val="006100"/>
                <w:sz w:val="20"/>
              </w:rPr>
              <w:t xml:space="preserve">Инвестиция 4.4.2: </w:t>
            </w:r>
            <w:r>
              <w:rPr>
                <w:rStyle w:val="font81"/>
                <w:rFonts w:eastAsiaTheme="majorEastAsia"/>
                <w:noProof/>
              </w:rPr>
              <w:t>Укрепване на регионалния железопътен парк от обществен транспорт с влакове с нулеви емисии и универсална услуга</w:t>
            </w:r>
          </w:p>
        </w:tc>
        <w:tc>
          <w:tcPr>
            <w:tcW w:w="1418" w:type="dxa"/>
            <w:tcBorders>
              <w:top w:val="nil"/>
              <w:left w:val="nil"/>
              <w:bottom w:val="single" w:sz="4" w:space="0" w:color="auto"/>
              <w:right w:val="single" w:sz="4" w:space="0" w:color="auto"/>
            </w:tcBorders>
            <w:shd w:val="clear" w:color="auto" w:fill="C6EFCE"/>
            <w:noWrap/>
            <w:vAlign w:val="center"/>
          </w:tcPr>
          <w:p w14:paraId="2205A5E6" w14:textId="77777777" w:rsidR="006054AA" w:rsidRDefault="001F7667">
            <w:pPr>
              <w:pStyle w:val="P68B1DB1-Normal12"/>
              <w:rPr>
                <w:noProof/>
                <w:color w:val="006600"/>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4DBA2B77" w14:textId="77777777" w:rsidR="006054AA" w:rsidRDefault="001F7667">
            <w:pPr>
              <w:pStyle w:val="P68B1DB1-Normal12"/>
              <w:rPr>
                <w:noProof/>
                <w:color w:val="006600"/>
              </w:rPr>
            </w:pPr>
            <w:r>
              <w:rPr>
                <w:noProof/>
              </w:rPr>
              <w:t>Възлагане на всички обществени поръчки за укрепване на регионалния обществен железопътен парк с влакове с нулеви емисии и универсална услуга</w:t>
            </w:r>
          </w:p>
        </w:tc>
      </w:tr>
      <w:tr w:rsidR="006054AA" w14:paraId="77ED35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47ACA3" w14:textId="77777777" w:rsidR="006054AA" w:rsidRDefault="001F7667">
            <w:pPr>
              <w:pStyle w:val="P68B1DB1-Normal12"/>
              <w:jc w:val="center"/>
              <w:rPr>
                <w:noProof/>
              </w:rPr>
            </w:pPr>
            <w:r>
              <w:rPr>
                <w:noProof/>
              </w:rPr>
              <w:t>M2C3—2</w:t>
            </w:r>
          </w:p>
        </w:tc>
        <w:tc>
          <w:tcPr>
            <w:tcW w:w="3118" w:type="dxa"/>
            <w:tcBorders>
              <w:top w:val="nil"/>
              <w:left w:val="nil"/>
              <w:bottom w:val="single" w:sz="4" w:space="0" w:color="auto"/>
              <w:right w:val="single" w:sz="4" w:space="0" w:color="auto"/>
            </w:tcBorders>
            <w:shd w:val="clear" w:color="auto" w:fill="C6EFCE"/>
            <w:noWrap/>
            <w:vAlign w:val="center"/>
          </w:tcPr>
          <w:p w14:paraId="62B69199" w14:textId="77777777" w:rsidR="006054AA" w:rsidRDefault="001F7667">
            <w:pPr>
              <w:pStyle w:val="P68B1DB1-Normal12"/>
              <w:rPr>
                <w:noProof/>
              </w:rPr>
            </w:pPr>
            <w:r>
              <w:rPr>
                <w:noProof/>
              </w:rPr>
              <w:t xml:space="preserve">Инвестиция 2.1 — Укрепване на Ecobonus за енергийна ефективност </w:t>
            </w:r>
          </w:p>
        </w:tc>
        <w:tc>
          <w:tcPr>
            <w:tcW w:w="1418" w:type="dxa"/>
            <w:tcBorders>
              <w:top w:val="nil"/>
              <w:left w:val="nil"/>
              <w:bottom w:val="single" w:sz="4" w:space="0" w:color="auto"/>
              <w:right w:val="single" w:sz="4" w:space="0" w:color="auto"/>
            </w:tcBorders>
            <w:shd w:val="clear" w:color="auto" w:fill="C6EFCE"/>
            <w:noWrap/>
            <w:vAlign w:val="center"/>
          </w:tcPr>
          <w:p w14:paraId="10FC971E" w14:textId="77777777" w:rsidR="006054AA" w:rsidRDefault="001F7667">
            <w:pPr>
              <w:pStyle w:val="P68B1DB1-Normal12"/>
              <w:rPr>
                <w:noProof/>
                <w:color w:val="006600"/>
              </w:rPr>
            </w:pPr>
            <w:r>
              <w:rPr>
                <w:noProof/>
              </w:rPr>
              <w:t>Целеви</w:t>
            </w:r>
          </w:p>
        </w:tc>
        <w:tc>
          <w:tcPr>
            <w:tcW w:w="3755" w:type="dxa"/>
            <w:tcBorders>
              <w:top w:val="nil"/>
              <w:left w:val="nil"/>
              <w:bottom w:val="single" w:sz="4" w:space="0" w:color="auto"/>
              <w:right w:val="single" w:sz="4" w:space="0" w:color="auto"/>
            </w:tcBorders>
            <w:shd w:val="clear" w:color="auto" w:fill="C6EFCE"/>
            <w:noWrap/>
            <w:vAlign w:val="center"/>
          </w:tcPr>
          <w:p w14:paraId="453E0907" w14:textId="77777777" w:rsidR="006054AA" w:rsidRDefault="001F7667">
            <w:pPr>
              <w:pStyle w:val="P68B1DB1-Normal12"/>
              <w:rPr>
                <w:noProof/>
                <w:color w:val="006600"/>
              </w:rPr>
            </w:pPr>
            <w:r>
              <w:rPr>
                <w:noProof/>
              </w:rPr>
              <w:t>Саниране на сгради Superbonus T1</w:t>
            </w:r>
          </w:p>
        </w:tc>
      </w:tr>
      <w:tr w:rsidR="006054AA" w14:paraId="6D3EDD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18EF97" w14:textId="77777777" w:rsidR="006054AA" w:rsidRDefault="001F7667">
            <w:pPr>
              <w:pStyle w:val="P68B1DB1-Normal12"/>
              <w:jc w:val="center"/>
              <w:rPr>
                <w:noProof/>
              </w:rPr>
            </w:pPr>
            <w:r>
              <w:rPr>
                <w:noProof/>
              </w:rPr>
              <w:t>M4C1—9</w:t>
            </w:r>
          </w:p>
        </w:tc>
        <w:tc>
          <w:tcPr>
            <w:tcW w:w="3118" w:type="dxa"/>
            <w:tcBorders>
              <w:top w:val="nil"/>
              <w:left w:val="nil"/>
              <w:bottom w:val="single" w:sz="4" w:space="0" w:color="auto"/>
              <w:right w:val="single" w:sz="4" w:space="0" w:color="auto"/>
            </w:tcBorders>
            <w:shd w:val="clear" w:color="auto" w:fill="C6EFCE"/>
            <w:noWrap/>
            <w:vAlign w:val="center"/>
          </w:tcPr>
          <w:p w14:paraId="71AC52C9" w14:textId="77777777" w:rsidR="006054AA" w:rsidRDefault="001F7667">
            <w:pPr>
              <w:pStyle w:val="P68B1DB1-Normal12"/>
              <w:rPr>
                <w:noProof/>
              </w:rPr>
            </w:pPr>
            <w:r>
              <w:rPr>
                <w:noProof/>
              </w:rPr>
              <w:t>Инвестиция 1.1: План за детски градини и предучилищни заведения и услуги за образование и грижи в ранна детска възраст</w:t>
            </w:r>
          </w:p>
        </w:tc>
        <w:tc>
          <w:tcPr>
            <w:tcW w:w="1418" w:type="dxa"/>
            <w:tcBorders>
              <w:top w:val="nil"/>
              <w:left w:val="nil"/>
              <w:bottom w:val="single" w:sz="4" w:space="0" w:color="auto"/>
              <w:right w:val="single" w:sz="4" w:space="0" w:color="auto"/>
            </w:tcBorders>
            <w:shd w:val="clear" w:color="auto" w:fill="C6EFCE"/>
            <w:noWrap/>
            <w:vAlign w:val="center"/>
          </w:tcPr>
          <w:p w14:paraId="7AF0EE8A" w14:textId="77777777" w:rsidR="006054AA" w:rsidRDefault="001F7667">
            <w:pPr>
              <w:pStyle w:val="P68B1DB1-Normal12"/>
              <w:rPr>
                <w:noProof/>
                <w:color w:val="006600"/>
              </w:rPr>
            </w:pPr>
            <w:r>
              <w:rPr>
                <w:noProof/>
              </w:rPr>
              <w:t>Ключов етап</w:t>
            </w:r>
          </w:p>
        </w:tc>
        <w:tc>
          <w:tcPr>
            <w:tcW w:w="3755" w:type="dxa"/>
            <w:tcBorders>
              <w:top w:val="nil"/>
              <w:left w:val="nil"/>
              <w:bottom w:val="single" w:sz="4" w:space="0" w:color="auto"/>
              <w:right w:val="single" w:sz="4" w:space="0" w:color="auto"/>
            </w:tcBorders>
            <w:shd w:val="clear" w:color="auto" w:fill="C6EFCE"/>
            <w:noWrap/>
            <w:vAlign w:val="center"/>
          </w:tcPr>
          <w:p w14:paraId="07FC185A" w14:textId="77777777" w:rsidR="006054AA" w:rsidRDefault="001F7667">
            <w:pPr>
              <w:pStyle w:val="P68B1DB1-Normal12"/>
              <w:rPr>
                <w:noProof/>
                <w:color w:val="006600"/>
              </w:rPr>
            </w:pPr>
            <w:r>
              <w:rPr>
                <w:noProof/>
              </w:rPr>
              <w:t>Възлагане на договори за строителство, обновяване и гарантиране на безопасността на детските ясли, предучилищните заведения и услугите за образование и грижи в ранна детска възраст</w:t>
            </w:r>
          </w:p>
        </w:tc>
      </w:tr>
      <w:tr w:rsidR="006054AA" w14:paraId="1BAD3F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CB43C4" w14:textId="77777777" w:rsidR="006054AA" w:rsidRDefault="001F7667">
            <w:pPr>
              <w:pStyle w:val="P68B1DB1-Normal12"/>
              <w:jc w:val="center"/>
              <w:rPr>
                <w:noProof/>
              </w:rPr>
            </w:pPr>
            <w:r>
              <w:rPr>
                <w:noProof/>
              </w:rPr>
              <w:t>M5C3—8</w:t>
            </w:r>
          </w:p>
        </w:tc>
        <w:tc>
          <w:tcPr>
            <w:tcW w:w="3118" w:type="dxa"/>
            <w:tcBorders>
              <w:top w:val="nil"/>
              <w:left w:val="nil"/>
              <w:bottom w:val="single" w:sz="4" w:space="0" w:color="auto"/>
              <w:right w:val="single" w:sz="4" w:space="0" w:color="auto"/>
            </w:tcBorders>
            <w:shd w:val="clear" w:color="auto" w:fill="C6EFCE"/>
            <w:noWrap/>
            <w:vAlign w:val="center"/>
          </w:tcPr>
          <w:p w14:paraId="53F36AE0" w14:textId="77777777" w:rsidR="006054AA" w:rsidRDefault="001F7667">
            <w:pPr>
              <w:pStyle w:val="P68B1DB1-Normal12"/>
              <w:rPr>
                <w:noProof/>
              </w:rPr>
            </w:pPr>
            <w:r>
              <w:rPr>
                <w:noProof/>
              </w:rPr>
              <w:t>Инвестиция 1.3: Структурирани социално-образователни интервенции за борба с образователната бедност в южната част на страната в подкрепа на третия сектор</w:t>
            </w:r>
          </w:p>
        </w:tc>
        <w:tc>
          <w:tcPr>
            <w:tcW w:w="1418" w:type="dxa"/>
            <w:tcBorders>
              <w:top w:val="nil"/>
              <w:left w:val="nil"/>
              <w:bottom w:val="single" w:sz="4" w:space="0" w:color="auto"/>
              <w:right w:val="single" w:sz="4" w:space="0" w:color="auto"/>
            </w:tcBorders>
            <w:shd w:val="clear" w:color="auto" w:fill="C6EFCE"/>
            <w:noWrap/>
            <w:vAlign w:val="center"/>
          </w:tcPr>
          <w:p w14:paraId="3C5807D0" w14:textId="77777777" w:rsidR="006054AA" w:rsidRDefault="001F7667">
            <w:pPr>
              <w:pStyle w:val="P68B1DB1-Normal12"/>
              <w:rPr>
                <w:noProof/>
                <w:color w:val="006600"/>
              </w:rPr>
            </w:pPr>
            <w:r>
              <w:rPr>
                <w:noProof/>
              </w:rPr>
              <w:t>Целеви</w:t>
            </w:r>
          </w:p>
        </w:tc>
        <w:tc>
          <w:tcPr>
            <w:tcW w:w="3755" w:type="dxa"/>
            <w:tcBorders>
              <w:top w:val="nil"/>
              <w:left w:val="nil"/>
              <w:bottom w:val="single" w:sz="4" w:space="0" w:color="auto"/>
              <w:right w:val="single" w:sz="4" w:space="0" w:color="auto"/>
            </w:tcBorders>
            <w:shd w:val="clear" w:color="auto" w:fill="C6EFCE"/>
            <w:noWrap/>
            <w:vAlign w:val="center"/>
          </w:tcPr>
          <w:p w14:paraId="18309ABF" w14:textId="77777777" w:rsidR="006054AA" w:rsidRDefault="001F7667">
            <w:pPr>
              <w:pStyle w:val="P68B1DB1-Normal12"/>
              <w:rPr>
                <w:noProof/>
                <w:color w:val="006600"/>
              </w:rPr>
            </w:pPr>
            <w:r>
              <w:rPr>
                <w:noProof/>
              </w:rPr>
              <w:t>Образователна подкрепа за малолетни и непълнолетни лица (първа група)</w:t>
            </w:r>
          </w:p>
        </w:tc>
      </w:tr>
      <w:tr w:rsidR="006054AA" w14:paraId="7097679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600DA8" w14:textId="77777777" w:rsidR="006054AA" w:rsidRDefault="006054AA">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FF8C198" w14:textId="77777777" w:rsidR="006054AA" w:rsidRDefault="006054AA">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527BCB5" w14:textId="77777777" w:rsidR="006054AA" w:rsidRDefault="001F7667">
            <w:pPr>
              <w:pStyle w:val="P68B1DB1-Normal12"/>
              <w:rPr>
                <w:noProof/>
              </w:rPr>
            </w:pPr>
            <w:r>
              <w:rPr>
                <w:noProof/>
              </w:rPr>
              <w:t>Размер на вноската</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407F5973" w14:textId="557A745D" w:rsidR="006054AA" w:rsidRDefault="001F7667">
            <w:pPr>
              <w:pStyle w:val="P68B1DB1-Normal46"/>
              <w:rPr>
                <w:noProof/>
              </w:rPr>
            </w:pPr>
            <w:r>
              <w:rPr>
                <w:noProof/>
              </w:rPr>
              <w:t>2</w:t>
            </w:r>
            <w:r>
              <w:rPr>
                <w:noProof/>
              </w:rPr>
              <w:t> </w:t>
            </w:r>
            <w:r>
              <w:rPr>
                <w:noProof/>
              </w:rPr>
              <w:t>315</w:t>
            </w:r>
            <w:r>
              <w:rPr>
                <w:noProof/>
              </w:rPr>
              <w:t> </w:t>
            </w:r>
            <w:r>
              <w:rPr>
                <w:noProof/>
              </w:rPr>
              <w:t>646</w:t>
            </w:r>
            <w:r>
              <w:rPr>
                <w:noProof/>
              </w:rPr>
              <w:t> </w:t>
            </w:r>
            <w:r>
              <w:rPr>
                <w:noProof/>
              </w:rPr>
              <w:t>882</w:t>
            </w:r>
            <w:r>
              <w:rPr>
                <w:noProof/>
              </w:rPr>
              <w:t> </w:t>
            </w:r>
            <w:r>
              <w:rPr>
                <w:noProof/>
              </w:rPr>
              <w:t>EUR</w:t>
            </w:r>
          </w:p>
        </w:tc>
      </w:tr>
    </w:tbl>
    <w:p w14:paraId="0AFAE032" w14:textId="7FAD9399" w:rsidR="006054AA" w:rsidRDefault="001F7667">
      <w:pPr>
        <w:pStyle w:val="P68B1DB1-Normal44"/>
        <w:numPr>
          <w:ilvl w:val="1"/>
          <w:numId w:val="6"/>
        </w:numPr>
        <w:spacing w:before="120" w:after="120"/>
        <w:jc w:val="both"/>
        <w:rPr>
          <w:noProof/>
        </w:rPr>
      </w:pPr>
      <w:r>
        <w:rPr>
          <w:noProof/>
        </w:rPr>
        <w:t>Пета вноска (безвъзмездна подкрепа):</w:t>
      </w:r>
    </w:p>
    <w:tbl>
      <w:tblPr>
        <w:tblW w:w="9776" w:type="dxa"/>
        <w:tblInd w:w="113" w:type="dxa"/>
        <w:tblLook w:val="04A0" w:firstRow="1" w:lastRow="0" w:firstColumn="1" w:lastColumn="0" w:noHBand="0" w:noVBand="1"/>
      </w:tblPr>
      <w:tblGrid>
        <w:gridCol w:w="1413"/>
        <w:gridCol w:w="3118"/>
        <w:gridCol w:w="1418"/>
        <w:gridCol w:w="3827"/>
      </w:tblGrid>
      <w:tr w:rsidR="006054AA" w14:paraId="102DCA7E"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288956" w14:textId="77777777" w:rsidR="006054AA" w:rsidRDefault="001F7667">
            <w:pPr>
              <w:pStyle w:val="P68B1DB1-Normal45"/>
              <w:jc w:val="center"/>
              <w:rPr>
                <w:noProof/>
              </w:rPr>
            </w:pPr>
            <w:r>
              <w:rPr>
                <w:noProof/>
              </w:rPr>
              <w:t>Пореден номер</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294ED5" w14:textId="77777777" w:rsidR="006054AA" w:rsidRDefault="001F7667">
            <w:pPr>
              <w:pStyle w:val="P68B1DB1-Normal45"/>
              <w:jc w:val="center"/>
              <w:rPr>
                <w:noProof/>
              </w:rPr>
            </w:pPr>
            <w:r>
              <w:rPr>
                <w:noProof/>
              </w:rPr>
              <w:t>Свързана мярка (реформа или инвестиции)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C209C4" w14:textId="77777777" w:rsidR="006054AA" w:rsidRDefault="001F7667">
            <w:pPr>
              <w:pStyle w:val="P68B1DB1-Normal45"/>
              <w:jc w:val="center"/>
              <w:rPr>
                <w:noProof/>
              </w:rPr>
            </w:pPr>
            <w:r>
              <w:rPr>
                <w:noProof/>
              </w:rPr>
              <w:t>Ключов етап/Цел</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D518A" w14:textId="77777777" w:rsidR="006054AA" w:rsidRDefault="001F7667">
            <w:pPr>
              <w:pStyle w:val="P68B1DB1-Normal45"/>
              <w:jc w:val="center"/>
              <w:rPr>
                <w:noProof/>
              </w:rPr>
            </w:pPr>
            <w:r>
              <w:rPr>
                <w:noProof/>
              </w:rPr>
              <w:t>Име</w:t>
            </w:r>
          </w:p>
        </w:tc>
      </w:tr>
      <w:tr w:rsidR="006054AA" w14:paraId="22E2EC04"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7BE0673" w14:textId="77777777" w:rsidR="006054AA" w:rsidRDefault="006054AA">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00A4DB1" w14:textId="77777777" w:rsidR="006054AA" w:rsidRDefault="006054AA">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5374A4" w14:textId="77777777" w:rsidR="006054AA" w:rsidRDefault="006054AA">
            <w:pPr>
              <w:rPr>
                <w:b/>
                <w:noProof/>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AE7C49" w14:textId="77777777" w:rsidR="006054AA" w:rsidRDefault="006054AA">
            <w:pPr>
              <w:rPr>
                <w:b/>
                <w:noProof/>
              </w:rPr>
            </w:pPr>
          </w:p>
        </w:tc>
      </w:tr>
      <w:tr w:rsidR="006054AA" w14:paraId="654E541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513B7" w14:textId="77777777" w:rsidR="006054AA" w:rsidRDefault="001F7667">
            <w:pPr>
              <w:pStyle w:val="P68B1DB1-Normal12"/>
              <w:jc w:val="center"/>
              <w:rPr>
                <w:noProof/>
              </w:rPr>
            </w:pPr>
            <w:r>
              <w:rPr>
                <w:noProof/>
              </w:rPr>
              <w:t>M1C2—4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A525182" w14:textId="77777777" w:rsidR="006054AA" w:rsidRDefault="001F7667">
            <w:pPr>
              <w:pStyle w:val="P68B1DB1-Normal12"/>
              <w:rPr>
                <w:noProof/>
              </w:rPr>
            </w:pPr>
            <w:r>
              <w:rPr>
                <w:noProof/>
              </w:rPr>
              <w:t>Реформа 1: Реформа на системата за индустриална собственост</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0DD625" w14:textId="77777777" w:rsidR="006054AA" w:rsidRDefault="001F7667">
            <w:pPr>
              <w:pStyle w:val="P68B1DB1-Normal12"/>
              <w:rPr>
                <w:noProof/>
              </w:rPr>
            </w:pPr>
            <w:r>
              <w:rPr>
                <w:noProof/>
              </w:rPr>
              <w:t>Ключов етап</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74DD352F" w14:textId="77777777" w:rsidR="006054AA" w:rsidRDefault="001F7667">
            <w:pPr>
              <w:pStyle w:val="P68B1DB1-Normal12"/>
              <w:rPr>
                <w:noProof/>
              </w:rPr>
            </w:pPr>
            <w:r>
              <w:rPr>
                <w:noProof/>
              </w:rPr>
              <w:t>Влизане в сила на законодателен декрет, целящ реформиране на италианския Кодекс за индустриалната собственост и на съответните актове за изпълнение</w:t>
            </w:r>
          </w:p>
        </w:tc>
      </w:tr>
      <w:tr w:rsidR="006054AA" w14:paraId="764ABC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FC0418" w14:textId="77777777" w:rsidR="006054AA" w:rsidRDefault="001F7667">
            <w:pPr>
              <w:pStyle w:val="P68B1DB1-Normal12"/>
              <w:jc w:val="center"/>
              <w:rPr>
                <w:noProof/>
              </w:rPr>
            </w:pPr>
            <w:r>
              <w:rPr>
                <w:noProof/>
              </w:rPr>
              <w:t>M1C3—4</w:t>
            </w:r>
          </w:p>
        </w:tc>
        <w:tc>
          <w:tcPr>
            <w:tcW w:w="3118" w:type="dxa"/>
            <w:tcBorders>
              <w:top w:val="nil"/>
              <w:left w:val="nil"/>
              <w:bottom w:val="single" w:sz="4" w:space="0" w:color="auto"/>
              <w:right w:val="single" w:sz="4" w:space="0" w:color="auto"/>
            </w:tcBorders>
            <w:shd w:val="clear" w:color="auto" w:fill="C6EFCE"/>
            <w:noWrap/>
            <w:vAlign w:val="center"/>
          </w:tcPr>
          <w:p w14:paraId="4735C01F" w14:textId="77777777" w:rsidR="006054AA" w:rsidRDefault="001F7667">
            <w:pPr>
              <w:pStyle w:val="P68B1DB1-Normal12"/>
              <w:rPr>
                <w:noProof/>
              </w:rPr>
            </w:pPr>
            <w:r>
              <w:rPr>
                <w:noProof/>
              </w:rPr>
              <w:t>Инвестиции — 1.3 Подобряване на енергийната ефективност в киното, театрите и музеите</w:t>
            </w:r>
          </w:p>
        </w:tc>
        <w:tc>
          <w:tcPr>
            <w:tcW w:w="1418" w:type="dxa"/>
            <w:tcBorders>
              <w:top w:val="nil"/>
              <w:left w:val="nil"/>
              <w:bottom w:val="single" w:sz="4" w:space="0" w:color="auto"/>
              <w:right w:val="single" w:sz="4" w:space="0" w:color="auto"/>
            </w:tcBorders>
            <w:shd w:val="clear" w:color="auto" w:fill="C6EFCE"/>
            <w:noWrap/>
            <w:vAlign w:val="center"/>
          </w:tcPr>
          <w:p w14:paraId="74182FF6"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5EF4F43D" w14:textId="77777777" w:rsidR="006054AA" w:rsidRDefault="001F7667">
            <w:pPr>
              <w:pStyle w:val="P68B1DB1-Normal12"/>
              <w:rPr>
                <w:noProof/>
              </w:rPr>
            </w:pPr>
            <w:r>
              <w:rPr>
                <w:noProof/>
              </w:rPr>
              <w:t>Приключиха изказванията относно държавни музеи и културни обекти, театрални зали и кина (първа партида)</w:t>
            </w:r>
          </w:p>
        </w:tc>
      </w:tr>
      <w:tr w:rsidR="006054AA" w14:paraId="5EA08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297E27" w14:textId="77777777" w:rsidR="006054AA" w:rsidRDefault="001F7667">
            <w:pPr>
              <w:pStyle w:val="P68B1DB1-Normal12"/>
              <w:jc w:val="center"/>
              <w:rPr>
                <w:noProof/>
              </w:rPr>
            </w:pPr>
            <w:r>
              <w:rPr>
                <w:noProof/>
              </w:rPr>
              <w:t>M1C1—12</w:t>
            </w:r>
          </w:p>
        </w:tc>
        <w:tc>
          <w:tcPr>
            <w:tcW w:w="3118" w:type="dxa"/>
            <w:tcBorders>
              <w:top w:val="nil"/>
              <w:left w:val="nil"/>
              <w:bottom w:val="single" w:sz="4" w:space="0" w:color="auto"/>
              <w:right w:val="single" w:sz="4" w:space="0" w:color="auto"/>
            </w:tcBorders>
            <w:shd w:val="clear" w:color="auto" w:fill="C6EFCE"/>
            <w:noWrap/>
            <w:vAlign w:val="center"/>
          </w:tcPr>
          <w:p w14:paraId="4ED95889" w14:textId="77777777" w:rsidR="006054AA" w:rsidRDefault="001F7667">
            <w:pPr>
              <w:pStyle w:val="P68B1DB1-Normal12"/>
              <w:rPr>
                <w:noProof/>
              </w:rPr>
            </w:pPr>
            <w:r>
              <w:rPr>
                <w:noProof/>
              </w:rPr>
              <w:t>Инвестиция 1.3.2: Единен цифров портал</w:t>
            </w:r>
          </w:p>
        </w:tc>
        <w:tc>
          <w:tcPr>
            <w:tcW w:w="1418" w:type="dxa"/>
            <w:tcBorders>
              <w:top w:val="nil"/>
              <w:left w:val="nil"/>
              <w:bottom w:val="single" w:sz="4" w:space="0" w:color="auto"/>
              <w:right w:val="single" w:sz="4" w:space="0" w:color="auto"/>
            </w:tcBorders>
            <w:shd w:val="clear" w:color="auto" w:fill="C6EFCE"/>
            <w:noWrap/>
            <w:vAlign w:val="center"/>
          </w:tcPr>
          <w:p w14:paraId="03266CB8"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7425865D" w14:textId="77777777" w:rsidR="006054AA" w:rsidRDefault="001F7667">
            <w:pPr>
              <w:pStyle w:val="P68B1DB1-Normal12"/>
              <w:rPr>
                <w:noProof/>
              </w:rPr>
            </w:pPr>
            <w:r>
              <w:rPr>
                <w:noProof/>
              </w:rPr>
              <w:t>Единен цифров портал</w:t>
            </w:r>
          </w:p>
        </w:tc>
      </w:tr>
      <w:tr w:rsidR="006054AA" w14:paraId="79DD08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6D66E" w14:textId="77777777" w:rsidR="006054AA" w:rsidRDefault="001F7667">
            <w:pPr>
              <w:pStyle w:val="P68B1DB1-Normal12"/>
              <w:jc w:val="center"/>
              <w:rPr>
                <w:noProof/>
              </w:rPr>
            </w:pPr>
            <w:r>
              <w:rPr>
                <w:noProof/>
              </w:rPr>
              <w:t>M1C1—13</w:t>
            </w:r>
          </w:p>
        </w:tc>
        <w:tc>
          <w:tcPr>
            <w:tcW w:w="3118" w:type="dxa"/>
            <w:tcBorders>
              <w:top w:val="nil"/>
              <w:left w:val="nil"/>
              <w:bottom w:val="single" w:sz="4" w:space="0" w:color="auto"/>
              <w:right w:val="single" w:sz="4" w:space="0" w:color="auto"/>
            </w:tcBorders>
            <w:shd w:val="clear" w:color="auto" w:fill="C6EFCE"/>
            <w:noWrap/>
            <w:vAlign w:val="center"/>
          </w:tcPr>
          <w:p w14:paraId="5FDD1A51" w14:textId="77777777" w:rsidR="006054AA" w:rsidRDefault="001F7667">
            <w:pPr>
              <w:pStyle w:val="P68B1DB1-Normal12"/>
              <w:rPr>
                <w:noProof/>
              </w:rPr>
            </w:pPr>
            <w:r>
              <w:rPr>
                <w:noProof/>
              </w:rPr>
              <w:t>Инвестиция 1.4.6: Мобилността като услуга за Италия</w:t>
            </w:r>
          </w:p>
        </w:tc>
        <w:tc>
          <w:tcPr>
            <w:tcW w:w="1418" w:type="dxa"/>
            <w:tcBorders>
              <w:top w:val="nil"/>
              <w:left w:val="nil"/>
              <w:bottom w:val="single" w:sz="4" w:space="0" w:color="auto"/>
              <w:right w:val="single" w:sz="4" w:space="0" w:color="auto"/>
            </w:tcBorders>
            <w:shd w:val="clear" w:color="auto" w:fill="C6EFCE"/>
            <w:noWrap/>
            <w:vAlign w:val="center"/>
          </w:tcPr>
          <w:p w14:paraId="404785E5"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12E86E52" w14:textId="77777777" w:rsidR="006054AA" w:rsidRDefault="001F7667">
            <w:pPr>
              <w:pStyle w:val="P68B1DB1-Normal12"/>
              <w:rPr>
                <w:noProof/>
              </w:rPr>
            </w:pPr>
            <w:r>
              <w:rPr>
                <w:noProof/>
              </w:rPr>
              <w:t>Мобилността като решения за обслужване M1</w:t>
            </w:r>
          </w:p>
        </w:tc>
      </w:tr>
      <w:tr w:rsidR="006054AA" w14:paraId="4438E9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2252A" w14:textId="77777777" w:rsidR="006054AA" w:rsidRDefault="001F7667">
            <w:pPr>
              <w:pStyle w:val="P68B1DB1-Normal12"/>
              <w:jc w:val="center"/>
              <w:rPr>
                <w:noProof/>
              </w:rPr>
            </w:pPr>
            <w:r>
              <w:rPr>
                <w:noProof/>
              </w:rPr>
              <w:t>M1C1—38</w:t>
            </w:r>
          </w:p>
        </w:tc>
        <w:tc>
          <w:tcPr>
            <w:tcW w:w="3118" w:type="dxa"/>
            <w:tcBorders>
              <w:top w:val="nil"/>
              <w:left w:val="nil"/>
              <w:bottom w:val="single" w:sz="4" w:space="0" w:color="auto"/>
              <w:right w:val="single" w:sz="4" w:space="0" w:color="auto"/>
            </w:tcBorders>
            <w:shd w:val="clear" w:color="auto" w:fill="C6EFCE"/>
            <w:noWrap/>
            <w:vAlign w:val="center"/>
          </w:tcPr>
          <w:p w14:paraId="14A892CE" w14:textId="77777777" w:rsidR="006054AA" w:rsidRDefault="001F7667">
            <w:pPr>
              <w:pStyle w:val="P68B1DB1-Normal12"/>
              <w:rPr>
                <w:noProof/>
              </w:rPr>
            </w:pPr>
            <w:r>
              <w:rPr>
                <w:noProof/>
              </w:rPr>
              <w:t>Реформа 1.8: Цифровизация на правосъдието</w:t>
            </w:r>
          </w:p>
        </w:tc>
        <w:tc>
          <w:tcPr>
            <w:tcW w:w="1418" w:type="dxa"/>
            <w:tcBorders>
              <w:top w:val="nil"/>
              <w:left w:val="nil"/>
              <w:bottom w:val="single" w:sz="4" w:space="0" w:color="auto"/>
              <w:right w:val="single" w:sz="4" w:space="0" w:color="auto"/>
            </w:tcBorders>
            <w:shd w:val="clear" w:color="auto" w:fill="C6EFCE"/>
            <w:noWrap/>
            <w:vAlign w:val="center"/>
          </w:tcPr>
          <w:p w14:paraId="22149472"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0A8FA851" w14:textId="77777777" w:rsidR="006054AA" w:rsidRDefault="001F7667">
            <w:pPr>
              <w:pStyle w:val="P68B1DB1-Normal12"/>
              <w:rPr>
                <w:noProof/>
              </w:rPr>
            </w:pPr>
            <w:r>
              <w:rPr>
                <w:noProof/>
              </w:rPr>
              <w:t>Цифровизация на правосъдната система</w:t>
            </w:r>
          </w:p>
        </w:tc>
      </w:tr>
      <w:tr w:rsidR="006054AA" w14:paraId="306FC3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55E3DF" w14:textId="77777777" w:rsidR="006054AA" w:rsidRDefault="001F7667">
            <w:pPr>
              <w:pStyle w:val="P68B1DB1-Normal12"/>
              <w:jc w:val="center"/>
              <w:rPr>
                <w:noProof/>
              </w:rPr>
            </w:pPr>
            <w:r>
              <w:rPr>
                <w:noProof/>
              </w:rPr>
              <w:t>M1C1—59</w:t>
            </w:r>
          </w:p>
        </w:tc>
        <w:tc>
          <w:tcPr>
            <w:tcW w:w="3118" w:type="dxa"/>
            <w:tcBorders>
              <w:top w:val="nil"/>
              <w:left w:val="nil"/>
              <w:bottom w:val="single" w:sz="4" w:space="0" w:color="auto"/>
              <w:right w:val="single" w:sz="4" w:space="0" w:color="auto"/>
            </w:tcBorders>
            <w:shd w:val="clear" w:color="auto" w:fill="C6EFCE"/>
            <w:noWrap/>
            <w:vAlign w:val="center"/>
          </w:tcPr>
          <w:p w14:paraId="3813C644"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69A9F9E3"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38E47BD7" w14:textId="77777777" w:rsidR="006054AA" w:rsidRDefault="001F7667">
            <w:pPr>
              <w:pStyle w:val="P68B1DB1-Normal12"/>
              <w:rPr>
                <w:noProof/>
              </w:rPr>
            </w:pPr>
            <w:r>
              <w:rPr>
                <w:noProof/>
              </w:rPr>
              <w:t>Влизане в сила на стратегическото управление на човешките ресурси в публичната администрация</w:t>
            </w:r>
          </w:p>
        </w:tc>
      </w:tr>
      <w:tr w:rsidR="006054AA" w14:paraId="482E9E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A51F7" w14:textId="77777777" w:rsidR="006054AA" w:rsidRDefault="001F7667">
            <w:pPr>
              <w:pStyle w:val="P68B1DB1-Normal12"/>
              <w:jc w:val="center"/>
              <w:rPr>
                <w:noProof/>
              </w:rPr>
            </w:pPr>
            <w:r>
              <w:rPr>
                <w:noProof/>
              </w:rPr>
              <w:t>M1C1—73quater</w:t>
            </w:r>
          </w:p>
        </w:tc>
        <w:tc>
          <w:tcPr>
            <w:tcW w:w="3118" w:type="dxa"/>
            <w:tcBorders>
              <w:top w:val="nil"/>
              <w:left w:val="nil"/>
              <w:bottom w:val="single" w:sz="4" w:space="0" w:color="auto"/>
              <w:right w:val="single" w:sz="4" w:space="0" w:color="auto"/>
            </w:tcBorders>
            <w:shd w:val="clear" w:color="auto" w:fill="C6EFCE"/>
            <w:noWrap/>
            <w:vAlign w:val="center"/>
          </w:tcPr>
          <w:p w14:paraId="1D4749D3"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52E7D601"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2309C09A" w14:textId="77777777" w:rsidR="006054AA" w:rsidRDefault="001F7667">
            <w:pPr>
              <w:pStyle w:val="P68B1DB1-Normal12"/>
              <w:rPr>
                <w:noProof/>
              </w:rPr>
            </w:pPr>
            <w:r>
              <w:rPr>
                <w:noProof/>
              </w:rPr>
              <w:t>Влизане в сила на насоки относно обществените поръчки под прага на ЕС</w:t>
            </w:r>
          </w:p>
        </w:tc>
      </w:tr>
      <w:tr w:rsidR="006054AA" w14:paraId="25ECE0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808434" w14:textId="77777777" w:rsidR="006054AA" w:rsidRDefault="001F7667">
            <w:pPr>
              <w:pStyle w:val="P68B1DB1-Normal12"/>
              <w:jc w:val="center"/>
              <w:rPr>
                <w:noProof/>
              </w:rPr>
            </w:pPr>
            <w:r>
              <w:rPr>
                <w:noProof/>
              </w:rPr>
              <w:t>M1C1—75</w:t>
            </w:r>
          </w:p>
        </w:tc>
        <w:tc>
          <w:tcPr>
            <w:tcW w:w="3118" w:type="dxa"/>
            <w:tcBorders>
              <w:top w:val="nil"/>
              <w:left w:val="nil"/>
              <w:bottom w:val="single" w:sz="4" w:space="0" w:color="auto"/>
              <w:right w:val="single" w:sz="4" w:space="0" w:color="auto"/>
            </w:tcBorders>
            <w:shd w:val="clear" w:color="auto" w:fill="C6EFCE"/>
            <w:noWrap/>
            <w:vAlign w:val="center"/>
          </w:tcPr>
          <w:p w14:paraId="405C991B"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3B6A6EF6"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7D2F9826" w14:textId="77777777" w:rsidR="006054AA" w:rsidRDefault="001F7667">
            <w:pPr>
              <w:pStyle w:val="P68B1DB1-Normal12"/>
              <w:rPr>
                <w:noProof/>
              </w:rPr>
            </w:pPr>
            <w:r>
              <w:rPr>
                <w:noProof/>
              </w:rPr>
              <w:t>Пълно функциониране на националната система за електронни обществени поръчки</w:t>
            </w:r>
          </w:p>
        </w:tc>
      </w:tr>
      <w:tr w:rsidR="006054AA" w14:paraId="4798EE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4714A" w14:textId="77777777" w:rsidR="006054AA" w:rsidRDefault="001F7667">
            <w:pPr>
              <w:pStyle w:val="P68B1DB1-Normal12"/>
              <w:jc w:val="center"/>
              <w:rPr>
                <w:noProof/>
              </w:rPr>
            </w:pPr>
            <w:r>
              <w:rPr>
                <w:noProof/>
              </w:rPr>
              <w:t>M1C1—84</w:t>
            </w:r>
          </w:p>
        </w:tc>
        <w:tc>
          <w:tcPr>
            <w:tcW w:w="3118" w:type="dxa"/>
            <w:tcBorders>
              <w:top w:val="nil"/>
              <w:left w:val="nil"/>
              <w:bottom w:val="single" w:sz="4" w:space="0" w:color="auto"/>
              <w:right w:val="single" w:sz="4" w:space="0" w:color="auto"/>
            </w:tcBorders>
            <w:shd w:val="clear" w:color="auto" w:fill="C6EFCE"/>
            <w:noWrap/>
            <w:vAlign w:val="center"/>
          </w:tcPr>
          <w:p w14:paraId="275ADC88"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63CB0D2B"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7FC51A8F" w14:textId="77777777" w:rsidR="006054AA" w:rsidRDefault="001F7667">
            <w:pPr>
              <w:pStyle w:val="P68B1DB1-Normal12"/>
              <w:rPr>
                <w:noProof/>
              </w:rPr>
            </w:pPr>
            <w:r>
              <w:rPr>
                <w:noProof/>
              </w:rPr>
              <w:t>Средно време между публикуването и възлагането на поръчката</w:t>
            </w:r>
          </w:p>
        </w:tc>
      </w:tr>
      <w:tr w:rsidR="006054AA" w14:paraId="6E889C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FE3158" w14:textId="77777777" w:rsidR="006054AA" w:rsidRDefault="001F7667">
            <w:pPr>
              <w:pStyle w:val="P68B1DB1-Normal12"/>
              <w:jc w:val="center"/>
              <w:rPr>
                <w:noProof/>
              </w:rPr>
            </w:pPr>
            <w:r>
              <w:rPr>
                <w:noProof/>
              </w:rPr>
              <w:t>M1C1—85</w:t>
            </w:r>
          </w:p>
        </w:tc>
        <w:tc>
          <w:tcPr>
            <w:tcW w:w="3118" w:type="dxa"/>
            <w:tcBorders>
              <w:top w:val="nil"/>
              <w:left w:val="nil"/>
              <w:bottom w:val="single" w:sz="4" w:space="0" w:color="auto"/>
              <w:right w:val="single" w:sz="4" w:space="0" w:color="auto"/>
            </w:tcBorders>
            <w:shd w:val="clear" w:color="auto" w:fill="C6EFCE"/>
            <w:noWrap/>
            <w:vAlign w:val="center"/>
          </w:tcPr>
          <w:p w14:paraId="42B7CD97"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205704C8"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455F27D9" w14:textId="77777777" w:rsidR="006054AA" w:rsidRDefault="001F7667">
            <w:pPr>
              <w:pStyle w:val="P68B1DB1-Normal12"/>
              <w:rPr>
                <w:noProof/>
              </w:rPr>
            </w:pPr>
            <w:r>
              <w:rPr>
                <w:noProof/>
              </w:rPr>
              <w:t>Средно време между възлагането на поръчката и реализацията на инфраструктурата</w:t>
            </w:r>
          </w:p>
        </w:tc>
      </w:tr>
      <w:tr w:rsidR="006054AA" w14:paraId="0B3C1B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F07C50" w14:textId="77777777" w:rsidR="006054AA" w:rsidRDefault="001F7667">
            <w:pPr>
              <w:pStyle w:val="P68B1DB1-Normal12"/>
              <w:jc w:val="center"/>
              <w:rPr>
                <w:noProof/>
              </w:rPr>
            </w:pPr>
            <w:r>
              <w:rPr>
                <w:noProof/>
              </w:rPr>
              <w:t>M1C1—86</w:t>
            </w:r>
          </w:p>
        </w:tc>
        <w:tc>
          <w:tcPr>
            <w:tcW w:w="3118" w:type="dxa"/>
            <w:tcBorders>
              <w:top w:val="nil"/>
              <w:left w:val="nil"/>
              <w:bottom w:val="single" w:sz="4" w:space="0" w:color="auto"/>
              <w:right w:val="single" w:sz="4" w:space="0" w:color="auto"/>
            </w:tcBorders>
            <w:shd w:val="clear" w:color="auto" w:fill="C6EFCE"/>
            <w:noWrap/>
            <w:vAlign w:val="center"/>
          </w:tcPr>
          <w:p w14:paraId="69DDB126"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78E1DF76"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0C4697D9" w14:textId="77777777" w:rsidR="006054AA" w:rsidRDefault="001F7667">
            <w:pPr>
              <w:pStyle w:val="P68B1DB1-Normal12"/>
              <w:rPr>
                <w:noProof/>
              </w:rPr>
            </w:pPr>
            <w:r>
              <w:rPr>
                <w:noProof/>
              </w:rPr>
              <w:t>Държавни служители, обучени чрез стратегията за професионализация на публичните купувачи</w:t>
            </w:r>
          </w:p>
        </w:tc>
      </w:tr>
      <w:tr w:rsidR="006054AA" w14:paraId="2CCA98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9C126" w14:textId="77777777" w:rsidR="006054AA" w:rsidRDefault="001F7667">
            <w:pPr>
              <w:pStyle w:val="P68B1DB1-Normal12"/>
              <w:jc w:val="center"/>
              <w:rPr>
                <w:noProof/>
              </w:rPr>
            </w:pPr>
            <w:r>
              <w:rPr>
                <w:noProof/>
              </w:rPr>
              <w:t>M1C1—87</w:t>
            </w:r>
          </w:p>
        </w:tc>
        <w:tc>
          <w:tcPr>
            <w:tcW w:w="3118" w:type="dxa"/>
            <w:tcBorders>
              <w:top w:val="nil"/>
              <w:left w:val="nil"/>
              <w:bottom w:val="single" w:sz="4" w:space="0" w:color="auto"/>
              <w:right w:val="single" w:sz="4" w:space="0" w:color="auto"/>
            </w:tcBorders>
            <w:shd w:val="clear" w:color="auto" w:fill="C6EFCE"/>
            <w:noWrap/>
            <w:vAlign w:val="center"/>
          </w:tcPr>
          <w:p w14:paraId="577388DF"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0656CA74"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4AA165C8" w14:textId="77777777" w:rsidR="006054AA" w:rsidRDefault="001F7667">
            <w:pPr>
              <w:pStyle w:val="P68B1DB1-Normal12"/>
              <w:rPr>
                <w:noProof/>
              </w:rPr>
            </w:pPr>
            <w:r>
              <w:rPr>
                <w:noProof/>
              </w:rPr>
              <w:t>Възлагащи органи, използващи динамични системи за покупки</w:t>
            </w:r>
          </w:p>
        </w:tc>
      </w:tr>
      <w:tr w:rsidR="006054AA" w14:paraId="232045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56ABF3" w14:textId="77777777" w:rsidR="006054AA" w:rsidRDefault="001F7667">
            <w:pPr>
              <w:pStyle w:val="P68B1DB1-Normal12"/>
              <w:jc w:val="center"/>
              <w:rPr>
                <w:noProof/>
              </w:rPr>
            </w:pPr>
            <w:r>
              <w:rPr>
                <w:noProof/>
              </w:rPr>
              <w:t>M1C1—110</w:t>
            </w:r>
          </w:p>
        </w:tc>
        <w:tc>
          <w:tcPr>
            <w:tcW w:w="3118" w:type="dxa"/>
            <w:tcBorders>
              <w:top w:val="nil"/>
              <w:left w:val="nil"/>
              <w:bottom w:val="single" w:sz="4" w:space="0" w:color="auto"/>
              <w:right w:val="single" w:sz="4" w:space="0" w:color="auto"/>
            </w:tcBorders>
            <w:shd w:val="clear" w:color="auto" w:fill="C6EFCE"/>
            <w:noWrap/>
            <w:vAlign w:val="center"/>
          </w:tcPr>
          <w:p w14:paraId="5F0F716D" w14:textId="77777777" w:rsidR="006054AA" w:rsidRDefault="001F7667">
            <w:pPr>
              <w:pStyle w:val="P68B1DB1-Normal12"/>
              <w:rPr>
                <w:noProof/>
              </w:rPr>
            </w:pPr>
            <w:r>
              <w:rPr>
                <w:noProof/>
              </w:rPr>
              <w:t>Реформа 1.13: Реформа на рамката за преглед на разходите</w:t>
            </w:r>
          </w:p>
        </w:tc>
        <w:tc>
          <w:tcPr>
            <w:tcW w:w="1418" w:type="dxa"/>
            <w:tcBorders>
              <w:top w:val="nil"/>
              <w:left w:val="nil"/>
              <w:bottom w:val="single" w:sz="4" w:space="0" w:color="auto"/>
              <w:right w:val="single" w:sz="4" w:space="0" w:color="auto"/>
            </w:tcBorders>
            <w:shd w:val="clear" w:color="auto" w:fill="C6EFCE"/>
            <w:noWrap/>
            <w:vAlign w:val="center"/>
          </w:tcPr>
          <w:p w14:paraId="6E7F4F04"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2507464A" w14:textId="77777777" w:rsidR="006054AA" w:rsidRDefault="001F7667">
            <w:pPr>
              <w:pStyle w:val="P68B1DB1-Normal12"/>
              <w:rPr>
                <w:noProof/>
              </w:rPr>
            </w:pPr>
            <w:r>
              <w:rPr>
                <w:noProof/>
              </w:rPr>
              <w:t>Прекласифициране на общия държавен бюджет по отношение на разходите за опазване на околната среда и разходите, които насърчават равенството между половете</w:t>
            </w:r>
          </w:p>
        </w:tc>
      </w:tr>
      <w:tr w:rsidR="006054AA" w14:paraId="1E02B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245BD1" w14:textId="77777777" w:rsidR="006054AA" w:rsidRDefault="001F7667">
            <w:pPr>
              <w:pStyle w:val="P68B1DB1-Normal12"/>
              <w:jc w:val="center"/>
              <w:rPr>
                <w:noProof/>
              </w:rPr>
            </w:pPr>
            <w:r>
              <w:rPr>
                <w:noProof/>
              </w:rPr>
              <w:t>M1C2—9</w:t>
            </w:r>
          </w:p>
        </w:tc>
        <w:tc>
          <w:tcPr>
            <w:tcW w:w="3118" w:type="dxa"/>
            <w:tcBorders>
              <w:top w:val="nil"/>
              <w:left w:val="nil"/>
              <w:bottom w:val="single" w:sz="4" w:space="0" w:color="auto"/>
              <w:right w:val="single" w:sz="4" w:space="0" w:color="auto"/>
            </w:tcBorders>
            <w:shd w:val="clear" w:color="auto" w:fill="C6EFCE"/>
            <w:noWrap/>
            <w:vAlign w:val="center"/>
          </w:tcPr>
          <w:p w14:paraId="15E32D6E" w14:textId="77777777" w:rsidR="006054AA" w:rsidRDefault="001F7667">
            <w:pPr>
              <w:pStyle w:val="P68B1DB1-Normal12"/>
              <w:rPr>
                <w:noProof/>
              </w:rPr>
            </w:pPr>
            <w:r>
              <w:rPr>
                <w:noProof/>
              </w:rPr>
              <w:t>Реформа 2: Годишни закони в областта на конкуренцията</w:t>
            </w:r>
          </w:p>
        </w:tc>
        <w:tc>
          <w:tcPr>
            <w:tcW w:w="1418" w:type="dxa"/>
            <w:tcBorders>
              <w:top w:val="nil"/>
              <w:left w:val="nil"/>
              <w:bottom w:val="single" w:sz="4" w:space="0" w:color="auto"/>
              <w:right w:val="single" w:sz="4" w:space="0" w:color="auto"/>
            </w:tcBorders>
            <w:shd w:val="clear" w:color="auto" w:fill="C6EFCE"/>
            <w:noWrap/>
            <w:vAlign w:val="center"/>
          </w:tcPr>
          <w:p w14:paraId="475299E5"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46E6C43A" w14:textId="77777777" w:rsidR="006054AA" w:rsidRDefault="001F7667">
            <w:pPr>
              <w:pStyle w:val="P68B1DB1-Normal12"/>
              <w:rPr>
                <w:noProof/>
              </w:rPr>
            </w:pPr>
            <w:r>
              <w:rPr>
                <w:noProof/>
              </w:rPr>
              <w:t>Влизане в сила на годишния закон за конкуренцията за 2022 г.</w:t>
            </w:r>
          </w:p>
        </w:tc>
      </w:tr>
      <w:tr w:rsidR="006054AA" w14:paraId="251451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266508" w14:textId="77777777" w:rsidR="006054AA" w:rsidRDefault="001F7667">
            <w:pPr>
              <w:pStyle w:val="P68B1DB1-Normal12"/>
              <w:jc w:val="center"/>
              <w:rPr>
                <w:noProof/>
              </w:rPr>
            </w:pPr>
            <w:r>
              <w:rPr>
                <w:noProof/>
              </w:rPr>
              <w:t>M1C2—10</w:t>
            </w:r>
          </w:p>
        </w:tc>
        <w:tc>
          <w:tcPr>
            <w:tcW w:w="3118" w:type="dxa"/>
            <w:tcBorders>
              <w:top w:val="nil"/>
              <w:left w:val="nil"/>
              <w:bottom w:val="single" w:sz="4" w:space="0" w:color="auto"/>
              <w:right w:val="single" w:sz="4" w:space="0" w:color="auto"/>
            </w:tcBorders>
            <w:shd w:val="clear" w:color="auto" w:fill="C6EFCE"/>
            <w:noWrap/>
            <w:vAlign w:val="center"/>
          </w:tcPr>
          <w:p w14:paraId="5DFEC71C" w14:textId="77777777" w:rsidR="006054AA" w:rsidRDefault="001F7667">
            <w:pPr>
              <w:pStyle w:val="P68B1DB1-Normal12"/>
              <w:rPr>
                <w:noProof/>
              </w:rPr>
            </w:pPr>
            <w:r>
              <w:rPr>
                <w:noProof/>
              </w:rPr>
              <w:t>Реформа 2: Годишни закони в областта на конкуренцията</w:t>
            </w:r>
          </w:p>
        </w:tc>
        <w:tc>
          <w:tcPr>
            <w:tcW w:w="1418" w:type="dxa"/>
            <w:tcBorders>
              <w:top w:val="nil"/>
              <w:left w:val="nil"/>
              <w:bottom w:val="single" w:sz="4" w:space="0" w:color="auto"/>
              <w:right w:val="single" w:sz="4" w:space="0" w:color="auto"/>
            </w:tcBorders>
            <w:shd w:val="clear" w:color="auto" w:fill="C6EFCE"/>
            <w:noWrap/>
            <w:vAlign w:val="center"/>
          </w:tcPr>
          <w:p w14:paraId="122969E5"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59D03F2C" w14:textId="77777777" w:rsidR="006054AA" w:rsidRDefault="001F7667">
            <w:pPr>
              <w:pStyle w:val="P68B1DB1-Normal12"/>
              <w:rPr>
                <w:noProof/>
              </w:rPr>
            </w:pPr>
            <w:r>
              <w:rPr>
                <w:noProof/>
              </w:rPr>
              <w:t>Влизане в сила на всички мерки за изпълнение (включително вторично законодателство, ако е необходимо) за ефективното изпълнение и прилагане на мерките, произтичащи от Годишния закон за конкуренцията за 2022 г.</w:t>
            </w:r>
          </w:p>
        </w:tc>
      </w:tr>
      <w:tr w:rsidR="006054AA" w14:paraId="791C7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E39C2" w14:textId="77777777" w:rsidR="006054AA" w:rsidRDefault="001F7667">
            <w:pPr>
              <w:pStyle w:val="P68B1DB1-Normal12"/>
              <w:jc w:val="center"/>
              <w:rPr>
                <w:noProof/>
              </w:rPr>
            </w:pPr>
            <w:r>
              <w:rPr>
                <w:noProof/>
              </w:rPr>
              <w:t>M1C3—7</w:t>
            </w:r>
          </w:p>
        </w:tc>
        <w:tc>
          <w:tcPr>
            <w:tcW w:w="3118" w:type="dxa"/>
            <w:tcBorders>
              <w:top w:val="nil"/>
              <w:left w:val="nil"/>
              <w:bottom w:val="single" w:sz="4" w:space="0" w:color="auto"/>
              <w:right w:val="single" w:sz="4" w:space="0" w:color="auto"/>
            </w:tcBorders>
            <w:shd w:val="clear" w:color="auto" w:fill="C6EFCE"/>
            <w:noWrap/>
            <w:vAlign w:val="center"/>
          </w:tcPr>
          <w:p w14:paraId="464A8E22" w14:textId="77777777" w:rsidR="006054AA" w:rsidRDefault="001F7667">
            <w:pPr>
              <w:pStyle w:val="P68B1DB1-Normal12"/>
              <w:rPr>
                <w:noProof/>
              </w:rPr>
            </w:pPr>
            <w:r>
              <w:rPr>
                <w:noProof/>
              </w:rPr>
              <w:t>Инвестиции — 3.3 Изграждане на капацитет за операторите в областта на културата за управление на цифровия и екологичния преход.</w:t>
            </w:r>
          </w:p>
        </w:tc>
        <w:tc>
          <w:tcPr>
            <w:tcW w:w="1418" w:type="dxa"/>
            <w:tcBorders>
              <w:top w:val="nil"/>
              <w:left w:val="nil"/>
              <w:bottom w:val="single" w:sz="4" w:space="0" w:color="auto"/>
              <w:right w:val="single" w:sz="4" w:space="0" w:color="auto"/>
            </w:tcBorders>
            <w:shd w:val="clear" w:color="auto" w:fill="C6EFCE"/>
            <w:noWrap/>
            <w:vAlign w:val="center"/>
          </w:tcPr>
          <w:p w14:paraId="353B9335"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498B1E76" w14:textId="77777777" w:rsidR="006054AA" w:rsidRDefault="001F7667">
            <w:pPr>
              <w:pStyle w:val="P68B1DB1-Normal12"/>
              <w:rPr>
                <w:noProof/>
              </w:rPr>
            </w:pPr>
            <w:r>
              <w:rPr>
                <w:noProof/>
              </w:rPr>
              <w:t>Възлагане на всички обществени поръчки с изпълняващата организация/бенефициерите за всички интервенции за управление на цифровия и екологичния преход на културните оператори</w:t>
            </w:r>
          </w:p>
        </w:tc>
      </w:tr>
      <w:tr w:rsidR="006054AA" w14:paraId="25A614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23A5D" w14:textId="77777777" w:rsidR="006054AA" w:rsidRDefault="001F7667">
            <w:pPr>
              <w:pStyle w:val="P68B1DB1-Normal12"/>
              <w:jc w:val="center"/>
              <w:rPr>
                <w:noProof/>
              </w:rPr>
            </w:pPr>
            <w:r>
              <w:rPr>
                <w:noProof/>
              </w:rPr>
              <w:t>M2C1—5</w:t>
            </w:r>
          </w:p>
        </w:tc>
        <w:tc>
          <w:tcPr>
            <w:tcW w:w="3118" w:type="dxa"/>
            <w:tcBorders>
              <w:top w:val="nil"/>
              <w:left w:val="nil"/>
              <w:bottom w:val="single" w:sz="4" w:space="0" w:color="auto"/>
              <w:right w:val="single" w:sz="4" w:space="0" w:color="auto"/>
            </w:tcBorders>
            <w:shd w:val="clear" w:color="auto" w:fill="C6EFCE"/>
            <w:noWrap/>
            <w:vAlign w:val="center"/>
          </w:tcPr>
          <w:p w14:paraId="0EB5E106" w14:textId="77777777" w:rsidR="006054AA" w:rsidRDefault="001F7667">
            <w:pPr>
              <w:pStyle w:val="P68B1DB1-Normal12"/>
              <w:rPr>
                <w:noProof/>
              </w:rPr>
            </w:pPr>
            <w:r>
              <w:rPr>
                <w:noProof/>
              </w:rPr>
              <w:t>Инвестиция 2.2: Агрослънчев парк</w:t>
            </w:r>
          </w:p>
        </w:tc>
        <w:tc>
          <w:tcPr>
            <w:tcW w:w="1418" w:type="dxa"/>
            <w:tcBorders>
              <w:top w:val="nil"/>
              <w:left w:val="nil"/>
              <w:bottom w:val="single" w:sz="4" w:space="0" w:color="auto"/>
              <w:right w:val="single" w:sz="4" w:space="0" w:color="auto"/>
            </w:tcBorders>
            <w:shd w:val="clear" w:color="auto" w:fill="C6EFCE"/>
            <w:noWrap/>
            <w:vAlign w:val="center"/>
          </w:tcPr>
          <w:p w14:paraId="7286517C"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25F0E5A1" w14:textId="77777777" w:rsidR="006054AA" w:rsidRDefault="001F7667">
            <w:pPr>
              <w:pStyle w:val="P68B1DB1-Normal12"/>
              <w:rPr>
                <w:noProof/>
              </w:rPr>
            </w:pPr>
            <w:r>
              <w:rPr>
                <w:noProof/>
              </w:rPr>
              <w:t>Разпределение на ресурсите за бенефициерите като% от общия размер на финансовите ресурси, предназначени за инвестицията</w:t>
            </w:r>
          </w:p>
        </w:tc>
      </w:tr>
      <w:tr w:rsidR="006054AA" w14:paraId="6B2632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96EC2" w14:textId="77777777" w:rsidR="006054AA" w:rsidRDefault="001F7667">
            <w:pPr>
              <w:pStyle w:val="P68B1DB1-Normal12"/>
              <w:jc w:val="center"/>
              <w:rPr>
                <w:noProof/>
              </w:rPr>
            </w:pPr>
            <w:r>
              <w:rPr>
                <w:noProof/>
              </w:rPr>
              <w:t>M2C2—22</w:t>
            </w:r>
          </w:p>
        </w:tc>
        <w:tc>
          <w:tcPr>
            <w:tcW w:w="3118" w:type="dxa"/>
            <w:tcBorders>
              <w:top w:val="nil"/>
              <w:left w:val="nil"/>
              <w:bottom w:val="single" w:sz="4" w:space="0" w:color="auto"/>
              <w:right w:val="single" w:sz="4" w:space="0" w:color="auto"/>
            </w:tcBorders>
            <w:shd w:val="clear" w:color="auto" w:fill="C6EFCE"/>
            <w:noWrap/>
            <w:vAlign w:val="center"/>
          </w:tcPr>
          <w:p w14:paraId="3ACB0349" w14:textId="77777777" w:rsidR="006054AA" w:rsidRDefault="001F7667">
            <w:pPr>
              <w:pStyle w:val="P68B1DB1-Normal12"/>
              <w:rPr>
                <w:noProof/>
              </w:rPr>
            </w:pPr>
            <w:r>
              <w:rPr>
                <w:noProof/>
              </w:rPr>
              <w:t>Инвестиция 4.1 Инвестиции в екологосъобразна мобилност (Национален план на цикъла)</w:t>
            </w:r>
          </w:p>
        </w:tc>
        <w:tc>
          <w:tcPr>
            <w:tcW w:w="1418" w:type="dxa"/>
            <w:tcBorders>
              <w:top w:val="nil"/>
              <w:left w:val="nil"/>
              <w:bottom w:val="single" w:sz="4" w:space="0" w:color="auto"/>
              <w:right w:val="single" w:sz="4" w:space="0" w:color="auto"/>
            </w:tcBorders>
            <w:shd w:val="clear" w:color="auto" w:fill="C6EFCE"/>
            <w:noWrap/>
            <w:vAlign w:val="center"/>
          </w:tcPr>
          <w:p w14:paraId="1949D646"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40ADEB3C" w14:textId="77777777" w:rsidR="006054AA" w:rsidRDefault="001F7667">
            <w:pPr>
              <w:pStyle w:val="P68B1DB1-Normal12"/>
              <w:rPr>
                <w:noProof/>
              </w:rPr>
            </w:pPr>
            <w:r>
              <w:rPr>
                <w:noProof/>
              </w:rPr>
              <w:t>Велосипедни алеи T1</w:t>
            </w:r>
          </w:p>
        </w:tc>
      </w:tr>
      <w:tr w:rsidR="006054AA" w14:paraId="3E7B155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642464" w14:textId="77777777" w:rsidR="006054AA" w:rsidRDefault="001F7667">
            <w:pPr>
              <w:pStyle w:val="P68B1DB1-Normal12"/>
              <w:jc w:val="center"/>
              <w:rPr>
                <w:noProof/>
              </w:rPr>
            </w:pPr>
            <w:r>
              <w:rPr>
                <w:noProof/>
              </w:rPr>
              <w:t>M2C2—24</w:t>
            </w:r>
          </w:p>
        </w:tc>
        <w:tc>
          <w:tcPr>
            <w:tcW w:w="3118" w:type="dxa"/>
            <w:tcBorders>
              <w:top w:val="nil"/>
              <w:left w:val="nil"/>
              <w:bottom w:val="single" w:sz="4" w:space="0" w:color="auto"/>
              <w:right w:val="single" w:sz="4" w:space="0" w:color="auto"/>
            </w:tcBorders>
            <w:shd w:val="clear" w:color="auto" w:fill="C6EFCE"/>
            <w:noWrap/>
            <w:vAlign w:val="center"/>
          </w:tcPr>
          <w:p w14:paraId="23D4CC33" w14:textId="77777777" w:rsidR="006054AA" w:rsidRDefault="001F7667">
            <w:pPr>
              <w:pStyle w:val="P68B1DB1-Normal12"/>
              <w:rPr>
                <w:noProof/>
              </w:rPr>
            </w:pPr>
            <w:r>
              <w:rPr>
                <w:noProof/>
              </w:rPr>
              <w:t>Инвестиция 4.2 Разработване на системи за бърз масов транспорт (метро, улици, BRT)</w:t>
            </w:r>
          </w:p>
        </w:tc>
        <w:tc>
          <w:tcPr>
            <w:tcW w:w="1418" w:type="dxa"/>
            <w:tcBorders>
              <w:top w:val="nil"/>
              <w:left w:val="nil"/>
              <w:bottom w:val="single" w:sz="4" w:space="0" w:color="auto"/>
              <w:right w:val="single" w:sz="4" w:space="0" w:color="auto"/>
            </w:tcBorders>
            <w:shd w:val="clear" w:color="auto" w:fill="C6EFCE"/>
            <w:noWrap/>
            <w:vAlign w:val="center"/>
          </w:tcPr>
          <w:p w14:paraId="35AA7906"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67F1B35E" w14:textId="77777777" w:rsidR="006054AA" w:rsidRDefault="001F7667">
            <w:pPr>
              <w:rPr>
                <w:noProof/>
                <w:color w:val="006100"/>
                <w:sz w:val="20"/>
              </w:rPr>
            </w:pPr>
            <w:r>
              <w:rPr>
                <w:noProof/>
                <w:color w:val="006100"/>
                <w:sz w:val="20"/>
              </w:rPr>
              <w:t>Възлагане на</w:t>
            </w:r>
            <w:r>
              <w:rPr>
                <w:rStyle w:val="font71"/>
                <w:rFonts w:eastAsiaTheme="majorEastAsia"/>
                <w:noProof/>
              </w:rPr>
              <w:t xml:space="preserve"> </w:t>
            </w:r>
            <w:r>
              <w:rPr>
                <w:rStyle w:val="font81"/>
                <w:rFonts w:eastAsiaTheme="majorEastAsia"/>
                <w:noProof/>
              </w:rPr>
              <w:t>всички обществени поръчки за изграждане на метрополни области, трамваи, тролейбуси и въжени линии</w:t>
            </w:r>
          </w:p>
        </w:tc>
      </w:tr>
      <w:tr w:rsidR="006054AA" w14:paraId="29524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E4535" w14:textId="77777777" w:rsidR="006054AA" w:rsidRDefault="001F7667">
            <w:pPr>
              <w:pStyle w:val="P68B1DB1-Normal12"/>
              <w:jc w:val="center"/>
              <w:rPr>
                <w:noProof/>
              </w:rPr>
            </w:pPr>
            <w:r>
              <w:rPr>
                <w:noProof/>
              </w:rPr>
              <w:t>M4C1—10</w:t>
            </w:r>
          </w:p>
        </w:tc>
        <w:tc>
          <w:tcPr>
            <w:tcW w:w="3118" w:type="dxa"/>
            <w:tcBorders>
              <w:top w:val="nil"/>
              <w:left w:val="nil"/>
              <w:bottom w:val="single" w:sz="4" w:space="0" w:color="auto"/>
              <w:right w:val="single" w:sz="4" w:space="0" w:color="auto"/>
            </w:tcBorders>
            <w:shd w:val="clear" w:color="auto" w:fill="C6EFCE"/>
            <w:noWrap/>
            <w:vAlign w:val="center"/>
          </w:tcPr>
          <w:p w14:paraId="59E1C83C" w14:textId="77777777" w:rsidR="006054AA" w:rsidRDefault="001F7667">
            <w:pPr>
              <w:pStyle w:val="P68B1DB1-Normal12"/>
              <w:rPr>
                <w:noProof/>
              </w:rPr>
            </w:pPr>
            <w:r>
              <w:rPr>
                <w:noProof/>
              </w:rPr>
              <w:t>Реформа 2.1: Набиране на учители; Реформа 1.3: Реорганизация на училищната система; Реформа 1.2: Реформа на системата за висше професионално обучение (ИТС); Реформа 1.4: Реформа на системата за ориентиране; Реформа 1.5: Реформа на групите университетски дипломи; Реформа 1.6: Създаване на условия за реформа на университетските степени</w:t>
            </w:r>
          </w:p>
        </w:tc>
        <w:tc>
          <w:tcPr>
            <w:tcW w:w="1418" w:type="dxa"/>
            <w:tcBorders>
              <w:top w:val="nil"/>
              <w:left w:val="nil"/>
              <w:bottom w:val="single" w:sz="4" w:space="0" w:color="auto"/>
              <w:right w:val="single" w:sz="4" w:space="0" w:color="auto"/>
            </w:tcBorders>
            <w:shd w:val="clear" w:color="auto" w:fill="C6EFCE"/>
            <w:noWrap/>
            <w:vAlign w:val="center"/>
          </w:tcPr>
          <w:p w14:paraId="45CB98A9" w14:textId="77777777" w:rsidR="006054AA" w:rsidRDefault="001F7667">
            <w:pPr>
              <w:pStyle w:val="P68B1DB1-Normal12"/>
              <w:rPr>
                <w:noProof/>
              </w:rPr>
            </w:pPr>
            <w:r>
              <w:rPr>
                <w:noProof/>
              </w:rPr>
              <w:t>Ключов етап</w:t>
            </w:r>
          </w:p>
        </w:tc>
        <w:tc>
          <w:tcPr>
            <w:tcW w:w="3827" w:type="dxa"/>
            <w:tcBorders>
              <w:top w:val="nil"/>
              <w:left w:val="nil"/>
              <w:bottom w:val="single" w:sz="4" w:space="0" w:color="auto"/>
              <w:right w:val="single" w:sz="4" w:space="0" w:color="auto"/>
            </w:tcBorders>
            <w:shd w:val="clear" w:color="auto" w:fill="C6EFCE"/>
            <w:noWrap/>
            <w:vAlign w:val="center"/>
          </w:tcPr>
          <w:p w14:paraId="2EAC76B1" w14:textId="77777777" w:rsidR="006054AA" w:rsidRDefault="001F7667">
            <w:pPr>
              <w:pStyle w:val="P68B1DB1-Normal12"/>
              <w:rPr>
                <w:noProof/>
              </w:rPr>
            </w:pPr>
            <w:r>
              <w:rPr>
                <w:noProof/>
              </w:rPr>
              <w:t>Влизане в сила на регламенти за ефективно изпълнение и прилагане на всички мерки, свързани с реформите в началното, средното и висшето образование, когато е необходимо</w:t>
            </w:r>
          </w:p>
        </w:tc>
      </w:tr>
      <w:tr w:rsidR="006054AA" w14:paraId="3AF88F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B582" w14:textId="77777777" w:rsidR="006054AA" w:rsidRDefault="001F7667">
            <w:pPr>
              <w:pStyle w:val="P68B1DB1-Normal12"/>
              <w:jc w:val="center"/>
              <w:rPr>
                <w:noProof/>
              </w:rPr>
            </w:pPr>
            <w:r>
              <w:rPr>
                <w:noProof/>
              </w:rPr>
              <w:t>M4C1—11</w:t>
            </w:r>
          </w:p>
        </w:tc>
        <w:tc>
          <w:tcPr>
            <w:tcW w:w="3118" w:type="dxa"/>
            <w:tcBorders>
              <w:top w:val="nil"/>
              <w:left w:val="nil"/>
              <w:bottom w:val="single" w:sz="4" w:space="0" w:color="auto"/>
              <w:right w:val="single" w:sz="4" w:space="0" w:color="auto"/>
            </w:tcBorders>
            <w:shd w:val="clear" w:color="auto" w:fill="C6EFCE"/>
            <w:noWrap/>
            <w:vAlign w:val="center"/>
          </w:tcPr>
          <w:p w14:paraId="2F8B1505" w14:textId="77777777" w:rsidR="006054AA" w:rsidRDefault="001F7667">
            <w:pPr>
              <w:pStyle w:val="P68B1DB1-Normal12"/>
              <w:rPr>
                <w:noProof/>
              </w:rPr>
            </w:pPr>
            <w:r>
              <w:rPr>
                <w:noProof/>
              </w:rPr>
              <w:t>Инвестиция 1.7: Стипендии за достъп до университет</w:t>
            </w:r>
          </w:p>
        </w:tc>
        <w:tc>
          <w:tcPr>
            <w:tcW w:w="1418" w:type="dxa"/>
            <w:tcBorders>
              <w:top w:val="nil"/>
              <w:left w:val="nil"/>
              <w:bottom w:val="single" w:sz="4" w:space="0" w:color="auto"/>
              <w:right w:val="single" w:sz="4" w:space="0" w:color="auto"/>
            </w:tcBorders>
            <w:shd w:val="clear" w:color="auto" w:fill="C6EFCE"/>
            <w:noWrap/>
            <w:vAlign w:val="center"/>
          </w:tcPr>
          <w:p w14:paraId="05B21DA9"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1D28A2C1" w14:textId="77777777" w:rsidR="006054AA" w:rsidRDefault="001F7667">
            <w:pPr>
              <w:pStyle w:val="P68B1DB1-Normal12"/>
              <w:rPr>
                <w:noProof/>
              </w:rPr>
            </w:pPr>
            <w:r>
              <w:rPr>
                <w:noProof/>
              </w:rPr>
              <w:t>Присъдена университетска стипендия</w:t>
            </w:r>
          </w:p>
        </w:tc>
      </w:tr>
      <w:tr w:rsidR="006054AA" w14:paraId="14F66B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6269" w14:textId="77777777" w:rsidR="006054AA" w:rsidRDefault="001F7667">
            <w:pPr>
              <w:pStyle w:val="P68B1DB1-Normal12"/>
              <w:jc w:val="center"/>
              <w:rPr>
                <w:noProof/>
              </w:rPr>
            </w:pPr>
            <w:r>
              <w:rPr>
                <w:noProof/>
              </w:rPr>
              <w:t>M5C3—3</w:t>
            </w:r>
          </w:p>
        </w:tc>
        <w:tc>
          <w:tcPr>
            <w:tcW w:w="3118" w:type="dxa"/>
            <w:tcBorders>
              <w:top w:val="nil"/>
              <w:left w:val="nil"/>
              <w:bottom w:val="single" w:sz="4" w:space="0" w:color="auto"/>
              <w:right w:val="single" w:sz="4" w:space="0" w:color="auto"/>
            </w:tcBorders>
            <w:shd w:val="clear" w:color="auto" w:fill="C6EFCE"/>
            <w:noWrap/>
            <w:vAlign w:val="center"/>
          </w:tcPr>
          <w:p w14:paraId="604A360D" w14:textId="77777777" w:rsidR="006054AA" w:rsidRDefault="001F7667">
            <w:pPr>
              <w:pStyle w:val="P68B1DB1-Normal12"/>
              <w:rPr>
                <w:noProof/>
              </w:rPr>
            </w:pPr>
            <w:r>
              <w:rPr>
                <w:noProof/>
              </w:rPr>
              <w:t>Инвестиция 2: Териториална близост до здравни заведения</w:t>
            </w:r>
          </w:p>
        </w:tc>
        <w:tc>
          <w:tcPr>
            <w:tcW w:w="1418" w:type="dxa"/>
            <w:tcBorders>
              <w:top w:val="nil"/>
              <w:left w:val="nil"/>
              <w:bottom w:val="single" w:sz="4" w:space="0" w:color="auto"/>
              <w:right w:val="single" w:sz="4" w:space="0" w:color="auto"/>
            </w:tcBorders>
            <w:shd w:val="clear" w:color="auto" w:fill="C6EFCE"/>
            <w:noWrap/>
            <w:vAlign w:val="center"/>
          </w:tcPr>
          <w:p w14:paraId="1A087DBF" w14:textId="77777777" w:rsidR="006054AA" w:rsidRDefault="001F7667">
            <w:pPr>
              <w:pStyle w:val="P68B1DB1-Normal12"/>
              <w:rPr>
                <w:noProof/>
              </w:rPr>
            </w:pPr>
            <w:r>
              <w:rPr>
                <w:noProof/>
              </w:rPr>
              <w:t>Целеви</w:t>
            </w:r>
          </w:p>
        </w:tc>
        <w:tc>
          <w:tcPr>
            <w:tcW w:w="3827" w:type="dxa"/>
            <w:tcBorders>
              <w:top w:val="nil"/>
              <w:left w:val="nil"/>
              <w:bottom w:val="single" w:sz="4" w:space="0" w:color="auto"/>
              <w:right w:val="single" w:sz="4" w:space="0" w:color="auto"/>
            </w:tcBorders>
            <w:shd w:val="clear" w:color="auto" w:fill="C6EFCE"/>
            <w:noWrap/>
            <w:vAlign w:val="center"/>
          </w:tcPr>
          <w:p w14:paraId="52CCC6E0" w14:textId="77777777" w:rsidR="006054AA" w:rsidRDefault="001F7667">
            <w:pPr>
              <w:pStyle w:val="P68B1DB1-Normal12"/>
              <w:rPr>
                <w:noProof/>
              </w:rPr>
            </w:pPr>
            <w:r>
              <w:rPr>
                <w:noProof/>
              </w:rPr>
              <w:t>Подпомагане на селски аптеки в общини, населени места или населени места с по-малко от 5 000 жители (първа партида)</w:t>
            </w:r>
          </w:p>
        </w:tc>
      </w:tr>
      <w:tr w:rsidR="006054AA" w14:paraId="7D36074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980452" w14:textId="77777777" w:rsidR="006054AA" w:rsidRDefault="006054AA">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EEA9CB8" w14:textId="77777777" w:rsidR="006054AA" w:rsidRDefault="006054AA">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098B445F" w14:textId="77777777" w:rsidR="006054AA" w:rsidRDefault="001F7667">
            <w:pPr>
              <w:pStyle w:val="P68B1DB1-Normal12"/>
              <w:rPr>
                <w:noProof/>
              </w:rPr>
            </w:pPr>
            <w:r>
              <w:rPr>
                <w:noProof/>
              </w:rPr>
              <w:t>Размер на вноската</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3ECA9800" w14:textId="23798D5E" w:rsidR="006054AA" w:rsidRDefault="001F7667">
            <w:pPr>
              <w:pStyle w:val="P68B1DB1-Normal46"/>
              <w:rPr>
                <w:noProof/>
              </w:rPr>
            </w:pPr>
            <w:r>
              <w:rPr>
                <w:noProof/>
              </w:rPr>
              <w:t>3</w:t>
            </w:r>
            <w:r>
              <w:rPr>
                <w:noProof/>
              </w:rPr>
              <w:t> </w:t>
            </w:r>
            <w:r>
              <w:rPr>
                <w:noProof/>
              </w:rPr>
              <w:t>548</w:t>
            </w:r>
            <w:r>
              <w:rPr>
                <w:noProof/>
              </w:rPr>
              <w:t> </w:t>
            </w:r>
            <w:r>
              <w:rPr>
                <w:noProof/>
              </w:rPr>
              <w:t>098</w:t>
            </w:r>
            <w:r>
              <w:rPr>
                <w:noProof/>
              </w:rPr>
              <w:t> </w:t>
            </w:r>
            <w:r>
              <w:rPr>
                <w:noProof/>
              </w:rPr>
              <w:t>403</w:t>
            </w:r>
            <w:r>
              <w:rPr>
                <w:noProof/>
              </w:rPr>
              <w:t> </w:t>
            </w:r>
            <w:r>
              <w:rPr>
                <w:noProof/>
              </w:rPr>
              <w:t>EUR</w:t>
            </w:r>
          </w:p>
        </w:tc>
      </w:tr>
    </w:tbl>
    <w:p w14:paraId="5577A5CB" w14:textId="7CADF277" w:rsidR="006054AA" w:rsidRDefault="001F7667">
      <w:pPr>
        <w:pStyle w:val="P68B1DB1-Normal44"/>
        <w:numPr>
          <w:ilvl w:val="1"/>
          <w:numId w:val="6"/>
        </w:numPr>
        <w:spacing w:before="120" w:after="120"/>
        <w:jc w:val="both"/>
        <w:rPr>
          <w:noProof/>
        </w:rPr>
      </w:pPr>
      <w:r>
        <w:rPr>
          <w:noProof/>
        </w:rPr>
        <w:t>Шеста вноска (безвъзмездна подкрепа):</w:t>
      </w:r>
    </w:p>
    <w:tbl>
      <w:tblPr>
        <w:tblW w:w="9998" w:type="dxa"/>
        <w:tblInd w:w="113" w:type="dxa"/>
        <w:tblLook w:val="04A0" w:firstRow="1" w:lastRow="0" w:firstColumn="1" w:lastColumn="0" w:noHBand="0" w:noVBand="1"/>
      </w:tblPr>
      <w:tblGrid>
        <w:gridCol w:w="1413"/>
        <w:gridCol w:w="3118"/>
        <w:gridCol w:w="1418"/>
        <w:gridCol w:w="4049"/>
      </w:tblGrid>
      <w:tr w:rsidR="006054AA" w14:paraId="0CAAA92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FC4CF0" w14:textId="77777777" w:rsidR="006054AA" w:rsidRDefault="001F7667">
            <w:pPr>
              <w:pStyle w:val="P68B1DB1-Normal45"/>
              <w:jc w:val="center"/>
              <w:rPr>
                <w:noProof/>
              </w:rPr>
            </w:pPr>
            <w:r>
              <w:rPr>
                <w:noProof/>
              </w:rPr>
              <w:t>Пореден номер</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20805B" w14:textId="77777777" w:rsidR="006054AA" w:rsidRDefault="001F7667">
            <w:pPr>
              <w:pStyle w:val="P68B1DB1-Normal45"/>
              <w:jc w:val="center"/>
              <w:rPr>
                <w:noProof/>
              </w:rPr>
            </w:pPr>
            <w:r>
              <w:rPr>
                <w:noProof/>
              </w:rPr>
              <w:t>Свързана мярка (реформа или инвестиции)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E915D9" w14:textId="77777777" w:rsidR="006054AA" w:rsidRDefault="001F7667">
            <w:pPr>
              <w:pStyle w:val="P68B1DB1-Normal45"/>
              <w:jc w:val="center"/>
              <w:rPr>
                <w:noProof/>
              </w:rPr>
            </w:pPr>
            <w:r>
              <w:rPr>
                <w:noProof/>
              </w:rPr>
              <w:t>Ключов етап/Цел</w:t>
            </w:r>
          </w:p>
        </w:tc>
        <w:tc>
          <w:tcPr>
            <w:tcW w:w="40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F80A28" w14:textId="77777777" w:rsidR="006054AA" w:rsidRDefault="001F7667">
            <w:pPr>
              <w:pStyle w:val="P68B1DB1-Normal45"/>
              <w:jc w:val="center"/>
              <w:rPr>
                <w:noProof/>
              </w:rPr>
            </w:pPr>
            <w:r>
              <w:rPr>
                <w:noProof/>
              </w:rPr>
              <w:t>Име</w:t>
            </w:r>
          </w:p>
        </w:tc>
      </w:tr>
      <w:tr w:rsidR="006054AA" w14:paraId="1482EFF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A270F90" w14:textId="77777777" w:rsidR="006054AA" w:rsidRDefault="006054AA">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78CC01C" w14:textId="77777777" w:rsidR="006054AA" w:rsidRDefault="006054AA">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B2BFE0" w14:textId="77777777" w:rsidR="006054AA" w:rsidRDefault="006054AA">
            <w:pPr>
              <w:rPr>
                <w:b/>
                <w:noProof/>
              </w:rPr>
            </w:pPr>
          </w:p>
        </w:tc>
        <w:tc>
          <w:tcPr>
            <w:tcW w:w="4049" w:type="dxa"/>
            <w:vMerge/>
            <w:tcBorders>
              <w:top w:val="single" w:sz="4" w:space="0" w:color="auto"/>
              <w:left w:val="single" w:sz="4" w:space="0" w:color="auto"/>
              <w:bottom w:val="single" w:sz="4" w:space="0" w:color="auto"/>
              <w:right w:val="single" w:sz="4" w:space="0" w:color="auto"/>
            </w:tcBorders>
            <w:vAlign w:val="center"/>
            <w:hideMark/>
          </w:tcPr>
          <w:p w14:paraId="1D77B5B7" w14:textId="77777777" w:rsidR="006054AA" w:rsidRDefault="006054AA">
            <w:pPr>
              <w:rPr>
                <w:b/>
                <w:noProof/>
              </w:rPr>
            </w:pPr>
          </w:p>
        </w:tc>
      </w:tr>
      <w:tr w:rsidR="006054AA" w14:paraId="116AD30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BCECF" w14:textId="77777777" w:rsidR="006054AA" w:rsidRDefault="001F7667">
            <w:pPr>
              <w:pStyle w:val="P68B1DB1-Normal12"/>
              <w:jc w:val="center"/>
              <w:rPr>
                <w:noProof/>
              </w:rPr>
            </w:pPr>
            <w:r>
              <w:rPr>
                <w:noProof/>
              </w:rPr>
              <w:t>M1C1—14bis</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779C85E" w14:textId="77777777" w:rsidR="006054AA" w:rsidRDefault="001F7667">
            <w:pPr>
              <w:pStyle w:val="P68B1DB1-Normal12"/>
              <w:rPr>
                <w:noProof/>
              </w:rPr>
            </w:pPr>
            <w:r>
              <w:rPr>
                <w:noProof/>
              </w:rPr>
              <w:t>Реформа 1.9.1: Реформа за ускоряване на прилагането на политиката на сближаване</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08B103" w14:textId="77777777" w:rsidR="006054AA" w:rsidRDefault="001F7667">
            <w:pPr>
              <w:pStyle w:val="P68B1DB1-Normal12"/>
              <w:rPr>
                <w:noProof/>
              </w:rPr>
            </w:pPr>
            <w:r>
              <w:rPr>
                <w:noProof/>
              </w:rPr>
              <w:t xml:space="preserve">Ключов етап </w:t>
            </w:r>
          </w:p>
        </w:tc>
        <w:tc>
          <w:tcPr>
            <w:tcW w:w="4049" w:type="dxa"/>
            <w:tcBorders>
              <w:top w:val="single" w:sz="4" w:space="0" w:color="auto"/>
              <w:left w:val="nil"/>
              <w:bottom w:val="single" w:sz="4" w:space="0" w:color="auto"/>
              <w:right w:val="single" w:sz="4" w:space="0" w:color="auto"/>
            </w:tcBorders>
            <w:shd w:val="clear" w:color="auto" w:fill="C6EFCE"/>
            <w:noWrap/>
            <w:vAlign w:val="center"/>
          </w:tcPr>
          <w:p w14:paraId="467BAB63" w14:textId="77777777" w:rsidR="006054AA" w:rsidRDefault="001F7667">
            <w:pPr>
              <w:pStyle w:val="P68B1DB1-Normal12"/>
              <w:rPr>
                <w:noProof/>
              </w:rPr>
            </w:pPr>
            <w:r>
              <w:rPr>
                <w:noProof/>
              </w:rPr>
              <w:t>Влизане в сила на националното законодателство за ускоряване на прилагането на политиката на сближаване</w:t>
            </w:r>
          </w:p>
        </w:tc>
      </w:tr>
      <w:tr w:rsidR="006054AA" w14:paraId="217F54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2D7F44" w14:textId="77777777" w:rsidR="006054AA" w:rsidRDefault="001F7667">
            <w:pPr>
              <w:pStyle w:val="P68B1DB1-Normal12"/>
              <w:jc w:val="center"/>
              <w:rPr>
                <w:noProof/>
              </w:rPr>
            </w:pPr>
            <w:r>
              <w:rPr>
                <w:noProof/>
              </w:rPr>
              <w:t>M1C1—15</w:t>
            </w:r>
          </w:p>
        </w:tc>
        <w:tc>
          <w:tcPr>
            <w:tcW w:w="3118" w:type="dxa"/>
            <w:tcBorders>
              <w:top w:val="nil"/>
              <w:left w:val="nil"/>
              <w:bottom w:val="single" w:sz="4" w:space="0" w:color="auto"/>
              <w:right w:val="single" w:sz="4" w:space="0" w:color="auto"/>
            </w:tcBorders>
            <w:shd w:val="clear" w:color="auto" w:fill="C6EFCE"/>
            <w:noWrap/>
            <w:vAlign w:val="center"/>
          </w:tcPr>
          <w:p w14:paraId="4E782C7E" w14:textId="77777777" w:rsidR="006054AA" w:rsidRDefault="001F7667">
            <w:pPr>
              <w:pStyle w:val="P68B1DB1-Normal12"/>
              <w:rPr>
                <w:noProof/>
              </w:rPr>
            </w:pPr>
            <w:r>
              <w:rPr>
                <w:noProof/>
              </w:rPr>
              <w:t>Инвестиция 1.6.6: Цифровизация на финансовата полиция</w:t>
            </w:r>
          </w:p>
        </w:tc>
        <w:tc>
          <w:tcPr>
            <w:tcW w:w="1418" w:type="dxa"/>
            <w:tcBorders>
              <w:top w:val="nil"/>
              <w:left w:val="nil"/>
              <w:bottom w:val="single" w:sz="4" w:space="0" w:color="auto"/>
              <w:right w:val="single" w:sz="4" w:space="0" w:color="auto"/>
            </w:tcBorders>
            <w:shd w:val="clear" w:color="auto" w:fill="C6EFCE"/>
            <w:noWrap/>
            <w:vAlign w:val="center"/>
          </w:tcPr>
          <w:p w14:paraId="734FC0FA"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55AB238A" w14:textId="77777777" w:rsidR="006054AA" w:rsidRDefault="001F7667">
            <w:pPr>
              <w:pStyle w:val="P68B1DB1-Normal12"/>
              <w:rPr>
                <w:noProof/>
              </w:rPr>
            </w:pPr>
            <w:r>
              <w:rPr>
                <w:noProof/>
              </w:rPr>
              <w:t>Финансова полиция — закупуване на професионални услуги в областта на науката за данните T2</w:t>
            </w:r>
          </w:p>
        </w:tc>
      </w:tr>
      <w:tr w:rsidR="006054AA" w14:paraId="4BB162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DB82E2" w14:textId="77777777" w:rsidR="006054AA" w:rsidRDefault="001F7667">
            <w:pPr>
              <w:pStyle w:val="P68B1DB1-Normal12"/>
              <w:jc w:val="center"/>
              <w:rPr>
                <w:noProof/>
              </w:rPr>
            </w:pPr>
            <w:r>
              <w:rPr>
                <w:noProof/>
              </w:rPr>
              <w:t>M1C1—37bis</w:t>
            </w:r>
          </w:p>
        </w:tc>
        <w:tc>
          <w:tcPr>
            <w:tcW w:w="3118" w:type="dxa"/>
            <w:tcBorders>
              <w:top w:val="nil"/>
              <w:left w:val="nil"/>
              <w:bottom w:val="single" w:sz="4" w:space="0" w:color="auto"/>
              <w:right w:val="single" w:sz="4" w:space="0" w:color="auto"/>
            </w:tcBorders>
            <w:shd w:val="clear" w:color="auto" w:fill="C6EFCE"/>
            <w:noWrap/>
            <w:vAlign w:val="center"/>
          </w:tcPr>
          <w:p w14:paraId="7C38F3E3" w14:textId="77777777" w:rsidR="006054AA" w:rsidRDefault="001F7667">
            <w:pPr>
              <w:pStyle w:val="P68B1DB1-Normal12"/>
              <w:rPr>
                <w:noProof/>
              </w:rPr>
            </w:pPr>
            <w:r>
              <w:rPr>
                <w:noProof/>
              </w:rPr>
              <w:t>Реформа 1.4: Реформа на гражданското правосъдие</w:t>
            </w:r>
          </w:p>
        </w:tc>
        <w:tc>
          <w:tcPr>
            <w:tcW w:w="1418" w:type="dxa"/>
            <w:tcBorders>
              <w:top w:val="nil"/>
              <w:left w:val="nil"/>
              <w:bottom w:val="single" w:sz="4" w:space="0" w:color="auto"/>
              <w:right w:val="single" w:sz="4" w:space="0" w:color="auto"/>
            </w:tcBorders>
            <w:shd w:val="clear" w:color="auto" w:fill="C6EFCE"/>
            <w:noWrap/>
            <w:vAlign w:val="center"/>
          </w:tcPr>
          <w:p w14:paraId="2FF138DD"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541F3141" w14:textId="77777777" w:rsidR="006054AA" w:rsidRDefault="001F7667">
            <w:pPr>
              <w:pStyle w:val="P68B1DB1-Normal12"/>
              <w:rPr>
                <w:noProof/>
              </w:rPr>
            </w:pPr>
            <w:r>
              <w:rPr>
                <w:noProof/>
              </w:rPr>
              <w:t>Влизане в сила на мерки, насочени към намаляване на изоставането</w:t>
            </w:r>
          </w:p>
        </w:tc>
      </w:tr>
      <w:tr w:rsidR="006054AA" w14:paraId="5F369B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FAB0B" w14:textId="77777777" w:rsidR="006054AA" w:rsidRDefault="001F7667">
            <w:pPr>
              <w:pStyle w:val="P68B1DB1-Normal12"/>
              <w:jc w:val="center"/>
              <w:rPr>
                <w:noProof/>
              </w:rPr>
            </w:pPr>
            <w:r>
              <w:rPr>
                <w:noProof/>
              </w:rPr>
              <w:t>M1C1—72bis</w:t>
            </w:r>
          </w:p>
        </w:tc>
        <w:tc>
          <w:tcPr>
            <w:tcW w:w="3118" w:type="dxa"/>
            <w:tcBorders>
              <w:top w:val="nil"/>
              <w:left w:val="nil"/>
              <w:bottom w:val="single" w:sz="4" w:space="0" w:color="auto"/>
              <w:right w:val="single" w:sz="4" w:space="0" w:color="auto"/>
            </w:tcBorders>
            <w:shd w:val="clear" w:color="auto" w:fill="C6EFCE"/>
            <w:noWrap/>
            <w:vAlign w:val="center"/>
          </w:tcPr>
          <w:p w14:paraId="2CF1B8B0" w14:textId="77777777" w:rsidR="006054AA" w:rsidRDefault="001F7667">
            <w:pPr>
              <w:pStyle w:val="P68B1DB1-Normal12"/>
              <w:rPr>
                <w:noProof/>
              </w:rPr>
            </w:pPr>
            <w:r>
              <w:rPr>
                <w:noProof/>
              </w:rPr>
              <w:t>Реформа 1.11: Намаляване на забавените плащания от страна на публичните администрации и здравните органи</w:t>
            </w:r>
          </w:p>
        </w:tc>
        <w:tc>
          <w:tcPr>
            <w:tcW w:w="1418" w:type="dxa"/>
            <w:tcBorders>
              <w:top w:val="nil"/>
              <w:left w:val="nil"/>
              <w:bottom w:val="single" w:sz="4" w:space="0" w:color="auto"/>
              <w:right w:val="single" w:sz="4" w:space="0" w:color="auto"/>
            </w:tcBorders>
            <w:shd w:val="clear" w:color="auto" w:fill="C6EFCE"/>
            <w:noWrap/>
            <w:vAlign w:val="center"/>
          </w:tcPr>
          <w:p w14:paraId="5046FCCC"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4E5CF52D" w14:textId="77777777" w:rsidR="006054AA" w:rsidRDefault="001F7667">
            <w:pPr>
              <w:pStyle w:val="P68B1DB1-Normal12"/>
              <w:rPr>
                <w:noProof/>
              </w:rPr>
            </w:pPr>
            <w:r>
              <w:rPr>
                <w:noProof/>
              </w:rPr>
              <w:t>Законодателни и специфични действия за намаляване на забавените плащания на централно/местно равнище</w:t>
            </w:r>
          </w:p>
        </w:tc>
      </w:tr>
      <w:tr w:rsidR="006054AA" w14:paraId="079BE9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153B6" w14:textId="77777777" w:rsidR="006054AA" w:rsidRDefault="001F7667">
            <w:pPr>
              <w:pStyle w:val="P68B1DB1-Normal12"/>
              <w:jc w:val="center"/>
              <w:rPr>
                <w:noProof/>
              </w:rPr>
            </w:pPr>
            <w:r>
              <w:rPr>
                <w:noProof/>
              </w:rPr>
              <w:t>M1C1—72sixies</w:t>
            </w:r>
          </w:p>
        </w:tc>
        <w:tc>
          <w:tcPr>
            <w:tcW w:w="3118" w:type="dxa"/>
            <w:tcBorders>
              <w:top w:val="nil"/>
              <w:left w:val="nil"/>
              <w:bottom w:val="single" w:sz="4" w:space="0" w:color="auto"/>
              <w:right w:val="single" w:sz="4" w:space="0" w:color="auto"/>
            </w:tcBorders>
            <w:shd w:val="clear" w:color="auto" w:fill="C6EFCE"/>
            <w:noWrap/>
            <w:vAlign w:val="center"/>
          </w:tcPr>
          <w:p w14:paraId="46F553D8" w14:textId="77777777" w:rsidR="006054AA" w:rsidRDefault="001F7667">
            <w:pPr>
              <w:pStyle w:val="P68B1DB1-Normal12"/>
              <w:rPr>
                <w:noProof/>
              </w:rPr>
            </w:pPr>
            <w:r>
              <w:rPr>
                <w:noProof/>
              </w:rPr>
              <w:t>Реформа 1.11: Намаляване на забавените плащания от страна на публичните администрации и здравните органи</w:t>
            </w:r>
          </w:p>
        </w:tc>
        <w:tc>
          <w:tcPr>
            <w:tcW w:w="1418" w:type="dxa"/>
            <w:tcBorders>
              <w:top w:val="nil"/>
              <w:left w:val="nil"/>
              <w:bottom w:val="single" w:sz="4" w:space="0" w:color="auto"/>
              <w:right w:val="single" w:sz="4" w:space="0" w:color="auto"/>
            </w:tcBorders>
            <w:shd w:val="clear" w:color="auto" w:fill="C6EFCE"/>
            <w:noWrap/>
            <w:vAlign w:val="center"/>
          </w:tcPr>
          <w:p w14:paraId="4C9E606E"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72E6496E" w14:textId="77777777" w:rsidR="006054AA" w:rsidRDefault="001F7667">
            <w:pPr>
              <w:pStyle w:val="P68B1DB1-Normal12"/>
              <w:rPr>
                <w:noProof/>
              </w:rPr>
            </w:pPr>
            <w:r>
              <w:rPr>
                <w:noProof/>
              </w:rPr>
              <w:t>Хоризонтални мерки за намаляване на забавените плащания от РА към предприятията</w:t>
            </w:r>
          </w:p>
        </w:tc>
      </w:tr>
      <w:tr w:rsidR="006054AA" w14:paraId="3A34FA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508330" w14:textId="77777777" w:rsidR="006054AA" w:rsidRDefault="001F7667">
            <w:pPr>
              <w:pStyle w:val="P68B1DB1-Normal12"/>
              <w:jc w:val="center"/>
              <w:rPr>
                <w:noProof/>
              </w:rPr>
            </w:pPr>
            <w:r>
              <w:rPr>
                <w:noProof/>
              </w:rPr>
              <w:t>M2C2—6</w:t>
            </w:r>
          </w:p>
        </w:tc>
        <w:tc>
          <w:tcPr>
            <w:tcW w:w="3118" w:type="dxa"/>
            <w:tcBorders>
              <w:top w:val="nil"/>
              <w:left w:val="nil"/>
              <w:bottom w:val="single" w:sz="4" w:space="0" w:color="auto"/>
              <w:right w:val="single" w:sz="4" w:space="0" w:color="auto"/>
            </w:tcBorders>
            <w:shd w:val="clear" w:color="auto" w:fill="C6EFCE"/>
            <w:noWrap/>
            <w:vAlign w:val="center"/>
          </w:tcPr>
          <w:p w14:paraId="42C585BB" w14:textId="77777777" w:rsidR="006054AA" w:rsidRDefault="001F7667">
            <w:pPr>
              <w:pStyle w:val="P68B1DB1-Normal12"/>
              <w:rPr>
                <w:noProof/>
              </w:rPr>
            </w:pPr>
            <w:r>
              <w:rPr>
                <w:noProof/>
              </w:rPr>
              <w:t>Реформа 1 Опростяване на разрешителните процедури за инсталации за енергия от възобновяеми източници на сушата и в морето и нова правна рамка за поддържане на производството от възобновяеми източници и удължаване на срока и допустимостта на настоящите схеми за подпомагане</w:t>
            </w:r>
          </w:p>
        </w:tc>
        <w:tc>
          <w:tcPr>
            <w:tcW w:w="1418" w:type="dxa"/>
            <w:tcBorders>
              <w:top w:val="nil"/>
              <w:left w:val="nil"/>
              <w:bottom w:val="single" w:sz="4" w:space="0" w:color="auto"/>
              <w:right w:val="single" w:sz="4" w:space="0" w:color="auto"/>
            </w:tcBorders>
            <w:shd w:val="clear" w:color="auto" w:fill="C6EFCE"/>
            <w:noWrap/>
            <w:vAlign w:val="center"/>
          </w:tcPr>
          <w:p w14:paraId="2EA820BE"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02FCE049" w14:textId="77777777" w:rsidR="006054AA" w:rsidRDefault="001F7667">
            <w:pPr>
              <w:pStyle w:val="P68B1DB1-Normal12"/>
              <w:rPr>
                <w:noProof/>
              </w:rPr>
            </w:pPr>
            <w:r>
              <w:rPr>
                <w:noProof/>
              </w:rPr>
              <w:t>Влизане в сила на правна рамка за опростяване на разрешителните процедури за изграждане на структури за енергия от възобновяеми източници на сушата и в морето</w:t>
            </w:r>
          </w:p>
        </w:tc>
      </w:tr>
      <w:tr w:rsidR="006054AA" w14:paraId="7D1557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8D084" w14:textId="77777777" w:rsidR="006054AA" w:rsidRDefault="001F7667">
            <w:pPr>
              <w:pStyle w:val="P68B1DB1-Normal12"/>
              <w:jc w:val="center"/>
              <w:rPr>
                <w:noProof/>
              </w:rPr>
            </w:pPr>
            <w:r>
              <w:rPr>
                <w:noProof/>
              </w:rPr>
              <w:t>M4C1—8</w:t>
            </w:r>
          </w:p>
        </w:tc>
        <w:tc>
          <w:tcPr>
            <w:tcW w:w="3118" w:type="dxa"/>
            <w:tcBorders>
              <w:top w:val="nil"/>
              <w:left w:val="nil"/>
              <w:bottom w:val="single" w:sz="4" w:space="0" w:color="auto"/>
              <w:right w:val="single" w:sz="4" w:space="0" w:color="auto"/>
            </w:tcBorders>
            <w:shd w:val="clear" w:color="auto" w:fill="C6EFCE"/>
            <w:noWrap/>
            <w:vAlign w:val="center"/>
          </w:tcPr>
          <w:p w14:paraId="591406A2" w14:textId="77777777" w:rsidR="006054AA" w:rsidRDefault="001F7667">
            <w:pPr>
              <w:pStyle w:val="P68B1DB1-Normal12"/>
              <w:rPr>
                <w:noProof/>
              </w:rPr>
            </w:pPr>
            <w:r>
              <w:rPr>
                <w:noProof/>
              </w:rPr>
              <w:t>Инвестиция 1.3: План за подобряване на училищната спортна инфраструктура</w:t>
            </w:r>
          </w:p>
        </w:tc>
        <w:tc>
          <w:tcPr>
            <w:tcW w:w="1418" w:type="dxa"/>
            <w:tcBorders>
              <w:top w:val="nil"/>
              <w:left w:val="nil"/>
              <w:bottom w:val="single" w:sz="4" w:space="0" w:color="auto"/>
              <w:right w:val="single" w:sz="4" w:space="0" w:color="auto"/>
            </w:tcBorders>
            <w:shd w:val="clear" w:color="auto" w:fill="C6EFCE"/>
            <w:noWrap/>
            <w:vAlign w:val="center"/>
          </w:tcPr>
          <w:p w14:paraId="704F54E8"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2E79433D" w14:textId="77777777" w:rsidR="006054AA" w:rsidRDefault="001F7667">
            <w:pPr>
              <w:pStyle w:val="P68B1DB1-Normal12"/>
              <w:rPr>
                <w:noProof/>
              </w:rPr>
            </w:pPr>
            <w:r>
              <w:rPr>
                <w:noProof/>
              </w:rPr>
              <w:t>Възлагане на договори за интервенции за изграждане и обновяване на спортни съоръжения и спортни зали, предвидени в постановлението на Министерството на образованието</w:t>
            </w:r>
          </w:p>
        </w:tc>
      </w:tr>
      <w:tr w:rsidR="006054AA" w14:paraId="59B594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D7EDC2" w14:textId="77777777" w:rsidR="006054AA" w:rsidRDefault="001F7667">
            <w:pPr>
              <w:pStyle w:val="P68B1DB1-Normal12"/>
              <w:jc w:val="center"/>
              <w:rPr>
                <w:noProof/>
              </w:rPr>
            </w:pPr>
            <w:r>
              <w:rPr>
                <w:noProof/>
              </w:rPr>
              <w:t xml:space="preserve">M5C1—9 </w:t>
            </w:r>
          </w:p>
        </w:tc>
        <w:tc>
          <w:tcPr>
            <w:tcW w:w="3118" w:type="dxa"/>
            <w:tcBorders>
              <w:top w:val="nil"/>
              <w:left w:val="nil"/>
              <w:bottom w:val="single" w:sz="4" w:space="0" w:color="auto"/>
              <w:right w:val="single" w:sz="4" w:space="0" w:color="auto"/>
            </w:tcBorders>
            <w:shd w:val="clear" w:color="auto" w:fill="C6EFCE"/>
            <w:noWrap/>
            <w:vAlign w:val="center"/>
          </w:tcPr>
          <w:p w14:paraId="14C901B9" w14:textId="77777777" w:rsidR="006054AA" w:rsidRDefault="001F7667">
            <w:pPr>
              <w:pStyle w:val="P68B1DB1-Normal12"/>
              <w:rPr>
                <w:noProof/>
              </w:rPr>
            </w:pPr>
            <w:r>
              <w:rPr>
                <w:noProof/>
              </w:rPr>
              <w:t>Реформа 2 — Недеклариран труд</w:t>
            </w:r>
          </w:p>
        </w:tc>
        <w:tc>
          <w:tcPr>
            <w:tcW w:w="1418" w:type="dxa"/>
            <w:tcBorders>
              <w:top w:val="nil"/>
              <w:left w:val="nil"/>
              <w:bottom w:val="single" w:sz="4" w:space="0" w:color="auto"/>
              <w:right w:val="single" w:sz="4" w:space="0" w:color="auto"/>
            </w:tcBorders>
            <w:shd w:val="clear" w:color="auto" w:fill="C6EFCE"/>
            <w:noWrap/>
            <w:vAlign w:val="center"/>
          </w:tcPr>
          <w:p w14:paraId="7E53CC4D"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6FD1ABB8" w14:textId="77777777" w:rsidR="006054AA" w:rsidRDefault="001F7667">
            <w:pPr>
              <w:pStyle w:val="P68B1DB1-Normal12"/>
              <w:rPr>
                <w:noProof/>
              </w:rPr>
            </w:pPr>
            <w:r>
              <w:rPr>
                <w:noProof/>
              </w:rPr>
              <w:t>Пълно прилагане на мерките, включени в националния план, в съответствие с пътната карта</w:t>
            </w:r>
          </w:p>
        </w:tc>
      </w:tr>
      <w:tr w:rsidR="006054AA" w14:paraId="02B878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0FBB10" w14:textId="77777777" w:rsidR="006054AA" w:rsidRDefault="001F7667">
            <w:pPr>
              <w:pStyle w:val="P68B1DB1-Normal12"/>
              <w:jc w:val="center"/>
              <w:rPr>
                <w:noProof/>
              </w:rPr>
            </w:pPr>
            <w:r>
              <w:rPr>
                <w:noProof/>
              </w:rPr>
              <w:t>M5C2—4</w:t>
            </w:r>
          </w:p>
        </w:tc>
        <w:tc>
          <w:tcPr>
            <w:tcW w:w="3118" w:type="dxa"/>
            <w:tcBorders>
              <w:top w:val="nil"/>
              <w:left w:val="nil"/>
              <w:bottom w:val="single" w:sz="4" w:space="0" w:color="auto"/>
              <w:right w:val="single" w:sz="4" w:space="0" w:color="auto"/>
            </w:tcBorders>
            <w:shd w:val="clear" w:color="auto" w:fill="C6EFCE"/>
            <w:noWrap/>
            <w:vAlign w:val="center"/>
          </w:tcPr>
          <w:p w14:paraId="44881B3F" w14:textId="77777777" w:rsidR="006054AA" w:rsidRDefault="001F7667">
            <w:pPr>
              <w:pStyle w:val="P68B1DB1-Normal12"/>
              <w:rPr>
                <w:noProof/>
              </w:rPr>
            </w:pPr>
            <w:r>
              <w:rPr>
                <w:noProof/>
              </w:rPr>
              <w:t>Реформа 2 — Реформа за възрастните хора, които не са самодостатъчни</w:t>
            </w:r>
          </w:p>
        </w:tc>
        <w:tc>
          <w:tcPr>
            <w:tcW w:w="1418" w:type="dxa"/>
            <w:tcBorders>
              <w:top w:val="nil"/>
              <w:left w:val="nil"/>
              <w:bottom w:val="single" w:sz="4" w:space="0" w:color="auto"/>
              <w:right w:val="single" w:sz="4" w:space="0" w:color="auto"/>
            </w:tcBorders>
            <w:shd w:val="clear" w:color="auto" w:fill="C6EFCE"/>
            <w:noWrap/>
            <w:vAlign w:val="center"/>
          </w:tcPr>
          <w:p w14:paraId="348A0FD6"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2F8E5751" w14:textId="77777777" w:rsidR="006054AA" w:rsidRDefault="001F7667">
            <w:pPr>
              <w:pStyle w:val="P68B1DB1-Normal12"/>
              <w:rPr>
                <w:noProof/>
              </w:rPr>
            </w:pPr>
            <w:r>
              <w:rPr>
                <w:noProof/>
              </w:rPr>
              <w:t>Влизане в сила на законодателните постановления, с които се доразвиват разпоредбите на Рамковия закон за засилване на действията в полза на възрастните хора, които не са самодостатъчни</w:t>
            </w:r>
          </w:p>
        </w:tc>
      </w:tr>
      <w:tr w:rsidR="006054AA" w14:paraId="789082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DB177" w14:textId="77777777" w:rsidR="006054AA" w:rsidRDefault="001F7667">
            <w:pPr>
              <w:pStyle w:val="P68B1DB1-Normal12"/>
              <w:jc w:val="center"/>
              <w:rPr>
                <w:noProof/>
              </w:rPr>
            </w:pPr>
            <w:r>
              <w:rPr>
                <w:noProof/>
              </w:rPr>
              <w:t>M7—9</w:t>
            </w:r>
          </w:p>
        </w:tc>
        <w:tc>
          <w:tcPr>
            <w:tcW w:w="3118" w:type="dxa"/>
            <w:tcBorders>
              <w:top w:val="nil"/>
              <w:left w:val="nil"/>
              <w:bottom w:val="single" w:sz="4" w:space="0" w:color="auto"/>
              <w:right w:val="single" w:sz="4" w:space="0" w:color="auto"/>
            </w:tcBorders>
            <w:shd w:val="clear" w:color="auto" w:fill="C6EFCE"/>
            <w:noWrap/>
            <w:vAlign w:val="center"/>
          </w:tcPr>
          <w:p w14:paraId="2EBE18D8" w14:textId="77777777" w:rsidR="006054AA" w:rsidRDefault="001F7667">
            <w:pPr>
              <w:pStyle w:val="P68B1DB1-Normal12"/>
              <w:rPr>
                <w:noProof/>
              </w:rPr>
            </w:pPr>
            <w:r>
              <w:rPr>
                <w:noProof/>
              </w:rPr>
              <w:t>Реформа 5: План за нови умения — преход</w:t>
            </w:r>
          </w:p>
        </w:tc>
        <w:tc>
          <w:tcPr>
            <w:tcW w:w="1418" w:type="dxa"/>
            <w:tcBorders>
              <w:top w:val="nil"/>
              <w:left w:val="nil"/>
              <w:bottom w:val="single" w:sz="4" w:space="0" w:color="auto"/>
              <w:right w:val="single" w:sz="4" w:space="0" w:color="auto"/>
            </w:tcBorders>
            <w:shd w:val="clear" w:color="auto" w:fill="C6EFCE"/>
            <w:noWrap/>
            <w:vAlign w:val="center"/>
          </w:tcPr>
          <w:p w14:paraId="4DCBF58D"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24980F52" w14:textId="77777777" w:rsidR="006054AA" w:rsidRDefault="001F7667">
            <w:pPr>
              <w:pStyle w:val="P68B1DB1-Normal12"/>
              <w:rPr>
                <w:noProof/>
              </w:rPr>
            </w:pPr>
            <w:r>
              <w:rPr>
                <w:noProof/>
              </w:rPr>
              <w:t>Приемане и публикуване на новия план за уменията — Преходни мерки и на пътната карта за изпълнение</w:t>
            </w:r>
          </w:p>
        </w:tc>
      </w:tr>
      <w:tr w:rsidR="006054AA" w14:paraId="06352D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E19356" w14:textId="77777777" w:rsidR="006054AA" w:rsidRDefault="001F7667">
            <w:pPr>
              <w:pStyle w:val="P68B1DB1-Normal12"/>
              <w:jc w:val="center"/>
              <w:rPr>
                <w:noProof/>
              </w:rPr>
            </w:pPr>
            <w:r>
              <w:rPr>
                <w:noProof/>
              </w:rPr>
              <w:t>M7—32</w:t>
            </w:r>
          </w:p>
        </w:tc>
        <w:tc>
          <w:tcPr>
            <w:tcW w:w="3118" w:type="dxa"/>
            <w:tcBorders>
              <w:top w:val="nil"/>
              <w:left w:val="nil"/>
              <w:bottom w:val="single" w:sz="4" w:space="0" w:color="auto"/>
              <w:right w:val="single" w:sz="4" w:space="0" w:color="auto"/>
            </w:tcBorders>
            <w:shd w:val="clear" w:color="auto" w:fill="C6EFCE"/>
            <w:noWrap/>
            <w:vAlign w:val="center"/>
          </w:tcPr>
          <w:p w14:paraId="1ADE2C2D" w14:textId="77777777" w:rsidR="006054AA" w:rsidRDefault="001F7667">
            <w:pPr>
              <w:pStyle w:val="P68B1DB1-Normal12"/>
              <w:rPr>
                <w:noProof/>
              </w:rPr>
            </w:pPr>
            <w:r>
              <w:rPr>
                <w:noProof/>
              </w:rPr>
              <w:t>Схема за отпускане на безвъзмездни средства за инвестиции 12 за развитие на международно и промишлено лидерство и лидерство в областта на научноизследователската и развойната дейност в електрическите автобуси</w:t>
            </w:r>
          </w:p>
        </w:tc>
        <w:tc>
          <w:tcPr>
            <w:tcW w:w="1418" w:type="dxa"/>
            <w:tcBorders>
              <w:top w:val="nil"/>
              <w:left w:val="nil"/>
              <w:bottom w:val="single" w:sz="4" w:space="0" w:color="auto"/>
              <w:right w:val="single" w:sz="4" w:space="0" w:color="auto"/>
            </w:tcBorders>
            <w:shd w:val="clear" w:color="auto" w:fill="C6EFCE"/>
            <w:noWrap/>
            <w:vAlign w:val="center"/>
          </w:tcPr>
          <w:p w14:paraId="58517D55"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49420E8E" w14:textId="77777777" w:rsidR="006054AA" w:rsidRDefault="001F7667">
            <w:pPr>
              <w:pStyle w:val="P68B1DB1-Normal12"/>
              <w:rPr>
                <w:noProof/>
              </w:rPr>
            </w:pPr>
            <w:r>
              <w:rPr>
                <w:noProof/>
              </w:rPr>
              <w:t>Споразумение за изпълнение</w:t>
            </w:r>
          </w:p>
        </w:tc>
      </w:tr>
      <w:tr w:rsidR="006054AA" w14:paraId="1FAF1F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2F12B2" w14:textId="77777777" w:rsidR="006054AA" w:rsidRDefault="001F7667">
            <w:pPr>
              <w:pStyle w:val="P68B1DB1-Normal12"/>
              <w:jc w:val="center"/>
              <w:rPr>
                <w:noProof/>
              </w:rPr>
            </w:pPr>
            <w:r>
              <w:rPr>
                <w:noProof/>
              </w:rPr>
              <w:t>M1C1—39</w:t>
            </w:r>
          </w:p>
        </w:tc>
        <w:tc>
          <w:tcPr>
            <w:tcW w:w="3118" w:type="dxa"/>
            <w:tcBorders>
              <w:top w:val="nil"/>
              <w:left w:val="nil"/>
              <w:bottom w:val="single" w:sz="4" w:space="0" w:color="auto"/>
              <w:right w:val="single" w:sz="4" w:space="0" w:color="auto"/>
            </w:tcBorders>
            <w:shd w:val="clear" w:color="auto" w:fill="C6EFCE"/>
            <w:noWrap/>
            <w:vAlign w:val="center"/>
          </w:tcPr>
          <w:p w14:paraId="45ED0257" w14:textId="77777777" w:rsidR="006054AA" w:rsidRDefault="001F7667">
            <w:pPr>
              <w:pStyle w:val="P68B1DB1-Normal12"/>
              <w:rPr>
                <w:noProof/>
              </w:rPr>
            </w:pPr>
            <w:r>
              <w:rPr>
                <w:noProof/>
              </w:rPr>
              <w:t>Инвестиция 1.8: Процедури за набиране на персонал в граждански и наказателни съдилища</w:t>
            </w:r>
          </w:p>
        </w:tc>
        <w:tc>
          <w:tcPr>
            <w:tcW w:w="1418" w:type="dxa"/>
            <w:tcBorders>
              <w:top w:val="nil"/>
              <w:left w:val="nil"/>
              <w:bottom w:val="single" w:sz="4" w:space="0" w:color="auto"/>
              <w:right w:val="single" w:sz="4" w:space="0" w:color="auto"/>
            </w:tcBorders>
            <w:shd w:val="clear" w:color="auto" w:fill="C6EFCE"/>
            <w:noWrap/>
            <w:vAlign w:val="center"/>
          </w:tcPr>
          <w:p w14:paraId="307FAEFB"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2D6891D3" w14:textId="77777777" w:rsidR="006054AA" w:rsidRDefault="001F7667">
            <w:pPr>
              <w:pStyle w:val="P68B1DB1-Normal12"/>
              <w:rPr>
                <w:noProof/>
              </w:rPr>
            </w:pPr>
            <w:r>
              <w:rPr>
                <w:noProof/>
              </w:rPr>
              <w:t>Приключване на процедурите за набиране на персонал в гражданските и наказателните съдилища и териториалните и централните служби на Министерството на правосъдието, отговарящи за изпълнението на ПВУ</w:t>
            </w:r>
          </w:p>
        </w:tc>
      </w:tr>
      <w:tr w:rsidR="006054AA" w14:paraId="4D5255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3AE47" w14:textId="77777777" w:rsidR="006054AA" w:rsidRDefault="001F7667">
            <w:pPr>
              <w:pStyle w:val="P68B1DB1-Normal12"/>
              <w:jc w:val="center"/>
              <w:rPr>
                <w:noProof/>
              </w:rPr>
            </w:pPr>
            <w:r>
              <w:rPr>
                <w:noProof/>
              </w:rPr>
              <w:t>M1C1—40</w:t>
            </w:r>
          </w:p>
        </w:tc>
        <w:tc>
          <w:tcPr>
            <w:tcW w:w="3118" w:type="dxa"/>
            <w:tcBorders>
              <w:top w:val="nil"/>
              <w:left w:val="nil"/>
              <w:bottom w:val="single" w:sz="4" w:space="0" w:color="auto"/>
              <w:right w:val="single" w:sz="4" w:space="0" w:color="auto"/>
            </w:tcBorders>
            <w:shd w:val="clear" w:color="auto" w:fill="C6EFCE"/>
            <w:noWrap/>
            <w:vAlign w:val="center"/>
          </w:tcPr>
          <w:p w14:paraId="3721931D" w14:textId="77777777" w:rsidR="006054AA" w:rsidRDefault="001F7667">
            <w:pPr>
              <w:pStyle w:val="P68B1DB1-Normal12"/>
              <w:rPr>
                <w:noProof/>
              </w:rPr>
            </w:pPr>
            <w:r>
              <w:rPr>
                <w:noProof/>
              </w:rPr>
              <w:t>Инвестиция 1.8: Процедури за набиране на персонал в административните съдилища</w:t>
            </w:r>
          </w:p>
        </w:tc>
        <w:tc>
          <w:tcPr>
            <w:tcW w:w="1418" w:type="dxa"/>
            <w:tcBorders>
              <w:top w:val="nil"/>
              <w:left w:val="nil"/>
              <w:bottom w:val="single" w:sz="4" w:space="0" w:color="auto"/>
              <w:right w:val="single" w:sz="4" w:space="0" w:color="auto"/>
            </w:tcBorders>
            <w:shd w:val="clear" w:color="auto" w:fill="C6EFCE"/>
            <w:noWrap/>
            <w:vAlign w:val="center"/>
          </w:tcPr>
          <w:p w14:paraId="1E1597A7"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3D67AC86" w14:textId="77777777" w:rsidR="006054AA" w:rsidRDefault="001F7667">
            <w:pPr>
              <w:pStyle w:val="P68B1DB1-Normal12"/>
              <w:rPr>
                <w:noProof/>
              </w:rPr>
            </w:pPr>
            <w:r>
              <w:rPr>
                <w:noProof/>
              </w:rPr>
              <w:t>Приключване на процедурите за набиране на персонал в административните съдилища</w:t>
            </w:r>
          </w:p>
        </w:tc>
      </w:tr>
      <w:tr w:rsidR="006054AA" w14:paraId="4DA1D9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105CF" w14:textId="77777777" w:rsidR="006054AA" w:rsidRDefault="001F7667">
            <w:pPr>
              <w:pStyle w:val="P68B1DB1-Normal12"/>
              <w:jc w:val="center"/>
              <w:rPr>
                <w:noProof/>
              </w:rPr>
            </w:pPr>
            <w:r>
              <w:rPr>
                <w:noProof/>
              </w:rPr>
              <w:t>M1C1—41</w:t>
            </w:r>
          </w:p>
        </w:tc>
        <w:tc>
          <w:tcPr>
            <w:tcW w:w="3118" w:type="dxa"/>
            <w:tcBorders>
              <w:top w:val="nil"/>
              <w:left w:val="nil"/>
              <w:bottom w:val="single" w:sz="4" w:space="0" w:color="auto"/>
              <w:right w:val="single" w:sz="4" w:space="0" w:color="auto"/>
            </w:tcBorders>
            <w:shd w:val="clear" w:color="auto" w:fill="C6EFCE"/>
            <w:noWrap/>
            <w:vAlign w:val="center"/>
          </w:tcPr>
          <w:p w14:paraId="2438CC97" w14:textId="77777777" w:rsidR="006054AA" w:rsidRDefault="001F7667">
            <w:pPr>
              <w:pStyle w:val="P68B1DB1-Normal12"/>
              <w:rPr>
                <w:noProof/>
              </w:rPr>
            </w:pPr>
            <w:r>
              <w:rPr>
                <w:noProof/>
              </w:rPr>
              <w:t>Инвестиция 1.8: Процедури за набиране на персонал в административните съдилища</w:t>
            </w:r>
          </w:p>
        </w:tc>
        <w:tc>
          <w:tcPr>
            <w:tcW w:w="1418" w:type="dxa"/>
            <w:tcBorders>
              <w:top w:val="nil"/>
              <w:left w:val="nil"/>
              <w:bottom w:val="single" w:sz="4" w:space="0" w:color="auto"/>
              <w:right w:val="single" w:sz="4" w:space="0" w:color="auto"/>
            </w:tcBorders>
            <w:shd w:val="clear" w:color="auto" w:fill="C6EFCE"/>
            <w:noWrap/>
            <w:vAlign w:val="center"/>
          </w:tcPr>
          <w:p w14:paraId="320D7008"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488FBF11" w14:textId="77777777" w:rsidR="006054AA" w:rsidRDefault="001F7667">
            <w:pPr>
              <w:pStyle w:val="P68B1DB1-Normal12"/>
              <w:rPr>
                <w:noProof/>
              </w:rPr>
            </w:pPr>
            <w:r>
              <w:rPr>
                <w:noProof/>
              </w:rPr>
              <w:t>Намаляване на броя на висящите дела за районните административни съдилища</w:t>
            </w:r>
          </w:p>
        </w:tc>
      </w:tr>
      <w:tr w:rsidR="006054AA" w14:paraId="35FBAB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109473" w14:textId="77777777" w:rsidR="006054AA" w:rsidRDefault="001F7667">
            <w:pPr>
              <w:pStyle w:val="P68B1DB1-Normal12"/>
              <w:jc w:val="center"/>
              <w:rPr>
                <w:noProof/>
              </w:rPr>
            </w:pPr>
            <w:r>
              <w:rPr>
                <w:noProof/>
              </w:rPr>
              <w:t>M1C1—42</w:t>
            </w:r>
          </w:p>
        </w:tc>
        <w:tc>
          <w:tcPr>
            <w:tcW w:w="3118" w:type="dxa"/>
            <w:tcBorders>
              <w:top w:val="nil"/>
              <w:left w:val="nil"/>
              <w:bottom w:val="single" w:sz="4" w:space="0" w:color="auto"/>
              <w:right w:val="single" w:sz="4" w:space="0" w:color="auto"/>
            </w:tcBorders>
            <w:shd w:val="clear" w:color="auto" w:fill="C6EFCE"/>
            <w:noWrap/>
            <w:vAlign w:val="center"/>
          </w:tcPr>
          <w:p w14:paraId="781BD99D" w14:textId="77777777" w:rsidR="006054AA" w:rsidRDefault="001F7667">
            <w:pPr>
              <w:pStyle w:val="P68B1DB1-Normal12"/>
              <w:rPr>
                <w:noProof/>
              </w:rPr>
            </w:pPr>
            <w:r>
              <w:rPr>
                <w:noProof/>
              </w:rPr>
              <w:t>Инвестиция 1.8: Процедури за набиране на персонал в административните съдилища</w:t>
            </w:r>
          </w:p>
        </w:tc>
        <w:tc>
          <w:tcPr>
            <w:tcW w:w="1418" w:type="dxa"/>
            <w:tcBorders>
              <w:top w:val="nil"/>
              <w:left w:val="nil"/>
              <w:bottom w:val="single" w:sz="4" w:space="0" w:color="auto"/>
              <w:right w:val="single" w:sz="4" w:space="0" w:color="auto"/>
            </w:tcBorders>
            <w:shd w:val="clear" w:color="auto" w:fill="C6EFCE"/>
            <w:noWrap/>
            <w:vAlign w:val="center"/>
          </w:tcPr>
          <w:p w14:paraId="5F785412"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263E1015" w14:textId="77777777" w:rsidR="006054AA" w:rsidRDefault="001F7667">
            <w:pPr>
              <w:pStyle w:val="P68B1DB1-Normal12"/>
              <w:rPr>
                <w:noProof/>
              </w:rPr>
            </w:pPr>
            <w:r>
              <w:rPr>
                <w:noProof/>
              </w:rPr>
              <w:t>Намаляване на броя на висящите дела за Държавния съвет</w:t>
            </w:r>
          </w:p>
        </w:tc>
      </w:tr>
      <w:tr w:rsidR="006054AA" w14:paraId="37437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C5E79" w14:textId="77777777" w:rsidR="006054AA" w:rsidRDefault="001F7667">
            <w:pPr>
              <w:pStyle w:val="P68B1DB1-Normal12"/>
              <w:jc w:val="center"/>
              <w:rPr>
                <w:noProof/>
              </w:rPr>
            </w:pPr>
            <w:r>
              <w:rPr>
                <w:noProof/>
              </w:rPr>
              <w:t>M1C1—59 BIS</w:t>
            </w:r>
          </w:p>
        </w:tc>
        <w:tc>
          <w:tcPr>
            <w:tcW w:w="3118" w:type="dxa"/>
            <w:tcBorders>
              <w:top w:val="nil"/>
              <w:left w:val="nil"/>
              <w:bottom w:val="single" w:sz="4" w:space="0" w:color="auto"/>
              <w:right w:val="single" w:sz="4" w:space="0" w:color="auto"/>
            </w:tcBorders>
            <w:shd w:val="clear" w:color="auto" w:fill="C6EFCE"/>
            <w:noWrap/>
            <w:vAlign w:val="center"/>
          </w:tcPr>
          <w:p w14:paraId="10F114B0" w14:textId="77777777" w:rsidR="006054AA" w:rsidRDefault="001F7667">
            <w:pPr>
              <w:pStyle w:val="P68B1DB1-Normal12"/>
              <w:rPr>
                <w:noProof/>
              </w:rPr>
            </w:pPr>
            <w:r>
              <w:rPr>
                <w:noProof/>
              </w:rPr>
              <w:t xml:space="preserve">Реформа 1.9: Реформа на публичната администрация </w:t>
            </w:r>
          </w:p>
        </w:tc>
        <w:tc>
          <w:tcPr>
            <w:tcW w:w="1418" w:type="dxa"/>
            <w:tcBorders>
              <w:top w:val="nil"/>
              <w:left w:val="nil"/>
              <w:bottom w:val="single" w:sz="4" w:space="0" w:color="auto"/>
              <w:right w:val="single" w:sz="4" w:space="0" w:color="auto"/>
            </w:tcBorders>
            <w:shd w:val="clear" w:color="auto" w:fill="C6EFCE"/>
            <w:noWrap/>
            <w:vAlign w:val="center"/>
          </w:tcPr>
          <w:p w14:paraId="0BB3576B"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7A2D4F2D" w14:textId="77777777" w:rsidR="006054AA" w:rsidRDefault="001F7667">
            <w:pPr>
              <w:pStyle w:val="P68B1DB1-Normal12"/>
              <w:rPr>
                <w:noProof/>
              </w:rPr>
            </w:pPr>
            <w:r>
              <w:rPr>
                <w:noProof/>
              </w:rPr>
              <w:t>Прилагане на стратегическо управление на човешките ресурси в публичната администрация</w:t>
            </w:r>
          </w:p>
        </w:tc>
      </w:tr>
      <w:tr w:rsidR="006054AA" w14:paraId="5D40E6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56C0BF" w14:textId="77777777" w:rsidR="006054AA" w:rsidRDefault="001F7667">
            <w:pPr>
              <w:pStyle w:val="P68B1DB1-Normal12"/>
              <w:jc w:val="center"/>
              <w:rPr>
                <w:noProof/>
              </w:rPr>
            </w:pPr>
            <w:r>
              <w:rPr>
                <w:noProof/>
              </w:rPr>
              <w:t>M1C1—73bis</w:t>
            </w:r>
          </w:p>
        </w:tc>
        <w:tc>
          <w:tcPr>
            <w:tcW w:w="3118" w:type="dxa"/>
            <w:tcBorders>
              <w:top w:val="nil"/>
              <w:left w:val="nil"/>
              <w:bottom w:val="single" w:sz="4" w:space="0" w:color="auto"/>
              <w:right w:val="single" w:sz="4" w:space="0" w:color="auto"/>
            </w:tcBorders>
            <w:shd w:val="clear" w:color="auto" w:fill="C6EFCE"/>
            <w:noWrap/>
            <w:vAlign w:val="center"/>
          </w:tcPr>
          <w:p w14:paraId="682D321B"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28E82408"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6CBB01CC" w14:textId="77777777" w:rsidR="006054AA" w:rsidRDefault="001F7667">
            <w:pPr>
              <w:pStyle w:val="P68B1DB1-Normal12"/>
              <w:rPr>
                <w:noProof/>
              </w:rPr>
            </w:pPr>
            <w:r>
              <w:rPr>
                <w:noProof/>
              </w:rPr>
              <w:t>Приемане на насоки относно прилагането на квалификационната система за възлагащите органи.</w:t>
            </w:r>
          </w:p>
        </w:tc>
      </w:tr>
      <w:tr w:rsidR="006054AA" w14:paraId="021642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67112" w14:textId="77777777" w:rsidR="006054AA" w:rsidRDefault="001F7667">
            <w:pPr>
              <w:pStyle w:val="P68B1DB1-Normal12"/>
              <w:jc w:val="center"/>
              <w:rPr>
                <w:noProof/>
              </w:rPr>
            </w:pPr>
            <w:r>
              <w:rPr>
                <w:noProof/>
              </w:rPr>
              <w:t>M1C1—108</w:t>
            </w:r>
          </w:p>
        </w:tc>
        <w:tc>
          <w:tcPr>
            <w:tcW w:w="3118" w:type="dxa"/>
            <w:tcBorders>
              <w:top w:val="nil"/>
              <w:left w:val="nil"/>
              <w:bottom w:val="single" w:sz="4" w:space="0" w:color="auto"/>
              <w:right w:val="single" w:sz="4" w:space="0" w:color="auto"/>
            </w:tcBorders>
            <w:shd w:val="clear" w:color="auto" w:fill="C6EFCE"/>
            <w:noWrap/>
            <w:vAlign w:val="center"/>
          </w:tcPr>
          <w:p w14:paraId="46BC9375" w14:textId="77777777" w:rsidR="006054AA" w:rsidRDefault="001F7667">
            <w:pPr>
              <w:pStyle w:val="P68B1DB1-Normal12"/>
              <w:rPr>
                <w:noProof/>
              </w:rPr>
            </w:pPr>
            <w:r>
              <w:rPr>
                <w:noProof/>
              </w:rPr>
              <w:t>Реформа 1.15: Реформа на счетоводните правила за публичния сектор</w:t>
            </w:r>
          </w:p>
        </w:tc>
        <w:tc>
          <w:tcPr>
            <w:tcW w:w="1418" w:type="dxa"/>
            <w:tcBorders>
              <w:top w:val="nil"/>
              <w:left w:val="nil"/>
              <w:bottom w:val="single" w:sz="4" w:space="0" w:color="auto"/>
              <w:right w:val="single" w:sz="4" w:space="0" w:color="auto"/>
            </w:tcBorders>
            <w:shd w:val="clear" w:color="auto" w:fill="C6EFCE"/>
            <w:noWrap/>
            <w:vAlign w:val="center"/>
          </w:tcPr>
          <w:p w14:paraId="4B71DA20"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69C9E9AB" w14:textId="77777777" w:rsidR="006054AA" w:rsidRDefault="001F7667">
            <w:pPr>
              <w:pStyle w:val="P68B1DB1-Normal12"/>
              <w:rPr>
                <w:noProof/>
              </w:rPr>
            </w:pPr>
            <w:r>
              <w:rPr>
                <w:noProof/>
              </w:rPr>
              <w:t>Одобряване на концептуалната рамка, набора от стандарти за счетоводна отчетност на базата на текущо начисляване и Многоизмерния сметкоплан</w:t>
            </w:r>
          </w:p>
        </w:tc>
      </w:tr>
      <w:tr w:rsidR="006054AA" w14:paraId="579024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117BD" w14:textId="77777777" w:rsidR="006054AA" w:rsidRDefault="001F7667">
            <w:pPr>
              <w:pStyle w:val="P68B1DB1-Normal12"/>
              <w:jc w:val="center"/>
              <w:rPr>
                <w:noProof/>
              </w:rPr>
            </w:pPr>
            <w:r>
              <w:rPr>
                <w:noProof/>
              </w:rPr>
              <w:t>M1C1—111</w:t>
            </w:r>
          </w:p>
        </w:tc>
        <w:tc>
          <w:tcPr>
            <w:tcW w:w="3118" w:type="dxa"/>
            <w:tcBorders>
              <w:top w:val="nil"/>
              <w:left w:val="nil"/>
              <w:bottom w:val="single" w:sz="4" w:space="0" w:color="auto"/>
              <w:right w:val="single" w:sz="4" w:space="0" w:color="auto"/>
            </w:tcBorders>
            <w:shd w:val="clear" w:color="auto" w:fill="C6EFCE"/>
            <w:noWrap/>
            <w:vAlign w:val="center"/>
          </w:tcPr>
          <w:p w14:paraId="63F88A32" w14:textId="77777777" w:rsidR="006054AA" w:rsidRDefault="001F7667">
            <w:pPr>
              <w:pStyle w:val="P68B1DB1-Normal12"/>
              <w:rPr>
                <w:noProof/>
              </w:rPr>
            </w:pPr>
            <w:r>
              <w:rPr>
                <w:noProof/>
              </w:rPr>
              <w:t>Реформа 1.13: Реформа на рамката за преглед на разходите</w:t>
            </w:r>
          </w:p>
        </w:tc>
        <w:tc>
          <w:tcPr>
            <w:tcW w:w="1418" w:type="dxa"/>
            <w:tcBorders>
              <w:top w:val="nil"/>
              <w:left w:val="nil"/>
              <w:bottom w:val="single" w:sz="4" w:space="0" w:color="auto"/>
              <w:right w:val="single" w:sz="4" w:space="0" w:color="auto"/>
            </w:tcBorders>
            <w:shd w:val="clear" w:color="auto" w:fill="C6EFCE"/>
            <w:noWrap/>
            <w:vAlign w:val="center"/>
          </w:tcPr>
          <w:p w14:paraId="50DA9D85"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6DD9CCBB" w14:textId="77777777" w:rsidR="006054AA" w:rsidRDefault="001F7667">
            <w:pPr>
              <w:pStyle w:val="P68B1DB1-Normal12"/>
              <w:rPr>
                <w:noProof/>
              </w:rPr>
            </w:pPr>
            <w:r>
              <w:rPr>
                <w:noProof/>
              </w:rPr>
              <w:t>Приключване на годишния преглед на разходите за 2023 г. във връзка с целта за икономии, определена през 2022 г. за 2023 г.</w:t>
            </w:r>
          </w:p>
        </w:tc>
      </w:tr>
      <w:tr w:rsidR="006054AA" w14:paraId="12A983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1E5CE" w14:textId="77777777" w:rsidR="006054AA" w:rsidRDefault="001F7667">
            <w:pPr>
              <w:pStyle w:val="P68B1DB1-Normal12"/>
              <w:jc w:val="center"/>
              <w:rPr>
                <w:noProof/>
              </w:rPr>
            </w:pPr>
            <w:r>
              <w:rPr>
                <w:noProof/>
              </w:rPr>
              <w:t>M1C1—112</w:t>
            </w:r>
          </w:p>
        </w:tc>
        <w:tc>
          <w:tcPr>
            <w:tcW w:w="3118" w:type="dxa"/>
            <w:tcBorders>
              <w:top w:val="nil"/>
              <w:left w:val="nil"/>
              <w:bottom w:val="single" w:sz="4" w:space="0" w:color="auto"/>
              <w:right w:val="single" w:sz="4" w:space="0" w:color="auto"/>
            </w:tcBorders>
            <w:shd w:val="clear" w:color="auto" w:fill="C6EFCE"/>
            <w:noWrap/>
            <w:vAlign w:val="center"/>
          </w:tcPr>
          <w:p w14:paraId="2839F54A" w14:textId="77777777" w:rsidR="006054AA" w:rsidRDefault="001F7667">
            <w:pPr>
              <w:pStyle w:val="P68B1DB1-Normal12"/>
              <w:rPr>
                <w:noProof/>
              </w:rPr>
            </w:pPr>
            <w:r>
              <w:rPr>
                <w:noProof/>
              </w:rPr>
              <w:t>Реформа 1.12: Реформа на данъчната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5283EF79"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2A86DBC3" w14:textId="77777777" w:rsidR="006054AA" w:rsidRDefault="001F7667">
            <w:pPr>
              <w:pStyle w:val="P68B1DB1-Normal12"/>
              <w:rPr>
                <w:noProof/>
              </w:rPr>
            </w:pPr>
            <w:r>
              <w:rPr>
                <w:noProof/>
              </w:rPr>
              <w:t>Подобряване на оперативния капацитет на данъчната администрация, както е посочено в „План за ефективност за периода 2021—2023 г.“ на Агенцията за приходите</w:t>
            </w:r>
          </w:p>
        </w:tc>
      </w:tr>
      <w:tr w:rsidR="006054AA" w14:paraId="0804D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231622" w14:textId="77777777" w:rsidR="006054AA" w:rsidRDefault="001F7667">
            <w:pPr>
              <w:pStyle w:val="P68B1DB1-Normal12"/>
              <w:jc w:val="center"/>
              <w:rPr>
                <w:noProof/>
              </w:rPr>
            </w:pPr>
            <w:r>
              <w:rPr>
                <w:noProof/>
              </w:rPr>
              <w:t>M1C2—2</w:t>
            </w:r>
          </w:p>
        </w:tc>
        <w:tc>
          <w:tcPr>
            <w:tcW w:w="3118" w:type="dxa"/>
            <w:tcBorders>
              <w:top w:val="nil"/>
              <w:left w:val="nil"/>
              <w:bottom w:val="single" w:sz="4" w:space="0" w:color="auto"/>
              <w:right w:val="single" w:sz="4" w:space="0" w:color="auto"/>
            </w:tcBorders>
            <w:shd w:val="clear" w:color="auto" w:fill="C6EFCE"/>
            <w:noWrap/>
            <w:vAlign w:val="center"/>
          </w:tcPr>
          <w:p w14:paraId="3914D8AA" w14:textId="77777777" w:rsidR="006054AA" w:rsidRDefault="001F7667">
            <w:pPr>
              <w:pStyle w:val="P68B1DB1-Normal12"/>
              <w:rPr>
                <w:noProof/>
              </w:rPr>
            </w:pPr>
            <w:r>
              <w:rPr>
                <w:noProof/>
              </w:rPr>
              <w:t>Инвестиция 1: Преход 4.0</w:t>
            </w:r>
          </w:p>
        </w:tc>
        <w:tc>
          <w:tcPr>
            <w:tcW w:w="1418" w:type="dxa"/>
            <w:tcBorders>
              <w:top w:val="nil"/>
              <w:left w:val="nil"/>
              <w:bottom w:val="single" w:sz="4" w:space="0" w:color="auto"/>
              <w:right w:val="single" w:sz="4" w:space="0" w:color="auto"/>
            </w:tcBorders>
            <w:shd w:val="clear" w:color="auto" w:fill="C6EFCE"/>
            <w:noWrap/>
            <w:vAlign w:val="center"/>
          </w:tcPr>
          <w:p w14:paraId="6FC8C214"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03CA6EAF" w14:textId="77777777" w:rsidR="006054AA" w:rsidRDefault="001F7667">
            <w:pPr>
              <w:pStyle w:val="P68B1DB1-Normal12"/>
              <w:rPr>
                <w:noProof/>
              </w:rPr>
            </w:pPr>
            <w:r>
              <w:rPr>
                <w:noProof/>
              </w:rPr>
              <w:t>Преход 4.0 данъчни кредити, предоставени на предприятия въз основа на данъчни декларации, представени през 2021—2022 г.</w:t>
            </w:r>
          </w:p>
        </w:tc>
      </w:tr>
      <w:tr w:rsidR="006054AA" w14:paraId="555C9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6AD3B5" w14:textId="77777777" w:rsidR="006054AA" w:rsidRDefault="001F7667">
            <w:pPr>
              <w:pStyle w:val="P68B1DB1-Normal12"/>
              <w:jc w:val="center"/>
              <w:rPr>
                <w:noProof/>
              </w:rPr>
            </w:pPr>
            <w:r>
              <w:rPr>
                <w:noProof/>
              </w:rPr>
              <w:t>M1C3—9</w:t>
            </w:r>
          </w:p>
        </w:tc>
        <w:tc>
          <w:tcPr>
            <w:tcW w:w="3118" w:type="dxa"/>
            <w:tcBorders>
              <w:top w:val="nil"/>
              <w:left w:val="nil"/>
              <w:bottom w:val="single" w:sz="4" w:space="0" w:color="auto"/>
              <w:right w:val="single" w:sz="4" w:space="0" w:color="auto"/>
            </w:tcBorders>
            <w:shd w:val="clear" w:color="auto" w:fill="C6EFCE"/>
            <w:noWrap/>
            <w:vAlign w:val="center"/>
          </w:tcPr>
          <w:p w14:paraId="6948A7A2" w14:textId="77777777" w:rsidR="006054AA" w:rsidRDefault="001F7667">
            <w:pPr>
              <w:pStyle w:val="P68B1DB1-Normal12"/>
              <w:rPr>
                <w:noProof/>
              </w:rPr>
            </w:pPr>
            <w:r>
              <w:rPr>
                <w:noProof/>
              </w:rPr>
              <w:t>Цифров туристически център „Инвестиция 4.1“</w:t>
            </w:r>
          </w:p>
        </w:tc>
        <w:tc>
          <w:tcPr>
            <w:tcW w:w="1418" w:type="dxa"/>
            <w:tcBorders>
              <w:top w:val="nil"/>
              <w:left w:val="nil"/>
              <w:bottom w:val="single" w:sz="4" w:space="0" w:color="auto"/>
              <w:right w:val="single" w:sz="4" w:space="0" w:color="auto"/>
            </w:tcBorders>
            <w:shd w:val="clear" w:color="auto" w:fill="C6EFCE"/>
            <w:noWrap/>
            <w:vAlign w:val="center"/>
          </w:tcPr>
          <w:p w14:paraId="2353ECBC"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65ADBDF0" w14:textId="77777777" w:rsidR="006054AA" w:rsidRDefault="001F7667">
            <w:pPr>
              <w:pStyle w:val="P68B1DB1-Normal12"/>
              <w:rPr>
                <w:noProof/>
              </w:rPr>
            </w:pPr>
            <w:r>
              <w:rPr>
                <w:noProof/>
              </w:rPr>
              <w:t>Участие на туристически оператори в цифровия туристически център</w:t>
            </w:r>
          </w:p>
        </w:tc>
      </w:tr>
      <w:tr w:rsidR="006054AA" w14:paraId="1B2C73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4BA77A" w14:textId="77777777" w:rsidR="006054AA" w:rsidRDefault="001F7667">
            <w:pPr>
              <w:pStyle w:val="P68B1DB1-Normal12"/>
              <w:jc w:val="center"/>
              <w:rPr>
                <w:noProof/>
              </w:rPr>
            </w:pPr>
            <w:r>
              <w:rPr>
                <w:noProof/>
              </w:rPr>
              <w:t>M1C3—10</w:t>
            </w:r>
          </w:p>
        </w:tc>
        <w:tc>
          <w:tcPr>
            <w:tcW w:w="3118" w:type="dxa"/>
            <w:tcBorders>
              <w:top w:val="nil"/>
              <w:left w:val="nil"/>
              <w:bottom w:val="single" w:sz="4" w:space="0" w:color="auto"/>
              <w:right w:val="single" w:sz="4" w:space="0" w:color="auto"/>
            </w:tcBorders>
            <w:shd w:val="clear" w:color="auto" w:fill="C6EFCE"/>
            <w:noWrap/>
            <w:vAlign w:val="center"/>
          </w:tcPr>
          <w:p w14:paraId="0064D2EF" w14:textId="77777777" w:rsidR="006054AA" w:rsidRDefault="001F7667">
            <w:pPr>
              <w:pStyle w:val="P68B1DB1-Normal12"/>
              <w:rPr>
                <w:noProof/>
              </w:rPr>
            </w:pPr>
            <w:r>
              <w:rPr>
                <w:noProof/>
              </w:rPr>
              <w:t xml:space="preserve">Реформа от 4.1 г. на регламентирането на професиите екскурзоводи. </w:t>
            </w:r>
          </w:p>
        </w:tc>
        <w:tc>
          <w:tcPr>
            <w:tcW w:w="1418" w:type="dxa"/>
            <w:tcBorders>
              <w:top w:val="nil"/>
              <w:left w:val="nil"/>
              <w:bottom w:val="single" w:sz="4" w:space="0" w:color="auto"/>
              <w:right w:val="single" w:sz="4" w:space="0" w:color="auto"/>
            </w:tcBorders>
            <w:shd w:val="clear" w:color="auto" w:fill="C6EFCE"/>
            <w:noWrap/>
            <w:vAlign w:val="center"/>
          </w:tcPr>
          <w:p w14:paraId="36FCC59C"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1A35C0A7" w14:textId="77777777" w:rsidR="006054AA" w:rsidRDefault="001F7667">
            <w:pPr>
              <w:pStyle w:val="P68B1DB1-Normal12"/>
              <w:rPr>
                <w:noProof/>
              </w:rPr>
            </w:pPr>
            <w:r>
              <w:rPr>
                <w:noProof/>
              </w:rPr>
              <w:t>Определяне на национален стандарт за екскурзоводите</w:t>
            </w:r>
          </w:p>
        </w:tc>
      </w:tr>
      <w:tr w:rsidR="006054AA" w14:paraId="256EAF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3FAC1" w14:textId="77777777" w:rsidR="006054AA" w:rsidRDefault="001F7667">
            <w:pPr>
              <w:pStyle w:val="P68B1DB1-Normal12"/>
              <w:jc w:val="center"/>
              <w:rPr>
                <w:noProof/>
              </w:rPr>
            </w:pPr>
            <w:r>
              <w:rPr>
                <w:noProof/>
              </w:rPr>
              <w:t>M2C1—6</w:t>
            </w:r>
          </w:p>
        </w:tc>
        <w:tc>
          <w:tcPr>
            <w:tcW w:w="3118" w:type="dxa"/>
            <w:tcBorders>
              <w:top w:val="nil"/>
              <w:left w:val="nil"/>
              <w:bottom w:val="single" w:sz="4" w:space="0" w:color="auto"/>
              <w:right w:val="single" w:sz="4" w:space="0" w:color="auto"/>
            </w:tcBorders>
            <w:shd w:val="clear" w:color="auto" w:fill="C6EFCE"/>
            <w:noWrap/>
            <w:vAlign w:val="center"/>
          </w:tcPr>
          <w:p w14:paraId="17C78AC5" w14:textId="77777777" w:rsidR="006054AA" w:rsidRDefault="001F7667">
            <w:pPr>
              <w:pStyle w:val="P68B1DB1-Normal12"/>
              <w:rPr>
                <w:noProof/>
              </w:rPr>
            </w:pPr>
            <w:r>
              <w:rPr>
                <w:noProof/>
              </w:rPr>
              <w:t>Инвестиция 2.2: Агрослънчев парк</w:t>
            </w:r>
          </w:p>
        </w:tc>
        <w:tc>
          <w:tcPr>
            <w:tcW w:w="1418" w:type="dxa"/>
            <w:tcBorders>
              <w:top w:val="nil"/>
              <w:left w:val="nil"/>
              <w:bottom w:val="single" w:sz="4" w:space="0" w:color="auto"/>
              <w:right w:val="single" w:sz="4" w:space="0" w:color="auto"/>
            </w:tcBorders>
            <w:shd w:val="clear" w:color="auto" w:fill="C6EFCE"/>
            <w:noWrap/>
            <w:vAlign w:val="center"/>
          </w:tcPr>
          <w:p w14:paraId="5D235413"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2F5D32B2" w14:textId="77777777" w:rsidR="006054AA" w:rsidRDefault="001F7667">
            <w:pPr>
              <w:pStyle w:val="P68B1DB1-Normal12"/>
              <w:rPr>
                <w:noProof/>
              </w:rPr>
            </w:pPr>
            <w:r>
              <w:rPr>
                <w:noProof/>
              </w:rPr>
              <w:t>Разпределение на ресурсите за бенефициерите като% от общия размер на финансовите ресурси, предназначени за инвестицията</w:t>
            </w:r>
          </w:p>
        </w:tc>
      </w:tr>
      <w:tr w:rsidR="006054AA" w14:paraId="6ABD38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677F6" w14:textId="77777777" w:rsidR="006054AA" w:rsidRDefault="001F7667">
            <w:pPr>
              <w:pStyle w:val="P68B1DB1-Normal12"/>
              <w:jc w:val="center"/>
              <w:rPr>
                <w:noProof/>
              </w:rPr>
            </w:pPr>
            <w:r>
              <w:rPr>
                <w:noProof/>
              </w:rPr>
              <w:t>M3C2—5</w:t>
            </w:r>
          </w:p>
        </w:tc>
        <w:tc>
          <w:tcPr>
            <w:tcW w:w="3118" w:type="dxa"/>
            <w:tcBorders>
              <w:top w:val="nil"/>
              <w:left w:val="nil"/>
              <w:bottom w:val="single" w:sz="4" w:space="0" w:color="auto"/>
              <w:right w:val="single" w:sz="4" w:space="0" w:color="auto"/>
            </w:tcBorders>
            <w:shd w:val="clear" w:color="auto" w:fill="C6EFCE"/>
            <w:noWrap/>
            <w:vAlign w:val="center"/>
          </w:tcPr>
          <w:p w14:paraId="6A44D25C" w14:textId="77777777" w:rsidR="006054AA" w:rsidRDefault="001F7667">
            <w:pPr>
              <w:pStyle w:val="P68B1DB1-Normal12"/>
              <w:rPr>
                <w:noProof/>
              </w:rPr>
            </w:pPr>
            <w:r>
              <w:rPr>
                <w:noProof/>
              </w:rPr>
              <w:t>Инвестиция 2.1 — Цифровизация на логистичната верига</w:t>
            </w:r>
          </w:p>
        </w:tc>
        <w:tc>
          <w:tcPr>
            <w:tcW w:w="1418" w:type="dxa"/>
            <w:tcBorders>
              <w:top w:val="nil"/>
              <w:left w:val="nil"/>
              <w:bottom w:val="single" w:sz="4" w:space="0" w:color="auto"/>
              <w:right w:val="single" w:sz="4" w:space="0" w:color="auto"/>
            </w:tcBorders>
            <w:shd w:val="clear" w:color="auto" w:fill="C6EFCE"/>
            <w:noWrap/>
            <w:vAlign w:val="center"/>
          </w:tcPr>
          <w:p w14:paraId="6D4703E3" w14:textId="77777777" w:rsidR="006054AA" w:rsidRDefault="001F7667">
            <w:pPr>
              <w:pStyle w:val="P68B1DB1-Normal12"/>
              <w:rPr>
                <w:noProof/>
              </w:rPr>
            </w:pPr>
            <w:r>
              <w:rPr>
                <w:noProof/>
              </w:rPr>
              <w:t>Целеви</w:t>
            </w:r>
          </w:p>
        </w:tc>
        <w:tc>
          <w:tcPr>
            <w:tcW w:w="4049" w:type="dxa"/>
            <w:tcBorders>
              <w:top w:val="nil"/>
              <w:left w:val="nil"/>
              <w:bottom w:val="single" w:sz="4" w:space="0" w:color="auto"/>
              <w:right w:val="single" w:sz="4" w:space="0" w:color="auto"/>
            </w:tcBorders>
            <w:shd w:val="clear" w:color="auto" w:fill="C6EFCE"/>
            <w:noWrap/>
            <w:vAlign w:val="center"/>
          </w:tcPr>
          <w:p w14:paraId="586D0DF4" w14:textId="77777777" w:rsidR="006054AA" w:rsidRDefault="001F7667">
            <w:pPr>
              <w:pStyle w:val="P68B1DB1-Normal12"/>
              <w:rPr>
                <w:noProof/>
              </w:rPr>
            </w:pPr>
            <w:r>
              <w:rPr>
                <w:noProof/>
              </w:rPr>
              <w:t>Цифровизация на логистичната верига</w:t>
            </w:r>
          </w:p>
        </w:tc>
      </w:tr>
      <w:tr w:rsidR="006054AA" w14:paraId="0B3DB9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2BD324" w14:textId="77777777" w:rsidR="006054AA" w:rsidRDefault="001F7667">
            <w:pPr>
              <w:pStyle w:val="P68B1DB1-Normal12"/>
              <w:jc w:val="center"/>
              <w:rPr>
                <w:noProof/>
              </w:rPr>
            </w:pPr>
            <w:r>
              <w:rPr>
                <w:noProof/>
              </w:rPr>
              <w:t>M5C2—2</w:t>
            </w:r>
          </w:p>
        </w:tc>
        <w:tc>
          <w:tcPr>
            <w:tcW w:w="3118" w:type="dxa"/>
            <w:tcBorders>
              <w:top w:val="nil"/>
              <w:left w:val="nil"/>
              <w:bottom w:val="single" w:sz="4" w:space="0" w:color="auto"/>
              <w:right w:val="single" w:sz="4" w:space="0" w:color="auto"/>
            </w:tcBorders>
            <w:shd w:val="clear" w:color="auto" w:fill="C6EFCE"/>
            <w:noWrap/>
            <w:vAlign w:val="center"/>
          </w:tcPr>
          <w:p w14:paraId="445008D5" w14:textId="77777777" w:rsidR="006054AA" w:rsidRDefault="001F7667">
            <w:pPr>
              <w:pStyle w:val="P68B1DB1-Normal12"/>
              <w:rPr>
                <w:noProof/>
              </w:rPr>
            </w:pPr>
            <w:r>
              <w:rPr>
                <w:noProof/>
              </w:rPr>
              <w:t>Реформа 1 — Рамков закон за хората с увреждания</w:t>
            </w:r>
          </w:p>
        </w:tc>
        <w:tc>
          <w:tcPr>
            <w:tcW w:w="1418" w:type="dxa"/>
            <w:tcBorders>
              <w:top w:val="nil"/>
              <w:left w:val="nil"/>
              <w:bottom w:val="single" w:sz="4" w:space="0" w:color="auto"/>
              <w:right w:val="single" w:sz="4" w:space="0" w:color="auto"/>
            </w:tcBorders>
            <w:shd w:val="clear" w:color="auto" w:fill="C6EFCE"/>
            <w:noWrap/>
            <w:vAlign w:val="center"/>
          </w:tcPr>
          <w:p w14:paraId="4D6FBDDA" w14:textId="77777777" w:rsidR="006054AA" w:rsidRDefault="001F7667">
            <w:pPr>
              <w:pStyle w:val="P68B1DB1-Normal12"/>
              <w:rPr>
                <w:noProof/>
              </w:rPr>
            </w:pPr>
            <w:r>
              <w:rPr>
                <w:noProof/>
              </w:rPr>
              <w:t>Ключов етап</w:t>
            </w:r>
          </w:p>
        </w:tc>
        <w:tc>
          <w:tcPr>
            <w:tcW w:w="4049" w:type="dxa"/>
            <w:tcBorders>
              <w:top w:val="nil"/>
              <w:left w:val="nil"/>
              <w:bottom w:val="single" w:sz="4" w:space="0" w:color="auto"/>
              <w:right w:val="single" w:sz="4" w:space="0" w:color="auto"/>
            </w:tcBorders>
            <w:shd w:val="clear" w:color="auto" w:fill="C6EFCE"/>
            <w:noWrap/>
            <w:vAlign w:val="center"/>
          </w:tcPr>
          <w:p w14:paraId="52D3324E" w14:textId="77777777" w:rsidR="006054AA" w:rsidRDefault="001F7667">
            <w:pPr>
              <w:pStyle w:val="P68B1DB1-Normal12"/>
              <w:rPr>
                <w:noProof/>
              </w:rPr>
            </w:pPr>
            <w:r>
              <w:rPr>
                <w:noProof/>
              </w:rPr>
              <w:t>Влизане в сила на Рамковия закон и приемане от правителството на законодателните постановления, с които се доразвиват разпоредбите на Рамковия закон за укрепване на автономността на хората с увреждания</w:t>
            </w:r>
          </w:p>
        </w:tc>
      </w:tr>
      <w:tr w:rsidR="006054AA" w14:paraId="56259FE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04EAB5" w14:textId="77777777" w:rsidR="006054AA" w:rsidRDefault="006054AA">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09AD0556" w14:textId="77777777" w:rsidR="006054AA" w:rsidRDefault="006054AA">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DB27714" w14:textId="77777777" w:rsidR="006054AA" w:rsidRDefault="001F7667">
            <w:pPr>
              <w:pStyle w:val="P68B1DB1-Normal12"/>
              <w:rPr>
                <w:noProof/>
              </w:rPr>
            </w:pPr>
            <w:r>
              <w:rPr>
                <w:noProof/>
              </w:rPr>
              <w:t>Размер на вноската</w:t>
            </w:r>
          </w:p>
        </w:tc>
        <w:tc>
          <w:tcPr>
            <w:tcW w:w="4049" w:type="dxa"/>
            <w:tcBorders>
              <w:top w:val="single" w:sz="4" w:space="0" w:color="auto"/>
              <w:left w:val="nil"/>
              <w:bottom w:val="single" w:sz="4" w:space="0" w:color="auto"/>
              <w:right w:val="single" w:sz="4" w:space="0" w:color="auto"/>
            </w:tcBorders>
            <w:shd w:val="clear" w:color="auto" w:fill="C6EFCE"/>
            <w:noWrap/>
            <w:vAlign w:val="bottom"/>
          </w:tcPr>
          <w:p w14:paraId="528F1501" w14:textId="606C953E" w:rsidR="006054AA" w:rsidRDefault="001F7667">
            <w:pPr>
              <w:pStyle w:val="P68B1DB1-Normal46"/>
              <w:rPr>
                <w:noProof/>
              </w:rPr>
            </w:pPr>
            <w:r>
              <w:rPr>
                <w:noProof/>
              </w:rPr>
              <w:t>2</w:t>
            </w:r>
            <w:r>
              <w:rPr>
                <w:noProof/>
              </w:rPr>
              <w:t> </w:t>
            </w:r>
            <w:r>
              <w:rPr>
                <w:noProof/>
              </w:rPr>
              <w:t>200</w:t>
            </w:r>
            <w:r>
              <w:rPr>
                <w:noProof/>
              </w:rPr>
              <w:t> </w:t>
            </w:r>
            <w:r>
              <w:rPr>
                <w:noProof/>
              </w:rPr>
              <w:t>368</w:t>
            </w:r>
            <w:r>
              <w:rPr>
                <w:noProof/>
              </w:rPr>
              <w:t> </w:t>
            </w:r>
            <w:r>
              <w:rPr>
                <w:noProof/>
              </w:rPr>
              <w:t>263</w:t>
            </w:r>
            <w:r>
              <w:rPr>
                <w:noProof/>
              </w:rPr>
              <w:t> </w:t>
            </w:r>
            <w:r>
              <w:rPr>
                <w:noProof/>
              </w:rPr>
              <w:t>EUR</w:t>
            </w:r>
          </w:p>
        </w:tc>
      </w:tr>
    </w:tbl>
    <w:p w14:paraId="6A204F76" w14:textId="50F21AE8" w:rsidR="006054AA" w:rsidRDefault="001F7667">
      <w:pPr>
        <w:pStyle w:val="P68B1DB1-Normal44"/>
        <w:numPr>
          <w:ilvl w:val="1"/>
          <w:numId w:val="6"/>
        </w:numPr>
        <w:spacing w:before="120" w:after="120"/>
        <w:jc w:val="both"/>
        <w:rPr>
          <w:noProof/>
        </w:rPr>
      </w:pPr>
      <w:r>
        <w:rPr>
          <w:noProof/>
        </w:rPr>
        <w:t>Седма вноска (безвъзмездна подкрепа):</w:t>
      </w:r>
    </w:p>
    <w:tbl>
      <w:tblPr>
        <w:tblW w:w="9969" w:type="dxa"/>
        <w:tblInd w:w="113" w:type="dxa"/>
        <w:tblLook w:val="04A0" w:firstRow="1" w:lastRow="0" w:firstColumn="1" w:lastColumn="0" w:noHBand="0" w:noVBand="1"/>
      </w:tblPr>
      <w:tblGrid>
        <w:gridCol w:w="1413"/>
        <w:gridCol w:w="3118"/>
        <w:gridCol w:w="1418"/>
        <w:gridCol w:w="4020"/>
      </w:tblGrid>
      <w:tr w:rsidR="006054AA" w14:paraId="62AA890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2FA211" w14:textId="77777777" w:rsidR="006054AA" w:rsidRDefault="001F7667">
            <w:pPr>
              <w:pStyle w:val="P68B1DB1-Normal45"/>
              <w:jc w:val="center"/>
              <w:rPr>
                <w:noProof/>
              </w:rPr>
            </w:pPr>
            <w:r>
              <w:rPr>
                <w:noProof/>
              </w:rPr>
              <w:t>Пореден номер</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693F0A" w14:textId="77777777" w:rsidR="006054AA" w:rsidRDefault="001F7667">
            <w:pPr>
              <w:pStyle w:val="P68B1DB1-Normal45"/>
              <w:jc w:val="center"/>
              <w:rPr>
                <w:noProof/>
              </w:rPr>
            </w:pPr>
            <w:r>
              <w:rPr>
                <w:noProof/>
              </w:rPr>
              <w:t>Свързана мярка (реформа или инвестиции)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A44CCF" w14:textId="77777777" w:rsidR="006054AA" w:rsidRDefault="001F7667">
            <w:pPr>
              <w:pStyle w:val="P68B1DB1-Normal45"/>
              <w:jc w:val="center"/>
              <w:rPr>
                <w:noProof/>
              </w:rPr>
            </w:pPr>
            <w:r>
              <w:rPr>
                <w:noProof/>
              </w:rPr>
              <w:t>Ключов етап/Цел</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236370" w14:textId="77777777" w:rsidR="006054AA" w:rsidRDefault="001F7667">
            <w:pPr>
              <w:pStyle w:val="P68B1DB1-Normal45"/>
              <w:jc w:val="center"/>
              <w:rPr>
                <w:noProof/>
              </w:rPr>
            </w:pPr>
            <w:r>
              <w:rPr>
                <w:noProof/>
              </w:rPr>
              <w:t>Име</w:t>
            </w:r>
          </w:p>
        </w:tc>
      </w:tr>
      <w:tr w:rsidR="006054AA" w14:paraId="66EBBB9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583E2B" w14:textId="77777777" w:rsidR="006054AA" w:rsidRDefault="006054AA">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55C2ED" w14:textId="77777777" w:rsidR="006054AA" w:rsidRDefault="006054AA">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23C6A2" w14:textId="77777777" w:rsidR="006054AA" w:rsidRDefault="006054AA">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3B87E1BC" w14:textId="77777777" w:rsidR="006054AA" w:rsidRDefault="006054AA">
            <w:pPr>
              <w:rPr>
                <w:b/>
                <w:noProof/>
              </w:rPr>
            </w:pPr>
          </w:p>
        </w:tc>
      </w:tr>
      <w:tr w:rsidR="006054AA" w14:paraId="3D61CAB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79472" w14:textId="77777777" w:rsidR="006054AA" w:rsidRDefault="001F7667">
            <w:pPr>
              <w:pStyle w:val="P68B1DB1-Normal12"/>
              <w:jc w:val="center"/>
              <w:rPr>
                <w:noProof/>
              </w:rPr>
            </w:pPr>
            <w:r>
              <w:rPr>
                <w:noProof/>
              </w:rPr>
              <w:t>M1C1—17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856D365" w14:textId="77777777" w:rsidR="006054AA" w:rsidRDefault="001F7667">
            <w:pPr>
              <w:pStyle w:val="P68B1DB1-Normal12"/>
              <w:rPr>
                <w:noProof/>
              </w:rPr>
            </w:pPr>
            <w:r>
              <w:rPr>
                <w:noProof/>
              </w:rPr>
              <w:t>Инвестиция 1.1: Цифрова инфраструктура</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35F8BECE" w14:textId="77777777" w:rsidR="006054AA" w:rsidRDefault="001F7667">
            <w:pPr>
              <w:pStyle w:val="P68B1DB1-Normal12"/>
              <w:rPr>
                <w:noProof/>
              </w:rPr>
            </w:pPr>
            <w:r>
              <w:rPr>
                <w:noProof/>
              </w:rPr>
              <w:t>Целеви</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22BCBB15" w14:textId="77777777" w:rsidR="006054AA" w:rsidRDefault="001F7667">
            <w:pPr>
              <w:pStyle w:val="P68B1DB1-Normal12"/>
              <w:rPr>
                <w:noProof/>
              </w:rPr>
            </w:pPr>
            <w:r>
              <w:rPr>
                <w:noProof/>
              </w:rPr>
              <w:t>Миграция към Polo Strategico Nazionale T1</w:t>
            </w:r>
          </w:p>
        </w:tc>
      </w:tr>
      <w:tr w:rsidR="006054AA" w14:paraId="432B2F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AB20F4" w14:textId="77777777" w:rsidR="006054AA" w:rsidRDefault="001F7667">
            <w:pPr>
              <w:pStyle w:val="P68B1DB1-Normal12"/>
              <w:jc w:val="center"/>
              <w:rPr>
                <w:noProof/>
              </w:rPr>
            </w:pPr>
            <w:r>
              <w:rPr>
                <w:noProof/>
              </w:rPr>
              <w:t>M7—7</w:t>
            </w:r>
          </w:p>
        </w:tc>
        <w:tc>
          <w:tcPr>
            <w:tcW w:w="3118" w:type="dxa"/>
            <w:tcBorders>
              <w:top w:val="nil"/>
              <w:left w:val="nil"/>
              <w:bottom w:val="single" w:sz="4" w:space="0" w:color="auto"/>
              <w:right w:val="single" w:sz="4" w:space="0" w:color="auto"/>
            </w:tcBorders>
            <w:shd w:val="clear" w:color="auto" w:fill="C6EFCE"/>
            <w:noWrap/>
            <w:vAlign w:val="center"/>
          </w:tcPr>
          <w:p w14:paraId="1F1C1340" w14:textId="77777777" w:rsidR="006054AA" w:rsidRDefault="001F7667">
            <w:pPr>
              <w:pStyle w:val="P68B1DB1-Normal12"/>
              <w:rPr>
                <w:noProof/>
              </w:rPr>
            </w:pPr>
            <w:r>
              <w:rPr>
                <w:noProof/>
              </w:rPr>
              <w:t>Реформа 4: Намаляване на финансовия риск, свързан със СЗЕ за възобновяеми енергийни източници (споразумения за закупуване на електроенергия)</w:t>
            </w:r>
          </w:p>
        </w:tc>
        <w:tc>
          <w:tcPr>
            <w:tcW w:w="1418" w:type="dxa"/>
            <w:tcBorders>
              <w:top w:val="nil"/>
              <w:left w:val="nil"/>
              <w:bottom w:val="single" w:sz="4" w:space="0" w:color="auto"/>
              <w:right w:val="single" w:sz="4" w:space="0" w:color="auto"/>
            </w:tcBorders>
            <w:shd w:val="clear" w:color="auto" w:fill="C6EFCE"/>
            <w:noWrap/>
            <w:vAlign w:val="center"/>
          </w:tcPr>
          <w:p w14:paraId="131B333A"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1588FBA9" w14:textId="77777777" w:rsidR="006054AA" w:rsidRDefault="001F7667">
            <w:pPr>
              <w:pStyle w:val="P68B1DB1-Normal12"/>
              <w:rPr>
                <w:noProof/>
              </w:rPr>
            </w:pPr>
            <w:r>
              <w:rPr>
                <w:noProof/>
              </w:rPr>
              <w:t>Влизане в сила на първичното законодателство</w:t>
            </w:r>
          </w:p>
        </w:tc>
      </w:tr>
      <w:tr w:rsidR="006054AA" w14:paraId="420394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D2C849" w14:textId="77777777" w:rsidR="006054AA" w:rsidRDefault="001F7667">
            <w:pPr>
              <w:pStyle w:val="P68B1DB1-Normal12"/>
              <w:jc w:val="center"/>
              <w:rPr>
                <w:noProof/>
              </w:rPr>
            </w:pPr>
            <w:r>
              <w:rPr>
                <w:noProof/>
              </w:rPr>
              <w:t>M7—14</w:t>
            </w:r>
          </w:p>
        </w:tc>
        <w:tc>
          <w:tcPr>
            <w:tcW w:w="3118" w:type="dxa"/>
            <w:tcBorders>
              <w:top w:val="nil"/>
              <w:left w:val="nil"/>
              <w:bottom w:val="single" w:sz="4" w:space="0" w:color="auto"/>
              <w:right w:val="single" w:sz="4" w:space="0" w:color="auto"/>
            </w:tcBorders>
            <w:shd w:val="clear" w:color="auto" w:fill="C6EFCE"/>
            <w:noWrap/>
            <w:vAlign w:val="center"/>
          </w:tcPr>
          <w:p w14:paraId="335A90EE" w14:textId="77777777" w:rsidR="006054AA" w:rsidRDefault="001F7667">
            <w:pPr>
              <w:pStyle w:val="P68B1DB1-Normal12"/>
              <w:rPr>
                <w:noProof/>
              </w:rPr>
            </w:pPr>
            <w:r>
              <w:rPr>
                <w:noProof/>
              </w:rPr>
              <w:t>Инвестиция 4: Връзка Тиренян</w:t>
            </w:r>
          </w:p>
        </w:tc>
        <w:tc>
          <w:tcPr>
            <w:tcW w:w="1418" w:type="dxa"/>
            <w:tcBorders>
              <w:top w:val="nil"/>
              <w:left w:val="nil"/>
              <w:bottom w:val="single" w:sz="4" w:space="0" w:color="auto"/>
              <w:right w:val="single" w:sz="4" w:space="0" w:color="auto"/>
            </w:tcBorders>
            <w:shd w:val="clear" w:color="auto" w:fill="C6EFCE"/>
            <w:noWrap/>
            <w:vAlign w:val="center"/>
          </w:tcPr>
          <w:p w14:paraId="3476D068"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4D25E65E" w14:textId="77777777" w:rsidR="006054AA" w:rsidRDefault="001F7667">
            <w:pPr>
              <w:pStyle w:val="P68B1DB1-Normal12"/>
              <w:rPr>
                <w:noProof/>
              </w:rPr>
            </w:pPr>
            <w:r>
              <w:rPr>
                <w:noProof/>
              </w:rPr>
              <w:t>Възлагане на договори</w:t>
            </w:r>
          </w:p>
        </w:tc>
      </w:tr>
      <w:tr w:rsidR="006054AA" w14:paraId="0F843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523E90" w14:textId="77777777" w:rsidR="006054AA" w:rsidRDefault="001F7667">
            <w:pPr>
              <w:pStyle w:val="P68B1DB1-Normal12"/>
              <w:jc w:val="center"/>
              <w:rPr>
                <w:noProof/>
              </w:rPr>
            </w:pPr>
            <w:r>
              <w:rPr>
                <w:noProof/>
              </w:rPr>
              <w:t xml:space="preserve">M3C2—7 </w:t>
            </w:r>
          </w:p>
        </w:tc>
        <w:tc>
          <w:tcPr>
            <w:tcW w:w="3118" w:type="dxa"/>
            <w:tcBorders>
              <w:top w:val="nil"/>
              <w:left w:val="nil"/>
              <w:bottom w:val="single" w:sz="4" w:space="0" w:color="auto"/>
              <w:right w:val="single" w:sz="4" w:space="0" w:color="auto"/>
            </w:tcBorders>
            <w:shd w:val="clear" w:color="auto" w:fill="C6EFCE"/>
            <w:noWrap/>
            <w:vAlign w:val="center"/>
          </w:tcPr>
          <w:p w14:paraId="5436DD5F" w14:textId="77777777" w:rsidR="006054AA" w:rsidRDefault="001F7667">
            <w:pPr>
              <w:pStyle w:val="P68B1DB1-Normal12"/>
              <w:rPr>
                <w:noProof/>
              </w:rPr>
            </w:pPr>
            <w:r>
              <w:rPr>
                <w:noProof/>
              </w:rPr>
              <w:t xml:space="preserve">Инвестиция 2.3: Студено гладене </w:t>
            </w:r>
          </w:p>
        </w:tc>
        <w:tc>
          <w:tcPr>
            <w:tcW w:w="1418" w:type="dxa"/>
            <w:tcBorders>
              <w:top w:val="nil"/>
              <w:left w:val="nil"/>
              <w:bottom w:val="single" w:sz="4" w:space="0" w:color="auto"/>
              <w:right w:val="single" w:sz="4" w:space="0" w:color="auto"/>
            </w:tcBorders>
            <w:shd w:val="clear" w:color="auto" w:fill="C6EFCE"/>
            <w:noWrap/>
            <w:vAlign w:val="center"/>
          </w:tcPr>
          <w:p w14:paraId="57D77527" w14:textId="77777777" w:rsidR="006054AA" w:rsidRDefault="001F7667">
            <w:pPr>
              <w:pStyle w:val="P68B1DB1-Normal12"/>
              <w:rPr>
                <w:noProof/>
              </w:rPr>
            </w:pPr>
            <w:r>
              <w:rPr>
                <w:noProof/>
              </w:rPr>
              <w:t xml:space="preserve">Ключов етап </w:t>
            </w:r>
          </w:p>
        </w:tc>
        <w:tc>
          <w:tcPr>
            <w:tcW w:w="4020" w:type="dxa"/>
            <w:tcBorders>
              <w:top w:val="nil"/>
              <w:left w:val="nil"/>
              <w:bottom w:val="single" w:sz="4" w:space="0" w:color="auto"/>
              <w:right w:val="single" w:sz="4" w:space="0" w:color="auto"/>
            </w:tcBorders>
            <w:shd w:val="clear" w:color="auto" w:fill="C6EFCE"/>
            <w:noWrap/>
            <w:vAlign w:val="center"/>
          </w:tcPr>
          <w:p w14:paraId="7FB64BBB" w14:textId="77777777" w:rsidR="006054AA" w:rsidRDefault="001F7667">
            <w:pPr>
              <w:pStyle w:val="P68B1DB1-Normal12"/>
              <w:rPr>
                <w:noProof/>
              </w:rPr>
            </w:pPr>
            <w:r>
              <w:rPr>
                <w:noProof/>
              </w:rPr>
              <w:t xml:space="preserve">Възлагане на всички обществени поръчки </w:t>
            </w:r>
          </w:p>
        </w:tc>
      </w:tr>
      <w:tr w:rsidR="006054AA" w14:paraId="6ED956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CD935D" w14:textId="77777777" w:rsidR="006054AA" w:rsidRDefault="001F7667">
            <w:pPr>
              <w:pStyle w:val="P68B1DB1-Normal12"/>
              <w:jc w:val="center"/>
              <w:rPr>
                <w:noProof/>
              </w:rPr>
            </w:pPr>
            <w:r>
              <w:rPr>
                <w:noProof/>
              </w:rPr>
              <w:t>M1C1—18</w:t>
            </w:r>
          </w:p>
        </w:tc>
        <w:tc>
          <w:tcPr>
            <w:tcW w:w="3118" w:type="dxa"/>
            <w:tcBorders>
              <w:top w:val="nil"/>
              <w:left w:val="nil"/>
              <w:bottom w:val="single" w:sz="4" w:space="0" w:color="auto"/>
              <w:right w:val="single" w:sz="4" w:space="0" w:color="auto"/>
            </w:tcBorders>
            <w:shd w:val="clear" w:color="auto" w:fill="C6EFCE"/>
            <w:noWrap/>
            <w:vAlign w:val="center"/>
          </w:tcPr>
          <w:p w14:paraId="0F9B2D8E" w14:textId="77777777" w:rsidR="006054AA" w:rsidRDefault="001F7667">
            <w:pPr>
              <w:pStyle w:val="P68B1DB1-Normal12"/>
              <w:rPr>
                <w:noProof/>
              </w:rPr>
            </w:pPr>
            <w:r>
              <w:rPr>
                <w:noProof/>
              </w:rPr>
              <w:t>Инвестиция 1.3.1: Национална платформа за цифрови данни</w:t>
            </w:r>
          </w:p>
        </w:tc>
        <w:tc>
          <w:tcPr>
            <w:tcW w:w="1418" w:type="dxa"/>
            <w:tcBorders>
              <w:top w:val="nil"/>
              <w:left w:val="nil"/>
              <w:bottom w:val="single" w:sz="4" w:space="0" w:color="auto"/>
              <w:right w:val="single" w:sz="4" w:space="0" w:color="auto"/>
            </w:tcBorders>
            <w:shd w:val="clear" w:color="auto" w:fill="C6EFCE"/>
            <w:noWrap/>
            <w:vAlign w:val="center"/>
          </w:tcPr>
          <w:p w14:paraId="4F2F6119"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67ACE4FB" w14:textId="77777777" w:rsidR="006054AA" w:rsidRDefault="001F7667">
            <w:pPr>
              <w:pStyle w:val="P68B1DB1-Normal12"/>
              <w:rPr>
                <w:noProof/>
              </w:rPr>
            </w:pPr>
            <w:r>
              <w:rPr>
                <w:noProof/>
              </w:rPr>
              <w:t>Приложно-програмни интерфейси в националната платформа за цифрови данни T1</w:t>
            </w:r>
          </w:p>
        </w:tc>
      </w:tr>
      <w:tr w:rsidR="006054AA" w14:paraId="17032B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D4E332" w14:textId="77777777" w:rsidR="006054AA" w:rsidRDefault="001F7667">
            <w:pPr>
              <w:pStyle w:val="P68B1DB1-Normal12"/>
              <w:jc w:val="center"/>
              <w:rPr>
                <w:noProof/>
              </w:rPr>
            </w:pPr>
            <w:r>
              <w:rPr>
                <w:noProof/>
              </w:rPr>
              <w:t>M1C1—19</w:t>
            </w:r>
          </w:p>
        </w:tc>
        <w:tc>
          <w:tcPr>
            <w:tcW w:w="3118" w:type="dxa"/>
            <w:tcBorders>
              <w:top w:val="nil"/>
              <w:left w:val="nil"/>
              <w:bottom w:val="single" w:sz="4" w:space="0" w:color="auto"/>
              <w:right w:val="single" w:sz="4" w:space="0" w:color="auto"/>
            </w:tcBorders>
            <w:shd w:val="clear" w:color="auto" w:fill="C6EFCE"/>
            <w:noWrap/>
            <w:vAlign w:val="center"/>
          </w:tcPr>
          <w:p w14:paraId="5C1CC21D"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564FC147"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4CB6AC77" w14:textId="77777777" w:rsidR="006054AA" w:rsidRDefault="001F7667">
            <w:pPr>
              <w:pStyle w:val="P68B1DB1-Normal12"/>
              <w:rPr>
                <w:noProof/>
              </w:rPr>
            </w:pPr>
            <w:r>
              <w:rPr>
                <w:noProof/>
              </w:rPr>
              <w:t>Подкрепа за модернизирането на структурите за сигурност T2</w:t>
            </w:r>
          </w:p>
        </w:tc>
      </w:tr>
      <w:tr w:rsidR="006054AA" w14:paraId="3F4D3A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2020B" w14:textId="77777777" w:rsidR="006054AA" w:rsidRDefault="001F7667">
            <w:pPr>
              <w:pStyle w:val="P68B1DB1-Normal12"/>
              <w:jc w:val="center"/>
              <w:rPr>
                <w:noProof/>
              </w:rPr>
            </w:pPr>
            <w:r>
              <w:rPr>
                <w:noProof/>
              </w:rPr>
              <w:t>M1C1—20</w:t>
            </w:r>
          </w:p>
        </w:tc>
        <w:tc>
          <w:tcPr>
            <w:tcW w:w="3118" w:type="dxa"/>
            <w:tcBorders>
              <w:top w:val="nil"/>
              <w:left w:val="nil"/>
              <w:bottom w:val="single" w:sz="4" w:space="0" w:color="auto"/>
              <w:right w:val="single" w:sz="4" w:space="0" w:color="auto"/>
            </w:tcBorders>
            <w:shd w:val="clear" w:color="auto" w:fill="C6EFCE"/>
            <w:noWrap/>
            <w:vAlign w:val="center"/>
          </w:tcPr>
          <w:p w14:paraId="1B056106"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3867F4ED"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072C0876" w14:textId="77777777" w:rsidR="006054AA" w:rsidRDefault="001F7667">
            <w:pPr>
              <w:pStyle w:val="P68B1DB1-Normal12"/>
              <w:rPr>
                <w:noProof/>
              </w:rPr>
            </w:pPr>
            <w:r>
              <w:rPr>
                <w:noProof/>
              </w:rPr>
              <w:t>Пълно внедряване на националните услуги в областта на киберсигурността</w:t>
            </w:r>
          </w:p>
        </w:tc>
      </w:tr>
      <w:tr w:rsidR="006054AA" w14:paraId="366F86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CE3ECD" w14:textId="77777777" w:rsidR="006054AA" w:rsidRDefault="001F7667">
            <w:pPr>
              <w:pStyle w:val="P68B1DB1-Normal12"/>
              <w:jc w:val="center"/>
              <w:rPr>
                <w:noProof/>
              </w:rPr>
            </w:pPr>
            <w:r>
              <w:rPr>
                <w:noProof/>
              </w:rPr>
              <w:t>M1C1—21</w:t>
            </w:r>
          </w:p>
        </w:tc>
        <w:tc>
          <w:tcPr>
            <w:tcW w:w="3118" w:type="dxa"/>
            <w:tcBorders>
              <w:top w:val="nil"/>
              <w:left w:val="nil"/>
              <w:bottom w:val="single" w:sz="4" w:space="0" w:color="auto"/>
              <w:right w:val="single" w:sz="4" w:space="0" w:color="auto"/>
            </w:tcBorders>
            <w:shd w:val="clear" w:color="auto" w:fill="C6EFCE"/>
            <w:noWrap/>
            <w:vAlign w:val="center"/>
          </w:tcPr>
          <w:p w14:paraId="534C06ED"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26B2A4BD"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2E66BD0E" w14:textId="77777777" w:rsidR="006054AA" w:rsidRDefault="001F7667">
            <w:pPr>
              <w:pStyle w:val="P68B1DB1-Normal12"/>
              <w:rPr>
                <w:noProof/>
              </w:rPr>
            </w:pPr>
            <w:r>
              <w:rPr>
                <w:noProof/>
              </w:rPr>
              <w:t>Завършване на мрежата от лаборатории за проверка и сертифициране на киберсигурността, центрове за оценка</w:t>
            </w:r>
          </w:p>
        </w:tc>
      </w:tr>
      <w:tr w:rsidR="006054AA" w14:paraId="719621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792A67" w14:textId="77777777" w:rsidR="006054AA" w:rsidRDefault="001F7667">
            <w:pPr>
              <w:pStyle w:val="P68B1DB1-Normal12"/>
              <w:jc w:val="center"/>
              <w:rPr>
                <w:noProof/>
              </w:rPr>
            </w:pPr>
            <w:r>
              <w:rPr>
                <w:noProof/>
              </w:rPr>
              <w:t>M1C1—22</w:t>
            </w:r>
          </w:p>
        </w:tc>
        <w:tc>
          <w:tcPr>
            <w:tcW w:w="3118" w:type="dxa"/>
            <w:tcBorders>
              <w:top w:val="nil"/>
              <w:left w:val="nil"/>
              <w:bottom w:val="single" w:sz="4" w:space="0" w:color="auto"/>
              <w:right w:val="single" w:sz="4" w:space="0" w:color="auto"/>
            </w:tcBorders>
            <w:shd w:val="clear" w:color="auto" w:fill="C6EFCE"/>
            <w:noWrap/>
            <w:vAlign w:val="center"/>
          </w:tcPr>
          <w:p w14:paraId="165C94C7" w14:textId="77777777" w:rsidR="006054AA" w:rsidRDefault="001F7667">
            <w:pPr>
              <w:pStyle w:val="P68B1DB1-Normal12"/>
              <w:rPr>
                <w:noProof/>
              </w:rPr>
            </w:pPr>
            <w:r>
              <w:rPr>
                <w:noProof/>
              </w:rPr>
              <w:t>Инвестиция 1.5: Киберсигурността</w:t>
            </w:r>
          </w:p>
        </w:tc>
        <w:tc>
          <w:tcPr>
            <w:tcW w:w="1418" w:type="dxa"/>
            <w:tcBorders>
              <w:top w:val="nil"/>
              <w:left w:val="nil"/>
              <w:bottom w:val="single" w:sz="4" w:space="0" w:color="auto"/>
              <w:right w:val="single" w:sz="4" w:space="0" w:color="auto"/>
            </w:tcBorders>
            <w:shd w:val="clear" w:color="auto" w:fill="C6EFCE"/>
            <w:noWrap/>
            <w:vAlign w:val="center"/>
          </w:tcPr>
          <w:p w14:paraId="78C4445F"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1C7FE58D" w14:textId="77777777" w:rsidR="006054AA" w:rsidRDefault="001F7667">
            <w:pPr>
              <w:pStyle w:val="P68B1DB1-Normal12"/>
              <w:rPr>
                <w:noProof/>
              </w:rPr>
            </w:pPr>
            <w:r>
              <w:rPr>
                <w:noProof/>
              </w:rPr>
              <w:t>Пълно функциониране на Централното звено за одит на мерките за сигурност PSNC -NIS с най-малко 30 приключени инспекции</w:t>
            </w:r>
          </w:p>
        </w:tc>
      </w:tr>
      <w:tr w:rsidR="006054AA" w14:paraId="3F4A89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92C597" w14:textId="77777777" w:rsidR="006054AA" w:rsidRDefault="001F7667">
            <w:pPr>
              <w:pStyle w:val="P68B1DB1-Normal12"/>
              <w:jc w:val="center"/>
              <w:rPr>
                <w:noProof/>
              </w:rPr>
            </w:pPr>
            <w:r>
              <w:rPr>
                <w:noProof/>
              </w:rPr>
              <w:t>M1C1—43</w:t>
            </w:r>
          </w:p>
        </w:tc>
        <w:tc>
          <w:tcPr>
            <w:tcW w:w="3118" w:type="dxa"/>
            <w:tcBorders>
              <w:top w:val="nil"/>
              <w:left w:val="nil"/>
              <w:bottom w:val="single" w:sz="4" w:space="0" w:color="auto"/>
              <w:right w:val="single" w:sz="4" w:space="0" w:color="auto"/>
            </w:tcBorders>
            <w:shd w:val="clear" w:color="auto" w:fill="C6EFCE"/>
            <w:noWrap/>
            <w:vAlign w:val="center"/>
          </w:tcPr>
          <w:p w14:paraId="44B30CE5" w14:textId="77777777" w:rsidR="006054AA" w:rsidRDefault="001F7667">
            <w:pPr>
              <w:pStyle w:val="P68B1DB1-Normal12"/>
              <w:rPr>
                <w:noProof/>
              </w:rPr>
            </w:pPr>
            <w:r>
              <w:rPr>
                <w:noProof/>
              </w:rPr>
              <w:t>Реформа 1.4: Реформа на гражданското правосъдие</w:t>
            </w:r>
          </w:p>
        </w:tc>
        <w:tc>
          <w:tcPr>
            <w:tcW w:w="1418" w:type="dxa"/>
            <w:tcBorders>
              <w:top w:val="nil"/>
              <w:left w:val="nil"/>
              <w:bottom w:val="single" w:sz="4" w:space="0" w:color="auto"/>
              <w:right w:val="single" w:sz="4" w:space="0" w:color="auto"/>
            </w:tcBorders>
            <w:shd w:val="clear" w:color="auto" w:fill="C6EFCE"/>
            <w:noWrap/>
            <w:vAlign w:val="center"/>
          </w:tcPr>
          <w:p w14:paraId="24027B45"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0E3FC3E3" w14:textId="77777777" w:rsidR="006054AA" w:rsidRDefault="001F7667">
            <w:pPr>
              <w:pStyle w:val="P68B1DB1-Normal12"/>
              <w:rPr>
                <w:noProof/>
              </w:rPr>
            </w:pPr>
            <w:r>
              <w:rPr>
                <w:noProof/>
              </w:rPr>
              <w:t>Намаляване на броя на висящите дела за гражданските общи съдилища (първа инстанция)</w:t>
            </w:r>
          </w:p>
        </w:tc>
      </w:tr>
      <w:tr w:rsidR="006054AA" w14:paraId="5933AC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82EEEC" w14:textId="77777777" w:rsidR="006054AA" w:rsidRDefault="001F7667">
            <w:pPr>
              <w:pStyle w:val="P68B1DB1-Normal12"/>
              <w:jc w:val="center"/>
              <w:rPr>
                <w:noProof/>
              </w:rPr>
            </w:pPr>
            <w:r>
              <w:rPr>
                <w:noProof/>
              </w:rPr>
              <w:t>M1C1—44</w:t>
            </w:r>
          </w:p>
        </w:tc>
        <w:tc>
          <w:tcPr>
            <w:tcW w:w="3118" w:type="dxa"/>
            <w:tcBorders>
              <w:top w:val="nil"/>
              <w:left w:val="nil"/>
              <w:bottom w:val="single" w:sz="4" w:space="0" w:color="auto"/>
              <w:right w:val="single" w:sz="4" w:space="0" w:color="auto"/>
            </w:tcBorders>
            <w:shd w:val="clear" w:color="auto" w:fill="C6EFCE"/>
            <w:noWrap/>
            <w:vAlign w:val="center"/>
          </w:tcPr>
          <w:p w14:paraId="1F14AF4D" w14:textId="77777777" w:rsidR="006054AA" w:rsidRDefault="001F7667">
            <w:pPr>
              <w:pStyle w:val="P68B1DB1-Normal12"/>
              <w:rPr>
                <w:noProof/>
              </w:rPr>
            </w:pPr>
            <w:r>
              <w:rPr>
                <w:noProof/>
              </w:rPr>
              <w:t>Реформа 1.4: Реформа на гражданското правосъдие</w:t>
            </w:r>
          </w:p>
        </w:tc>
        <w:tc>
          <w:tcPr>
            <w:tcW w:w="1418" w:type="dxa"/>
            <w:tcBorders>
              <w:top w:val="nil"/>
              <w:left w:val="nil"/>
              <w:bottom w:val="single" w:sz="4" w:space="0" w:color="auto"/>
              <w:right w:val="single" w:sz="4" w:space="0" w:color="auto"/>
            </w:tcBorders>
            <w:shd w:val="clear" w:color="auto" w:fill="C6EFCE"/>
            <w:noWrap/>
            <w:vAlign w:val="center"/>
          </w:tcPr>
          <w:p w14:paraId="7795CF19"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4936DFC7" w14:textId="77777777" w:rsidR="006054AA" w:rsidRDefault="001F7667">
            <w:pPr>
              <w:pStyle w:val="P68B1DB1-Normal12"/>
              <w:rPr>
                <w:noProof/>
              </w:rPr>
            </w:pPr>
            <w:r>
              <w:rPr>
                <w:noProof/>
              </w:rPr>
              <w:t>Намаляване на броя на висящите дела за Апелативния граждански съд (втора инстанция)</w:t>
            </w:r>
          </w:p>
        </w:tc>
      </w:tr>
      <w:tr w:rsidR="006054AA" w14:paraId="41F39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F8233" w14:textId="77777777" w:rsidR="006054AA" w:rsidRDefault="001F7667">
            <w:pPr>
              <w:pStyle w:val="P68B1DB1-Normal12"/>
              <w:jc w:val="center"/>
              <w:rPr>
                <w:noProof/>
              </w:rPr>
            </w:pPr>
            <w:r>
              <w:rPr>
                <w:noProof/>
              </w:rPr>
              <w:t>M1C1—60</w:t>
            </w:r>
          </w:p>
        </w:tc>
        <w:tc>
          <w:tcPr>
            <w:tcW w:w="3118" w:type="dxa"/>
            <w:tcBorders>
              <w:top w:val="nil"/>
              <w:left w:val="nil"/>
              <w:bottom w:val="single" w:sz="4" w:space="0" w:color="auto"/>
              <w:right w:val="single" w:sz="4" w:space="0" w:color="auto"/>
            </w:tcBorders>
            <w:shd w:val="clear" w:color="auto" w:fill="C6EFCE"/>
            <w:noWrap/>
            <w:vAlign w:val="center"/>
          </w:tcPr>
          <w:p w14:paraId="21129CF2" w14:textId="77777777" w:rsidR="006054AA" w:rsidRDefault="001F7667">
            <w:pPr>
              <w:pStyle w:val="P68B1DB1-Normal12"/>
              <w:rPr>
                <w:noProof/>
              </w:rPr>
            </w:pPr>
            <w:r>
              <w:rPr>
                <w:noProof/>
              </w:rPr>
              <w:t>Реформа 1.9: Реформа на публичната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621BAF27"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5B1B50B2" w14:textId="77777777" w:rsidR="006054AA" w:rsidRDefault="001F7667">
            <w:pPr>
              <w:pStyle w:val="P68B1DB1-Normal12"/>
              <w:rPr>
                <w:noProof/>
              </w:rPr>
            </w:pPr>
            <w:r>
              <w:rPr>
                <w:noProof/>
              </w:rPr>
              <w:t>Пълно прилагане (включително всички делегирани актове) на опростяването и/или цифровизацията на набор от 200 критични процедури, засягащи гражданите и предприятията</w:t>
            </w:r>
          </w:p>
        </w:tc>
      </w:tr>
      <w:tr w:rsidR="006054AA" w14:paraId="2C3D7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96BC63" w14:textId="77777777" w:rsidR="006054AA" w:rsidRDefault="001F7667">
            <w:pPr>
              <w:pStyle w:val="P68B1DB1-Normal12"/>
              <w:jc w:val="center"/>
              <w:rPr>
                <w:noProof/>
              </w:rPr>
            </w:pPr>
            <w:r>
              <w:rPr>
                <w:noProof/>
              </w:rPr>
              <w:t>M1C1—72ter</w:t>
            </w:r>
          </w:p>
        </w:tc>
        <w:tc>
          <w:tcPr>
            <w:tcW w:w="3118" w:type="dxa"/>
            <w:tcBorders>
              <w:top w:val="nil"/>
              <w:left w:val="nil"/>
              <w:bottom w:val="single" w:sz="4" w:space="0" w:color="auto"/>
              <w:right w:val="single" w:sz="4" w:space="0" w:color="auto"/>
            </w:tcBorders>
            <w:shd w:val="clear" w:color="auto" w:fill="C6EFCE"/>
            <w:noWrap/>
            <w:vAlign w:val="center"/>
          </w:tcPr>
          <w:p w14:paraId="66C60445" w14:textId="77777777" w:rsidR="006054AA" w:rsidRDefault="001F7667">
            <w:pPr>
              <w:pStyle w:val="P68B1DB1-Normal12"/>
              <w:rPr>
                <w:noProof/>
              </w:rPr>
            </w:pPr>
            <w:r>
              <w:rPr>
                <w:noProof/>
              </w:rPr>
              <w:t>Реформа 1.11: Намаляване на забавените плащания от страна на публичните администрации и здравните органи</w:t>
            </w:r>
          </w:p>
        </w:tc>
        <w:tc>
          <w:tcPr>
            <w:tcW w:w="1418" w:type="dxa"/>
            <w:tcBorders>
              <w:top w:val="nil"/>
              <w:left w:val="nil"/>
              <w:bottom w:val="single" w:sz="4" w:space="0" w:color="auto"/>
              <w:right w:val="single" w:sz="4" w:space="0" w:color="auto"/>
            </w:tcBorders>
            <w:shd w:val="clear" w:color="auto" w:fill="C6EFCE"/>
            <w:noWrap/>
            <w:vAlign w:val="center"/>
          </w:tcPr>
          <w:p w14:paraId="559EB0E5"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43F51543" w14:textId="77777777" w:rsidR="006054AA" w:rsidRDefault="001F7667">
            <w:pPr>
              <w:pStyle w:val="P68B1DB1-Normal12"/>
              <w:rPr>
                <w:noProof/>
              </w:rPr>
            </w:pPr>
            <w:r>
              <w:rPr>
                <w:noProof/>
              </w:rPr>
              <w:t>Увеличаване на човешките ресурси за справяне със забавени плащания</w:t>
            </w:r>
          </w:p>
        </w:tc>
      </w:tr>
      <w:tr w:rsidR="006054AA" w14:paraId="5AA36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05D493" w14:textId="77777777" w:rsidR="006054AA" w:rsidRDefault="001F7667">
            <w:pPr>
              <w:pStyle w:val="P68B1DB1-Normal12"/>
              <w:jc w:val="center"/>
              <w:rPr>
                <w:noProof/>
              </w:rPr>
            </w:pPr>
            <w:r>
              <w:rPr>
                <w:noProof/>
              </w:rPr>
              <w:t>M1C1—72quater</w:t>
            </w:r>
          </w:p>
        </w:tc>
        <w:tc>
          <w:tcPr>
            <w:tcW w:w="3118" w:type="dxa"/>
            <w:tcBorders>
              <w:top w:val="nil"/>
              <w:left w:val="nil"/>
              <w:bottom w:val="single" w:sz="4" w:space="0" w:color="auto"/>
              <w:right w:val="single" w:sz="4" w:space="0" w:color="auto"/>
            </w:tcBorders>
            <w:shd w:val="clear" w:color="auto" w:fill="C6EFCE"/>
            <w:noWrap/>
            <w:vAlign w:val="center"/>
          </w:tcPr>
          <w:p w14:paraId="50B8E325" w14:textId="77777777" w:rsidR="006054AA" w:rsidRDefault="001F7667">
            <w:pPr>
              <w:pStyle w:val="P68B1DB1-Normal12"/>
              <w:rPr>
                <w:noProof/>
              </w:rPr>
            </w:pPr>
            <w:r>
              <w:rPr>
                <w:noProof/>
              </w:rPr>
              <w:t>Реформа 1.11: Намаляване на забавените плащания от страна на публичните администрации и здравните органи</w:t>
            </w:r>
          </w:p>
        </w:tc>
        <w:tc>
          <w:tcPr>
            <w:tcW w:w="1418" w:type="dxa"/>
            <w:tcBorders>
              <w:top w:val="nil"/>
              <w:left w:val="nil"/>
              <w:bottom w:val="single" w:sz="4" w:space="0" w:color="auto"/>
              <w:right w:val="single" w:sz="4" w:space="0" w:color="auto"/>
            </w:tcBorders>
            <w:shd w:val="clear" w:color="auto" w:fill="C6EFCE"/>
            <w:noWrap/>
            <w:vAlign w:val="center"/>
          </w:tcPr>
          <w:p w14:paraId="5FEED0D1"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67CDBB9D" w14:textId="77777777" w:rsidR="006054AA" w:rsidRDefault="001F7667">
            <w:pPr>
              <w:pStyle w:val="P68B1DB1-Normal12"/>
              <w:rPr>
                <w:noProof/>
              </w:rPr>
            </w:pPr>
            <w:r>
              <w:rPr>
                <w:noProof/>
              </w:rPr>
              <w:t>Въвеждане на прехвърляне на кредити на трети страни</w:t>
            </w:r>
          </w:p>
        </w:tc>
      </w:tr>
      <w:tr w:rsidR="006054AA" w14:paraId="3E241E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ABD9FC" w14:textId="77777777" w:rsidR="006054AA" w:rsidRDefault="001F7667">
            <w:pPr>
              <w:pStyle w:val="P68B1DB1-Normal12"/>
              <w:jc w:val="center"/>
              <w:rPr>
                <w:noProof/>
              </w:rPr>
            </w:pPr>
            <w:r>
              <w:rPr>
                <w:noProof/>
              </w:rPr>
              <w:t>M1C1—72quinquies</w:t>
            </w:r>
          </w:p>
        </w:tc>
        <w:tc>
          <w:tcPr>
            <w:tcW w:w="3118" w:type="dxa"/>
            <w:tcBorders>
              <w:top w:val="nil"/>
              <w:left w:val="nil"/>
              <w:bottom w:val="single" w:sz="4" w:space="0" w:color="auto"/>
              <w:right w:val="single" w:sz="4" w:space="0" w:color="auto"/>
            </w:tcBorders>
            <w:shd w:val="clear" w:color="auto" w:fill="C6EFCE"/>
            <w:noWrap/>
            <w:vAlign w:val="center"/>
          </w:tcPr>
          <w:p w14:paraId="03D66607" w14:textId="77777777" w:rsidR="006054AA" w:rsidRDefault="001F7667">
            <w:pPr>
              <w:pStyle w:val="P68B1DB1-Normal12"/>
              <w:rPr>
                <w:noProof/>
              </w:rPr>
            </w:pPr>
            <w:r>
              <w:rPr>
                <w:noProof/>
              </w:rPr>
              <w:t>Реформа 1.11: Намаляване на забавените плащания от страна на публичните администрации и здравните органи</w:t>
            </w:r>
          </w:p>
        </w:tc>
        <w:tc>
          <w:tcPr>
            <w:tcW w:w="1418" w:type="dxa"/>
            <w:tcBorders>
              <w:top w:val="nil"/>
              <w:left w:val="nil"/>
              <w:bottom w:val="single" w:sz="4" w:space="0" w:color="auto"/>
              <w:right w:val="single" w:sz="4" w:space="0" w:color="auto"/>
            </w:tcBorders>
            <w:shd w:val="clear" w:color="auto" w:fill="C6EFCE"/>
            <w:noWrap/>
            <w:vAlign w:val="center"/>
          </w:tcPr>
          <w:p w14:paraId="5314C6FA"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5F2233A5" w14:textId="77777777" w:rsidR="006054AA" w:rsidRDefault="001F7667">
            <w:pPr>
              <w:pStyle w:val="P68B1DB1-Normal12"/>
              <w:rPr>
                <w:noProof/>
              </w:rPr>
            </w:pPr>
            <w:r>
              <w:rPr>
                <w:noProof/>
              </w:rPr>
              <w:t xml:space="preserve">Извършване на плащания в базата данни InIT </w:t>
            </w:r>
          </w:p>
        </w:tc>
      </w:tr>
      <w:tr w:rsidR="006054AA" w14:paraId="55F720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2B6A4" w14:textId="77777777" w:rsidR="006054AA" w:rsidRDefault="001F7667">
            <w:pPr>
              <w:pStyle w:val="P68B1DB1-Normal12"/>
              <w:jc w:val="center"/>
              <w:rPr>
                <w:noProof/>
              </w:rPr>
            </w:pPr>
            <w:r>
              <w:rPr>
                <w:noProof/>
              </w:rPr>
              <w:t>M1C1—73ter</w:t>
            </w:r>
          </w:p>
        </w:tc>
        <w:tc>
          <w:tcPr>
            <w:tcW w:w="3118" w:type="dxa"/>
            <w:tcBorders>
              <w:top w:val="nil"/>
              <w:left w:val="nil"/>
              <w:bottom w:val="single" w:sz="4" w:space="0" w:color="auto"/>
              <w:right w:val="single" w:sz="4" w:space="0" w:color="auto"/>
            </w:tcBorders>
            <w:shd w:val="clear" w:color="auto" w:fill="C6EFCE"/>
            <w:noWrap/>
            <w:vAlign w:val="center"/>
          </w:tcPr>
          <w:p w14:paraId="1F456F19"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45C3CA6E"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0339A838" w14:textId="77777777" w:rsidR="006054AA" w:rsidRDefault="001F7667">
            <w:pPr>
              <w:pStyle w:val="P68B1DB1-Normal12"/>
              <w:rPr>
                <w:noProof/>
              </w:rPr>
            </w:pPr>
            <w:r>
              <w:rPr>
                <w:noProof/>
              </w:rPr>
              <w:t xml:space="preserve">Стимули за квалификация и професионализация на възлагащите органи. </w:t>
            </w:r>
          </w:p>
        </w:tc>
      </w:tr>
      <w:tr w:rsidR="006054AA" w14:paraId="2EF599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952C94" w14:textId="77777777" w:rsidR="006054AA" w:rsidRDefault="001F7667">
            <w:pPr>
              <w:pStyle w:val="P68B1DB1-Normal12"/>
              <w:jc w:val="center"/>
              <w:rPr>
                <w:noProof/>
              </w:rPr>
            </w:pPr>
            <w:r>
              <w:rPr>
                <w:noProof/>
              </w:rPr>
              <w:t>M1C1—73quinquies</w:t>
            </w:r>
          </w:p>
        </w:tc>
        <w:tc>
          <w:tcPr>
            <w:tcW w:w="3118" w:type="dxa"/>
            <w:tcBorders>
              <w:top w:val="nil"/>
              <w:left w:val="nil"/>
              <w:bottom w:val="single" w:sz="4" w:space="0" w:color="auto"/>
              <w:right w:val="single" w:sz="4" w:space="0" w:color="auto"/>
            </w:tcBorders>
            <w:shd w:val="clear" w:color="auto" w:fill="C6EFCE"/>
            <w:noWrap/>
            <w:vAlign w:val="center"/>
          </w:tcPr>
          <w:p w14:paraId="69DBE76E"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344A539C"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227649B0" w14:textId="77777777" w:rsidR="006054AA" w:rsidRDefault="001F7667">
            <w:pPr>
              <w:pStyle w:val="P68B1DB1-Normal12"/>
              <w:rPr>
                <w:noProof/>
              </w:rPr>
            </w:pPr>
            <w:r>
              <w:rPr>
                <w:noProof/>
              </w:rPr>
              <w:t>Влизане в сила на нови правни разпоредби относно финансирането на проекти</w:t>
            </w:r>
          </w:p>
        </w:tc>
      </w:tr>
      <w:tr w:rsidR="006054AA" w14:paraId="61E54C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0A4A80" w14:textId="77777777" w:rsidR="006054AA" w:rsidRDefault="001F7667">
            <w:pPr>
              <w:pStyle w:val="P68B1DB1-Normal12"/>
              <w:jc w:val="center"/>
              <w:rPr>
                <w:noProof/>
              </w:rPr>
            </w:pPr>
            <w:r>
              <w:rPr>
                <w:noProof/>
              </w:rPr>
              <w:t>M1C1—75bis</w:t>
            </w:r>
          </w:p>
        </w:tc>
        <w:tc>
          <w:tcPr>
            <w:tcW w:w="3118" w:type="dxa"/>
            <w:tcBorders>
              <w:top w:val="nil"/>
              <w:left w:val="nil"/>
              <w:bottom w:val="single" w:sz="4" w:space="0" w:color="auto"/>
              <w:right w:val="single" w:sz="4" w:space="0" w:color="auto"/>
            </w:tcBorders>
            <w:shd w:val="clear" w:color="auto" w:fill="C6EFCE"/>
            <w:noWrap/>
            <w:vAlign w:val="center"/>
          </w:tcPr>
          <w:p w14:paraId="68D8DAAD" w14:textId="77777777" w:rsidR="006054AA" w:rsidRDefault="001F7667">
            <w:pPr>
              <w:pStyle w:val="P68B1DB1-Normal12"/>
              <w:rPr>
                <w:noProof/>
              </w:rPr>
            </w:pPr>
            <w:r>
              <w:rPr>
                <w:noProof/>
              </w:rPr>
              <w:t xml:space="preserve">Инвестиция 1.10: Подкрепа за квалифицирането и електронните обществени поръчки </w:t>
            </w:r>
          </w:p>
        </w:tc>
        <w:tc>
          <w:tcPr>
            <w:tcW w:w="1418" w:type="dxa"/>
            <w:tcBorders>
              <w:top w:val="nil"/>
              <w:left w:val="nil"/>
              <w:bottom w:val="single" w:sz="4" w:space="0" w:color="auto"/>
              <w:right w:val="single" w:sz="4" w:space="0" w:color="auto"/>
            </w:tcBorders>
            <w:shd w:val="clear" w:color="auto" w:fill="C6EFCE"/>
            <w:noWrap/>
            <w:vAlign w:val="center"/>
          </w:tcPr>
          <w:p w14:paraId="624A184E"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4F935308" w14:textId="77777777" w:rsidR="006054AA" w:rsidRDefault="001F7667">
            <w:pPr>
              <w:pStyle w:val="P68B1DB1-Normal12"/>
              <w:rPr>
                <w:noProof/>
              </w:rPr>
            </w:pPr>
            <w:r>
              <w:rPr>
                <w:noProof/>
              </w:rPr>
              <w:t>Подкрепа за квалифицирането и електронните обществени поръчки</w:t>
            </w:r>
          </w:p>
        </w:tc>
      </w:tr>
      <w:tr w:rsidR="006054AA" w14:paraId="0196F1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C4CC9B" w14:textId="77777777" w:rsidR="006054AA" w:rsidRDefault="001F7667">
            <w:pPr>
              <w:pStyle w:val="P68B1DB1-Normal12"/>
              <w:jc w:val="center"/>
              <w:rPr>
                <w:noProof/>
              </w:rPr>
            </w:pPr>
            <w:r>
              <w:rPr>
                <w:noProof/>
              </w:rPr>
              <w:t>M1C1—84bis</w:t>
            </w:r>
          </w:p>
        </w:tc>
        <w:tc>
          <w:tcPr>
            <w:tcW w:w="3118" w:type="dxa"/>
            <w:tcBorders>
              <w:top w:val="nil"/>
              <w:left w:val="nil"/>
              <w:bottom w:val="single" w:sz="4" w:space="0" w:color="auto"/>
              <w:right w:val="single" w:sz="4" w:space="0" w:color="auto"/>
            </w:tcBorders>
            <w:shd w:val="clear" w:color="auto" w:fill="C6EFCE"/>
            <w:noWrap/>
            <w:vAlign w:val="center"/>
          </w:tcPr>
          <w:p w14:paraId="7CEA2C19"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3EAABA76"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36C0129D" w14:textId="77777777" w:rsidR="006054AA" w:rsidRDefault="001F7667">
            <w:pPr>
              <w:pStyle w:val="P68B1DB1-Normal12"/>
              <w:rPr>
                <w:noProof/>
              </w:rPr>
            </w:pPr>
            <w:r>
              <w:rPr>
                <w:noProof/>
              </w:rPr>
              <w:t>Мерки за подобряване на скоростта на вземане на решения при възлагането на обществени поръчки от страна на възлагащите органи</w:t>
            </w:r>
          </w:p>
        </w:tc>
      </w:tr>
      <w:tr w:rsidR="006054AA" w14:paraId="68C921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B779CC" w14:textId="77777777" w:rsidR="006054AA" w:rsidRDefault="001F7667">
            <w:pPr>
              <w:pStyle w:val="P68B1DB1-Normal12"/>
              <w:jc w:val="center"/>
              <w:rPr>
                <w:noProof/>
              </w:rPr>
            </w:pPr>
            <w:r>
              <w:rPr>
                <w:noProof/>
              </w:rPr>
              <w:t>M1C1—97</w:t>
            </w:r>
          </w:p>
        </w:tc>
        <w:tc>
          <w:tcPr>
            <w:tcW w:w="3118" w:type="dxa"/>
            <w:tcBorders>
              <w:top w:val="nil"/>
              <w:left w:val="nil"/>
              <w:bottom w:val="single" w:sz="4" w:space="0" w:color="auto"/>
              <w:right w:val="single" w:sz="4" w:space="0" w:color="auto"/>
            </w:tcBorders>
            <w:shd w:val="clear" w:color="auto" w:fill="C6EFCE"/>
            <w:noWrap/>
            <w:vAlign w:val="center"/>
          </w:tcPr>
          <w:p w14:paraId="17C8533E"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7B2E1F1D"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336C9CD3" w14:textId="77777777" w:rsidR="006054AA" w:rsidRDefault="001F7667">
            <w:pPr>
              <w:pStyle w:val="P68B1DB1-Normal12"/>
              <w:rPr>
                <w:noProof/>
              </w:rPr>
            </w:pPr>
            <w:r>
              <w:rPr>
                <w:noProof/>
              </w:rPr>
              <w:t>Средно време между възлагането на поръчката и реализацията на инфраструктурата</w:t>
            </w:r>
          </w:p>
        </w:tc>
      </w:tr>
      <w:tr w:rsidR="006054AA" w14:paraId="1208D1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6CC9F" w14:textId="77777777" w:rsidR="006054AA" w:rsidRDefault="001F7667">
            <w:pPr>
              <w:pStyle w:val="P68B1DB1-Normal12"/>
              <w:jc w:val="center"/>
              <w:rPr>
                <w:noProof/>
              </w:rPr>
            </w:pPr>
            <w:r>
              <w:rPr>
                <w:noProof/>
              </w:rPr>
              <w:t>M1C1—98</w:t>
            </w:r>
          </w:p>
        </w:tc>
        <w:tc>
          <w:tcPr>
            <w:tcW w:w="3118" w:type="dxa"/>
            <w:tcBorders>
              <w:top w:val="nil"/>
              <w:left w:val="nil"/>
              <w:bottom w:val="single" w:sz="4" w:space="0" w:color="auto"/>
              <w:right w:val="single" w:sz="4" w:space="0" w:color="auto"/>
            </w:tcBorders>
            <w:shd w:val="clear" w:color="auto" w:fill="C6EFCE"/>
            <w:noWrap/>
            <w:vAlign w:val="center"/>
          </w:tcPr>
          <w:p w14:paraId="10B4AE2E"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7E8AD9F2"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2FD824CE" w14:textId="77777777" w:rsidR="006054AA" w:rsidRDefault="001F7667">
            <w:pPr>
              <w:pStyle w:val="P68B1DB1-Normal12"/>
              <w:rPr>
                <w:noProof/>
              </w:rPr>
            </w:pPr>
            <w:r>
              <w:rPr>
                <w:noProof/>
              </w:rPr>
              <w:t>Държавни служители, обучени чрез стратегията за професионализация на публичните купувачи</w:t>
            </w:r>
          </w:p>
        </w:tc>
      </w:tr>
      <w:tr w:rsidR="006054AA" w14:paraId="183DA1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58D23D" w14:textId="77777777" w:rsidR="006054AA" w:rsidRDefault="001F7667">
            <w:pPr>
              <w:pStyle w:val="P68B1DB1-Normal12"/>
              <w:jc w:val="center"/>
              <w:rPr>
                <w:noProof/>
              </w:rPr>
            </w:pPr>
            <w:r>
              <w:rPr>
                <w:noProof/>
              </w:rPr>
              <w:t>M1C1—99</w:t>
            </w:r>
          </w:p>
        </w:tc>
        <w:tc>
          <w:tcPr>
            <w:tcW w:w="3118" w:type="dxa"/>
            <w:tcBorders>
              <w:top w:val="nil"/>
              <w:left w:val="nil"/>
              <w:bottom w:val="single" w:sz="4" w:space="0" w:color="auto"/>
              <w:right w:val="single" w:sz="4" w:space="0" w:color="auto"/>
            </w:tcBorders>
            <w:shd w:val="clear" w:color="auto" w:fill="C6EFCE"/>
            <w:noWrap/>
            <w:vAlign w:val="center"/>
          </w:tcPr>
          <w:p w14:paraId="258672B6" w14:textId="77777777" w:rsidR="006054AA" w:rsidRDefault="001F7667">
            <w:pPr>
              <w:pStyle w:val="P68B1DB1-Normal12"/>
              <w:rPr>
                <w:noProof/>
              </w:rPr>
            </w:pPr>
            <w:r>
              <w:rPr>
                <w:noProof/>
              </w:rPr>
              <w:t>Реформа 1.10: Реформа на законодателната рамка за обществените поръчки</w:t>
            </w:r>
          </w:p>
        </w:tc>
        <w:tc>
          <w:tcPr>
            <w:tcW w:w="1418" w:type="dxa"/>
            <w:tcBorders>
              <w:top w:val="nil"/>
              <w:left w:val="nil"/>
              <w:bottom w:val="single" w:sz="4" w:space="0" w:color="auto"/>
              <w:right w:val="single" w:sz="4" w:space="0" w:color="auto"/>
            </w:tcBorders>
            <w:shd w:val="clear" w:color="auto" w:fill="C6EFCE"/>
            <w:noWrap/>
            <w:vAlign w:val="center"/>
          </w:tcPr>
          <w:p w14:paraId="31EB7008"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3035BA6C" w14:textId="77777777" w:rsidR="006054AA" w:rsidRDefault="001F7667">
            <w:pPr>
              <w:pStyle w:val="P68B1DB1-Normal12"/>
              <w:rPr>
                <w:noProof/>
              </w:rPr>
            </w:pPr>
            <w:r>
              <w:rPr>
                <w:noProof/>
              </w:rPr>
              <w:t>Възлагащи органи, използващи динамични системи за покупки</w:t>
            </w:r>
          </w:p>
        </w:tc>
      </w:tr>
      <w:tr w:rsidR="006054AA" w14:paraId="66256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58EF3B" w14:textId="77777777" w:rsidR="006054AA" w:rsidRDefault="001F7667">
            <w:pPr>
              <w:pStyle w:val="P68B1DB1-Normal12"/>
              <w:jc w:val="center"/>
              <w:rPr>
                <w:noProof/>
              </w:rPr>
            </w:pPr>
            <w:r>
              <w:rPr>
                <w:noProof/>
              </w:rPr>
              <w:t>M1C1—113</w:t>
            </w:r>
          </w:p>
        </w:tc>
        <w:tc>
          <w:tcPr>
            <w:tcW w:w="3118" w:type="dxa"/>
            <w:tcBorders>
              <w:top w:val="nil"/>
              <w:left w:val="nil"/>
              <w:bottom w:val="single" w:sz="4" w:space="0" w:color="auto"/>
              <w:right w:val="single" w:sz="4" w:space="0" w:color="auto"/>
            </w:tcBorders>
            <w:shd w:val="clear" w:color="auto" w:fill="C6EFCE"/>
            <w:noWrap/>
            <w:vAlign w:val="center"/>
          </w:tcPr>
          <w:p w14:paraId="61DE6D0B" w14:textId="77777777" w:rsidR="006054AA" w:rsidRDefault="001F7667">
            <w:pPr>
              <w:pStyle w:val="P68B1DB1-Normal12"/>
              <w:rPr>
                <w:noProof/>
              </w:rPr>
            </w:pPr>
            <w:r>
              <w:rPr>
                <w:noProof/>
              </w:rPr>
              <w:t>Реформа 1.12: Реформа на данъчната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2D0A2B32"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7A27DBBA" w14:textId="77777777" w:rsidR="006054AA" w:rsidRDefault="001F7667">
            <w:pPr>
              <w:pStyle w:val="P68B1DB1-Normal12"/>
              <w:rPr>
                <w:noProof/>
              </w:rPr>
            </w:pPr>
            <w:r>
              <w:rPr>
                <w:noProof/>
              </w:rPr>
              <w:t>По-голям брой „писма за съответствие“</w:t>
            </w:r>
          </w:p>
        </w:tc>
      </w:tr>
      <w:tr w:rsidR="006054AA" w14:paraId="3DB06D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1A99C" w14:textId="77777777" w:rsidR="006054AA" w:rsidRDefault="001F7667">
            <w:pPr>
              <w:pStyle w:val="P68B1DB1-Normal12"/>
              <w:jc w:val="center"/>
              <w:rPr>
                <w:noProof/>
              </w:rPr>
            </w:pPr>
            <w:r>
              <w:rPr>
                <w:noProof/>
              </w:rPr>
              <w:t>M1C1—114</w:t>
            </w:r>
          </w:p>
        </w:tc>
        <w:tc>
          <w:tcPr>
            <w:tcW w:w="3118" w:type="dxa"/>
            <w:tcBorders>
              <w:top w:val="nil"/>
              <w:left w:val="nil"/>
              <w:bottom w:val="single" w:sz="4" w:space="0" w:color="auto"/>
              <w:right w:val="single" w:sz="4" w:space="0" w:color="auto"/>
            </w:tcBorders>
            <w:shd w:val="clear" w:color="auto" w:fill="C6EFCE"/>
            <w:noWrap/>
            <w:vAlign w:val="center"/>
          </w:tcPr>
          <w:p w14:paraId="63448C8D" w14:textId="77777777" w:rsidR="006054AA" w:rsidRDefault="001F7667">
            <w:pPr>
              <w:pStyle w:val="P68B1DB1-Normal12"/>
              <w:rPr>
                <w:noProof/>
              </w:rPr>
            </w:pPr>
            <w:r>
              <w:rPr>
                <w:noProof/>
              </w:rPr>
              <w:t>Реформа 1.12: Реформа на данъчната администрация</w:t>
            </w:r>
          </w:p>
        </w:tc>
        <w:tc>
          <w:tcPr>
            <w:tcW w:w="1418" w:type="dxa"/>
            <w:tcBorders>
              <w:top w:val="nil"/>
              <w:left w:val="nil"/>
              <w:bottom w:val="single" w:sz="4" w:space="0" w:color="auto"/>
              <w:right w:val="single" w:sz="4" w:space="0" w:color="auto"/>
            </w:tcBorders>
            <w:shd w:val="clear" w:color="auto" w:fill="C6EFCE"/>
            <w:noWrap/>
            <w:vAlign w:val="center"/>
          </w:tcPr>
          <w:p w14:paraId="57D0F6FB" w14:textId="77777777" w:rsidR="006054AA" w:rsidRDefault="001F7667">
            <w:pPr>
              <w:pStyle w:val="P68B1DB1-Normal12"/>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069FDB65" w14:textId="77777777" w:rsidR="006054AA" w:rsidRDefault="001F7667">
            <w:pPr>
              <w:pStyle w:val="P68B1DB1-Normal12"/>
              <w:rPr>
                <w:noProof/>
              </w:rPr>
            </w:pPr>
            <w:r>
              <w:rPr>
                <w:noProof/>
              </w:rPr>
              <w:t>Увеличение на данъчните приходи, генерирани от „писмата за съответствие“</w:t>
            </w:r>
          </w:p>
        </w:tc>
      </w:tr>
      <w:tr w:rsidR="006054AA" w14:paraId="008582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3654B" w14:textId="77777777" w:rsidR="006054AA" w:rsidRDefault="001F7667">
            <w:pPr>
              <w:pStyle w:val="P68B1DB1-Normal12"/>
              <w:jc w:val="center"/>
              <w:rPr>
                <w:noProof/>
              </w:rPr>
            </w:pPr>
            <w:r>
              <w:rPr>
                <w:noProof/>
              </w:rPr>
              <w:t>M1C2—11</w:t>
            </w:r>
          </w:p>
        </w:tc>
        <w:tc>
          <w:tcPr>
            <w:tcW w:w="3118" w:type="dxa"/>
            <w:tcBorders>
              <w:top w:val="nil"/>
              <w:left w:val="nil"/>
              <w:bottom w:val="single" w:sz="4" w:space="0" w:color="auto"/>
              <w:right w:val="single" w:sz="4" w:space="0" w:color="auto"/>
            </w:tcBorders>
            <w:shd w:val="clear" w:color="auto" w:fill="C6EFCE"/>
            <w:noWrap/>
            <w:vAlign w:val="center"/>
          </w:tcPr>
          <w:p w14:paraId="4A01B5F4" w14:textId="77777777" w:rsidR="006054AA" w:rsidRDefault="001F7667">
            <w:pPr>
              <w:pStyle w:val="P68B1DB1-Normal12"/>
              <w:rPr>
                <w:noProof/>
              </w:rPr>
            </w:pPr>
            <w:r>
              <w:rPr>
                <w:noProof/>
              </w:rPr>
              <w:t>Реформа 2: Годишни закони в областта на конкуренцията</w:t>
            </w:r>
          </w:p>
        </w:tc>
        <w:tc>
          <w:tcPr>
            <w:tcW w:w="1418" w:type="dxa"/>
            <w:tcBorders>
              <w:top w:val="nil"/>
              <w:left w:val="nil"/>
              <w:bottom w:val="single" w:sz="4" w:space="0" w:color="auto"/>
              <w:right w:val="single" w:sz="4" w:space="0" w:color="auto"/>
            </w:tcBorders>
            <w:shd w:val="clear" w:color="auto" w:fill="C6EFCE"/>
            <w:noWrap/>
            <w:vAlign w:val="center"/>
          </w:tcPr>
          <w:p w14:paraId="3EAE24F6" w14:textId="77777777" w:rsidR="006054AA" w:rsidRDefault="001F7667">
            <w:pPr>
              <w:pStyle w:val="P68B1DB1-Normal12"/>
              <w:rPr>
                <w:noProof/>
                <w:color w:val="006600"/>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39CCCA9C" w14:textId="77777777" w:rsidR="006054AA" w:rsidRDefault="001F7667">
            <w:pPr>
              <w:pStyle w:val="P68B1DB1-Normal12"/>
              <w:rPr>
                <w:noProof/>
                <w:color w:val="006600"/>
              </w:rPr>
            </w:pPr>
            <w:r>
              <w:rPr>
                <w:noProof/>
              </w:rPr>
              <w:t>Влизане в сила на годишния закон за конкуренцията за 2023 г.</w:t>
            </w:r>
          </w:p>
        </w:tc>
      </w:tr>
      <w:tr w:rsidR="006054AA" w14:paraId="4B0ADD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FDEB5D" w14:textId="77777777" w:rsidR="006054AA" w:rsidRDefault="001F7667">
            <w:pPr>
              <w:pStyle w:val="P68B1DB1-Normal12"/>
              <w:jc w:val="center"/>
              <w:rPr>
                <w:noProof/>
              </w:rPr>
            </w:pPr>
            <w:r>
              <w:rPr>
                <w:noProof/>
              </w:rPr>
              <w:t>M1C2—12</w:t>
            </w:r>
          </w:p>
        </w:tc>
        <w:tc>
          <w:tcPr>
            <w:tcW w:w="3118" w:type="dxa"/>
            <w:tcBorders>
              <w:top w:val="nil"/>
              <w:left w:val="nil"/>
              <w:bottom w:val="single" w:sz="4" w:space="0" w:color="auto"/>
              <w:right w:val="single" w:sz="4" w:space="0" w:color="auto"/>
            </w:tcBorders>
            <w:shd w:val="clear" w:color="auto" w:fill="C6EFCE"/>
            <w:noWrap/>
            <w:vAlign w:val="center"/>
          </w:tcPr>
          <w:p w14:paraId="543B1A03" w14:textId="77777777" w:rsidR="006054AA" w:rsidRDefault="001F7667">
            <w:pPr>
              <w:pStyle w:val="P68B1DB1-Normal12"/>
              <w:rPr>
                <w:noProof/>
              </w:rPr>
            </w:pPr>
            <w:r>
              <w:rPr>
                <w:noProof/>
              </w:rPr>
              <w:t>Реформа 2: Годишни закони в областта на конкуренцията</w:t>
            </w:r>
          </w:p>
        </w:tc>
        <w:tc>
          <w:tcPr>
            <w:tcW w:w="1418" w:type="dxa"/>
            <w:tcBorders>
              <w:top w:val="nil"/>
              <w:left w:val="nil"/>
              <w:bottom w:val="single" w:sz="4" w:space="0" w:color="auto"/>
              <w:right w:val="single" w:sz="4" w:space="0" w:color="auto"/>
            </w:tcBorders>
            <w:shd w:val="clear" w:color="auto" w:fill="C6EFCE"/>
            <w:noWrap/>
            <w:vAlign w:val="center"/>
          </w:tcPr>
          <w:p w14:paraId="7A61D883" w14:textId="77777777" w:rsidR="006054AA" w:rsidRDefault="001F7667">
            <w:pPr>
              <w:pStyle w:val="P68B1DB1-Normal12"/>
              <w:rPr>
                <w:noProof/>
                <w:color w:val="006600"/>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16BC2602" w14:textId="77777777" w:rsidR="006054AA" w:rsidRDefault="001F7667">
            <w:pPr>
              <w:pStyle w:val="P68B1DB1-Normal12"/>
              <w:rPr>
                <w:noProof/>
                <w:color w:val="006600"/>
              </w:rPr>
            </w:pPr>
            <w:r>
              <w:rPr>
                <w:noProof/>
              </w:rPr>
              <w:t>Влизане в сила на всички мерки за изпълнение (включително вторично законодателство, ако е необходимо) за ефективното изпълнение и прилагане на мерките, произтичащи от Годишния закон за конкуренцията за 2023 г.</w:t>
            </w:r>
          </w:p>
        </w:tc>
      </w:tr>
      <w:tr w:rsidR="006054AA" w14:paraId="40E9A5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FD82D" w14:textId="77777777" w:rsidR="006054AA" w:rsidRDefault="001F7667">
            <w:pPr>
              <w:pStyle w:val="P68B1DB1-Normal12"/>
              <w:jc w:val="center"/>
              <w:rPr>
                <w:noProof/>
              </w:rPr>
            </w:pPr>
            <w:r>
              <w:rPr>
                <w:noProof/>
              </w:rPr>
              <w:t>M2C1—6bis</w:t>
            </w:r>
          </w:p>
        </w:tc>
        <w:tc>
          <w:tcPr>
            <w:tcW w:w="3118" w:type="dxa"/>
            <w:tcBorders>
              <w:top w:val="nil"/>
              <w:left w:val="nil"/>
              <w:bottom w:val="single" w:sz="4" w:space="0" w:color="auto"/>
              <w:right w:val="single" w:sz="4" w:space="0" w:color="auto"/>
            </w:tcBorders>
            <w:shd w:val="clear" w:color="auto" w:fill="C6EFCE"/>
            <w:noWrap/>
            <w:vAlign w:val="center"/>
          </w:tcPr>
          <w:p w14:paraId="78753965" w14:textId="77777777" w:rsidR="006054AA" w:rsidRDefault="001F7667">
            <w:pPr>
              <w:pStyle w:val="P68B1DB1-Normal12"/>
              <w:rPr>
                <w:noProof/>
              </w:rPr>
            </w:pPr>
            <w:r>
              <w:rPr>
                <w:noProof/>
              </w:rPr>
              <w:t>Инвестиция 2.2: Агрослънчев парк</w:t>
            </w:r>
          </w:p>
        </w:tc>
        <w:tc>
          <w:tcPr>
            <w:tcW w:w="1418" w:type="dxa"/>
            <w:tcBorders>
              <w:top w:val="nil"/>
              <w:left w:val="nil"/>
              <w:bottom w:val="single" w:sz="4" w:space="0" w:color="auto"/>
              <w:right w:val="single" w:sz="4" w:space="0" w:color="auto"/>
            </w:tcBorders>
            <w:shd w:val="clear" w:color="auto" w:fill="C6EFCE"/>
            <w:noWrap/>
            <w:vAlign w:val="center"/>
          </w:tcPr>
          <w:p w14:paraId="4427CC0E" w14:textId="77777777" w:rsidR="006054AA" w:rsidRDefault="001F7667">
            <w:pPr>
              <w:pStyle w:val="P68B1DB1-Normal12"/>
              <w:rPr>
                <w:noProof/>
                <w:color w:val="006600"/>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45CC125F" w14:textId="77777777" w:rsidR="006054AA" w:rsidRDefault="001F7667">
            <w:pPr>
              <w:pStyle w:val="P68B1DB1-Normal12"/>
              <w:rPr>
                <w:noProof/>
                <w:color w:val="006600"/>
              </w:rPr>
            </w:pPr>
            <w:r>
              <w:rPr>
                <w:noProof/>
              </w:rPr>
              <w:t>Разпределение на ресурсите за бенефициерите като% от общия размер на финансовите ресурси, предназначени за инвестицията</w:t>
            </w:r>
          </w:p>
        </w:tc>
      </w:tr>
      <w:tr w:rsidR="006054AA" w14:paraId="03BC94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8B44ED" w14:textId="77777777" w:rsidR="006054AA" w:rsidRDefault="001F7667">
            <w:pPr>
              <w:pStyle w:val="P68B1DB1-Normal12"/>
              <w:jc w:val="center"/>
              <w:rPr>
                <w:noProof/>
              </w:rPr>
            </w:pPr>
            <w:r>
              <w:rPr>
                <w:noProof/>
              </w:rPr>
              <w:t>M2C1—7</w:t>
            </w:r>
          </w:p>
        </w:tc>
        <w:tc>
          <w:tcPr>
            <w:tcW w:w="3118" w:type="dxa"/>
            <w:tcBorders>
              <w:top w:val="nil"/>
              <w:left w:val="nil"/>
              <w:bottom w:val="single" w:sz="4" w:space="0" w:color="auto"/>
              <w:right w:val="single" w:sz="4" w:space="0" w:color="auto"/>
            </w:tcBorders>
            <w:shd w:val="clear" w:color="auto" w:fill="C6EFCE"/>
            <w:noWrap/>
            <w:vAlign w:val="center"/>
          </w:tcPr>
          <w:p w14:paraId="1FE0178F" w14:textId="77777777" w:rsidR="006054AA" w:rsidRDefault="001F7667">
            <w:pPr>
              <w:pStyle w:val="P68B1DB1-Normal12"/>
              <w:rPr>
                <w:noProof/>
              </w:rPr>
            </w:pPr>
            <w:r>
              <w:rPr>
                <w:noProof/>
              </w:rPr>
              <w:t>Инвестиция 2.3: Иновации и механизация в селскостопанския и хранително-вкусовия сектор</w:t>
            </w:r>
          </w:p>
        </w:tc>
        <w:tc>
          <w:tcPr>
            <w:tcW w:w="1418" w:type="dxa"/>
            <w:tcBorders>
              <w:top w:val="nil"/>
              <w:left w:val="nil"/>
              <w:bottom w:val="single" w:sz="4" w:space="0" w:color="auto"/>
              <w:right w:val="single" w:sz="4" w:space="0" w:color="auto"/>
            </w:tcBorders>
            <w:shd w:val="clear" w:color="auto" w:fill="C6EFCE"/>
            <w:noWrap/>
            <w:vAlign w:val="center"/>
          </w:tcPr>
          <w:p w14:paraId="72F48C28" w14:textId="77777777" w:rsidR="006054AA" w:rsidRDefault="001F7667">
            <w:pPr>
              <w:pStyle w:val="P68B1DB1-Normal12"/>
              <w:rPr>
                <w:noProof/>
                <w:color w:val="006600"/>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2AB1D81D" w14:textId="77777777" w:rsidR="006054AA" w:rsidRDefault="001F7667">
            <w:pPr>
              <w:pStyle w:val="P68B1DB1-Normal12"/>
              <w:rPr>
                <w:noProof/>
                <w:color w:val="006600"/>
              </w:rPr>
            </w:pPr>
            <w:r>
              <w:rPr>
                <w:noProof/>
              </w:rPr>
              <w:t>Публикуване на крайните класации с посочване на крайните получатели.</w:t>
            </w:r>
          </w:p>
        </w:tc>
      </w:tr>
      <w:tr w:rsidR="006054AA" w14:paraId="6706491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9C4F" w14:textId="77777777" w:rsidR="006054AA" w:rsidRDefault="001F7667">
            <w:pPr>
              <w:pStyle w:val="P68B1DB1-Normal12"/>
              <w:jc w:val="center"/>
              <w:rPr>
                <w:noProof/>
              </w:rPr>
            </w:pPr>
            <w:r>
              <w:rPr>
                <w:noProof/>
              </w:rPr>
              <w:t>M2C2—28</w:t>
            </w:r>
          </w:p>
        </w:tc>
        <w:tc>
          <w:tcPr>
            <w:tcW w:w="3118" w:type="dxa"/>
            <w:tcBorders>
              <w:top w:val="nil"/>
              <w:left w:val="nil"/>
              <w:bottom w:val="single" w:sz="4" w:space="0" w:color="auto"/>
              <w:right w:val="single" w:sz="4" w:space="0" w:color="auto"/>
            </w:tcBorders>
            <w:shd w:val="clear" w:color="auto" w:fill="C6EFCE"/>
            <w:noWrap/>
            <w:vAlign w:val="center"/>
          </w:tcPr>
          <w:p w14:paraId="440E6A2D" w14:textId="77777777" w:rsidR="006054AA" w:rsidRDefault="001F7667">
            <w:pPr>
              <w:pStyle w:val="P68B1DB1-Normal12"/>
              <w:rPr>
                <w:noProof/>
              </w:rPr>
            </w:pPr>
            <w:r>
              <w:rPr>
                <w:noProof/>
              </w:rPr>
              <w:t>Инвестиция 4.3 Инсталиране на инфраструктури за зареждане</w:t>
            </w:r>
          </w:p>
        </w:tc>
        <w:tc>
          <w:tcPr>
            <w:tcW w:w="1418" w:type="dxa"/>
            <w:tcBorders>
              <w:top w:val="nil"/>
              <w:left w:val="nil"/>
              <w:bottom w:val="single" w:sz="4" w:space="0" w:color="auto"/>
              <w:right w:val="single" w:sz="4" w:space="0" w:color="auto"/>
            </w:tcBorders>
            <w:shd w:val="clear" w:color="auto" w:fill="C6EFCE"/>
            <w:noWrap/>
            <w:vAlign w:val="center"/>
          </w:tcPr>
          <w:p w14:paraId="780C1457" w14:textId="77777777" w:rsidR="006054AA" w:rsidRDefault="001F7667">
            <w:pPr>
              <w:pStyle w:val="P68B1DB1-Normal12"/>
              <w:rPr>
                <w:noProof/>
                <w:color w:val="006600"/>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02753F33" w14:textId="77777777" w:rsidR="006054AA" w:rsidRDefault="001F7667">
            <w:pPr>
              <w:pStyle w:val="P68B1DB1-Normal12"/>
              <w:rPr>
                <w:noProof/>
                <w:color w:val="006600"/>
              </w:rPr>
            </w:pPr>
            <w:r>
              <w:rPr>
                <w:noProof/>
              </w:rPr>
              <w:t>Възлагане на всички обществени поръчки за инсталиране на инфраструктури за зареждане М2</w:t>
            </w:r>
          </w:p>
        </w:tc>
      </w:tr>
      <w:tr w:rsidR="006054AA" w14:paraId="4CC0A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2ECEB9" w14:textId="77777777" w:rsidR="006054AA" w:rsidRDefault="001F7667">
            <w:pPr>
              <w:pStyle w:val="P68B1DB1-Normal12"/>
              <w:jc w:val="center"/>
              <w:rPr>
                <w:noProof/>
              </w:rPr>
            </w:pPr>
            <w:r>
              <w:rPr>
                <w:noProof/>
              </w:rPr>
              <w:t>M4C1—12</w:t>
            </w:r>
          </w:p>
        </w:tc>
        <w:tc>
          <w:tcPr>
            <w:tcW w:w="3118" w:type="dxa"/>
            <w:tcBorders>
              <w:top w:val="nil"/>
              <w:left w:val="nil"/>
              <w:bottom w:val="single" w:sz="4" w:space="0" w:color="auto"/>
              <w:right w:val="single" w:sz="4" w:space="0" w:color="auto"/>
            </w:tcBorders>
            <w:shd w:val="clear" w:color="auto" w:fill="C6EFCE"/>
            <w:noWrap/>
            <w:vAlign w:val="center"/>
          </w:tcPr>
          <w:p w14:paraId="59BD781B" w14:textId="77777777" w:rsidR="006054AA" w:rsidRDefault="001F7667">
            <w:pPr>
              <w:pStyle w:val="P68B1DB1-Normal12"/>
              <w:rPr>
                <w:noProof/>
              </w:rPr>
            </w:pPr>
            <w:r>
              <w:rPr>
                <w:noProof/>
              </w:rPr>
              <w:t>Инвестиция 4.1: Разширяване на броя и възможностите за професионално развитие на докторантите (ориентирани към научни изследвания, публична администрация и културно наследство)</w:t>
            </w:r>
          </w:p>
        </w:tc>
        <w:tc>
          <w:tcPr>
            <w:tcW w:w="1418" w:type="dxa"/>
            <w:tcBorders>
              <w:top w:val="nil"/>
              <w:left w:val="nil"/>
              <w:bottom w:val="single" w:sz="4" w:space="0" w:color="auto"/>
              <w:right w:val="single" w:sz="4" w:space="0" w:color="auto"/>
            </w:tcBorders>
            <w:shd w:val="clear" w:color="auto" w:fill="C6EFCE"/>
            <w:noWrap/>
            <w:vAlign w:val="center"/>
          </w:tcPr>
          <w:p w14:paraId="54B58909" w14:textId="77777777" w:rsidR="006054AA" w:rsidRDefault="001F7667">
            <w:pPr>
              <w:pStyle w:val="P68B1DB1-Normal12"/>
              <w:rPr>
                <w:noProof/>
                <w:color w:val="006600"/>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53570751" w14:textId="77777777" w:rsidR="006054AA" w:rsidRDefault="001F7667">
            <w:pPr>
              <w:pStyle w:val="P68B1DB1-Normal12"/>
              <w:rPr>
                <w:noProof/>
                <w:color w:val="006600"/>
              </w:rPr>
            </w:pPr>
            <w:r>
              <w:rPr>
                <w:noProof/>
              </w:rPr>
              <w:t>Стипендиантски програми за докторантура, отпускани годишно (над три години)</w:t>
            </w:r>
          </w:p>
        </w:tc>
      </w:tr>
      <w:tr w:rsidR="006054AA" w14:paraId="48E86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3FEAA" w14:textId="77777777" w:rsidR="006054AA" w:rsidRDefault="001F7667">
            <w:pPr>
              <w:pStyle w:val="P68B1DB1-Normal12"/>
              <w:jc w:val="center"/>
              <w:rPr>
                <w:noProof/>
              </w:rPr>
            </w:pPr>
            <w:r>
              <w:rPr>
                <w:noProof/>
              </w:rPr>
              <w:t>M4C1—14</w:t>
            </w:r>
          </w:p>
        </w:tc>
        <w:tc>
          <w:tcPr>
            <w:tcW w:w="3118" w:type="dxa"/>
            <w:tcBorders>
              <w:top w:val="nil"/>
              <w:left w:val="nil"/>
              <w:bottom w:val="single" w:sz="4" w:space="0" w:color="auto"/>
              <w:right w:val="single" w:sz="4" w:space="0" w:color="auto"/>
            </w:tcBorders>
            <w:shd w:val="clear" w:color="auto" w:fill="C6EFCE"/>
            <w:noWrap/>
            <w:vAlign w:val="center"/>
          </w:tcPr>
          <w:p w14:paraId="554D8D4F" w14:textId="77777777" w:rsidR="006054AA" w:rsidRDefault="001F7667">
            <w:pPr>
              <w:pStyle w:val="P68B1DB1-Normal12"/>
              <w:rPr>
                <w:noProof/>
              </w:rPr>
            </w:pPr>
            <w:r>
              <w:rPr>
                <w:noProof/>
              </w:rPr>
              <w:t xml:space="preserve">Реформа 2.1: Набиране на учители </w:t>
            </w:r>
          </w:p>
        </w:tc>
        <w:tc>
          <w:tcPr>
            <w:tcW w:w="1418" w:type="dxa"/>
            <w:tcBorders>
              <w:top w:val="nil"/>
              <w:left w:val="nil"/>
              <w:bottom w:val="single" w:sz="4" w:space="0" w:color="auto"/>
              <w:right w:val="single" w:sz="4" w:space="0" w:color="auto"/>
            </w:tcBorders>
            <w:shd w:val="clear" w:color="auto" w:fill="C6EFCE"/>
            <w:noWrap/>
            <w:vAlign w:val="center"/>
          </w:tcPr>
          <w:p w14:paraId="1B32E977" w14:textId="77777777" w:rsidR="006054AA" w:rsidRDefault="001F7667">
            <w:pPr>
              <w:pStyle w:val="P68B1DB1-Normal12"/>
              <w:rPr>
                <w:noProof/>
                <w:color w:val="006600"/>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0B3344F0" w14:textId="77777777" w:rsidR="006054AA" w:rsidRDefault="001F7667">
            <w:pPr>
              <w:pStyle w:val="P68B1DB1-Normal12"/>
              <w:rPr>
                <w:noProof/>
                <w:color w:val="006600"/>
              </w:rPr>
            </w:pPr>
            <w:r>
              <w:rPr>
                <w:noProof/>
              </w:rPr>
              <w:t>Учители, назначени чрез реформираната система за набиране на персонал</w:t>
            </w:r>
          </w:p>
        </w:tc>
      </w:tr>
      <w:tr w:rsidR="006054AA" w14:paraId="5F1F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114B18" w14:textId="77777777" w:rsidR="006054AA" w:rsidRDefault="001F7667">
            <w:pPr>
              <w:pStyle w:val="P68B1DB1-Normal12"/>
              <w:jc w:val="center"/>
              <w:rPr>
                <w:noProof/>
              </w:rPr>
            </w:pPr>
            <w:r>
              <w:rPr>
                <w:noProof/>
              </w:rPr>
              <w:t>M4C1—15</w:t>
            </w:r>
          </w:p>
        </w:tc>
        <w:tc>
          <w:tcPr>
            <w:tcW w:w="3118" w:type="dxa"/>
            <w:tcBorders>
              <w:top w:val="nil"/>
              <w:left w:val="nil"/>
              <w:bottom w:val="single" w:sz="4" w:space="0" w:color="auto"/>
              <w:right w:val="single" w:sz="4" w:space="0" w:color="auto"/>
            </w:tcBorders>
            <w:shd w:val="clear" w:color="auto" w:fill="C6EFCE"/>
            <w:noWrap/>
            <w:vAlign w:val="center"/>
          </w:tcPr>
          <w:p w14:paraId="307AA6FF" w14:textId="77777777" w:rsidR="006054AA" w:rsidRDefault="001F7667">
            <w:pPr>
              <w:pStyle w:val="P68B1DB1-Normal12"/>
              <w:rPr>
                <w:noProof/>
              </w:rPr>
            </w:pPr>
            <w:r>
              <w:rPr>
                <w:noProof/>
              </w:rPr>
              <w:t>Инвестиция 1.7: Стипендии за достъп до университет</w:t>
            </w:r>
          </w:p>
        </w:tc>
        <w:tc>
          <w:tcPr>
            <w:tcW w:w="1418" w:type="dxa"/>
            <w:tcBorders>
              <w:top w:val="nil"/>
              <w:left w:val="nil"/>
              <w:bottom w:val="single" w:sz="4" w:space="0" w:color="auto"/>
              <w:right w:val="single" w:sz="4" w:space="0" w:color="auto"/>
            </w:tcBorders>
            <w:shd w:val="clear" w:color="auto" w:fill="C6EFCE"/>
            <w:noWrap/>
            <w:vAlign w:val="center"/>
          </w:tcPr>
          <w:p w14:paraId="6C653EDB" w14:textId="77777777" w:rsidR="006054AA" w:rsidRDefault="001F7667">
            <w:pPr>
              <w:pStyle w:val="P68B1DB1-Normal12"/>
              <w:rPr>
                <w:noProof/>
                <w:color w:val="006600"/>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03293692" w14:textId="77777777" w:rsidR="006054AA" w:rsidRDefault="001F7667">
            <w:pPr>
              <w:pStyle w:val="P68B1DB1-Normal12"/>
              <w:rPr>
                <w:noProof/>
                <w:color w:val="006600"/>
              </w:rPr>
            </w:pPr>
            <w:r>
              <w:rPr>
                <w:noProof/>
              </w:rPr>
              <w:t>Отпуснати стипендии за достъп до университет</w:t>
            </w:r>
          </w:p>
        </w:tc>
      </w:tr>
      <w:tr w:rsidR="006054AA" w14:paraId="061893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B92E6B" w14:textId="77777777" w:rsidR="006054AA" w:rsidRDefault="001F7667">
            <w:pPr>
              <w:pStyle w:val="P68B1DB1-Normal12"/>
              <w:jc w:val="center"/>
              <w:rPr>
                <w:noProof/>
              </w:rPr>
            </w:pPr>
            <w:r>
              <w:rPr>
                <w:noProof/>
              </w:rPr>
              <w:t>M4C2—3</w:t>
            </w:r>
          </w:p>
        </w:tc>
        <w:tc>
          <w:tcPr>
            <w:tcW w:w="3118" w:type="dxa"/>
            <w:tcBorders>
              <w:top w:val="nil"/>
              <w:left w:val="nil"/>
              <w:bottom w:val="single" w:sz="4" w:space="0" w:color="auto"/>
              <w:right w:val="single" w:sz="4" w:space="0" w:color="auto"/>
            </w:tcBorders>
            <w:shd w:val="clear" w:color="auto" w:fill="C6EFCE"/>
            <w:noWrap/>
            <w:vAlign w:val="center"/>
          </w:tcPr>
          <w:p w14:paraId="77369795" w14:textId="77777777" w:rsidR="006054AA" w:rsidRDefault="001F7667">
            <w:pPr>
              <w:pStyle w:val="P68B1DB1-Normal12"/>
              <w:rPr>
                <w:noProof/>
              </w:rPr>
            </w:pPr>
            <w:r>
              <w:rPr>
                <w:noProof/>
              </w:rPr>
              <w:t>Инвестиция 3.3: Въвеждане на иновативни докторантури, които отговарят на нуждите на предприятията от иновации и насърчават наемането на изследователи от предприятията</w:t>
            </w:r>
          </w:p>
        </w:tc>
        <w:tc>
          <w:tcPr>
            <w:tcW w:w="1418" w:type="dxa"/>
            <w:tcBorders>
              <w:top w:val="nil"/>
              <w:left w:val="nil"/>
              <w:bottom w:val="single" w:sz="4" w:space="0" w:color="auto"/>
              <w:right w:val="single" w:sz="4" w:space="0" w:color="auto"/>
            </w:tcBorders>
            <w:shd w:val="clear" w:color="auto" w:fill="C6EFCE"/>
            <w:noWrap/>
            <w:vAlign w:val="center"/>
          </w:tcPr>
          <w:p w14:paraId="046231BC" w14:textId="77777777" w:rsidR="006054AA" w:rsidRDefault="001F7667">
            <w:pPr>
              <w:pStyle w:val="P68B1DB1-Normal12"/>
              <w:rPr>
                <w:noProof/>
                <w:color w:val="006600"/>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461A9D7D" w14:textId="77777777" w:rsidR="006054AA" w:rsidRDefault="001F7667">
            <w:pPr>
              <w:pStyle w:val="P68B1DB1-Normal12"/>
              <w:rPr>
                <w:noProof/>
                <w:color w:val="006600"/>
              </w:rPr>
            </w:pPr>
            <w:r>
              <w:rPr>
                <w:noProof/>
              </w:rPr>
              <w:t>Брой на отпуснатите стипендии за иновативни докторанти</w:t>
            </w:r>
          </w:p>
        </w:tc>
      </w:tr>
      <w:tr w:rsidR="006054AA" w14:paraId="2723A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F200A3" w14:textId="77777777" w:rsidR="006054AA" w:rsidRDefault="001F7667">
            <w:pPr>
              <w:pStyle w:val="P68B1DB1-Normal12"/>
              <w:jc w:val="center"/>
              <w:rPr>
                <w:noProof/>
              </w:rPr>
            </w:pPr>
            <w:r>
              <w:rPr>
                <w:noProof/>
              </w:rPr>
              <w:t>M5C1—15bis</w:t>
            </w:r>
          </w:p>
        </w:tc>
        <w:tc>
          <w:tcPr>
            <w:tcW w:w="3118" w:type="dxa"/>
            <w:tcBorders>
              <w:top w:val="nil"/>
              <w:left w:val="nil"/>
              <w:bottom w:val="single" w:sz="4" w:space="0" w:color="auto"/>
              <w:right w:val="single" w:sz="4" w:space="0" w:color="auto"/>
            </w:tcBorders>
            <w:shd w:val="clear" w:color="auto" w:fill="C6EFCE"/>
            <w:noWrap/>
            <w:vAlign w:val="center"/>
          </w:tcPr>
          <w:p w14:paraId="1A0F621B" w14:textId="77777777" w:rsidR="006054AA" w:rsidRDefault="001F7667">
            <w:pPr>
              <w:pStyle w:val="P68B1DB1-Normal12"/>
              <w:rPr>
                <w:noProof/>
              </w:rPr>
            </w:pPr>
            <w:r>
              <w:rPr>
                <w:noProof/>
              </w:rPr>
              <w:t>Инвестиция 4 — Универсална публична служба</w:t>
            </w:r>
          </w:p>
        </w:tc>
        <w:tc>
          <w:tcPr>
            <w:tcW w:w="1418" w:type="dxa"/>
            <w:tcBorders>
              <w:top w:val="nil"/>
              <w:left w:val="nil"/>
              <w:bottom w:val="single" w:sz="4" w:space="0" w:color="auto"/>
              <w:right w:val="single" w:sz="4" w:space="0" w:color="auto"/>
            </w:tcBorders>
            <w:shd w:val="clear" w:color="auto" w:fill="C6EFCE"/>
            <w:noWrap/>
            <w:vAlign w:val="center"/>
          </w:tcPr>
          <w:p w14:paraId="5B336712" w14:textId="77777777" w:rsidR="006054AA" w:rsidRDefault="001F7667">
            <w:pPr>
              <w:pStyle w:val="P68B1DB1-Normal12"/>
              <w:rPr>
                <w:noProof/>
                <w:color w:val="006600"/>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5E05FF65" w14:textId="77777777" w:rsidR="006054AA" w:rsidRDefault="001F7667">
            <w:pPr>
              <w:rPr>
                <w:noProof/>
                <w:color w:val="006600"/>
                <w:sz w:val="20"/>
              </w:rPr>
            </w:pPr>
            <w:r>
              <w:rPr>
                <w:noProof/>
                <w:color w:val="006100"/>
                <w:sz w:val="20"/>
              </w:rPr>
              <w:t>Нормативно преразглеждане на „Disposizioni concernenti la disciplina dei rapporti tra enti e operatori volontari del servizio civile universale“, прието като dpcm (decreto del Presidente del Consiglio dei ministri)</w:t>
            </w:r>
            <w:r>
              <w:rPr>
                <w:rStyle w:val="font111"/>
                <w:noProof/>
                <w:vertAlign w:val="superscript"/>
              </w:rPr>
              <w:t>на</w:t>
            </w:r>
            <w:r>
              <w:rPr>
                <w:noProof/>
                <w:color w:val="006100"/>
                <w:sz w:val="20"/>
              </w:rPr>
              <w:t>14</w:t>
            </w:r>
            <w:r>
              <w:rPr>
                <w:rStyle w:val="font81"/>
                <w:rFonts w:eastAsiaTheme="majorEastAsia"/>
                <w:noProof/>
              </w:rPr>
              <w:t xml:space="preserve"> януари 2019 г. с цел укрепване на универсалната публична служба </w:t>
            </w:r>
          </w:p>
        </w:tc>
      </w:tr>
      <w:tr w:rsidR="006054AA" w14:paraId="76785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3A756" w14:textId="77777777" w:rsidR="006054AA" w:rsidRDefault="001F7667">
            <w:pPr>
              <w:pStyle w:val="P68B1DB1-Normal12"/>
              <w:jc w:val="center"/>
              <w:rPr>
                <w:noProof/>
              </w:rPr>
            </w:pPr>
            <w:r>
              <w:rPr>
                <w:noProof/>
              </w:rPr>
              <w:t>M7—1</w:t>
            </w:r>
          </w:p>
        </w:tc>
        <w:tc>
          <w:tcPr>
            <w:tcW w:w="3118" w:type="dxa"/>
            <w:tcBorders>
              <w:top w:val="nil"/>
              <w:left w:val="nil"/>
              <w:bottom w:val="single" w:sz="4" w:space="0" w:color="auto"/>
              <w:right w:val="single" w:sz="4" w:space="0" w:color="auto"/>
            </w:tcBorders>
            <w:shd w:val="clear" w:color="auto" w:fill="C6EFCE"/>
            <w:noWrap/>
            <w:vAlign w:val="center"/>
          </w:tcPr>
          <w:p w14:paraId="27675E31" w14:textId="77777777" w:rsidR="006054AA" w:rsidRDefault="001F7667">
            <w:pPr>
              <w:pStyle w:val="P68B1DB1-Normal12"/>
              <w:rPr>
                <w:noProof/>
              </w:rPr>
            </w:pPr>
            <w:r>
              <w:rPr>
                <w:noProof/>
              </w:rPr>
              <w:t>Реформа 1: Рационализиране на процедурите за издаване на разрешения за енергия от възобновяеми източници</w:t>
            </w:r>
          </w:p>
        </w:tc>
        <w:tc>
          <w:tcPr>
            <w:tcW w:w="1418" w:type="dxa"/>
            <w:tcBorders>
              <w:top w:val="nil"/>
              <w:left w:val="nil"/>
              <w:bottom w:val="single" w:sz="4" w:space="0" w:color="auto"/>
              <w:right w:val="single" w:sz="4" w:space="0" w:color="auto"/>
            </w:tcBorders>
            <w:shd w:val="clear" w:color="auto" w:fill="C6EFCE"/>
            <w:noWrap/>
            <w:vAlign w:val="center"/>
          </w:tcPr>
          <w:p w14:paraId="4395505F" w14:textId="77777777" w:rsidR="006054AA" w:rsidRDefault="001F7667">
            <w:pPr>
              <w:pStyle w:val="P68B1DB1-Normal12"/>
              <w:rPr>
                <w:noProof/>
                <w:color w:val="006600"/>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52392CCB" w14:textId="77777777" w:rsidR="006054AA" w:rsidRDefault="001F7667">
            <w:pPr>
              <w:pStyle w:val="P68B1DB1-Normal12"/>
              <w:rPr>
                <w:noProof/>
                <w:color w:val="006600"/>
              </w:rPr>
            </w:pPr>
            <w:r>
              <w:rPr>
                <w:noProof/>
              </w:rPr>
              <w:t>Определяне на „зони за ускорено внедряване на енергия от възобновяеми източници“</w:t>
            </w:r>
          </w:p>
        </w:tc>
      </w:tr>
      <w:tr w:rsidR="006054AA" w14:paraId="255100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D1AE24" w14:textId="77777777" w:rsidR="006054AA" w:rsidRDefault="001F7667">
            <w:pPr>
              <w:pStyle w:val="P68B1DB1-Normal12"/>
              <w:jc w:val="center"/>
              <w:rPr>
                <w:noProof/>
              </w:rPr>
            </w:pPr>
            <w:r>
              <w:rPr>
                <w:noProof/>
              </w:rPr>
              <w:t>M7—4</w:t>
            </w:r>
          </w:p>
        </w:tc>
        <w:tc>
          <w:tcPr>
            <w:tcW w:w="3118" w:type="dxa"/>
            <w:tcBorders>
              <w:top w:val="nil"/>
              <w:left w:val="nil"/>
              <w:bottom w:val="single" w:sz="4" w:space="0" w:color="auto"/>
              <w:right w:val="single" w:sz="4" w:space="0" w:color="auto"/>
            </w:tcBorders>
            <w:shd w:val="clear" w:color="auto" w:fill="C6EFCE"/>
            <w:noWrap/>
            <w:vAlign w:val="center"/>
          </w:tcPr>
          <w:p w14:paraId="07123CE0" w14:textId="77777777" w:rsidR="006054AA" w:rsidRDefault="001F7667">
            <w:pPr>
              <w:pStyle w:val="P68B1DB1-Normal12"/>
              <w:rPr>
                <w:noProof/>
              </w:rPr>
            </w:pPr>
            <w:r>
              <w:rPr>
                <w:noProof/>
              </w:rPr>
              <w:t>Реформа 2: Намаляване на вредните за околната среда субсидии</w:t>
            </w:r>
          </w:p>
        </w:tc>
        <w:tc>
          <w:tcPr>
            <w:tcW w:w="1418" w:type="dxa"/>
            <w:tcBorders>
              <w:top w:val="nil"/>
              <w:left w:val="nil"/>
              <w:bottom w:val="single" w:sz="4" w:space="0" w:color="auto"/>
              <w:right w:val="single" w:sz="4" w:space="0" w:color="auto"/>
            </w:tcBorders>
            <w:shd w:val="clear" w:color="auto" w:fill="C6EFCE"/>
            <w:noWrap/>
            <w:vAlign w:val="center"/>
          </w:tcPr>
          <w:p w14:paraId="61B60DC7"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203B7DAC" w14:textId="77777777" w:rsidR="006054AA" w:rsidRDefault="001F7667">
            <w:pPr>
              <w:pStyle w:val="P68B1DB1-Normal12"/>
              <w:rPr>
                <w:noProof/>
              </w:rPr>
            </w:pPr>
            <w:r>
              <w:rPr>
                <w:noProof/>
              </w:rPr>
              <w:t>Приемане на доклад на правителството въз основа на резултатите от правителствената консултация със заинтересованите страни за определяне на пътна карта за намаляване на вредните за околната среда субсидии до 2030 г.</w:t>
            </w:r>
          </w:p>
        </w:tc>
      </w:tr>
      <w:tr w:rsidR="006054AA" w14:paraId="4FB488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4F5B3" w14:textId="77777777" w:rsidR="006054AA" w:rsidRDefault="001F7667">
            <w:pPr>
              <w:pStyle w:val="P68B1DB1-Normal12"/>
              <w:jc w:val="center"/>
              <w:rPr>
                <w:noProof/>
              </w:rPr>
            </w:pPr>
            <w:r>
              <w:rPr>
                <w:noProof/>
              </w:rPr>
              <w:t>M7—8</w:t>
            </w:r>
          </w:p>
        </w:tc>
        <w:tc>
          <w:tcPr>
            <w:tcW w:w="3118" w:type="dxa"/>
            <w:tcBorders>
              <w:top w:val="nil"/>
              <w:left w:val="nil"/>
              <w:bottom w:val="single" w:sz="4" w:space="0" w:color="auto"/>
              <w:right w:val="single" w:sz="4" w:space="0" w:color="auto"/>
            </w:tcBorders>
            <w:shd w:val="clear" w:color="auto" w:fill="C6EFCE"/>
            <w:noWrap/>
            <w:vAlign w:val="center"/>
          </w:tcPr>
          <w:p w14:paraId="00A2949F" w14:textId="77777777" w:rsidR="006054AA" w:rsidRDefault="001F7667">
            <w:pPr>
              <w:pStyle w:val="P68B1DB1-Normal12"/>
              <w:rPr>
                <w:noProof/>
              </w:rPr>
            </w:pPr>
            <w:r>
              <w:rPr>
                <w:noProof/>
              </w:rPr>
              <w:t>Реформа 4: Намаляване на финансовия риск, свързан със СЗЕ за възобновяеми енергийни източници (споразумения за закупуване на електроенергия)</w:t>
            </w:r>
          </w:p>
        </w:tc>
        <w:tc>
          <w:tcPr>
            <w:tcW w:w="1418" w:type="dxa"/>
            <w:tcBorders>
              <w:top w:val="nil"/>
              <w:left w:val="nil"/>
              <w:bottom w:val="single" w:sz="4" w:space="0" w:color="auto"/>
              <w:right w:val="single" w:sz="4" w:space="0" w:color="auto"/>
            </w:tcBorders>
            <w:shd w:val="clear" w:color="auto" w:fill="C6EFCE"/>
            <w:noWrap/>
            <w:vAlign w:val="center"/>
          </w:tcPr>
          <w:p w14:paraId="782C3AE6"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53DC9106" w14:textId="77777777" w:rsidR="006054AA" w:rsidRDefault="001F7667">
            <w:pPr>
              <w:pStyle w:val="P68B1DB1-Normal12"/>
              <w:rPr>
                <w:noProof/>
              </w:rPr>
            </w:pPr>
            <w:r>
              <w:rPr>
                <w:noProof/>
              </w:rPr>
              <w:t>Влизане в сила на вторичното законодателство</w:t>
            </w:r>
          </w:p>
        </w:tc>
      </w:tr>
      <w:tr w:rsidR="006054AA" w14:paraId="667AEA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D7BBAC" w14:textId="77777777" w:rsidR="006054AA" w:rsidRDefault="001F7667">
            <w:pPr>
              <w:pStyle w:val="P68B1DB1-Normal12"/>
              <w:jc w:val="center"/>
              <w:rPr>
                <w:noProof/>
              </w:rPr>
            </w:pPr>
            <w:r>
              <w:rPr>
                <w:noProof/>
              </w:rPr>
              <w:t>M7—16</w:t>
            </w:r>
          </w:p>
        </w:tc>
        <w:tc>
          <w:tcPr>
            <w:tcW w:w="3118" w:type="dxa"/>
            <w:tcBorders>
              <w:top w:val="nil"/>
              <w:left w:val="nil"/>
              <w:bottom w:val="single" w:sz="4" w:space="0" w:color="auto"/>
              <w:right w:val="single" w:sz="4" w:space="0" w:color="auto"/>
            </w:tcBorders>
            <w:shd w:val="clear" w:color="auto" w:fill="C6EFCE"/>
            <w:noWrap/>
            <w:vAlign w:val="center"/>
          </w:tcPr>
          <w:p w14:paraId="7E479337" w14:textId="77777777" w:rsidR="006054AA" w:rsidRDefault="001F7667">
            <w:pPr>
              <w:pStyle w:val="P68B1DB1-Normal12"/>
              <w:rPr>
                <w:noProof/>
              </w:rPr>
            </w:pPr>
            <w:r>
              <w:rPr>
                <w:noProof/>
              </w:rPr>
              <w:t>Инвестиция 5: SA.CO.I.3</w:t>
            </w:r>
          </w:p>
        </w:tc>
        <w:tc>
          <w:tcPr>
            <w:tcW w:w="1418" w:type="dxa"/>
            <w:tcBorders>
              <w:top w:val="nil"/>
              <w:left w:val="nil"/>
              <w:bottom w:val="single" w:sz="4" w:space="0" w:color="auto"/>
              <w:right w:val="single" w:sz="4" w:space="0" w:color="auto"/>
            </w:tcBorders>
            <w:shd w:val="clear" w:color="auto" w:fill="C6EFCE"/>
            <w:noWrap/>
            <w:vAlign w:val="center"/>
          </w:tcPr>
          <w:p w14:paraId="1AE7AE1A"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450EDE82" w14:textId="77777777" w:rsidR="006054AA" w:rsidRDefault="001F7667">
            <w:pPr>
              <w:pStyle w:val="P68B1DB1-Normal12"/>
              <w:rPr>
                <w:noProof/>
              </w:rPr>
            </w:pPr>
            <w:r>
              <w:rPr>
                <w:noProof/>
              </w:rPr>
              <w:t>Възлагане на договори</w:t>
            </w:r>
          </w:p>
        </w:tc>
      </w:tr>
      <w:tr w:rsidR="006054AA" w14:paraId="03DD1D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83496E" w14:textId="77777777" w:rsidR="006054AA" w:rsidRDefault="001F7667">
            <w:pPr>
              <w:pStyle w:val="P68B1DB1-Normal12"/>
              <w:jc w:val="center"/>
              <w:rPr>
                <w:noProof/>
              </w:rPr>
            </w:pPr>
            <w:r>
              <w:rPr>
                <w:noProof/>
              </w:rPr>
              <w:t>M4C1—10 bis</w:t>
            </w:r>
          </w:p>
        </w:tc>
        <w:tc>
          <w:tcPr>
            <w:tcW w:w="3118" w:type="dxa"/>
            <w:tcBorders>
              <w:top w:val="nil"/>
              <w:left w:val="nil"/>
              <w:bottom w:val="single" w:sz="4" w:space="0" w:color="auto"/>
              <w:right w:val="single" w:sz="4" w:space="0" w:color="auto"/>
            </w:tcBorders>
            <w:shd w:val="clear" w:color="auto" w:fill="C6EFCE"/>
            <w:noWrap/>
            <w:vAlign w:val="center"/>
          </w:tcPr>
          <w:p w14:paraId="0BA4D063" w14:textId="77777777" w:rsidR="006054AA" w:rsidRDefault="001F7667">
            <w:pPr>
              <w:pStyle w:val="P68B1DB1-Normal12"/>
              <w:rPr>
                <w:noProof/>
              </w:rPr>
            </w:pPr>
            <w:r>
              <w:rPr>
                <w:noProof/>
              </w:rPr>
              <w:t>Реформа 1.1: Реформа на техническите и професионалните институти</w:t>
            </w:r>
          </w:p>
        </w:tc>
        <w:tc>
          <w:tcPr>
            <w:tcW w:w="1418" w:type="dxa"/>
            <w:tcBorders>
              <w:top w:val="nil"/>
              <w:left w:val="nil"/>
              <w:bottom w:val="single" w:sz="4" w:space="0" w:color="auto"/>
              <w:right w:val="single" w:sz="4" w:space="0" w:color="auto"/>
            </w:tcBorders>
            <w:shd w:val="clear" w:color="auto" w:fill="C6EFCE"/>
            <w:noWrap/>
            <w:vAlign w:val="center"/>
          </w:tcPr>
          <w:p w14:paraId="4CDB2E1F" w14:textId="77777777" w:rsidR="006054AA" w:rsidRDefault="001F7667">
            <w:pPr>
              <w:pStyle w:val="P68B1DB1-Normal12"/>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0F853208" w14:textId="77777777" w:rsidR="006054AA" w:rsidRDefault="001F7667">
            <w:pPr>
              <w:pStyle w:val="P68B1DB1-Normal12"/>
              <w:rPr>
                <w:noProof/>
              </w:rPr>
            </w:pPr>
            <w:r>
              <w:rPr>
                <w:noProof/>
              </w:rPr>
              <w:t>Влизане в сила на вторичното законодателство.</w:t>
            </w:r>
          </w:p>
        </w:tc>
      </w:tr>
      <w:tr w:rsidR="006054AA" w14:paraId="0329918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BE7AC5" w14:textId="77777777" w:rsidR="006054AA" w:rsidRDefault="006054AA">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A78BCCC" w14:textId="77777777" w:rsidR="006054AA" w:rsidRDefault="006054AA">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74EFA0CB" w14:textId="77777777" w:rsidR="006054AA" w:rsidRDefault="001F7667">
            <w:pPr>
              <w:pStyle w:val="P68B1DB1-Normal12"/>
              <w:rPr>
                <w:noProof/>
              </w:rPr>
            </w:pPr>
            <w:r>
              <w:rPr>
                <w:noProof/>
              </w:rPr>
              <w:t>Размер на вноската</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27F87EEA" w14:textId="192163AF" w:rsidR="006054AA" w:rsidRDefault="001F7667">
            <w:pPr>
              <w:pStyle w:val="P68B1DB1-Normal46"/>
              <w:rPr>
                <w:noProof/>
              </w:rPr>
            </w:pPr>
            <w:r>
              <w:rPr>
                <w:noProof/>
              </w:rPr>
              <w:t>5</w:t>
            </w:r>
            <w:r>
              <w:rPr>
                <w:noProof/>
              </w:rPr>
              <w:t> </w:t>
            </w:r>
            <w:r>
              <w:rPr>
                <w:noProof/>
              </w:rPr>
              <w:t>991</w:t>
            </w:r>
            <w:r>
              <w:rPr>
                <w:noProof/>
              </w:rPr>
              <w:t> </w:t>
            </w:r>
            <w:r>
              <w:rPr>
                <w:noProof/>
              </w:rPr>
              <w:t>809</w:t>
            </w:r>
            <w:r>
              <w:rPr>
                <w:noProof/>
              </w:rPr>
              <w:t> </w:t>
            </w:r>
            <w:r>
              <w:rPr>
                <w:noProof/>
              </w:rPr>
              <w:t>595</w:t>
            </w:r>
            <w:r>
              <w:rPr>
                <w:noProof/>
              </w:rPr>
              <w:t> </w:t>
            </w:r>
            <w:r>
              <w:rPr>
                <w:noProof/>
              </w:rPr>
              <w:t>EUR</w:t>
            </w:r>
          </w:p>
        </w:tc>
      </w:tr>
    </w:tbl>
    <w:p w14:paraId="74953F3A" w14:textId="1F94E648" w:rsidR="006054AA" w:rsidRDefault="001F7667">
      <w:pPr>
        <w:pStyle w:val="P68B1DB1-Normal44"/>
        <w:numPr>
          <w:ilvl w:val="1"/>
          <w:numId w:val="6"/>
        </w:numPr>
        <w:spacing w:before="120" w:after="120"/>
        <w:jc w:val="both"/>
        <w:rPr>
          <w:noProof/>
        </w:rPr>
      </w:pPr>
      <w:r>
        <w:rPr>
          <w:noProof/>
        </w:rPr>
        <w:t>Осма вноска (безвъзмездна подкрепа):</w:t>
      </w:r>
    </w:p>
    <w:tbl>
      <w:tblPr>
        <w:tblW w:w="9991" w:type="dxa"/>
        <w:tblInd w:w="113" w:type="dxa"/>
        <w:tblLook w:val="04A0" w:firstRow="1" w:lastRow="0" w:firstColumn="1" w:lastColumn="0" w:noHBand="0" w:noVBand="1"/>
      </w:tblPr>
      <w:tblGrid>
        <w:gridCol w:w="1413"/>
        <w:gridCol w:w="3118"/>
        <w:gridCol w:w="1440"/>
        <w:gridCol w:w="4020"/>
      </w:tblGrid>
      <w:tr w:rsidR="006054AA" w14:paraId="10D12EC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4261386" w14:textId="77777777" w:rsidR="006054AA" w:rsidRDefault="001F7667">
            <w:pPr>
              <w:pStyle w:val="P68B1DB1-Normal45"/>
              <w:jc w:val="center"/>
              <w:rPr>
                <w:noProof/>
              </w:rPr>
            </w:pPr>
            <w:r>
              <w:rPr>
                <w:noProof/>
              </w:rPr>
              <w:t>Пореден номер</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C7C987" w14:textId="77777777" w:rsidR="006054AA" w:rsidRDefault="001F7667">
            <w:pPr>
              <w:pStyle w:val="P68B1DB1-Normal45"/>
              <w:jc w:val="center"/>
              <w:rPr>
                <w:noProof/>
              </w:rPr>
            </w:pPr>
            <w:r>
              <w:rPr>
                <w:noProof/>
              </w:rPr>
              <w:t>Свързана мярка (реформа или инвестиции)</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8B35AF" w14:textId="77777777" w:rsidR="006054AA" w:rsidRDefault="001F7667">
            <w:pPr>
              <w:pStyle w:val="P68B1DB1-Normal45"/>
              <w:jc w:val="center"/>
              <w:rPr>
                <w:noProof/>
              </w:rPr>
            </w:pPr>
            <w:r>
              <w:rPr>
                <w:noProof/>
              </w:rPr>
              <w:t>Ключов етап/Цел</w:t>
            </w:r>
          </w:p>
        </w:tc>
        <w:tc>
          <w:tcPr>
            <w:tcW w:w="4020" w:type="dxa"/>
            <w:vMerge w:val="restart"/>
            <w:tcBorders>
              <w:top w:val="single" w:sz="4" w:space="0" w:color="auto"/>
              <w:left w:val="nil"/>
              <w:bottom w:val="single" w:sz="4" w:space="0" w:color="auto"/>
              <w:right w:val="single" w:sz="4" w:space="0" w:color="auto"/>
            </w:tcBorders>
            <w:shd w:val="clear" w:color="auto" w:fill="BDD7EE"/>
            <w:vAlign w:val="center"/>
            <w:hideMark/>
          </w:tcPr>
          <w:p w14:paraId="319734CB" w14:textId="77777777" w:rsidR="006054AA" w:rsidRDefault="001F7667">
            <w:pPr>
              <w:pStyle w:val="P68B1DB1-Normal45"/>
              <w:jc w:val="center"/>
              <w:rPr>
                <w:noProof/>
              </w:rPr>
            </w:pPr>
            <w:r>
              <w:rPr>
                <w:noProof/>
              </w:rPr>
              <w:t>Име</w:t>
            </w:r>
          </w:p>
        </w:tc>
      </w:tr>
      <w:tr w:rsidR="006054AA" w14:paraId="59EFEBB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FB9F3E" w14:textId="77777777" w:rsidR="006054AA" w:rsidRDefault="006054AA">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18F467" w14:textId="77777777" w:rsidR="006054AA" w:rsidRDefault="006054AA">
            <w:pPr>
              <w:rPr>
                <w:b/>
                <w:noProof/>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64D5F5" w14:textId="77777777" w:rsidR="006054AA" w:rsidRDefault="006054AA">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4E70D6DE" w14:textId="77777777" w:rsidR="006054AA" w:rsidRDefault="006054AA">
            <w:pPr>
              <w:rPr>
                <w:b/>
                <w:noProof/>
              </w:rPr>
            </w:pPr>
          </w:p>
        </w:tc>
      </w:tr>
      <w:tr w:rsidR="006054AA" w14:paraId="4966CE9B"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1FED4" w14:textId="77777777" w:rsidR="006054AA" w:rsidRDefault="001F7667">
            <w:pPr>
              <w:pStyle w:val="P68B1DB1-Normal12"/>
              <w:jc w:val="center"/>
              <w:rPr>
                <w:noProof/>
              </w:rPr>
            </w:pPr>
            <w:r>
              <w:rPr>
                <w:noProof/>
              </w:rPr>
              <w:t>M1C1—23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D09EBD2" w14:textId="77777777" w:rsidR="006054AA" w:rsidRDefault="001F7667">
            <w:pPr>
              <w:pStyle w:val="P68B1DB1-Normal12"/>
              <w:jc w:val="center"/>
              <w:rPr>
                <w:noProof/>
              </w:rPr>
            </w:pPr>
            <w:r>
              <w:rPr>
                <w:noProof/>
              </w:rPr>
              <w:t>Инвестиция 1.4.6: Мобилността като услуга за Италия</w:t>
            </w:r>
          </w:p>
        </w:tc>
        <w:tc>
          <w:tcPr>
            <w:tcW w:w="1440" w:type="dxa"/>
            <w:tcBorders>
              <w:top w:val="single" w:sz="4" w:space="0" w:color="auto"/>
              <w:left w:val="nil"/>
              <w:bottom w:val="single" w:sz="4" w:space="0" w:color="auto"/>
              <w:right w:val="single" w:sz="4" w:space="0" w:color="auto"/>
            </w:tcBorders>
            <w:shd w:val="clear" w:color="auto" w:fill="C6EFCE"/>
            <w:noWrap/>
            <w:vAlign w:val="center"/>
          </w:tcPr>
          <w:p w14:paraId="30A8CB34" w14:textId="77777777" w:rsidR="006054AA" w:rsidRDefault="001F7667">
            <w:pPr>
              <w:pStyle w:val="P68B1DB1-Normal12"/>
              <w:jc w:val="center"/>
              <w:rPr>
                <w:noProof/>
              </w:rPr>
            </w:pPr>
            <w:r>
              <w:rPr>
                <w:noProof/>
              </w:rPr>
              <w:t>Ключов етап</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568863BB" w14:textId="77777777" w:rsidR="006054AA" w:rsidRDefault="001F7667">
            <w:pPr>
              <w:pStyle w:val="P68B1DB1-Normal12"/>
              <w:rPr>
                <w:noProof/>
              </w:rPr>
            </w:pPr>
            <w:r>
              <w:rPr>
                <w:noProof/>
              </w:rPr>
              <w:t>Мобилността като решения за обслужване M2</w:t>
            </w:r>
          </w:p>
        </w:tc>
      </w:tr>
      <w:tr w:rsidR="006054AA" w14:paraId="4453B5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10E9B4" w14:textId="77777777" w:rsidR="006054AA" w:rsidRDefault="001F7667">
            <w:pPr>
              <w:pStyle w:val="P68B1DB1-Normal12"/>
              <w:jc w:val="center"/>
              <w:rPr>
                <w:noProof/>
              </w:rPr>
            </w:pPr>
            <w:r>
              <w:rPr>
                <w:noProof/>
              </w:rPr>
              <w:t>M1C1—76</w:t>
            </w:r>
          </w:p>
        </w:tc>
        <w:tc>
          <w:tcPr>
            <w:tcW w:w="3118" w:type="dxa"/>
            <w:tcBorders>
              <w:top w:val="nil"/>
              <w:left w:val="nil"/>
              <w:bottom w:val="single" w:sz="4" w:space="0" w:color="auto"/>
              <w:right w:val="single" w:sz="4" w:space="0" w:color="auto"/>
            </w:tcBorders>
            <w:shd w:val="clear" w:color="auto" w:fill="C6EFCE"/>
            <w:noWrap/>
            <w:vAlign w:val="center"/>
          </w:tcPr>
          <w:p w14:paraId="0BE24642"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440" w:type="dxa"/>
            <w:tcBorders>
              <w:top w:val="nil"/>
              <w:left w:val="nil"/>
              <w:bottom w:val="single" w:sz="4" w:space="0" w:color="auto"/>
              <w:right w:val="single" w:sz="4" w:space="0" w:color="auto"/>
            </w:tcBorders>
            <w:shd w:val="clear" w:color="auto" w:fill="C6EFCE"/>
            <w:noWrap/>
            <w:vAlign w:val="center"/>
          </w:tcPr>
          <w:p w14:paraId="02ADF75F"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66F79D20" w14:textId="77777777" w:rsidR="006054AA" w:rsidRDefault="001F7667">
            <w:pPr>
              <w:pStyle w:val="P68B1DB1-Normal12"/>
              <w:rPr>
                <w:noProof/>
              </w:rPr>
            </w:pPr>
            <w:r>
              <w:rPr>
                <w:noProof/>
              </w:rPr>
              <w:t>Средният брой дни, през които централните публични администрации плащат на предприятията, е намален</w:t>
            </w:r>
          </w:p>
        </w:tc>
      </w:tr>
      <w:tr w:rsidR="006054AA" w14:paraId="6744B4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727BF" w14:textId="77777777" w:rsidR="006054AA" w:rsidRDefault="001F7667">
            <w:pPr>
              <w:pStyle w:val="P68B1DB1-Normal12"/>
              <w:jc w:val="center"/>
              <w:rPr>
                <w:noProof/>
              </w:rPr>
            </w:pPr>
            <w:r>
              <w:rPr>
                <w:noProof/>
              </w:rPr>
              <w:t>M1C1—77</w:t>
            </w:r>
          </w:p>
        </w:tc>
        <w:tc>
          <w:tcPr>
            <w:tcW w:w="3118" w:type="dxa"/>
            <w:tcBorders>
              <w:top w:val="nil"/>
              <w:left w:val="nil"/>
              <w:bottom w:val="single" w:sz="4" w:space="0" w:color="auto"/>
              <w:right w:val="single" w:sz="4" w:space="0" w:color="auto"/>
            </w:tcBorders>
            <w:shd w:val="clear" w:color="auto" w:fill="C6EFCE"/>
            <w:noWrap/>
            <w:vAlign w:val="center"/>
          </w:tcPr>
          <w:p w14:paraId="426CBD54"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440" w:type="dxa"/>
            <w:tcBorders>
              <w:top w:val="nil"/>
              <w:left w:val="nil"/>
              <w:bottom w:val="single" w:sz="4" w:space="0" w:color="auto"/>
              <w:right w:val="single" w:sz="4" w:space="0" w:color="auto"/>
            </w:tcBorders>
            <w:shd w:val="clear" w:color="auto" w:fill="C6EFCE"/>
            <w:noWrap/>
            <w:vAlign w:val="center"/>
          </w:tcPr>
          <w:p w14:paraId="60A80B6B"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29CAE1C9" w14:textId="77777777" w:rsidR="006054AA" w:rsidRDefault="001F7667">
            <w:pPr>
              <w:pStyle w:val="P68B1DB1-Normal12"/>
              <w:rPr>
                <w:noProof/>
              </w:rPr>
            </w:pPr>
            <w:r>
              <w:rPr>
                <w:noProof/>
              </w:rPr>
              <w:t>Намалява се средният брой дни, през които регионалните публични администрации плащат на предприятията</w:t>
            </w:r>
          </w:p>
        </w:tc>
      </w:tr>
      <w:tr w:rsidR="006054AA" w14:paraId="5EA9B3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D38CAA" w14:textId="77777777" w:rsidR="006054AA" w:rsidRDefault="001F7667">
            <w:pPr>
              <w:pStyle w:val="P68B1DB1-Normal12"/>
              <w:jc w:val="center"/>
              <w:rPr>
                <w:noProof/>
              </w:rPr>
            </w:pPr>
            <w:r>
              <w:rPr>
                <w:noProof/>
              </w:rPr>
              <w:t>M1C1—78</w:t>
            </w:r>
          </w:p>
        </w:tc>
        <w:tc>
          <w:tcPr>
            <w:tcW w:w="3118" w:type="dxa"/>
            <w:tcBorders>
              <w:top w:val="nil"/>
              <w:left w:val="nil"/>
              <w:bottom w:val="single" w:sz="4" w:space="0" w:color="auto"/>
              <w:right w:val="single" w:sz="4" w:space="0" w:color="auto"/>
            </w:tcBorders>
            <w:shd w:val="clear" w:color="auto" w:fill="C6EFCE"/>
            <w:noWrap/>
            <w:vAlign w:val="center"/>
          </w:tcPr>
          <w:p w14:paraId="3BC8245C"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440" w:type="dxa"/>
            <w:tcBorders>
              <w:top w:val="nil"/>
              <w:left w:val="nil"/>
              <w:bottom w:val="single" w:sz="4" w:space="0" w:color="auto"/>
              <w:right w:val="single" w:sz="4" w:space="0" w:color="auto"/>
            </w:tcBorders>
            <w:shd w:val="clear" w:color="auto" w:fill="C6EFCE"/>
            <w:noWrap/>
            <w:vAlign w:val="center"/>
          </w:tcPr>
          <w:p w14:paraId="0827A5A8"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740AD567" w14:textId="77777777" w:rsidR="006054AA" w:rsidRDefault="001F7667">
            <w:pPr>
              <w:pStyle w:val="P68B1DB1-Normal12"/>
              <w:rPr>
                <w:noProof/>
              </w:rPr>
            </w:pPr>
            <w:r>
              <w:rPr>
                <w:noProof/>
              </w:rPr>
              <w:t>Намалява се средният брой дни, през които местните публични администрации плащат на предприятията</w:t>
            </w:r>
          </w:p>
        </w:tc>
      </w:tr>
      <w:tr w:rsidR="006054AA" w14:paraId="4920B4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4B8869" w14:textId="77777777" w:rsidR="006054AA" w:rsidRDefault="001F7667">
            <w:pPr>
              <w:pStyle w:val="P68B1DB1-Normal12"/>
              <w:jc w:val="center"/>
              <w:rPr>
                <w:noProof/>
              </w:rPr>
            </w:pPr>
            <w:r>
              <w:rPr>
                <w:noProof/>
              </w:rPr>
              <w:t>M1C1—79</w:t>
            </w:r>
          </w:p>
        </w:tc>
        <w:tc>
          <w:tcPr>
            <w:tcW w:w="3118" w:type="dxa"/>
            <w:tcBorders>
              <w:top w:val="nil"/>
              <w:left w:val="nil"/>
              <w:bottom w:val="single" w:sz="4" w:space="0" w:color="auto"/>
              <w:right w:val="single" w:sz="4" w:space="0" w:color="auto"/>
            </w:tcBorders>
            <w:shd w:val="clear" w:color="auto" w:fill="C6EFCE"/>
            <w:noWrap/>
            <w:vAlign w:val="center"/>
          </w:tcPr>
          <w:p w14:paraId="7FBCED6C"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440" w:type="dxa"/>
            <w:tcBorders>
              <w:top w:val="nil"/>
              <w:left w:val="nil"/>
              <w:bottom w:val="single" w:sz="4" w:space="0" w:color="auto"/>
              <w:right w:val="single" w:sz="4" w:space="0" w:color="auto"/>
            </w:tcBorders>
            <w:shd w:val="clear" w:color="auto" w:fill="C6EFCE"/>
            <w:noWrap/>
            <w:vAlign w:val="center"/>
          </w:tcPr>
          <w:p w14:paraId="0DED3ACE"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60F599F8" w14:textId="77777777" w:rsidR="006054AA" w:rsidRDefault="001F7667">
            <w:pPr>
              <w:pStyle w:val="P68B1DB1-Normal12"/>
              <w:rPr>
                <w:noProof/>
              </w:rPr>
            </w:pPr>
            <w:r>
              <w:rPr>
                <w:noProof/>
              </w:rPr>
              <w:t>Намалява се средният брой дни, през които администрациите в областта на общественото здравеопазване да плащат на предприятията</w:t>
            </w:r>
          </w:p>
        </w:tc>
      </w:tr>
      <w:tr w:rsidR="006054AA" w14:paraId="7DB17E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BC8AC7" w14:textId="77777777" w:rsidR="006054AA" w:rsidRDefault="001F7667">
            <w:pPr>
              <w:pStyle w:val="P68B1DB1-Normal12"/>
              <w:jc w:val="center"/>
              <w:rPr>
                <w:noProof/>
              </w:rPr>
            </w:pPr>
            <w:r>
              <w:rPr>
                <w:noProof/>
              </w:rPr>
              <w:t>M1C1—80</w:t>
            </w:r>
          </w:p>
        </w:tc>
        <w:tc>
          <w:tcPr>
            <w:tcW w:w="3118" w:type="dxa"/>
            <w:tcBorders>
              <w:top w:val="nil"/>
              <w:left w:val="nil"/>
              <w:bottom w:val="single" w:sz="4" w:space="0" w:color="auto"/>
              <w:right w:val="single" w:sz="4" w:space="0" w:color="auto"/>
            </w:tcBorders>
            <w:shd w:val="clear" w:color="auto" w:fill="C6EFCE"/>
            <w:noWrap/>
            <w:vAlign w:val="center"/>
          </w:tcPr>
          <w:p w14:paraId="0A24B52F"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440" w:type="dxa"/>
            <w:tcBorders>
              <w:top w:val="nil"/>
              <w:left w:val="nil"/>
              <w:bottom w:val="single" w:sz="4" w:space="0" w:color="auto"/>
              <w:right w:val="single" w:sz="4" w:space="0" w:color="auto"/>
            </w:tcBorders>
            <w:shd w:val="clear" w:color="auto" w:fill="C6EFCE"/>
            <w:noWrap/>
            <w:vAlign w:val="center"/>
          </w:tcPr>
          <w:p w14:paraId="3D478B17"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7CAFC1FA" w14:textId="77777777" w:rsidR="006054AA" w:rsidRDefault="001F7667">
            <w:pPr>
              <w:pStyle w:val="P68B1DB1-Normal12"/>
              <w:rPr>
                <w:noProof/>
              </w:rPr>
            </w:pPr>
            <w:r>
              <w:rPr>
                <w:noProof/>
              </w:rPr>
              <w:t>Намалява се средният брой дни на забавяне от страна на централните публични администрации да плащат на предприятията</w:t>
            </w:r>
          </w:p>
        </w:tc>
      </w:tr>
      <w:tr w:rsidR="006054AA" w14:paraId="7E0554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820A8" w14:textId="77777777" w:rsidR="006054AA" w:rsidRDefault="001F7667">
            <w:pPr>
              <w:pStyle w:val="P68B1DB1-Normal12"/>
              <w:jc w:val="center"/>
              <w:rPr>
                <w:noProof/>
              </w:rPr>
            </w:pPr>
            <w:r>
              <w:rPr>
                <w:noProof/>
              </w:rPr>
              <w:t>M1C1—81</w:t>
            </w:r>
          </w:p>
        </w:tc>
        <w:tc>
          <w:tcPr>
            <w:tcW w:w="3118" w:type="dxa"/>
            <w:tcBorders>
              <w:top w:val="nil"/>
              <w:left w:val="nil"/>
              <w:bottom w:val="single" w:sz="4" w:space="0" w:color="auto"/>
              <w:right w:val="single" w:sz="4" w:space="0" w:color="auto"/>
            </w:tcBorders>
            <w:shd w:val="clear" w:color="auto" w:fill="C6EFCE"/>
            <w:noWrap/>
            <w:vAlign w:val="center"/>
          </w:tcPr>
          <w:p w14:paraId="58E99A95"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440" w:type="dxa"/>
            <w:tcBorders>
              <w:top w:val="nil"/>
              <w:left w:val="nil"/>
              <w:bottom w:val="single" w:sz="4" w:space="0" w:color="auto"/>
              <w:right w:val="single" w:sz="4" w:space="0" w:color="auto"/>
            </w:tcBorders>
            <w:shd w:val="clear" w:color="auto" w:fill="C6EFCE"/>
            <w:noWrap/>
            <w:vAlign w:val="center"/>
          </w:tcPr>
          <w:p w14:paraId="14DC1FE5"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5BC05EE5" w14:textId="77777777" w:rsidR="006054AA" w:rsidRDefault="001F7667">
            <w:pPr>
              <w:pStyle w:val="P68B1DB1-Normal12"/>
              <w:rPr>
                <w:noProof/>
              </w:rPr>
            </w:pPr>
            <w:r>
              <w:rPr>
                <w:noProof/>
              </w:rPr>
              <w:t>Намалява се средният брой дни закъснение за регионалните публични администрации да плащат на предприятията</w:t>
            </w:r>
          </w:p>
        </w:tc>
      </w:tr>
      <w:tr w:rsidR="006054AA" w14:paraId="6A1EB7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F4B3E" w14:textId="77777777" w:rsidR="006054AA" w:rsidRDefault="001F7667">
            <w:pPr>
              <w:pStyle w:val="P68B1DB1-Normal12"/>
              <w:jc w:val="center"/>
              <w:rPr>
                <w:noProof/>
              </w:rPr>
            </w:pPr>
            <w:r>
              <w:rPr>
                <w:noProof/>
              </w:rPr>
              <w:t>M1C1—82</w:t>
            </w:r>
          </w:p>
        </w:tc>
        <w:tc>
          <w:tcPr>
            <w:tcW w:w="3118" w:type="dxa"/>
            <w:tcBorders>
              <w:top w:val="nil"/>
              <w:left w:val="nil"/>
              <w:bottom w:val="single" w:sz="4" w:space="0" w:color="auto"/>
              <w:right w:val="single" w:sz="4" w:space="0" w:color="auto"/>
            </w:tcBorders>
            <w:shd w:val="clear" w:color="auto" w:fill="C6EFCE"/>
            <w:noWrap/>
            <w:vAlign w:val="center"/>
          </w:tcPr>
          <w:p w14:paraId="6D4658DF"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440" w:type="dxa"/>
            <w:tcBorders>
              <w:top w:val="nil"/>
              <w:left w:val="nil"/>
              <w:bottom w:val="single" w:sz="4" w:space="0" w:color="auto"/>
              <w:right w:val="single" w:sz="4" w:space="0" w:color="auto"/>
            </w:tcBorders>
            <w:shd w:val="clear" w:color="auto" w:fill="C6EFCE"/>
            <w:noWrap/>
            <w:vAlign w:val="center"/>
          </w:tcPr>
          <w:p w14:paraId="3ECC4A90"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3E55515A" w14:textId="77777777" w:rsidR="006054AA" w:rsidRDefault="001F7667">
            <w:pPr>
              <w:pStyle w:val="P68B1DB1-Normal12"/>
              <w:rPr>
                <w:noProof/>
              </w:rPr>
            </w:pPr>
            <w:r>
              <w:rPr>
                <w:noProof/>
              </w:rPr>
              <w:t>Намалява се средният брой дни закъснение за местните публични администрации да плащат на предприятията</w:t>
            </w:r>
          </w:p>
        </w:tc>
      </w:tr>
      <w:tr w:rsidR="006054AA" w14:paraId="7CD68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7CE4BF" w14:textId="77777777" w:rsidR="006054AA" w:rsidRDefault="001F7667">
            <w:pPr>
              <w:pStyle w:val="P68B1DB1-Normal12"/>
              <w:jc w:val="center"/>
              <w:rPr>
                <w:noProof/>
              </w:rPr>
            </w:pPr>
            <w:r>
              <w:rPr>
                <w:noProof/>
              </w:rPr>
              <w:t>M1C1—83</w:t>
            </w:r>
          </w:p>
        </w:tc>
        <w:tc>
          <w:tcPr>
            <w:tcW w:w="3118" w:type="dxa"/>
            <w:tcBorders>
              <w:top w:val="nil"/>
              <w:left w:val="nil"/>
              <w:bottom w:val="single" w:sz="4" w:space="0" w:color="auto"/>
              <w:right w:val="single" w:sz="4" w:space="0" w:color="auto"/>
            </w:tcBorders>
            <w:shd w:val="clear" w:color="auto" w:fill="C6EFCE"/>
            <w:noWrap/>
            <w:vAlign w:val="center"/>
          </w:tcPr>
          <w:p w14:paraId="4D60479B"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440" w:type="dxa"/>
            <w:tcBorders>
              <w:top w:val="nil"/>
              <w:left w:val="nil"/>
              <w:bottom w:val="single" w:sz="4" w:space="0" w:color="auto"/>
              <w:right w:val="single" w:sz="4" w:space="0" w:color="auto"/>
            </w:tcBorders>
            <w:shd w:val="clear" w:color="auto" w:fill="C6EFCE"/>
            <w:noWrap/>
            <w:vAlign w:val="center"/>
          </w:tcPr>
          <w:p w14:paraId="01A7E572"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2119FB9E" w14:textId="77777777" w:rsidR="006054AA" w:rsidRDefault="001F7667">
            <w:pPr>
              <w:pStyle w:val="P68B1DB1-Normal12"/>
              <w:rPr>
                <w:noProof/>
              </w:rPr>
            </w:pPr>
            <w:r>
              <w:rPr>
                <w:noProof/>
              </w:rPr>
              <w:t>Намалява се средният брой дни, в които публичните здравни администрации закъсняват да плащат на предприятията</w:t>
            </w:r>
          </w:p>
        </w:tc>
      </w:tr>
      <w:tr w:rsidR="006054AA" w14:paraId="4FCE3E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26A3E0" w14:textId="77777777" w:rsidR="006054AA" w:rsidRDefault="001F7667">
            <w:pPr>
              <w:pStyle w:val="P68B1DB1-Normal12"/>
              <w:jc w:val="center"/>
              <w:rPr>
                <w:noProof/>
              </w:rPr>
            </w:pPr>
            <w:r>
              <w:rPr>
                <w:noProof/>
              </w:rPr>
              <w:t>M1C1—25</w:t>
            </w:r>
          </w:p>
        </w:tc>
        <w:tc>
          <w:tcPr>
            <w:tcW w:w="3118" w:type="dxa"/>
            <w:tcBorders>
              <w:top w:val="nil"/>
              <w:left w:val="nil"/>
              <w:bottom w:val="single" w:sz="4" w:space="0" w:color="auto"/>
              <w:right w:val="single" w:sz="4" w:space="0" w:color="auto"/>
            </w:tcBorders>
            <w:shd w:val="clear" w:color="auto" w:fill="C6EFCE"/>
            <w:noWrap/>
            <w:vAlign w:val="center"/>
          </w:tcPr>
          <w:p w14:paraId="3B69ADE7" w14:textId="77777777" w:rsidR="006054AA" w:rsidRDefault="001F7667">
            <w:pPr>
              <w:pStyle w:val="P68B1DB1-Normal12"/>
              <w:jc w:val="center"/>
              <w:rPr>
                <w:noProof/>
              </w:rPr>
            </w:pPr>
            <w:r>
              <w:rPr>
                <w:noProof/>
              </w:rPr>
              <w:t>Инвестиция 1.6.6: Цифровизация на финансовата полиция</w:t>
            </w:r>
          </w:p>
        </w:tc>
        <w:tc>
          <w:tcPr>
            <w:tcW w:w="1440" w:type="dxa"/>
            <w:tcBorders>
              <w:top w:val="nil"/>
              <w:left w:val="nil"/>
              <w:bottom w:val="single" w:sz="4" w:space="0" w:color="auto"/>
              <w:right w:val="single" w:sz="4" w:space="0" w:color="auto"/>
            </w:tcBorders>
            <w:shd w:val="clear" w:color="auto" w:fill="C6EFCE"/>
            <w:noWrap/>
            <w:vAlign w:val="center"/>
          </w:tcPr>
          <w:p w14:paraId="6041557A" w14:textId="77777777" w:rsidR="006054AA" w:rsidRDefault="001F7667">
            <w:pPr>
              <w:pStyle w:val="P68B1DB1-Normal12"/>
              <w:jc w:val="center"/>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45790C00" w14:textId="77777777" w:rsidR="006054AA" w:rsidRDefault="001F7667">
            <w:pPr>
              <w:pStyle w:val="P68B1DB1-Normal12"/>
              <w:rPr>
                <w:noProof/>
              </w:rPr>
            </w:pPr>
            <w:r>
              <w:rPr>
                <w:noProof/>
              </w:rPr>
              <w:t>Развиване на оперативните информационни системи, използвани за борба с икономическата престъпност</w:t>
            </w:r>
          </w:p>
        </w:tc>
      </w:tr>
      <w:tr w:rsidR="006054AA" w14:paraId="531339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91C2A" w14:textId="77777777" w:rsidR="006054AA" w:rsidRDefault="001F7667">
            <w:pPr>
              <w:pStyle w:val="P68B1DB1-Normal12"/>
              <w:jc w:val="center"/>
              <w:rPr>
                <w:noProof/>
              </w:rPr>
            </w:pPr>
            <w:r>
              <w:rPr>
                <w:noProof/>
              </w:rPr>
              <w:t>M1C1—61</w:t>
            </w:r>
          </w:p>
        </w:tc>
        <w:tc>
          <w:tcPr>
            <w:tcW w:w="3118" w:type="dxa"/>
            <w:tcBorders>
              <w:top w:val="nil"/>
              <w:left w:val="nil"/>
              <w:bottom w:val="single" w:sz="4" w:space="0" w:color="auto"/>
              <w:right w:val="single" w:sz="4" w:space="0" w:color="auto"/>
            </w:tcBorders>
            <w:shd w:val="clear" w:color="auto" w:fill="C6EFCE"/>
            <w:noWrap/>
            <w:vAlign w:val="center"/>
          </w:tcPr>
          <w:p w14:paraId="47FA4B54" w14:textId="77777777" w:rsidR="006054AA" w:rsidRDefault="001F7667">
            <w:pPr>
              <w:pStyle w:val="P68B1DB1-Normal12"/>
              <w:jc w:val="center"/>
              <w:rPr>
                <w:noProof/>
              </w:rPr>
            </w:pPr>
            <w:r>
              <w:rPr>
                <w:noProof/>
              </w:rPr>
              <w:t>Реформа 1.9: Реформа на публичната администрация</w:t>
            </w:r>
          </w:p>
        </w:tc>
        <w:tc>
          <w:tcPr>
            <w:tcW w:w="1440" w:type="dxa"/>
            <w:tcBorders>
              <w:top w:val="nil"/>
              <w:left w:val="nil"/>
              <w:bottom w:val="single" w:sz="4" w:space="0" w:color="auto"/>
              <w:right w:val="single" w:sz="4" w:space="0" w:color="auto"/>
            </w:tcBorders>
            <w:shd w:val="clear" w:color="auto" w:fill="C6EFCE"/>
            <w:noWrap/>
            <w:vAlign w:val="center"/>
          </w:tcPr>
          <w:p w14:paraId="6828A7B6" w14:textId="77777777" w:rsidR="006054AA" w:rsidRDefault="001F7667">
            <w:pPr>
              <w:pStyle w:val="P68B1DB1-Normal12"/>
              <w:jc w:val="center"/>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7AB6D4EB" w14:textId="77777777" w:rsidR="006054AA" w:rsidRDefault="001F7667">
            <w:pPr>
              <w:pStyle w:val="P68B1DB1-Normal12"/>
              <w:rPr>
                <w:noProof/>
              </w:rPr>
            </w:pPr>
            <w:r>
              <w:rPr>
                <w:noProof/>
              </w:rPr>
              <w:t>Приключване на изпълнението (включително всички делегирани актове) на опростяването и/или цифровизацията на допълнителен набор от 50 критични процедури, които засягат пряко гражданите</w:t>
            </w:r>
          </w:p>
        </w:tc>
      </w:tr>
      <w:tr w:rsidR="006054AA" w14:paraId="524596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90CBC6" w14:textId="77777777" w:rsidR="006054AA" w:rsidRDefault="001F7667">
            <w:pPr>
              <w:pStyle w:val="P68B1DB1-Normal12"/>
              <w:jc w:val="center"/>
              <w:rPr>
                <w:noProof/>
              </w:rPr>
            </w:pPr>
            <w:r>
              <w:rPr>
                <w:noProof/>
              </w:rPr>
              <w:t>M1C1—62</w:t>
            </w:r>
          </w:p>
        </w:tc>
        <w:tc>
          <w:tcPr>
            <w:tcW w:w="3118" w:type="dxa"/>
            <w:tcBorders>
              <w:top w:val="nil"/>
              <w:left w:val="nil"/>
              <w:bottom w:val="single" w:sz="4" w:space="0" w:color="auto"/>
              <w:right w:val="single" w:sz="4" w:space="0" w:color="auto"/>
            </w:tcBorders>
            <w:shd w:val="clear" w:color="auto" w:fill="C6EFCE"/>
            <w:noWrap/>
            <w:vAlign w:val="center"/>
          </w:tcPr>
          <w:p w14:paraId="04E6253A" w14:textId="77777777" w:rsidR="006054AA" w:rsidRDefault="001F7667">
            <w:pPr>
              <w:pStyle w:val="P68B1DB1-Normal12"/>
              <w:jc w:val="center"/>
              <w:rPr>
                <w:noProof/>
              </w:rPr>
            </w:pPr>
            <w:r>
              <w:rPr>
                <w:noProof/>
              </w:rPr>
              <w:t>Реформа 1.9: Реформа на публичната администрация</w:t>
            </w:r>
          </w:p>
        </w:tc>
        <w:tc>
          <w:tcPr>
            <w:tcW w:w="1440" w:type="dxa"/>
            <w:tcBorders>
              <w:top w:val="nil"/>
              <w:left w:val="nil"/>
              <w:bottom w:val="single" w:sz="4" w:space="0" w:color="auto"/>
              <w:right w:val="single" w:sz="4" w:space="0" w:color="auto"/>
            </w:tcBorders>
            <w:shd w:val="clear" w:color="auto" w:fill="C6EFCE"/>
            <w:noWrap/>
            <w:vAlign w:val="center"/>
          </w:tcPr>
          <w:p w14:paraId="0C2EE1B0" w14:textId="77777777" w:rsidR="006054AA" w:rsidRDefault="001F7667">
            <w:pPr>
              <w:pStyle w:val="P68B1DB1-Normal12"/>
              <w:jc w:val="center"/>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7D94D894" w14:textId="77777777" w:rsidR="006054AA" w:rsidRDefault="001F7667">
            <w:pPr>
              <w:pStyle w:val="P68B1DB1-Normal12"/>
              <w:rPr>
                <w:noProof/>
              </w:rPr>
            </w:pPr>
            <w:r>
              <w:rPr>
                <w:noProof/>
              </w:rPr>
              <w:t>Увеличаване на усвояването на инвестициите</w:t>
            </w:r>
          </w:p>
        </w:tc>
      </w:tr>
      <w:tr w:rsidR="006054AA" w14:paraId="063A2A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9B8842" w14:textId="77777777" w:rsidR="006054AA" w:rsidRDefault="001F7667">
            <w:pPr>
              <w:pStyle w:val="P68B1DB1-Normal12"/>
              <w:jc w:val="center"/>
              <w:rPr>
                <w:noProof/>
              </w:rPr>
            </w:pPr>
            <w:r>
              <w:rPr>
                <w:noProof/>
              </w:rPr>
              <w:t>M1C1—115</w:t>
            </w:r>
          </w:p>
        </w:tc>
        <w:tc>
          <w:tcPr>
            <w:tcW w:w="3118" w:type="dxa"/>
            <w:tcBorders>
              <w:top w:val="nil"/>
              <w:left w:val="nil"/>
              <w:bottom w:val="single" w:sz="4" w:space="0" w:color="auto"/>
              <w:right w:val="single" w:sz="4" w:space="0" w:color="auto"/>
            </w:tcBorders>
            <w:shd w:val="clear" w:color="auto" w:fill="C6EFCE"/>
            <w:noWrap/>
            <w:vAlign w:val="center"/>
          </w:tcPr>
          <w:p w14:paraId="33C723A5" w14:textId="77777777" w:rsidR="006054AA" w:rsidRDefault="001F7667">
            <w:pPr>
              <w:pStyle w:val="P68B1DB1-Normal12"/>
              <w:jc w:val="center"/>
              <w:rPr>
                <w:noProof/>
              </w:rPr>
            </w:pPr>
            <w:r>
              <w:rPr>
                <w:noProof/>
              </w:rPr>
              <w:t>Реформа 1.13: Реформа на рамката за преглед на разходите</w:t>
            </w:r>
          </w:p>
        </w:tc>
        <w:tc>
          <w:tcPr>
            <w:tcW w:w="1440" w:type="dxa"/>
            <w:tcBorders>
              <w:top w:val="nil"/>
              <w:left w:val="nil"/>
              <w:bottom w:val="single" w:sz="4" w:space="0" w:color="auto"/>
              <w:right w:val="single" w:sz="4" w:space="0" w:color="auto"/>
            </w:tcBorders>
            <w:shd w:val="clear" w:color="auto" w:fill="C6EFCE"/>
            <w:noWrap/>
            <w:vAlign w:val="center"/>
          </w:tcPr>
          <w:p w14:paraId="79AF3858" w14:textId="77777777" w:rsidR="006054AA" w:rsidRDefault="001F7667">
            <w:pPr>
              <w:pStyle w:val="P68B1DB1-Normal12"/>
              <w:jc w:val="center"/>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52118C24" w14:textId="77777777" w:rsidR="006054AA" w:rsidRDefault="001F7667">
            <w:pPr>
              <w:pStyle w:val="P68B1DB1-Normal12"/>
              <w:rPr>
                <w:noProof/>
              </w:rPr>
            </w:pPr>
            <w:r>
              <w:rPr>
                <w:noProof/>
              </w:rPr>
              <w:t>Приключване на годишния преглед на разходите за 2024 г. във връзка с целта за икономии, определена през 2022 г. и 2023 г. за 2024 г.</w:t>
            </w:r>
          </w:p>
        </w:tc>
      </w:tr>
      <w:tr w:rsidR="006054AA" w14:paraId="3A0E18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88DFA1" w14:textId="77777777" w:rsidR="006054AA" w:rsidRDefault="001F7667">
            <w:pPr>
              <w:pStyle w:val="P68B1DB1-Normal12"/>
              <w:jc w:val="center"/>
              <w:rPr>
                <w:noProof/>
              </w:rPr>
            </w:pPr>
            <w:r>
              <w:rPr>
                <w:noProof/>
              </w:rPr>
              <w:t>M1C2—3</w:t>
            </w:r>
          </w:p>
        </w:tc>
        <w:tc>
          <w:tcPr>
            <w:tcW w:w="3118" w:type="dxa"/>
            <w:tcBorders>
              <w:top w:val="nil"/>
              <w:left w:val="nil"/>
              <w:bottom w:val="single" w:sz="4" w:space="0" w:color="auto"/>
              <w:right w:val="single" w:sz="4" w:space="0" w:color="auto"/>
            </w:tcBorders>
            <w:shd w:val="clear" w:color="auto" w:fill="C6EFCE"/>
            <w:noWrap/>
            <w:vAlign w:val="center"/>
          </w:tcPr>
          <w:p w14:paraId="1DF7DF35" w14:textId="77777777" w:rsidR="006054AA" w:rsidRDefault="001F7667">
            <w:pPr>
              <w:pStyle w:val="P68B1DB1-Normal12"/>
              <w:jc w:val="center"/>
              <w:rPr>
                <w:noProof/>
              </w:rPr>
            </w:pPr>
            <w:r>
              <w:rPr>
                <w:noProof/>
              </w:rPr>
              <w:t>Инвестиция 1: Преход 4.0</w:t>
            </w:r>
          </w:p>
        </w:tc>
        <w:tc>
          <w:tcPr>
            <w:tcW w:w="1440" w:type="dxa"/>
            <w:tcBorders>
              <w:top w:val="nil"/>
              <w:left w:val="nil"/>
              <w:bottom w:val="single" w:sz="4" w:space="0" w:color="auto"/>
              <w:right w:val="single" w:sz="4" w:space="0" w:color="auto"/>
            </w:tcBorders>
            <w:shd w:val="clear" w:color="auto" w:fill="C6EFCE"/>
            <w:noWrap/>
            <w:vAlign w:val="center"/>
          </w:tcPr>
          <w:p w14:paraId="493AC52D"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6EAB3B48" w14:textId="77777777" w:rsidR="006054AA" w:rsidRDefault="001F7667">
            <w:pPr>
              <w:pStyle w:val="P68B1DB1-Normal12"/>
              <w:rPr>
                <w:noProof/>
              </w:rPr>
            </w:pPr>
            <w:r>
              <w:rPr>
                <w:noProof/>
              </w:rPr>
              <w:t>Преход 4.0 данъчни кредити, предоставени на предприятия въз основа на данъчни декларации, представени през 2021—2023 г.</w:t>
            </w:r>
          </w:p>
        </w:tc>
      </w:tr>
      <w:tr w:rsidR="006054AA" w14:paraId="7F7C03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DEA83E" w14:textId="77777777" w:rsidR="006054AA" w:rsidRDefault="001F7667">
            <w:pPr>
              <w:pStyle w:val="P68B1DB1-Normal12"/>
              <w:jc w:val="center"/>
              <w:rPr>
                <w:noProof/>
              </w:rPr>
            </w:pPr>
            <w:r>
              <w:rPr>
                <w:noProof/>
              </w:rPr>
              <w:t>M4C1—16</w:t>
            </w:r>
          </w:p>
        </w:tc>
        <w:tc>
          <w:tcPr>
            <w:tcW w:w="3118" w:type="dxa"/>
            <w:tcBorders>
              <w:top w:val="nil"/>
              <w:left w:val="nil"/>
              <w:bottom w:val="single" w:sz="4" w:space="0" w:color="auto"/>
              <w:right w:val="single" w:sz="4" w:space="0" w:color="auto"/>
            </w:tcBorders>
            <w:shd w:val="clear" w:color="auto" w:fill="C6EFCE"/>
            <w:noWrap/>
            <w:vAlign w:val="center"/>
          </w:tcPr>
          <w:p w14:paraId="7DE92730" w14:textId="77777777" w:rsidR="006054AA" w:rsidRDefault="001F7667">
            <w:pPr>
              <w:pStyle w:val="P68B1DB1-Normal12"/>
              <w:jc w:val="center"/>
              <w:rPr>
                <w:noProof/>
              </w:rPr>
            </w:pPr>
            <w:r>
              <w:rPr>
                <w:noProof/>
              </w:rPr>
              <w:t>Инвестиция 3.1: Нови умения и нови езици</w:t>
            </w:r>
          </w:p>
        </w:tc>
        <w:tc>
          <w:tcPr>
            <w:tcW w:w="1440" w:type="dxa"/>
            <w:tcBorders>
              <w:top w:val="nil"/>
              <w:left w:val="nil"/>
              <w:bottom w:val="single" w:sz="4" w:space="0" w:color="auto"/>
              <w:right w:val="single" w:sz="4" w:space="0" w:color="auto"/>
            </w:tcBorders>
            <w:shd w:val="clear" w:color="auto" w:fill="C6EFCE"/>
            <w:noWrap/>
            <w:vAlign w:val="center"/>
          </w:tcPr>
          <w:p w14:paraId="74916661"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09118084" w14:textId="77777777" w:rsidR="006054AA" w:rsidRDefault="001F7667">
            <w:pPr>
              <w:pStyle w:val="P68B1DB1-Normal12"/>
              <w:rPr>
                <w:noProof/>
              </w:rPr>
            </w:pPr>
            <w:r>
              <w:rPr>
                <w:noProof/>
              </w:rPr>
              <w:t xml:space="preserve">Училища, които са активирали проекти за насоки в областта на НТИМ през 2024/25 г.  </w:t>
            </w:r>
          </w:p>
        </w:tc>
      </w:tr>
      <w:tr w:rsidR="006054AA" w14:paraId="3CE436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A2EEC" w14:textId="77777777" w:rsidR="006054AA" w:rsidRDefault="001F7667">
            <w:pPr>
              <w:pStyle w:val="P68B1DB1-Normal12"/>
              <w:jc w:val="center"/>
              <w:rPr>
                <w:noProof/>
              </w:rPr>
            </w:pPr>
            <w:r>
              <w:rPr>
                <w:noProof/>
              </w:rPr>
              <w:t>M4C1—17</w:t>
            </w:r>
          </w:p>
        </w:tc>
        <w:tc>
          <w:tcPr>
            <w:tcW w:w="3118" w:type="dxa"/>
            <w:tcBorders>
              <w:top w:val="nil"/>
              <w:left w:val="nil"/>
              <w:bottom w:val="single" w:sz="4" w:space="0" w:color="auto"/>
              <w:right w:val="single" w:sz="4" w:space="0" w:color="auto"/>
            </w:tcBorders>
            <w:shd w:val="clear" w:color="auto" w:fill="C6EFCE"/>
            <w:noWrap/>
            <w:vAlign w:val="center"/>
          </w:tcPr>
          <w:p w14:paraId="5D0704A6" w14:textId="77777777" w:rsidR="006054AA" w:rsidRDefault="001F7667">
            <w:pPr>
              <w:pStyle w:val="P68B1DB1-Normal12"/>
              <w:jc w:val="center"/>
              <w:rPr>
                <w:noProof/>
              </w:rPr>
            </w:pPr>
            <w:r>
              <w:rPr>
                <w:noProof/>
              </w:rPr>
              <w:t>Инвестиция 3.1: Нови умения и нови езици</w:t>
            </w:r>
          </w:p>
        </w:tc>
        <w:tc>
          <w:tcPr>
            <w:tcW w:w="1440" w:type="dxa"/>
            <w:tcBorders>
              <w:top w:val="nil"/>
              <w:left w:val="nil"/>
              <w:bottom w:val="single" w:sz="4" w:space="0" w:color="auto"/>
              <w:right w:val="single" w:sz="4" w:space="0" w:color="auto"/>
            </w:tcBorders>
            <w:shd w:val="clear" w:color="auto" w:fill="C6EFCE"/>
            <w:noWrap/>
            <w:vAlign w:val="center"/>
          </w:tcPr>
          <w:p w14:paraId="714A4A3D"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4A0F029E" w14:textId="77777777" w:rsidR="006054AA" w:rsidRDefault="001F7667">
            <w:pPr>
              <w:pStyle w:val="P68B1DB1-Normal12"/>
              <w:rPr>
                <w:noProof/>
              </w:rPr>
            </w:pPr>
            <w:r>
              <w:rPr>
                <w:noProof/>
              </w:rPr>
              <w:t xml:space="preserve">Годишни езикови и методологични курсове, които се предоставят на учителите      </w:t>
            </w:r>
          </w:p>
        </w:tc>
      </w:tr>
      <w:tr w:rsidR="006054AA" w14:paraId="451FF2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8663C" w14:textId="77777777" w:rsidR="006054AA" w:rsidRDefault="001F7667">
            <w:pPr>
              <w:pStyle w:val="P68B1DB1-Normal12"/>
              <w:jc w:val="center"/>
              <w:rPr>
                <w:noProof/>
              </w:rPr>
            </w:pPr>
            <w:r>
              <w:rPr>
                <w:noProof/>
              </w:rPr>
              <w:t>M4C2—1 bis</w:t>
            </w:r>
          </w:p>
        </w:tc>
        <w:tc>
          <w:tcPr>
            <w:tcW w:w="3118" w:type="dxa"/>
            <w:tcBorders>
              <w:top w:val="nil"/>
              <w:left w:val="nil"/>
              <w:bottom w:val="single" w:sz="4" w:space="0" w:color="auto"/>
              <w:right w:val="single" w:sz="4" w:space="0" w:color="auto"/>
            </w:tcBorders>
            <w:shd w:val="clear" w:color="auto" w:fill="C6EFCE"/>
            <w:noWrap/>
            <w:vAlign w:val="center"/>
          </w:tcPr>
          <w:p w14:paraId="6976C32B" w14:textId="77777777" w:rsidR="006054AA" w:rsidRDefault="001F7667">
            <w:pPr>
              <w:pStyle w:val="P68B1DB1-Normal12"/>
              <w:jc w:val="center"/>
              <w:rPr>
                <w:noProof/>
              </w:rPr>
            </w:pPr>
            <w:r>
              <w:rPr>
                <w:noProof/>
              </w:rPr>
              <w:t xml:space="preserve">Инвестиция 1.2: Финансиране на проекти, представени от млади изследователи </w:t>
            </w:r>
          </w:p>
        </w:tc>
        <w:tc>
          <w:tcPr>
            <w:tcW w:w="1440" w:type="dxa"/>
            <w:tcBorders>
              <w:top w:val="nil"/>
              <w:left w:val="nil"/>
              <w:bottom w:val="single" w:sz="4" w:space="0" w:color="auto"/>
              <w:right w:val="single" w:sz="4" w:space="0" w:color="auto"/>
            </w:tcBorders>
            <w:shd w:val="clear" w:color="auto" w:fill="C6EFCE"/>
            <w:noWrap/>
            <w:vAlign w:val="center"/>
          </w:tcPr>
          <w:p w14:paraId="0C2A2B61" w14:textId="77777777" w:rsidR="006054AA" w:rsidRDefault="001F7667">
            <w:pPr>
              <w:pStyle w:val="P68B1DB1-Normal12"/>
              <w:jc w:val="center"/>
              <w:rPr>
                <w:noProof/>
              </w:rPr>
            </w:pPr>
            <w:r>
              <w:rPr>
                <w:noProof/>
              </w:rPr>
              <w:t xml:space="preserve">Целеви </w:t>
            </w:r>
          </w:p>
        </w:tc>
        <w:tc>
          <w:tcPr>
            <w:tcW w:w="4020" w:type="dxa"/>
            <w:tcBorders>
              <w:top w:val="nil"/>
              <w:left w:val="nil"/>
              <w:bottom w:val="single" w:sz="4" w:space="0" w:color="auto"/>
              <w:right w:val="single" w:sz="4" w:space="0" w:color="auto"/>
            </w:tcBorders>
            <w:shd w:val="clear" w:color="auto" w:fill="C6EFCE"/>
            <w:noWrap/>
            <w:vAlign w:val="center"/>
          </w:tcPr>
          <w:p w14:paraId="48CEEB26" w14:textId="77777777" w:rsidR="006054AA" w:rsidRDefault="001F7667">
            <w:pPr>
              <w:pStyle w:val="P68B1DB1-Normal12"/>
              <w:rPr>
                <w:noProof/>
              </w:rPr>
            </w:pPr>
            <w:r>
              <w:rPr>
                <w:noProof/>
              </w:rPr>
              <w:t xml:space="preserve">Брой на студентите, получили стипендия за научни изследвания </w:t>
            </w:r>
          </w:p>
        </w:tc>
      </w:tr>
      <w:tr w:rsidR="006054AA" w14:paraId="3BDDA0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A76008" w14:textId="77777777" w:rsidR="006054AA" w:rsidRDefault="001F7667">
            <w:pPr>
              <w:pStyle w:val="P68B1DB1-Normal12"/>
              <w:jc w:val="center"/>
              <w:rPr>
                <w:noProof/>
              </w:rPr>
            </w:pPr>
            <w:r>
              <w:rPr>
                <w:noProof/>
              </w:rPr>
              <w:t xml:space="preserve">M5C1—10 </w:t>
            </w:r>
          </w:p>
        </w:tc>
        <w:tc>
          <w:tcPr>
            <w:tcW w:w="3118" w:type="dxa"/>
            <w:tcBorders>
              <w:top w:val="nil"/>
              <w:left w:val="nil"/>
              <w:bottom w:val="single" w:sz="4" w:space="0" w:color="auto"/>
              <w:right w:val="single" w:sz="4" w:space="0" w:color="auto"/>
            </w:tcBorders>
            <w:shd w:val="clear" w:color="auto" w:fill="C6EFCE"/>
            <w:noWrap/>
            <w:vAlign w:val="center"/>
          </w:tcPr>
          <w:p w14:paraId="311C07F2" w14:textId="77777777" w:rsidR="006054AA" w:rsidRDefault="001F7667">
            <w:pPr>
              <w:pStyle w:val="P68B1DB1-Normal12"/>
              <w:jc w:val="center"/>
              <w:rPr>
                <w:noProof/>
              </w:rPr>
            </w:pPr>
            <w:r>
              <w:rPr>
                <w:noProof/>
              </w:rPr>
              <w:t xml:space="preserve">Реформа 2 — Недеклариран труд </w:t>
            </w:r>
          </w:p>
        </w:tc>
        <w:tc>
          <w:tcPr>
            <w:tcW w:w="1440" w:type="dxa"/>
            <w:tcBorders>
              <w:top w:val="nil"/>
              <w:left w:val="nil"/>
              <w:bottom w:val="single" w:sz="4" w:space="0" w:color="auto"/>
              <w:right w:val="single" w:sz="4" w:space="0" w:color="auto"/>
            </w:tcBorders>
            <w:shd w:val="clear" w:color="auto" w:fill="C6EFCE"/>
            <w:noWrap/>
            <w:vAlign w:val="center"/>
          </w:tcPr>
          <w:p w14:paraId="1B699E44"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3DE957E4" w14:textId="77777777" w:rsidR="006054AA" w:rsidRDefault="001F7667">
            <w:pPr>
              <w:pStyle w:val="P68B1DB1-Normal12"/>
              <w:rPr>
                <w:noProof/>
              </w:rPr>
            </w:pPr>
            <w:r>
              <w:rPr>
                <w:noProof/>
              </w:rPr>
              <w:t>Увеличен брой инспекции по труда</w:t>
            </w:r>
          </w:p>
        </w:tc>
      </w:tr>
      <w:tr w:rsidR="006054AA" w14:paraId="71A1C2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6B72FC" w14:textId="77777777" w:rsidR="006054AA" w:rsidRDefault="001F7667">
            <w:pPr>
              <w:pStyle w:val="P68B1DB1-Normal12"/>
              <w:jc w:val="center"/>
              <w:rPr>
                <w:noProof/>
              </w:rPr>
            </w:pPr>
            <w:r>
              <w:rPr>
                <w:noProof/>
              </w:rPr>
              <w:t>M7—2</w:t>
            </w:r>
          </w:p>
        </w:tc>
        <w:tc>
          <w:tcPr>
            <w:tcW w:w="3118" w:type="dxa"/>
            <w:tcBorders>
              <w:top w:val="nil"/>
              <w:left w:val="nil"/>
              <w:bottom w:val="single" w:sz="4" w:space="0" w:color="auto"/>
              <w:right w:val="single" w:sz="4" w:space="0" w:color="auto"/>
            </w:tcBorders>
            <w:shd w:val="clear" w:color="auto" w:fill="C6EFCE"/>
            <w:noWrap/>
            <w:vAlign w:val="center"/>
          </w:tcPr>
          <w:p w14:paraId="7526F39A" w14:textId="77777777" w:rsidR="006054AA" w:rsidRDefault="001F7667">
            <w:pPr>
              <w:pStyle w:val="P68B1DB1-Normal12"/>
              <w:rPr>
                <w:noProof/>
              </w:rPr>
            </w:pPr>
            <w:r>
              <w:rPr>
                <w:noProof/>
              </w:rPr>
              <w:t>Реформа 1: Рационализиране на процедурите за издаване на разрешения за енергия от възобновяеми източници</w:t>
            </w:r>
          </w:p>
        </w:tc>
        <w:tc>
          <w:tcPr>
            <w:tcW w:w="1440" w:type="dxa"/>
            <w:tcBorders>
              <w:top w:val="nil"/>
              <w:left w:val="nil"/>
              <w:bottom w:val="single" w:sz="4" w:space="0" w:color="auto"/>
              <w:right w:val="single" w:sz="4" w:space="0" w:color="auto"/>
            </w:tcBorders>
            <w:shd w:val="clear" w:color="auto" w:fill="C6EFCE"/>
            <w:noWrap/>
            <w:vAlign w:val="center"/>
          </w:tcPr>
          <w:p w14:paraId="725C54C7" w14:textId="77777777" w:rsidR="006054AA" w:rsidRDefault="001F7667">
            <w:pPr>
              <w:pStyle w:val="P68B1DB1-Normal12"/>
              <w:jc w:val="center"/>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5B2D3D9E" w14:textId="77777777" w:rsidR="006054AA" w:rsidRDefault="001F7667">
            <w:pPr>
              <w:pStyle w:val="P68B1DB1-Normal12"/>
              <w:rPr>
                <w:noProof/>
              </w:rPr>
            </w:pPr>
            <w:r>
              <w:rPr>
                <w:noProof/>
              </w:rPr>
              <w:t xml:space="preserve">Влизане в сила на първичното законодателство (Testo Unico) </w:t>
            </w:r>
          </w:p>
        </w:tc>
      </w:tr>
      <w:tr w:rsidR="006054AA" w14:paraId="3D9E1A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BBC5C2" w14:textId="77777777" w:rsidR="006054AA" w:rsidRDefault="001F7667">
            <w:pPr>
              <w:pStyle w:val="P68B1DB1-Normal12"/>
              <w:jc w:val="center"/>
              <w:rPr>
                <w:noProof/>
              </w:rPr>
            </w:pPr>
            <w:r>
              <w:rPr>
                <w:noProof/>
              </w:rPr>
              <w:t>M7—20</w:t>
            </w:r>
          </w:p>
        </w:tc>
        <w:tc>
          <w:tcPr>
            <w:tcW w:w="3118" w:type="dxa"/>
            <w:tcBorders>
              <w:top w:val="nil"/>
              <w:left w:val="nil"/>
              <w:bottom w:val="single" w:sz="4" w:space="0" w:color="auto"/>
              <w:right w:val="single" w:sz="4" w:space="0" w:color="auto"/>
            </w:tcBorders>
            <w:shd w:val="clear" w:color="auto" w:fill="C6EFCE"/>
            <w:noWrap/>
            <w:vAlign w:val="center"/>
          </w:tcPr>
          <w:p w14:paraId="6F9E8ACD" w14:textId="77777777" w:rsidR="006054AA" w:rsidRDefault="001F7667">
            <w:pPr>
              <w:pStyle w:val="P68B1DB1-Normal12"/>
              <w:rPr>
                <w:noProof/>
              </w:rPr>
            </w:pPr>
            <w:r>
              <w:rPr>
                <w:noProof/>
              </w:rPr>
              <w:t>Инвестиция 6: Проекти за трансгранични електроенергийни междусистемни връзки между Италия и съседни държави</w:t>
            </w:r>
          </w:p>
        </w:tc>
        <w:tc>
          <w:tcPr>
            <w:tcW w:w="1440" w:type="dxa"/>
            <w:tcBorders>
              <w:top w:val="nil"/>
              <w:left w:val="nil"/>
              <w:bottom w:val="single" w:sz="4" w:space="0" w:color="auto"/>
              <w:right w:val="single" w:sz="4" w:space="0" w:color="auto"/>
            </w:tcBorders>
            <w:shd w:val="clear" w:color="auto" w:fill="C6EFCE"/>
            <w:noWrap/>
            <w:vAlign w:val="center"/>
          </w:tcPr>
          <w:p w14:paraId="303FC6D2" w14:textId="77777777" w:rsidR="006054AA" w:rsidRDefault="001F7667">
            <w:pPr>
              <w:pStyle w:val="P68B1DB1-Normal12"/>
              <w:jc w:val="center"/>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19BB32F2" w14:textId="77777777" w:rsidR="006054AA" w:rsidRDefault="001F7667">
            <w:pPr>
              <w:pStyle w:val="P68B1DB1-Normal12"/>
              <w:rPr>
                <w:noProof/>
              </w:rPr>
            </w:pPr>
            <w:r>
              <w:rPr>
                <w:noProof/>
              </w:rPr>
              <w:t xml:space="preserve">Възлагане на договори за изграждане на две междусистемни електропроводи между Италия и Словения: „Zaule — Dekani „и „Redipuglia — Vrtojba“  </w:t>
            </w:r>
          </w:p>
        </w:tc>
      </w:tr>
      <w:tr w:rsidR="006054AA" w14:paraId="521800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87706" w14:textId="77777777" w:rsidR="006054AA" w:rsidRDefault="001F7667">
            <w:pPr>
              <w:pStyle w:val="P68B1DB1-Normal12"/>
              <w:jc w:val="center"/>
              <w:rPr>
                <w:noProof/>
              </w:rPr>
            </w:pPr>
            <w:r>
              <w:rPr>
                <w:noProof/>
              </w:rPr>
              <w:t>M7—25</w:t>
            </w:r>
          </w:p>
        </w:tc>
        <w:tc>
          <w:tcPr>
            <w:tcW w:w="3118" w:type="dxa"/>
            <w:tcBorders>
              <w:top w:val="nil"/>
              <w:left w:val="nil"/>
              <w:bottom w:val="single" w:sz="4" w:space="0" w:color="auto"/>
              <w:right w:val="single" w:sz="4" w:space="0" w:color="auto"/>
            </w:tcBorders>
            <w:shd w:val="clear" w:color="auto" w:fill="C6EFCE"/>
            <w:noWrap/>
            <w:vAlign w:val="center"/>
          </w:tcPr>
          <w:p w14:paraId="43AB208F" w14:textId="77777777" w:rsidR="006054AA" w:rsidRDefault="001F7667">
            <w:pPr>
              <w:pStyle w:val="P68B1DB1-Normal12"/>
              <w:rPr>
                <w:noProof/>
              </w:rPr>
            </w:pPr>
            <w:r>
              <w:rPr>
                <w:noProof/>
              </w:rPr>
              <w:t>Инвестиция 10: Устойчиви, кръгови и сигурни доставки на суровини от критично значение</w:t>
            </w:r>
          </w:p>
        </w:tc>
        <w:tc>
          <w:tcPr>
            <w:tcW w:w="1440" w:type="dxa"/>
            <w:tcBorders>
              <w:top w:val="nil"/>
              <w:left w:val="nil"/>
              <w:bottom w:val="single" w:sz="4" w:space="0" w:color="auto"/>
              <w:right w:val="single" w:sz="4" w:space="0" w:color="auto"/>
            </w:tcBorders>
            <w:shd w:val="clear" w:color="auto" w:fill="C6EFCE"/>
            <w:noWrap/>
            <w:vAlign w:val="center"/>
          </w:tcPr>
          <w:p w14:paraId="170CDFB3" w14:textId="77777777" w:rsidR="006054AA" w:rsidRDefault="001F7667">
            <w:pPr>
              <w:pStyle w:val="P68B1DB1-Normal12"/>
              <w:jc w:val="center"/>
              <w:rPr>
                <w:noProof/>
              </w:rPr>
            </w:pPr>
            <w:r>
              <w:rPr>
                <w:noProof/>
              </w:rPr>
              <w:t>Ключов етап</w:t>
            </w:r>
          </w:p>
        </w:tc>
        <w:tc>
          <w:tcPr>
            <w:tcW w:w="4020" w:type="dxa"/>
            <w:tcBorders>
              <w:top w:val="nil"/>
              <w:left w:val="nil"/>
              <w:bottom w:val="single" w:sz="4" w:space="0" w:color="auto"/>
              <w:right w:val="single" w:sz="4" w:space="0" w:color="auto"/>
            </w:tcBorders>
            <w:shd w:val="clear" w:color="auto" w:fill="C6EFCE"/>
            <w:noWrap/>
            <w:vAlign w:val="center"/>
          </w:tcPr>
          <w:p w14:paraId="63EE9005" w14:textId="77777777" w:rsidR="006054AA" w:rsidRDefault="001F7667">
            <w:pPr>
              <w:pStyle w:val="P68B1DB1-Normal12"/>
              <w:rPr>
                <w:noProof/>
              </w:rPr>
            </w:pPr>
            <w:r>
              <w:rPr>
                <w:noProof/>
              </w:rPr>
              <w:t>Публикуване на доклада относно бъдещите нужди от суровини от изключителна важност и потенциала на екопроектирането за намаляване на търсенето на суровини от изключителна важност</w:t>
            </w:r>
          </w:p>
        </w:tc>
      </w:tr>
      <w:tr w:rsidR="006054AA" w14:paraId="3C2FFD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FBCA5" w14:textId="77777777" w:rsidR="006054AA" w:rsidRDefault="001F7667">
            <w:pPr>
              <w:pStyle w:val="P68B1DB1-Normal12"/>
              <w:jc w:val="center"/>
              <w:rPr>
                <w:noProof/>
              </w:rPr>
            </w:pPr>
            <w:r>
              <w:rPr>
                <w:noProof/>
              </w:rPr>
              <w:t>M7—30</w:t>
            </w:r>
          </w:p>
        </w:tc>
        <w:tc>
          <w:tcPr>
            <w:tcW w:w="3118" w:type="dxa"/>
            <w:tcBorders>
              <w:top w:val="nil"/>
              <w:left w:val="nil"/>
              <w:bottom w:val="single" w:sz="4" w:space="0" w:color="auto"/>
              <w:right w:val="single" w:sz="4" w:space="0" w:color="auto"/>
            </w:tcBorders>
            <w:shd w:val="clear" w:color="auto" w:fill="C6EFCE"/>
            <w:noWrap/>
            <w:vAlign w:val="center"/>
          </w:tcPr>
          <w:p w14:paraId="2584F4C3" w14:textId="77777777" w:rsidR="006054AA" w:rsidRDefault="001F7667">
            <w:pPr>
              <w:pStyle w:val="P68B1DB1-Normal12"/>
              <w:rPr>
                <w:noProof/>
              </w:rPr>
            </w:pPr>
            <w:r>
              <w:rPr>
                <w:noProof/>
              </w:rPr>
              <w:t>Инвестиция 10: Пилотни проекти за умения „Crescere Green“</w:t>
            </w:r>
          </w:p>
        </w:tc>
        <w:tc>
          <w:tcPr>
            <w:tcW w:w="1440" w:type="dxa"/>
            <w:tcBorders>
              <w:top w:val="nil"/>
              <w:left w:val="nil"/>
              <w:bottom w:val="single" w:sz="4" w:space="0" w:color="auto"/>
              <w:right w:val="single" w:sz="4" w:space="0" w:color="auto"/>
            </w:tcBorders>
            <w:shd w:val="clear" w:color="auto" w:fill="C6EFCE"/>
            <w:noWrap/>
            <w:vAlign w:val="center"/>
          </w:tcPr>
          <w:p w14:paraId="78AEA930" w14:textId="77777777" w:rsidR="006054AA" w:rsidRDefault="001F7667">
            <w:pPr>
              <w:pStyle w:val="P68B1DB1-Normal12"/>
              <w:jc w:val="center"/>
              <w:rPr>
                <w:noProof/>
              </w:rPr>
            </w:pPr>
            <w:r>
              <w:rPr>
                <w:noProof/>
              </w:rPr>
              <w:t>Целеви</w:t>
            </w:r>
          </w:p>
        </w:tc>
        <w:tc>
          <w:tcPr>
            <w:tcW w:w="4020" w:type="dxa"/>
            <w:tcBorders>
              <w:top w:val="nil"/>
              <w:left w:val="nil"/>
              <w:bottom w:val="single" w:sz="4" w:space="0" w:color="auto"/>
              <w:right w:val="single" w:sz="4" w:space="0" w:color="auto"/>
            </w:tcBorders>
            <w:shd w:val="clear" w:color="auto" w:fill="C6EFCE"/>
            <w:noWrap/>
            <w:vAlign w:val="center"/>
          </w:tcPr>
          <w:p w14:paraId="5F9D9A29" w14:textId="77777777" w:rsidR="006054AA" w:rsidRDefault="001F7667">
            <w:pPr>
              <w:pStyle w:val="P68B1DB1-Normal12"/>
              <w:rPr>
                <w:noProof/>
              </w:rPr>
            </w:pPr>
            <w:r>
              <w:rPr>
                <w:noProof/>
              </w:rPr>
              <w:t>Предоставяне на обучение на 20 000 души</w:t>
            </w:r>
          </w:p>
        </w:tc>
      </w:tr>
      <w:tr w:rsidR="006054AA" w14:paraId="296BCB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16183F" w14:textId="77777777" w:rsidR="006054AA" w:rsidRDefault="001F7667">
            <w:pPr>
              <w:pStyle w:val="P68B1DB1-Normal12"/>
              <w:jc w:val="center"/>
              <w:rPr>
                <w:noProof/>
              </w:rPr>
            </w:pPr>
            <w:r>
              <w:rPr>
                <w:noProof/>
              </w:rPr>
              <w:t>M1C2—14bis</w:t>
            </w:r>
          </w:p>
        </w:tc>
        <w:tc>
          <w:tcPr>
            <w:tcW w:w="3118" w:type="dxa"/>
            <w:tcBorders>
              <w:top w:val="nil"/>
              <w:left w:val="nil"/>
              <w:bottom w:val="single" w:sz="4" w:space="0" w:color="auto"/>
              <w:right w:val="single" w:sz="4" w:space="0" w:color="auto"/>
            </w:tcBorders>
            <w:shd w:val="clear" w:color="auto" w:fill="C6EFCE"/>
            <w:noWrap/>
            <w:vAlign w:val="center"/>
          </w:tcPr>
          <w:p w14:paraId="22ACDA1E" w14:textId="77777777" w:rsidR="006054AA" w:rsidRDefault="001F7667">
            <w:pPr>
              <w:pStyle w:val="P68B1DB1-Normal12"/>
              <w:jc w:val="center"/>
              <w:rPr>
                <w:noProof/>
              </w:rPr>
            </w:pPr>
            <w:r>
              <w:rPr>
                <w:noProof/>
              </w:rPr>
              <w:t>Реформа 3:   рационализиране и опростяване на стимулите за предприятията.</w:t>
            </w:r>
          </w:p>
        </w:tc>
        <w:tc>
          <w:tcPr>
            <w:tcW w:w="1440" w:type="dxa"/>
            <w:tcBorders>
              <w:top w:val="nil"/>
              <w:left w:val="nil"/>
              <w:bottom w:val="single" w:sz="4" w:space="0" w:color="auto"/>
              <w:right w:val="single" w:sz="4" w:space="0" w:color="auto"/>
            </w:tcBorders>
            <w:shd w:val="clear" w:color="auto" w:fill="C6EFCE"/>
            <w:noWrap/>
            <w:vAlign w:val="center"/>
          </w:tcPr>
          <w:p w14:paraId="5C387156" w14:textId="77777777" w:rsidR="006054AA" w:rsidRDefault="001F7667">
            <w:pPr>
              <w:pStyle w:val="P68B1DB1-Normal12"/>
              <w:jc w:val="center"/>
              <w:rPr>
                <w:noProof/>
              </w:rPr>
            </w:pPr>
            <w:r>
              <w:rPr>
                <w:noProof/>
              </w:rPr>
              <w:t xml:space="preserve">Ключов етап </w:t>
            </w:r>
          </w:p>
        </w:tc>
        <w:tc>
          <w:tcPr>
            <w:tcW w:w="4020" w:type="dxa"/>
            <w:tcBorders>
              <w:top w:val="nil"/>
              <w:left w:val="nil"/>
              <w:bottom w:val="single" w:sz="4" w:space="0" w:color="auto"/>
              <w:right w:val="single" w:sz="4" w:space="0" w:color="auto"/>
            </w:tcBorders>
            <w:shd w:val="clear" w:color="auto" w:fill="C6EFCE"/>
            <w:noWrap/>
            <w:vAlign w:val="center"/>
          </w:tcPr>
          <w:p w14:paraId="7C60D22C" w14:textId="77777777" w:rsidR="006054AA" w:rsidRDefault="001F7667">
            <w:pPr>
              <w:pStyle w:val="P68B1DB1-Normal12"/>
              <w:rPr>
                <w:noProof/>
              </w:rPr>
            </w:pPr>
            <w:r>
              <w:rPr>
                <w:noProof/>
              </w:rPr>
              <w:t>Публикуване на оценката на доклада за всички стимули за предприятията</w:t>
            </w:r>
          </w:p>
        </w:tc>
      </w:tr>
      <w:tr w:rsidR="006054AA" w14:paraId="286393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64B5" w14:textId="77777777" w:rsidR="006054AA" w:rsidRDefault="006054AA">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1782BA6" w14:textId="77777777" w:rsidR="006054AA" w:rsidRDefault="006054AA">
            <w:pPr>
              <w:rPr>
                <w:noProof/>
                <w:color w:val="006100"/>
                <w:sz w:val="20"/>
              </w:rPr>
            </w:pPr>
          </w:p>
        </w:tc>
        <w:tc>
          <w:tcPr>
            <w:tcW w:w="1440" w:type="dxa"/>
            <w:tcBorders>
              <w:top w:val="single" w:sz="4" w:space="0" w:color="auto"/>
              <w:left w:val="nil"/>
              <w:bottom w:val="single" w:sz="4" w:space="0" w:color="auto"/>
              <w:right w:val="single" w:sz="4" w:space="0" w:color="auto"/>
            </w:tcBorders>
            <w:shd w:val="clear" w:color="auto" w:fill="C6EFCE"/>
            <w:noWrap/>
            <w:vAlign w:val="bottom"/>
          </w:tcPr>
          <w:p w14:paraId="0A2F6C7B" w14:textId="77777777" w:rsidR="006054AA" w:rsidRDefault="001F7667">
            <w:pPr>
              <w:pStyle w:val="P68B1DB1-Normal12"/>
              <w:rPr>
                <w:noProof/>
              </w:rPr>
            </w:pPr>
            <w:r>
              <w:rPr>
                <w:noProof/>
              </w:rPr>
              <w:t>Размер на вноската</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586150BF" w14:textId="7AC7BF91" w:rsidR="006054AA" w:rsidRDefault="001F7667">
            <w:pPr>
              <w:pStyle w:val="P68B1DB1-Normal46"/>
              <w:rPr>
                <w:noProof/>
              </w:rPr>
            </w:pPr>
            <w:r>
              <w:rPr>
                <w:noProof/>
              </w:rPr>
              <w:t>3</w:t>
            </w:r>
            <w:r>
              <w:rPr>
                <w:noProof/>
              </w:rPr>
              <w:t> </w:t>
            </w:r>
            <w:r>
              <w:rPr>
                <w:noProof/>
              </w:rPr>
              <w:t>358</w:t>
            </w:r>
            <w:r>
              <w:rPr>
                <w:noProof/>
              </w:rPr>
              <w:t> </w:t>
            </w:r>
            <w:r>
              <w:rPr>
                <w:noProof/>
              </w:rPr>
              <w:t>104</w:t>
            </w:r>
            <w:r>
              <w:rPr>
                <w:noProof/>
              </w:rPr>
              <w:t> </w:t>
            </w:r>
            <w:r>
              <w:rPr>
                <w:noProof/>
              </w:rPr>
              <w:t>131</w:t>
            </w:r>
            <w:r>
              <w:rPr>
                <w:noProof/>
              </w:rPr>
              <w:t> </w:t>
            </w:r>
            <w:r>
              <w:rPr>
                <w:noProof/>
              </w:rPr>
              <w:t>EUR</w:t>
            </w:r>
          </w:p>
        </w:tc>
      </w:tr>
    </w:tbl>
    <w:p w14:paraId="3A8C85C7" w14:textId="77777777" w:rsidR="006054AA" w:rsidRDefault="006054AA">
      <w:pPr>
        <w:spacing w:before="120" w:after="120"/>
        <w:jc w:val="both"/>
        <w:rPr>
          <w:rFonts w:eastAsia="Calibri"/>
          <w:noProof/>
        </w:rPr>
      </w:pPr>
    </w:p>
    <w:p w14:paraId="3E32EEF5" w14:textId="21BD2A6E" w:rsidR="006054AA" w:rsidRDefault="001F7667">
      <w:pPr>
        <w:pStyle w:val="P68B1DB1-Normal44"/>
        <w:spacing w:after="200" w:line="276" w:lineRule="auto"/>
        <w:rPr>
          <w:noProof/>
        </w:rPr>
      </w:pPr>
      <w:r>
        <w:rPr>
          <w:noProof/>
        </w:rPr>
        <w:br w:type="page"/>
      </w:r>
    </w:p>
    <w:p w14:paraId="1CA77A5A" w14:textId="43060E30" w:rsidR="006054AA" w:rsidRDefault="001F7667">
      <w:pPr>
        <w:pStyle w:val="P68B1DB1-Normal44"/>
        <w:numPr>
          <w:ilvl w:val="1"/>
          <w:numId w:val="6"/>
        </w:numPr>
        <w:spacing w:before="120" w:after="120"/>
        <w:jc w:val="both"/>
        <w:rPr>
          <w:noProof/>
        </w:rPr>
      </w:pPr>
      <w:r>
        <w:rPr>
          <w:noProof/>
        </w:rPr>
        <w:t>Девета вноска (безвъзмездна подкрепа)</w:t>
      </w:r>
    </w:p>
    <w:tbl>
      <w:tblPr>
        <w:tblW w:w="9947" w:type="dxa"/>
        <w:tblInd w:w="113" w:type="dxa"/>
        <w:tblLook w:val="04A0" w:firstRow="1" w:lastRow="0" w:firstColumn="1" w:lastColumn="0" w:noHBand="0" w:noVBand="1"/>
      </w:tblPr>
      <w:tblGrid>
        <w:gridCol w:w="1413"/>
        <w:gridCol w:w="3150"/>
        <w:gridCol w:w="1425"/>
        <w:gridCol w:w="3959"/>
      </w:tblGrid>
      <w:tr w:rsidR="006054AA" w14:paraId="4100B922"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F56DA9" w14:textId="77777777" w:rsidR="006054AA" w:rsidRDefault="001F7667">
            <w:pPr>
              <w:pStyle w:val="P68B1DB1-Normal45"/>
              <w:jc w:val="center"/>
              <w:rPr>
                <w:noProof/>
              </w:rPr>
            </w:pPr>
            <w:r>
              <w:rPr>
                <w:noProof/>
              </w:rPr>
              <w:t>Пореден номер</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CBFB7" w14:textId="77777777" w:rsidR="006054AA" w:rsidRDefault="001F7667">
            <w:pPr>
              <w:pStyle w:val="P68B1DB1-Normal45"/>
              <w:jc w:val="center"/>
              <w:rPr>
                <w:noProof/>
              </w:rPr>
            </w:pPr>
            <w:r>
              <w:rPr>
                <w:noProof/>
              </w:rPr>
              <w:t>Свързана мярка (реформа или инвестиции)</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D3A8B8" w14:textId="77777777" w:rsidR="006054AA" w:rsidRDefault="001F7667">
            <w:pPr>
              <w:pStyle w:val="P68B1DB1-Normal45"/>
              <w:jc w:val="center"/>
              <w:rPr>
                <w:noProof/>
              </w:rPr>
            </w:pPr>
            <w:r>
              <w:rPr>
                <w:noProof/>
              </w:rPr>
              <w:t>Ключов етап/Цел</w:t>
            </w:r>
          </w:p>
        </w:tc>
        <w:tc>
          <w:tcPr>
            <w:tcW w:w="39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FC817F" w14:textId="77777777" w:rsidR="006054AA" w:rsidRDefault="001F7667">
            <w:pPr>
              <w:pStyle w:val="P68B1DB1-Normal45"/>
              <w:jc w:val="center"/>
              <w:rPr>
                <w:noProof/>
              </w:rPr>
            </w:pPr>
            <w:r>
              <w:rPr>
                <w:noProof/>
              </w:rPr>
              <w:t>Име</w:t>
            </w:r>
          </w:p>
        </w:tc>
      </w:tr>
      <w:tr w:rsidR="006054AA" w14:paraId="500FF7B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3CB1894" w14:textId="77777777" w:rsidR="006054AA" w:rsidRDefault="006054AA">
            <w:pPr>
              <w:rPr>
                <w:b/>
                <w:noProof/>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17ACDB1" w14:textId="77777777" w:rsidR="006054AA" w:rsidRDefault="006054AA">
            <w:pPr>
              <w:rPr>
                <w:b/>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4F31D6AB" w14:textId="77777777" w:rsidR="006054AA" w:rsidRDefault="006054AA">
            <w:pPr>
              <w:rPr>
                <w:b/>
                <w:noProof/>
              </w:rPr>
            </w:pPr>
          </w:p>
        </w:tc>
        <w:tc>
          <w:tcPr>
            <w:tcW w:w="3959" w:type="dxa"/>
            <w:vMerge/>
            <w:tcBorders>
              <w:top w:val="single" w:sz="4" w:space="0" w:color="auto"/>
              <w:left w:val="single" w:sz="4" w:space="0" w:color="auto"/>
              <w:bottom w:val="single" w:sz="4" w:space="0" w:color="auto"/>
              <w:right w:val="single" w:sz="4" w:space="0" w:color="auto"/>
            </w:tcBorders>
            <w:vAlign w:val="center"/>
            <w:hideMark/>
          </w:tcPr>
          <w:p w14:paraId="46053005" w14:textId="77777777" w:rsidR="006054AA" w:rsidRDefault="006054AA">
            <w:pPr>
              <w:rPr>
                <w:b/>
                <w:noProof/>
              </w:rPr>
            </w:pPr>
          </w:p>
        </w:tc>
      </w:tr>
      <w:tr w:rsidR="006054AA" w14:paraId="6403CE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0429E" w14:textId="77777777" w:rsidR="006054AA" w:rsidRDefault="001F7667">
            <w:pPr>
              <w:pStyle w:val="P68B1DB1-Normal12"/>
              <w:jc w:val="center"/>
              <w:rPr>
                <w:noProof/>
              </w:rPr>
            </w:pPr>
            <w:r>
              <w:rPr>
                <w:noProof/>
              </w:rPr>
              <w:t>M4C1—7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12284DEA" w14:textId="77777777" w:rsidR="006054AA" w:rsidRDefault="001F7667">
            <w:pPr>
              <w:pStyle w:val="P68B1DB1-Normal12"/>
              <w:jc w:val="center"/>
              <w:rPr>
                <w:noProof/>
              </w:rPr>
            </w:pPr>
            <w:r>
              <w:rPr>
                <w:noProof/>
              </w:rPr>
              <w:t>Инвестиция 1.4: Извънредна намеса, насочена към намаляване на териториалните различия в първия и втория цикъл на средното образование и към справяне с преждевременното напускане на училище</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2F41CB6C" w14:textId="77777777" w:rsidR="006054AA" w:rsidRDefault="001F7667">
            <w:pPr>
              <w:pStyle w:val="P68B1DB1-Normal12"/>
              <w:jc w:val="center"/>
              <w:rPr>
                <w:noProof/>
              </w:rPr>
            </w:pPr>
            <w:r>
              <w:rPr>
                <w:noProof/>
              </w:rPr>
              <w:t>Целеви</w:t>
            </w:r>
          </w:p>
        </w:tc>
        <w:tc>
          <w:tcPr>
            <w:tcW w:w="3959" w:type="dxa"/>
            <w:tcBorders>
              <w:top w:val="single" w:sz="4" w:space="0" w:color="auto"/>
              <w:left w:val="nil"/>
              <w:bottom w:val="single" w:sz="4" w:space="0" w:color="auto"/>
              <w:right w:val="single" w:sz="4" w:space="0" w:color="auto"/>
            </w:tcBorders>
            <w:shd w:val="clear" w:color="auto" w:fill="C6EFCE"/>
            <w:noWrap/>
            <w:vAlign w:val="center"/>
          </w:tcPr>
          <w:p w14:paraId="0A25B7AB" w14:textId="77777777" w:rsidR="006054AA" w:rsidRDefault="001F7667">
            <w:pPr>
              <w:pStyle w:val="P68B1DB1-Normal12"/>
              <w:rPr>
                <w:noProof/>
              </w:rPr>
            </w:pPr>
            <w:r>
              <w:rPr>
                <w:noProof/>
              </w:rPr>
              <w:t>Студенти или млади хора, които са участвали в дейности по наставничество или курсове за обучение</w:t>
            </w:r>
          </w:p>
        </w:tc>
      </w:tr>
      <w:tr w:rsidR="006054AA" w14:paraId="28EAA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2514BE" w14:textId="77777777" w:rsidR="006054AA" w:rsidRDefault="001F7667">
            <w:pPr>
              <w:pStyle w:val="P68B1DB1-Normal12"/>
              <w:jc w:val="center"/>
              <w:rPr>
                <w:noProof/>
              </w:rPr>
            </w:pPr>
            <w:r>
              <w:rPr>
                <w:noProof/>
              </w:rPr>
              <w:t>M4C1—14 bis</w:t>
            </w:r>
          </w:p>
        </w:tc>
        <w:tc>
          <w:tcPr>
            <w:tcW w:w="3150" w:type="dxa"/>
            <w:tcBorders>
              <w:top w:val="nil"/>
              <w:left w:val="nil"/>
              <w:bottom w:val="single" w:sz="4" w:space="0" w:color="auto"/>
              <w:right w:val="single" w:sz="4" w:space="0" w:color="auto"/>
            </w:tcBorders>
            <w:shd w:val="clear" w:color="auto" w:fill="C6EFCE"/>
            <w:noWrap/>
            <w:vAlign w:val="center"/>
          </w:tcPr>
          <w:p w14:paraId="06995F92" w14:textId="77777777" w:rsidR="006054AA" w:rsidRDefault="001F7667">
            <w:pPr>
              <w:pStyle w:val="P68B1DB1-Normal12"/>
              <w:jc w:val="center"/>
              <w:rPr>
                <w:noProof/>
              </w:rPr>
            </w:pPr>
            <w:r>
              <w:rPr>
                <w:noProof/>
              </w:rPr>
              <w:t xml:space="preserve">Реформа 2.1: Набиране на учители   </w:t>
            </w:r>
          </w:p>
        </w:tc>
        <w:tc>
          <w:tcPr>
            <w:tcW w:w="1425" w:type="dxa"/>
            <w:tcBorders>
              <w:top w:val="nil"/>
              <w:left w:val="nil"/>
              <w:bottom w:val="single" w:sz="4" w:space="0" w:color="auto"/>
              <w:right w:val="single" w:sz="4" w:space="0" w:color="auto"/>
            </w:tcBorders>
            <w:shd w:val="clear" w:color="auto" w:fill="C6EFCE"/>
            <w:noWrap/>
            <w:vAlign w:val="center"/>
          </w:tcPr>
          <w:p w14:paraId="44F40D67" w14:textId="77777777" w:rsidR="006054AA" w:rsidRDefault="001F7667">
            <w:pPr>
              <w:pStyle w:val="P68B1DB1-Normal12"/>
              <w:jc w:val="center"/>
              <w:rPr>
                <w:noProof/>
              </w:rPr>
            </w:pPr>
            <w:r>
              <w:rPr>
                <w:noProof/>
              </w:rPr>
              <w:t xml:space="preserve">Целеви </w:t>
            </w:r>
          </w:p>
        </w:tc>
        <w:tc>
          <w:tcPr>
            <w:tcW w:w="3959" w:type="dxa"/>
            <w:tcBorders>
              <w:top w:val="nil"/>
              <w:left w:val="nil"/>
              <w:bottom w:val="single" w:sz="4" w:space="0" w:color="auto"/>
              <w:right w:val="single" w:sz="4" w:space="0" w:color="auto"/>
            </w:tcBorders>
            <w:shd w:val="clear" w:color="auto" w:fill="C6EFCE"/>
            <w:noWrap/>
            <w:vAlign w:val="center"/>
          </w:tcPr>
          <w:p w14:paraId="61B2F194" w14:textId="77777777" w:rsidR="006054AA" w:rsidRDefault="001F7667">
            <w:pPr>
              <w:pStyle w:val="P68B1DB1-Normal12"/>
              <w:rPr>
                <w:noProof/>
              </w:rPr>
            </w:pPr>
            <w:r>
              <w:rPr>
                <w:noProof/>
              </w:rPr>
              <w:t>Учители, назначени чрез реформираната система за набиране на персонал</w:t>
            </w:r>
          </w:p>
        </w:tc>
      </w:tr>
      <w:tr w:rsidR="006054AA" w14:paraId="71D387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33835D" w14:textId="77777777" w:rsidR="006054AA" w:rsidRDefault="001F7667">
            <w:pPr>
              <w:pStyle w:val="P68B1DB1-Normal12"/>
              <w:jc w:val="center"/>
              <w:rPr>
                <w:noProof/>
              </w:rPr>
            </w:pPr>
            <w:r>
              <w:rPr>
                <w:noProof/>
              </w:rPr>
              <w:t>M7—6</w:t>
            </w:r>
          </w:p>
        </w:tc>
        <w:tc>
          <w:tcPr>
            <w:tcW w:w="3150" w:type="dxa"/>
            <w:tcBorders>
              <w:top w:val="nil"/>
              <w:left w:val="nil"/>
              <w:bottom w:val="single" w:sz="4" w:space="0" w:color="auto"/>
              <w:right w:val="single" w:sz="4" w:space="0" w:color="auto"/>
            </w:tcBorders>
            <w:shd w:val="clear" w:color="auto" w:fill="C6EFCE"/>
            <w:noWrap/>
            <w:vAlign w:val="center"/>
          </w:tcPr>
          <w:p w14:paraId="29435DDB" w14:textId="77777777" w:rsidR="006054AA" w:rsidRDefault="001F7667">
            <w:pPr>
              <w:pStyle w:val="P68B1DB1-Normal12"/>
              <w:rPr>
                <w:noProof/>
              </w:rPr>
            </w:pPr>
            <w:r>
              <w:rPr>
                <w:noProof/>
              </w:rPr>
              <w:t>Реформа 3: Намаляване на разходите за свързване към газовата мрежа за биометан</w:t>
            </w:r>
          </w:p>
        </w:tc>
        <w:tc>
          <w:tcPr>
            <w:tcW w:w="1425" w:type="dxa"/>
            <w:tcBorders>
              <w:top w:val="nil"/>
              <w:left w:val="nil"/>
              <w:bottom w:val="single" w:sz="4" w:space="0" w:color="auto"/>
              <w:right w:val="single" w:sz="4" w:space="0" w:color="auto"/>
            </w:tcBorders>
            <w:shd w:val="clear" w:color="auto" w:fill="C6EFCE"/>
            <w:noWrap/>
            <w:vAlign w:val="center"/>
          </w:tcPr>
          <w:p w14:paraId="18745096" w14:textId="77777777" w:rsidR="006054AA" w:rsidRDefault="001F7667">
            <w:pPr>
              <w:pStyle w:val="P68B1DB1-Normal12"/>
              <w:jc w:val="center"/>
              <w:rPr>
                <w:noProof/>
              </w:rPr>
            </w:pPr>
            <w:r>
              <w:rPr>
                <w:noProof/>
              </w:rPr>
              <w:t>Ключов етап</w:t>
            </w:r>
          </w:p>
        </w:tc>
        <w:tc>
          <w:tcPr>
            <w:tcW w:w="3959" w:type="dxa"/>
            <w:tcBorders>
              <w:top w:val="nil"/>
              <w:left w:val="nil"/>
              <w:bottom w:val="single" w:sz="4" w:space="0" w:color="auto"/>
              <w:right w:val="single" w:sz="4" w:space="0" w:color="auto"/>
            </w:tcBorders>
            <w:shd w:val="clear" w:color="auto" w:fill="C6EFCE"/>
            <w:noWrap/>
            <w:vAlign w:val="center"/>
          </w:tcPr>
          <w:p w14:paraId="41443C8B" w14:textId="77777777" w:rsidR="006054AA" w:rsidRDefault="001F7667">
            <w:pPr>
              <w:pStyle w:val="P68B1DB1-Normal12"/>
              <w:rPr>
                <w:noProof/>
              </w:rPr>
            </w:pPr>
            <w:r>
              <w:rPr>
                <w:noProof/>
              </w:rPr>
              <w:t xml:space="preserve">Влизане в сила на законодателство за намаляване на разходите за свързване към газовата мрежа на заводите за производство на биометан </w:t>
            </w:r>
          </w:p>
        </w:tc>
      </w:tr>
      <w:tr w:rsidR="006054AA" w14:paraId="33BCF2F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F770AB" w14:textId="77777777" w:rsidR="006054AA" w:rsidRDefault="001F7667">
            <w:pPr>
              <w:pStyle w:val="P68B1DB1-Normal12"/>
              <w:jc w:val="center"/>
              <w:rPr>
                <w:noProof/>
              </w:rPr>
            </w:pPr>
            <w:r>
              <w:rPr>
                <w:noProof/>
              </w:rPr>
              <w:t>M7—10</w:t>
            </w:r>
          </w:p>
        </w:tc>
        <w:tc>
          <w:tcPr>
            <w:tcW w:w="3150" w:type="dxa"/>
            <w:tcBorders>
              <w:top w:val="nil"/>
              <w:left w:val="nil"/>
              <w:bottom w:val="single" w:sz="4" w:space="0" w:color="auto"/>
              <w:right w:val="single" w:sz="4" w:space="0" w:color="auto"/>
            </w:tcBorders>
            <w:shd w:val="clear" w:color="auto" w:fill="C6EFCE"/>
            <w:noWrap/>
            <w:vAlign w:val="center"/>
          </w:tcPr>
          <w:p w14:paraId="61AA3DBD" w14:textId="77777777" w:rsidR="006054AA" w:rsidRDefault="001F7667">
            <w:pPr>
              <w:pStyle w:val="P68B1DB1-Normal12"/>
              <w:rPr>
                <w:noProof/>
              </w:rPr>
            </w:pPr>
            <w:r>
              <w:rPr>
                <w:noProof/>
              </w:rPr>
              <w:t>Реформа 5: План за нови умения — преход</w:t>
            </w:r>
          </w:p>
        </w:tc>
        <w:tc>
          <w:tcPr>
            <w:tcW w:w="1425" w:type="dxa"/>
            <w:tcBorders>
              <w:top w:val="nil"/>
              <w:left w:val="nil"/>
              <w:bottom w:val="single" w:sz="4" w:space="0" w:color="auto"/>
              <w:right w:val="single" w:sz="4" w:space="0" w:color="auto"/>
            </w:tcBorders>
            <w:shd w:val="clear" w:color="auto" w:fill="C6EFCE"/>
            <w:noWrap/>
            <w:vAlign w:val="center"/>
          </w:tcPr>
          <w:p w14:paraId="5B0F71E5" w14:textId="77777777" w:rsidR="006054AA" w:rsidRDefault="001F7667">
            <w:pPr>
              <w:pStyle w:val="P68B1DB1-Normal12"/>
              <w:jc w:val="center"/>
              <w:rPr>
                <w:noProof/>
              </w:rPr>
            </w:pPr>
            <w:r>
              <w:rPr>
                <w:noProof/>
              </w:rPr>
              <w:t>Ключов етап</w:t>
            </w:r>
          </w:p>
        </w:tc>
        <w:tc>
          <w:tcPr>
            <w:tcW w:w="3959" w:type="dxa"/>
            <w:tcBorders>
              <w:top w:val="nil"/>
              <w:left w:val="nil"/>
              <w:bottom w:val="single" w:sz="4" w:space="0" w:color="auto"/>
              <w:right w:val="single" w:sz="4" w:space="0" w:color="auto"/>
            </w:tcBorders>
            <w:shd w:val="clear" w:color="auto" w:fill="C6EFCE"/>
            <w:noWrap/>
            <w:vAlign w:val="center"/>
          </w:tcPr>
          <w:p w14:paraId="7A915027" w14:textId="77777777" w:rsidR="006054AA" w:rsidRDefault="001F7667">
            <w:pPr>
              <w:pStyle w:val="P68B1DB1-Normal12"/>
              <w:rPr>
                <w:noProof/>
              </w:rPr>
            </w:pPr>
            <w:r>
              <w:rPr>
                <w:noProof/>
              </w:rPr>
              <w:t>Влизане в сила на регионалните закони</w:t>
            </w:r>
          </w:p>
        </w:tc>
      </w:tr>
      <w:tr w:rsidR="006054AA" w14:paraId="4A5686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0A3F2" w14:textId="77777777" w:rsidR="006054AA" w:rsidRDefault="001F7667">
            <w:pPr>
              <w:pStyle w:val="P68B1DB1-Normal12"/>
              <w:jc w:val="center"/>
              <w:rPr>
                <w:noProof/>
              </w:rPr>
            </w:pPr>
            <w:r>
              <w:rPr>
                <w:noProof/>
              </w:rPr>
              <w:t>M7—18</w:t>
            </w:r>
          </w:p>
        </w:tc>
        <w:tc>
          <w:tcPr>
            <w:tcW w:w="3150" w:type="dxa"/>
            <w:tcBorders>
              <w:top w:val="nil"/>
              <w:left w:val="nil"/>
              <w:bottom w:val="single" w:sz="4" w:space="0" w:color="auto"/>
              <w:right w:val="single" w:sz="4" w:space="0" w:color="auto"/>
            </w:tcBorders>
            <w:shd w:val="clear" w:color="auto" w:fill="C6EFCE"/>
            <w:noWrap/>
            <w:vAlign w:val="center"/>
          </w:tcPr>
          <w:p w14:paraId="635E750C" w14:textId="77777777" w:rsidR="006054AA" w:rsidRDefault="001F7667">
            <w:pPr>
              <w:pStyle w:val="P68B1DB1-Normal12"/>
              <w:rPr>
                <w:noProof/>
              </w:rPr>
            </w:pPr>
            <w:r>
              <w:rPr>
                <w:noProof/>
              </w:rPr>
              <w:t>Инвестиция 6: Проекти за трансгранични електроенергийни междусистемни връзки между Италия и съседни държави</w:t>
            </w:r>
          </w:p>
        </w:tc>
        <w:tc>
          <w:tcPr>
            <w:tcW w:w="1425" w:type="dxa"/>
            <w:tcBorders>
              <w:top w:val="nil"/>
              <w:left w:val="nil"/>
              <w:bottom w:val="single" w:sz="4" w:space="0" w:color="auto"/>
              <w:right w:val="single" w:sz="4" w:space="0" w:color="auto"/>
            </w:tcBorders>
            <w:shd w:val="clear" w:color="auto" w:fill="C6EFCE"/>
            <w:noWrap/>
            <w:vAlign w:val="center"/>
          </w:tcPr>
          <w:p w14:paraId="39BD2A32" w14:textId="77777777" w:rsidR="006054AA" w:rsidRDefault="001F7667">
            <w:pPr>
              <w:pStyle w:val="P68B1DB1-Normal12"/>
              <w:jc w:val="center"/>
              <w:rPr>
                <w:noProof/>
              </w:rPr>
            </w:pPr>
            <w:r>
              <w:rPr>
                <w:noProof/>
              </w:rPr>
              <w:t>Ключов етап</w:t>
            </w:r>
          </w:p>
        </w:tc>
        <w:tc>
          <w:tcPr>
            <w:tcW w:w="3959" w:type="dxa"/>
            <w:tcBorders>
              <w:top w:val="nil"/>
              <w:left w:val="nil"/>
              <w:bottom w:val="single" w:sz="4" w:space="0" w:color="auto"/>
              <w:right w:val="single" w:sz="4" w:space="0" w:color="auto"/>
            </w:tcBorders>
            <w:shd w:val="clear" w:color="auto" w:fill="C6EFCE"/>
            <w:noWrap/>
            <w:vAlign w:val="center"/>
          </w:tcPr>
          <w:p w14:paraId="29089C07" w14:textId="77777777" w:rsidR="006054AA" w:rsidRDefault="001F7667">
            <w:pPr>
              <w:pStyle w:val="P68B1DB1-Normal12"/>
              <w:rPr>
                <w:noProof/>
              </w:rPr>
            </w:pPr>
            <w:r>
              <w:rPr>
                <w:noProof/>
              </w:rPr>
              <w:t>Възлагане на договори за изграждането на междусистемната връзка Италия — Австрия „Somplago — Würmlach“</w:t>
            </w:r>
          </w:p>
        </w:tc>
      </w:tr>
      <w:tr w:rsidR="006054AA" w14:paraId="62C690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45FB4" w14:textId="77777777" w:rsidR="006054AA" w:rsidRDefault="001F7667">
            <w:pPr>
              <w:pStyle w:val="P68B1DB1-Normal12"/>
              <w:jc w:val="center"/>
              <w:rPr>
                <w:noProof/>
              </w:rPr>
            </w:pPr>
            <w:r>
              <w:rPr>
                <w:noProof/>
              </w:rPr>
              <w:t>M1C1—24</w:t>
            </w:r>
          </w:p>
        </w:tc>
        <w:tc>
          <w:tcPr>
            <w:tcW w:w="3150" w:type="dxa"/>
            <w:tcBorders>
              <w:top w:val="nil"/>
              <w:left w:val="nil"/>
              <w:bottom w:val="single" w:sz="4" w:space="0" w:color="auto"/>
              <w:right w:val="single" w:sz="4" w:space="0" w:color="auto"/>
            </w:tcBorders>
            <w:shd w:val="clear" w:color="auto" w:fill="C6EFCE"/>
            <w:noWrap/>
            <w:vAlign w:val="center"/>
          </w:tcPr>
          <w:p w14:paraId="2F887B18" w14:textId="77777777" w:rsidR="006054AA" w:rsidRDefault="001F7667">
            <w:pPr>
              <w:pStyle w:val="P68B1DB1-Normal12"/>
              <w:jc w:val="center"/>
              <w:rPr>
                <w:noProof/>
              </w:rPr>
            </w:pPr>
            <w:r>
              <w:rPr>
                <w:noProof/>
              </w:rPr>
              <w:t>Инвестиция 1.7.1: Цифрова публична служба</w:t>
            </w:r>
          </w:p>
        </w:tc>
        <w:tc>
          <w:tcPr>
            <w:tcW w:w="1425" w:type="dxa"/>
            <w:tcBorders>
              <w:top w:val="nil"/>
              <w:left w:val="nil"/>
              <w:bottom w:val="single" w:sz="4" w:space="0" w:color="auto"/>
              <w:right w:val="single" w:sz="4" w:space="0" w:color="auto"/>
            </w:tcBorders>
            <w:shd w:val="clear" w:color="auto" w:fill="C6EFCE"/>
            <w:noWrap/>
            <w:vAlign w:val="center"/>
          </w:tcPr>
          <w:p w14:paraId="21E7278E"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3BE53247" w14:textId="77777777" w:rsidR="006054AA" w:rsidRDefault="001F7667">
            <w:pPr>
              <w:pStyle w:val="P68B1DB1-Normal12"/>
              <w:rPr>
                <w:noProof/>
              </w:rPr>
            </w:pPr>
            <w:r>
              <w:rPr>
                <w:noProof/>
              </w:rPr>
              <w:t xml:space="preserve">Граждани, участващи в цифрово образование и/или инициативи за улесняване, предоставяни от организации, регистрирани в националния регистър на организациите за универсална публична служба </w:t>
            </w:r>
          </w:p>
        </w:tc>
      </w:tr>
      <w:tr w:rsidR="006054AA" w14:paraId="06ED82E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9EAB9D" w14:textId="77777777" w:rsidR="006054AA" w:rsidRDefault="001F7667">
            <w:pPr>
              <w:pStyle w:val="P68B1DB1-Normal12"/>
              <w:jc w:val="center"/>
              <w:rPr>
                <w:noProof/>
              </w:rPr>
            </w:pPr>
            <w:r>
              <w:rPr>
                <w:noProof/>
              </w:rPr>
              <w:t>M1C1—96</w:t>
            </w:r>
          </w:p>
        </w:tc>
        <w:tc>
          <w:tcPr>
            <w:tcW w:w="3150" w:type="dxa"/>
            <w:tcBorders>
              <w:top w:val="nil"/>
              <w:left w:val="nil"/>
              <w:bottom w:val="single" w:sz="4" w:space="0" w:color="auto"/>
              <w:right w:val="single" w:sz="4" w:space="0" w:color="auto"/>
            </w:tcBorders>
            <w:shd w:val="clear" w:color="auto" w:fill="C6EFCE"/>
            <w:noWrap/>
            <w:vAlign w:val="center"/>
          </w:tcPr>
          <w:p w14:paraId="402A8AF7" w14:textId="77777777" w:rsidR="006054AA" w:rsidRDefault="001F7667">
            <w:pPr>
              <w:pStyle w:val="P68B1DB1-Normal12"/>
              <w:jc w:val="center"/>
              <w:rPr>
                <w:noProof/>
              </w:rPr>
            </w:pPr>
            <w:r>
              <w:rPr>
                <w:noProof/>
              </w:rPr>
              <w:t>Реформа 1.10: Реформа на законодателната рамка за обществените поръчки</w:t>
            </w:r>
          </w:p>
        </w:tc>
        <w:tc>
          <w:tcPr>
            <w:tcW w:w="1425" w:type="dxa"/>
            <w:tcBorders>
              <w:top w:val="nil"/>
              <w:left w:val="nil"/>
              <w:bottom w:val="single" w:sz="4" w:space="0" w:color="auto"/>
              <w:right w:val="single" w:sz="4" w:space="0" w:color="auto"/>
            </w:tcBorders>
            <w:shd w:val="clear" w:color="auto" w:fill="C6EFCE"/>
            <w:noWrap/>
            <w:vAlign w:val="center"/>
          </w:tcPr>
          <w:p w14:paraId="3B21F2FB"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20736B71" w14:textId="77777777" w:rsidR="006054AA" w:rsidRDefault="001F7667">
            <w:pPr>
              <w:pStyle w:val="P68B1DB1-Normal12"/>
              <w:rPr>
                <w:noProof/>
              </w:rPr>
            </w:pPr>
            <w:r>
              <w:rPr>
                <w:noProof/>
              </w:rPr>
              <w:t>Средно време между публикуването и възлагането на поръчката</w:t>
            </w:r>
          </w:p>
        </w:tc>
      </w:tr>
      <w:tr w:rsidR="006054AA" w14:paraId="1A4EB7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C2A763" w14:textId="77777777" w:rsidR="006054AA" w:rsidRDefault="001F7667">
            <w:pPr>
              <w:pStyle w:val="P68B1DB1-Normal12"/>
              <w:jc w:val="center"/>
              <w:rPr>
                <w:noProof/>
              </w:rPr>
            </w:pPr>
            <w:r>
              <w:rPr>
                <w:noProof/>
              </w:rPr>
              <w:t>M1C1—97bis</w:t>
            </w:r>
          </w:p>
        </w:tc>
        <w:tc>
          <w:tcPr>
            <w:tcW w:w="3150" w:type="dxa"/>
            <w:tcBorders>
              <w:top w:val="nil"/>
              <w:left w:val="nil"/>
              <w:bottom w:val="single" w:sz="4" w:space="0" w:color="auto"/>
              <w:right w:val="single" w:sz="4" w:space="0" w:color="auto"/>
            </w:tcBorders>
            <w:shd w:val="clear" w:color="auto" w:fill="C6EFCE"/>
            <w:noWrap/>
            <w:vAlign w:val="center"/>
          </w:tcPr>
          <w:p w14:paraId="269C5CE7" w14:textId="77777777" w:rsidR="006054AA" w:rsidRDefault="001F7667">
            <w:pPr>
              <w:pStyle w:val="P68B1DB1-Normal12"/>
              <w:jc w:val="center"/>
              <w:rPr>
                <w:noProof/>
              </w:rPr>
            </w:pPr>
            <w:r>
              <w:rPr>
                <w:noProof/>
              </w:rPr>
              <w:t>Реформа 1.10: Реформа на законодателната рамка за обществените поръчки</w:t>
            </w:r>
          </w:p>
        </w:tc>
        <w:tc>
          <w:tcPr>
            <w:tcW w:w="1425" w:type="dxa"/>
            <w:tcBorders>
              <w:top w:val="nil"/>
              <w:left w:val="nil"/>
              <w:bottom w:val="single" w:sz="4" w:space="0" w:color="auto"/>
              <w:right w:val="single" w:sz="4" w:space="0" w:color="auto"/>
            </w:tcBorders>
            <w:shd w:val="clear" w:color="auto" w:fill="C6EFCE"/>
            <w:noWrap/>
            <w:vAlign w:val="center"/>
          </w:tcPr>
          <w:p w14:paraId="57A4DEE3"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6B07838D" w14:textId="77777777" w:rsidR="006054AA" w:rsidRDefault="001F7667">
            <w:pPr>
              <w:pStyle w:val="P68B1DB1-Normal12"/>
              <w:rPr>
                <w:noProof/>
              </w:rPr>
            </w:pPr>
            <w:r>
              <w:rPr>
                <w:noProof/>
              </w:rPr>
              <w:t>Средно време между възлагането на поръчката и реализацията на инфраструктурата</w:t>
            </w:r>
          </w:p>
        </w:tc>
      </w:tr>
      <w:tr w:rsidR="006054AA" w14:paraId="50C4D2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AE135" w14:textId="77777777" w:rsidR="006054AA" w:rsidRDefault="001F7667">
            <w:pPr>
              <w:pStyle w:val="P68B1DB1-Normal12"/>
              <w:jc w:val="center"/>
              <w:rPr>
                <w:noProof/>
              </w:rPr>
            </w:pPr>
            <w:r>
              <w:rPr>
                <w:noProof/>
              </w:rPr>
              <w:t>M1C1—98bis</w:t>
            </w:r>
          </w:p>
        </w:tc>
        <w:tc>
          <w:tcPr>
            <w:tcW w:w="3150" w:type="dxa"/>
            <w:tcBorders>
              <w:top w:val="nil"/>
              <w:left w:val="nil"/>
              <w:bottom w:val="single" w:sz="4" w:space="0" w:color="auto"/>
              <w:right w:val="single" w:sz="4" w:space="0" w:color="auto"/>
            </w:tcBorders>
            <w:shd w:val="clear" w:color="auto" w:fill="C6EFCE"/>
            <w:noWrap/>
            <w:vAlign w:val="center"/>
          </w:tcPr>
          <w:p w14:paraId="5FFE9F18" w14:textId="77777777" w:rsidR="006054AA" w:rsidRDefault="001F7667">
            <w:pPr>
              <w:pStyle w:val="P68B1DB1-Normal12"/>
              <w:jc w:val="center"/>
              <w:rPr>
                <w:noProof/>
              </w:rPr>
            </w:pPr>
            <w:r>
              <w:rPr>
                <w:noProof/>
              </w:rPr>
              <w:t>Реформа 1.10: Реформа на законодателната рамка за обществените поръчки</w:t>
            </w:r>
          </w:p>
        </w:tc>
        <w:tc>
          <w:tcPr>
            <w:tcW w:w="1425" w:type="dxa"/>
            <w:tcBorders>
              <w:top w:val="nil"/>
              <w:left w:val="nil"/>
              <w:bottom w:val="single" w:sz="4" w:space="0" w:color="auto"/>
              <w:right w:val="single" w:sz="4" w:space="0" w:color="auto"/>
            </w:tcBorders>
            <w:shd w:val="clear" w:color="auto" w:fill="C6EFCE"/>
            <w:noWrap/>
            <w:vAlign w:val="center"/>
          </w:tcPr>
          <w:p w14:paraId="462A4AB0"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5F801C26" w14:textId="77777777" w:rsidR="006054AA" w:rsidRDefault="001F7667">
            <w:pPr>
              <w:pStyle w:val="P68B1DB1-Normal12"/>
              <w:rPr>
                <w:noProof/>
              </w:rPr>
            </w:pPr>
            <w:r>
              <w:rPr>
                <w:noProof/>
              </w:rPr>
              <w:t>Държавни служители, обучени чрез стратегията за професионализация на публичните купувачи</w:t>
            </w:r>
          </w:p>
        </w:tc>
      </w:tr>
      <w:tr w:rsidR="006054AA" w14:paraId="7FB22F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C55893" w14:textId="77777777" w:rsidR="006054AA" w:rsidRDefault="001F7667">
            <w:pPr>
              <w:pStyle w:val="P68B1DB1-Normal12"/>
              <w:jc w:val="center"/>
              <w:rPr>
                <w:noProof/>
              </w:rPr>
            </w:pPr>
            <w:r>
              <w:rPr>
                <w:noProof/>
              </w:rPr>
              <w:t>M1C1—99bis</w:t>
            </w:r>
          </w:p>
        </w:tc>
        <w:tc>
          <w:tcPr>
            <w:tcW w:w="3150" w:type="dxa"/>
            <w:tcBorders>
              <w:top w:val="nil"/>
              <w:left w:val="nil"/>
              <w:bottom w:val="single" w:sz="4" w:space="0" w:color="auto"/>
              <w:right w:val="single" w:sz="4" w:space="0" w:color="auto"/>
            </w:tcBorders>
            <w:shd w:val="clear" w:color="auto" w:fill="C6EFCE"/>
            <w:noWrap/>
            <w:vAlign w:val="center"/>
          </w:tcPr>
          <w:p w14:paraId="12E3CF81" w14:textId="77777777" w:rsidR="006054AA" w:rsidRDefault="001F7667">
            <w:pPr>
              <w:pStyle w:val="P68B1DB1-Normal12"/>
              <w:jc w:val="center"/>
              <w:rPr>
                <w:noProof/>
              </w:rPr>
            </w:pPr>
            <w:r>
              <w:rPr>
                <w:noProof/>
              </w:rPr>
              <w:t>Реформа 1.10: Реформа на законодателната рамка за обществените поръчки Инвестиция 1.10: Подкрепа за квалификацията и електронните обществени поръчки</w:t>
            </w:r>
          </w:p>
        </w:tc>
        <w:tc>
          <w:tcPr>
            <w:tcW w:w="1425" w:type="dxa"/>
            <w:tcBorders>
              <w:top w:val="nil"/>
              <w:left w:val="nil"/>
              <w:bottom w:val="single" w:sz="4" w:space="0" w:color="auto"/>
              <w:right w:val="single" w:sz="4" w:space="0" w:color="auto"/>
            </w:tcBorders>
            <w:shd w:val="clear" w:color="auto" w:fill="C6EFCE"/>
            <w:noWrap/>
            <w:vAlign w:val="center"/>
          </w:tcPr>
          <w:p w14:paraId="489C4202"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2D9D1EC5" w14:textId="77777777" w:rsidR="006054AA" w:rsidRDefault="001F7667">
            <w:pPr>
              <w:pStyle w:val="P68B1DB1-Normal12"/>
              <w:rPr>
                <w:noProof/>
              </w:rPr>
            </w:pPr>
            <w:r>
              <w:rPr>
                <w:noProof/>
              </w:rPr>
              <w:t xml:space="preserve">Компетентности на възлагащите органи в областта на цифровите технологии </w:t>
            </w:r>
          </w:p>
        </w:tc>
      </w:tr>
      <w:tr w:rsidR="006054AA" w14:paraId="2996B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D33E58" w14:textId="77777777" w:rsidR="006054AA" w:rsidRDefault="001F7667">
            <w:pPr>
              <w:pStyle w:val="P68B1DB1-Normal12"/>
              <w:jc w:val="center"/>
              <w:rPr>
                <w:noProof/>
              </w:rPr>
            </w:pPr>
            <w:r>
              <w:rPr>
                <w:noProof/>
              </w:rPr>
              <w:t>M1C1—116</w:t>
            </w:r>
          </w:p>
        </w:tc>
        <w:tc>
          <w:tcPr>
            <w:tcW w:w="3150" w:type="dxa"/>
            <w:tcBorders>
              <w:top w:val="nil"/>
              <w:left w:val="nil"/>
              <w:bottom w:val="single" w:sz="4" w:space="0" w:color="auto"/>
              <w:right w:val="single" w:sz="4" w:space="0" w:color="auto"/>
            </w:tcBorders>
            <w:shd w:val="clear" w:color="auto" w:fill="C6EFCE"/>
            <w:noWrap/>
            <w:vAlign w:val="center"/>
          </w:tcPr>
          <w:p w14:paraId="500BA1A4" w14:textId="77777777" w:rsidR="006054AA" w:rsidRDefault="001F7667">
            <w:pPr>
              <w:pStyle w:val="P68B1DB1-Normal12"/>
              <w:jc w:val="center"/>
              <w:rPr>
                <w:noProof/>
              </w:rPr>
            </w:pPr>
            <w:r>
              <w:rPr>
                <w:noProof/>
              </w:rPr>
              <w:t>Реформа 1.12: Реформа на данъчната администрация</w:t>
            </w:r>
          </w:p>
        </w:tc>
        <w:tc>
          <w:tcPr>
            <w:tcW w:w="1425" w:type="dxa"/>
            <w:tcBorders>
              <w:top w:val="nil"/>
              <w:left w:val="nil"/>
              <w:bottom w:val="single" w:sz="4" w:space="0" w:color="auto"/>
              <w:right w:val="single" w:sz="4" w:space="0" w:color="auto"/>
            </w:tcBorders>
            <w:shd w:val="clear" w:color="auto" w:fill="C6EFCE"/>
            <w:noWrap/>
            <w:vAlign w:val="center"/>
          </w:tcPr>
          <w:p w14:paraId="6944EB2A"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13FE9B41" w14:textId="77777777" w:rsidR="006054AA" w:rsidRDefault="001F7667">
            <w:pPr>
              <w:pStyle w:val="P68B1DB1-Normal12"/>
              <w:rPr>
                <w:noProof/>
              </w:rPr>
            </w:pPr>
            <w:r>
              <w:rPr>
                <w:noProof/>
              </w:rPr>
              <w:t>Намаляване на отклонението от данъчно облагане, както е определено от показателя „склонност за избягване“</w:t>
            </w:r>
          </w:p>
        </w:tc>
      </w:tr>
      <w:tr w:rsidR="006054AA" w14:paraId="080B2E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D589B8" w14:textId="77777777" w:rsidR="006054AA" w:rsidRDefault="001F7667">
            <w:pPr>
              <w:pStyle w:val="P68B1DB1-Normal12"/>
              <w:jc w:val="center"/>
              <w:rPr>
                <w:noProof/>
              </w:rPr>
            </w:pPr>
            <w:r>
              <w:rPr>
                <w:noProof/>
              </w:rPr>
              <w:t>M1C2—5</w:t>
            </w:r>
          </w:p>
        </w:tc>
        <w:tc>
          <w:tcPr>
            <w:tcW w:w="3150" w:type="dxa"/>
            <w:tcBorders>
              <w:top w:val="nil"/>
              <w:left w:val="nil"/>
              <w:bottom w:val="single" w:sz="4" w:space="0" w:color="auto"/>
              <w:right w:val="single" w:sz="4" w:space="0" w:color="auto"/>
            </w:tcBorders>
            <w:shd w:val="clear" w:color="auto" w:fill="C6EFCE"/>
            <w:noWrap/>
            <w:vAlign w:val="center"/>
          </w:tcPr>
          <w:p w14:paraId="191126BF" w14:textId="77777777" w:rsidR="006054AA" w:rsidRDefault="001F7667">
            <w:pPr>
              <w:pStyle w:val="P68B1DB1-Normal12"/>
              <w:jc w:val="center"/>
              <w:rPr>
                <w:noProof/>
              </w:rPr>
            </w:pPr>
            <w:r>
              <w:rPr>
                <w:noProof/>
              </w:rPr>
              <w:t>Инвестиция 6: Инвестиции в системата за индустриална собственост</w:t>
            </w:r>
          </w:p>
        </w:tc>
        <w:tc>
          <w:tcPr>
            <w:tcW w:w="1425" w:type="dxa"/>
            <w:tcBorders>
              <w:top w:val="nil"/>
              <w:left w:val="nil"/>
              <w:bottom w:val="single" w:sz="4" w:space="0" w:color="auto"/>
              <w:right w:val="single" w:sz="4" w:space="0" w:color="auto"/>
            </w:tcBorders>
            <w:shd w:val="clear" w:color="auto" w:fill="C6EFCE"/>
            <w:noWrap/>
            <w:vAlign w:val="center"/>
          </w:tcPr>
          <w:p w14:paraId="42082B21"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4E6B5E3D" w14:textId="77777777" w:rsidR="006054AA" w:rsidRDefault="001F7667">
            <w:pPr>
              <w:pStyle w:val="P68B1DB1-Normal12"/>
              <w:rPr>
                <w:noProof/>
              </w:rPr>
            </w:pPr>
            <w:r>
              <w:rPr>
                <w:noProof/>
              </w:rPr>
              <w:t>Проекти, подкрепяни от възможности за финансиране, свързани с промишлените обекти</w:t>
            </w:r>
          </w:p>
        </w:tc>
      </w:tr>
      <w:tr w:rsidR="006054AA" w14:paraId="45A29D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0073B2" w14:textId="77777777" w:rsidR="006054AA" w:rsidRDefault="001F7667">
            <w:pPr>
              <w:pStyle w:val="P68B1DB1-Normal12"/>
              <w:jc w:val="center"/>
              <w:rPr>
                <w:noProof/>
              </w:rPr>
            </w:pPr>
            <w:r>
              <w:rPr>
                <w:noProof/>
              </w:rPr>
              <w:t>M1C2—13</w:t>
            </w:r>
          </w:p>
        </w:tc>
        <w:tc>
          <w:tcPr>
            <w:tcW w:w="3150" w:type="dxa"/>
            <w:tcBorders>
              <w:top w:val="nil"/>
              <w:left w:val="nil"/>
              <w:bottom w:val="single" w:sz="4" w:space="0" w:color="auto"/>
              <w:right w:val="single" w:sz="4" w:space="0" w:color="auto"/>
            </w:tcBorders>
            <w:shd w:val="clear" w:color="auto" w:fill="C6EFCE"/>
            <w:noWrap/>
            <w:vAlign w:val="center"/>
          </w:tcPr>
          <w:p w14:paraId="1C634FAE" w14:textId="77777777" w:rsidR="006054AA" w:rsidRDefault="001F7667">
            <w:pPr>
              <w:pStyle w:val="P68B1DB1-Normal12"/>
              <w:jc w:val="center"/>
              <w:rPr>
                <w:noProof/>
              </w:rPr>
            </w:pPr>
            <w:r>
              <w:rPr>
                <w:noProof/>
              </w:rPr>
              <w:t>Реформа 2: Годишни закони в областта на конкуренцията</w:t>
            </w:r>
          </w:p>
        </w:tc>
        <w:tc>
          <w:tcPr>
            <w:tcW w:w="1425" w:type="dxa"/>
            <w:tcBorders>
              <w:top w:val="nil"/>
              <w:left w:val="nil"/>
              <w:bottom w:val="single" w:sz="4" w:space="0" w:color="auto"/>
              <w:right w:val="single" w:sz="4" w:space="0" w:color="auto"/>
            </w:tcBorders>
            <w:shd w:val="clear" w:color="auto" w:fill="C6EFCE"/>
            <w:noWrap/>
            <w:vAlign w:val="center"/>
          </w:tcPr>
          <w:p w14:paraId="28F47BC9" w14:textId="77777777" w:rsidR="006054AA" w:rsidRDefault="001F7667">
            <w:pPr>
              <w:pStyle w:val="P68B1DB1-Normal12"/>
              <w:jc w:val="center"/>
              <w:rPr>
                <w:noProof/>
              </w:rPr>
            </w:pPr>
            <w:r>
              <w:rPr>
                <w:noProof/>
              </w:rPr>
              <w:t>Ключов етап</w:t>
            </w:r>
          </w:p>
        </w:tc>
        <w:tc>
          <w:tcPr>
            <w:tcW w:w="3959" w:type="dxa"/>
            <w:tcBorders>
              <w:top w:val="nil"/>
              <w:left w:val="nil"/>
              <w:bottom w:val="single" w:sz="4" w:space="0" w:color="auto"/>
              <w:right w:val="single" w:sz="4" w:space="0" w:color="auto"/>
            </w:tcBorders>
            <w:shd w:val="clear" w:color="auto" w:fill="C6EFCE"/>
            <w:noWrap/>
            <w:vAlign w:val="center"/>
          </w:tcPr>
          <w:p w14:paraId="463DA2FD" w14:textId="77777777" w:rsidR="006054AA" w:rsidRDefault="001F7667">
            <w:pPr>
              <w:pStyle w:val="P68B1DB1-Normal12"/>
              <w:rPr>
                <w:noProof/>
              </w:rPr>
            </w:pPr>
            <w:r>
              <w:rPr>
                <w:noProof/>
              </w:rPr>
              <w:t>Влизане в сила на годишния закон за конкуренцията за 2024 г.</w:t>
            </w:r>
          </w:p>
        </w:tc>
      </w:tr>
      <w:tr w:rsidR="006054AA" w14:paraId="654262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DE1B8" w14:textId="77777777" w:rsidR="006054AA" w:rsidRDefault="001F7667">
            <w:pPr>
              <w:pStyle w:val="P68B1DB1-Normal12"/>
              <w:jc w:val="center"/>
              <w:rPr>
                <w:noProof/>
              </w:rPr>
            </w:pPr>
            <w:r>
              <w:rPr>
                <w:noProof/>
              </w:rPr>
              <w:t>M1C2—14</w:t>
            </w:r>
          </w:p>
        </w:tc>
        <w:tc>
          <w:tcPr>
            <w:tcW w:w="3150" w:type="dxa"/>
            <w:tcBorders>
              <w:top w:val="nil"/>
              <w:left w:val="nil"/>
              <w:bottom w:val="single" w:sz="4" w:space="0" w:color="auto"/>
              <w:right w:val="single" w:sz="4" w:space="0" w:color="auto"/>
            </w:tcBorders>
            <w:shd w:val="clear" w:color="auto" w:fill="C6EFCE"/>
            <w:noWrap/>
            <w:vAlign w:val="center"/>
          </w:tcPr>
          <w:p w14:paraId="347905B8" w14:textId="77777777" w:rsidR="006054AA" w:rsidRDefault="001F7667">
            <w:pPr>
              <w:pStyle w:val="P68B1DB1-Normal12"/>
              <w:jc w:val="center"/>
              <w:rPr>
                <w:noProof/>
              </w:rPr>
            </w:pPr>
            <w:r>
              <w:rPr>
                <w:noProof/>
              </w:rPr>
              <w:t>Реформа 2: Годишни закони в областта на конкуренцията</w:t>
            </w:r>
          </w:p>
        </w:tc>
        <w:tc>
          <w:tcPr>
            <w:tcW w:w="1425" w:type="dxa"/>
            <w:tcBorders>
              <w:top w:val="nil"/>
              <w:left w:val="nil"/>
              <w:bottom w:val="single" w:sz="4" w:space="0" w:color="auto"/>
              <w:right w:val="single" w:sz="4" w:space="0" w:color="auto"/>
            </w:tcBorders>
            <w:shd w:val="clear" w:color="auto" w:fill="C6EFCE"/>
            <w:noWrap/>
            <w:vAlign w:val="center"/>
          </w:tcPr>
          <w:p w14:paraId="21DD2E53"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3D46EEC2" w14:textId="77777777" w:rsidR="006054AA" w:rsidRDefault="001F7667">
            <w:pPr>
              <w:pStyle w:val="P68B1DB1-Normal12"/>
              <w:rPr>
                <w:noProof/>
              </w:rPr>
            </w:pPr>
            <w:r>
              <w:rPr>
                <w:noProof/>
              </w:rPr>
              <w:t>Внедрени са милиони интелигентни измервателни уреди за 2G.</w:t>
            </w:r>
          </w:p>
        </w:tc>
      </w:tr>
      <w:tr w:rsidR="006054AA" w14:paraId="2A14A4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0EE74" w14:textId="77777777" w:rsidR="006054AA" w:rsidRDefault="001F7667">
            <w:pPr>
              <w:pStyle w:val="P68B1DB1-Normal12"/>
              <w:jc w:val="center"/>
              <w:rPr>
                <w:noProof/>
              </w:rPr>
            </w:pPr>
            <w:r>
              <w:rPr>
                <w:noProof/>
              </w:rPr>
              <w:t>M1C3—1</w:t>
            </w:r>
          </w:p>
        </w:tc>
        <w:tc>
          <w:tcPr>
            <w:tcW w:w="3150" w:type="dxa"/>
            <w:tcBorders>
              <w:top w:val="nil"/>
              <w:left w:val="nil"/>
              <w:bottom w:val="single" w:sz="4" w:space="0" w:color="auto"/>
              <w:right w:val="single" w:sz="4" w:space="0" w:color="auto"/>
            </w:tcBorders>
            <w:shd w:val="clear" w:color="auto" w:fill="C6EFCE"/>
            <w:noWrap/>
            <w:vAlign w:val="center"/>
          </w:tcPr>
          <w:p w14:paraId="70589CEC" w14:textId="77777777" w:rsidR="006054AA" w:rsidRDefault="001F7667">
            <w:pPr>
              <w:pStyle w:val="P68B1DB1-Normal12"/>
              <w:jc w:val="center"/>
              <w:rPr>
                <w:noProof/>
              </w:rPr>
            </w:pPr>
            <w:r>
              <w:rPr>
                <w:noProof/>
              </w:rPr>
              <w:t>Стратегия в областта на цифровите технологии за 1.1 г. и платформи за културното наследство</w:t>
            </w:r>
          </w:p>
        </w:tc>
        <w:tc>
          <w:tcPr>
            <w:tcW w:w="1425" w:type="dxa"/>
            <w:tcBorders>
              <w:top w:val="nil"/>
              <w:left w:val="nil"/>
              <w:bottom w:val="single" w:sz="4" w:space="0" w:color="auto"/>
              <w:right w:val="single" w:sz="4" w:space="0" w:color="auto"/>
            </w:tcBorders>
            <w:shd w:val="clear" w:color="auto" w:fill="C6EFCE"/>
            <w:noWrap/>
            <w:vAlign w:val="center"/>
          </w:tcPr>
          <w:p w14:paraId="12890033"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2CD95EC0" w14:textId="77777777" w:rsidR="006054AA" w:rsidRDefault="001F7667">
            <w:pPr>
              <w:pStyle w:val="P68B1DB1-Normal12"/>
              <w:rPr>
                <w:noProof/>
              </w:rPr>
            </w:pPr>
            <w:r>
              <w:rPr>
                <w:noProof/>
              </w:rPr>
              <w:t>Потребители, обучени чрез платформата за електронно обучение в областта на културното наследство</w:t>
            </w:r>
          </w:p>
        </w:tc>
      </w:tr>
      <w:tr w:rsidR="006054AA" w14:paraId="4AEAD2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39CD1" w14:textId="77777777" w:rsidR="006054AA" w:rsidRDefault="001F7667">
            <w:pPr>
              <w:pStyle w:val="P68B1DB1-Normal12"/>
              <w:jc w:val="center"/>
              <w:rPr>
                <w:noProof/>
              </w:rPr>
            </w:pPr>
            <w:r>
              <w:rPr>
                <w:noProof/>
              </w:rPr>
              <w:t>M1C3—2</w:t>
            </w:r>
          </w:p>
        </w:tc>
        <w:tc>
          <w:tcPr>
            <w:tcW w:w="3150" w:type="dxa"/>
            <w:tcBorders>
              <w:top w:val="nil"/>
              <w:left w:val="nil"/>
              <w:bottom w:val="single" w:sz="4" w:space="0" w:color="auto"/>
              <w:right w:val="single" w:sz="4" w:space="0" w:color="auto"/>
            </w:tcBorders>
            <w:shd w:val="clear" w:color="auto" w:fill="C6EFCE"/>
            <w:noWrap/>
            <w:vAlign w:val="center"/>
          </w:tcPr>
          <w:p w14:paraId="40D3EDDE" w14:textId="77777777" w:rsidR="006054AA" w:rsidRDefault="001F7667">
            <w:pPr>
              <w:pStyle w:val="P68B1DB1-Normal12"/>
              <w:jc w:val="center"/>
              <w:rPr>
                <w:noProof/>
              </w:rPr>
            </w:pPr>
            <w:r>
              <w:rPr>
                <w:noProof/>
              </w:rPr>
              <w:t>Инвестиции — Цифрова стратегия и платформи за културното наследство до 1.1 г.</w:t>
            </w:r>
          </w:p>
        </w:tc>
        <w:tc>
          <w:tcPr>
            <w:tcW w:w="1425" w:type="dxa"/>
            <w:tcBorders>
              <w:top w:val="nil"/>
              <w:left w:val="nil"/>
              <w:bottom w:val="single" w:sz="4" w:space="0" w:color="auto"/>
              <w:right w:val="single" w:sz="4" w:space="0" w:color="auto"/>
            </w:tcBorders>
            <w:shd w:val="clear" w:color="auto" w:fill="C6EFCE"/>
            <w:noWrap/>
            <w:vAlign w:val="center"/>
          </w:tcPr>
          <w:p w14:paraId="1D5945E0"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04DA6F41" w14:textId="77777777" w:rsidR="006054AA" w:rsidRDefault="001F7667">
            <w:pPr>
              <w:pStyle w:val="P68B1DB1-Normal12"/>
              <w:rPr>
                <w:noProof/>
              </w:rPr>
            </w:pPr>
            <w:r>
              <w:rPr>
                <w:noProof/>
              </w:rPr>
              <w:t xml:space="preserve">Цифрови ресурси, създадени и публикувани в цифровата библиотека </w:t>
            </w:r>
          </w:p>
        </w:tc>
      </w:tr>
      <w:tr w:rsidR="006054AA" w14:paraId="59A2FE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81FF9" w14:textId="77777777" w:rsidR="006054AA" w:rsidRDefault="001F7667">
            <w:pPr>
              <w:pStyle w:val="P68B1DB1-Normal12"/>
              <w:jc w:val="center"/>
              <w:rPr>
                <w:noProof/>
              </w:rPr>
            </w:pPr>
            <w:r>
              <w:rPr>
                <w:noProof/>
              </w:rPr>
              <w:t>M1C3—5</w:t>
            </w:r>
          </w:p>
        </w:tc>
        <w:tc>
          <w:tcPr>
            <w:tcW w:w="3150" w:type="dxa"/>
            <w:tcBorders>
              <w:top w:val="nil"/>
              <w:left w:val="nil"/>
              <w:bottom w:val="single" w:sz="4" w:space="0" w:color="auto"/>
              <w:right w:val="single" w:sz="4" w:space="0" w:color="auto"/>
            </w:tcBorders>
            <w:shd w:val="clear" w:color="auto" w:fill="C6EFCE"/>
            <w:noWrap/>
            <w:vAlign w:val="center"/>
          </w:tcPr>
          <w:p w14:paraId="5A3F6D98" w14:textId="77777777" w:rsidR="006054AA" w:rsidRDefault="001F7667">
            <w:pPr>
              <w:pStyle w:val="P68B1DB1-Normal12"/>
              <w:jc w:val="center"/>
              <w:rPr>
                <w:noProof/>
              </w:rPr>
            </w:pPr>
            <w:r>
              <w:rPr>
                <w:noProof/>
              </w:rPr>
              <w:t>Инвестиции — 1.3 Подобряване на енергийната ефективност в киното, театрите и музеите</w:t>
            </w:r>
          </w:p>
        </w:tc>
        <w:tc>
          <w:tcPr>
            <w:tcW w:w="1425" w:type="dxa"/>
            <w:tcBorders>
              <w:top w:val="nil"/>
              <w:left w:val="nil"/>
              <w:bottom w:val="single" w:sz="4" w:space="0" w:color="auto"/>
              <w:right w:val="single" w:sz="4" w:space="0" w:color="auto"/>
            </w:tcBorders>
            <w:shd w:val="clear" w:color="auto" w:fill="C6EFCE"/>
            <w:noWrap/>
            <w:vAlign w:val="center"/>
          </w:tcPr>
          <w:p w14:paraId="4E5C4DC3"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4620211C" w14:textId="77777777" w:rsidR="006054AA" w:rsidRDefault="001F7667">
            <w:pPr>
              <w:pStyle w:val="P68B1DB1-Normal12"/>
              <w:rPr>
                <w:noProof/>
              </w:rPr>
            </w:pPr>
            <w:r>
              <w:rPr>
                <w:noProof/>
              </w:rPr>
              <w:t>Приключват се интервенции в държавни музеи и културни обекти, театрални зали и кина (втора партида)</w:t>
            </w:r>
          </w:p>
        </w:tc>
      </w:tr>
      <w:tr w:rsidR="006054AA" w14:paraId="490638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97B38" w14:textId="77777777" w:rsidR="006054AA" w:rsidRDefault="001F7667">
            <w:pPr>
              <w:pStyle w:val="P68B1DB1-Normal12"/>
              <w:jc w:val="center"/>
              <w:rPr>
                <w:noProof/>
              </w:rPr>
            </w:pPr>
            <w:r>
              <w:rPr>
                <w:noProof/>
              </w:rPr>
              <w:t>M2C2—29</w:t>
            </w:r>
          </w:p>
        </w:tc>
        <w:tc>
          <w:tcPr>
            <w:tcW w:w="3150" w:type="dxa"/>
            <w:tcBorders>
              <w:top w:val="nil"/>
              <w:left w:val="nil"/>
              <w:bottom w:val="single" w:sz="4" w:space="0" w:color="auto"/>
              <w:right w:val="single" w:sz="4" w:space="0" w:color="auto"/>
            </w:tcBorders>
            <w:shd w:val="clear" w:color="auto" w:fill="C6EFCE"/>
            <w:noWrap/>
            <w:vAlign w:val="center"/>
          </w:tcPr>
          <w:p w14:paraId="3598FFFE" w14:textId="77777777" w:rsidR="006054AA" w:rsidRDefault="001F7667">
            <w:pPr>
              <w:pStyle w:val="P68B1DB1-Normal12"/>
              <w:jc w:val="center"/>
              <w:rPr>
                <w:noProof/>
              </w:rPr>
            </w:pPr>
            <w:r>
              <w:rPr>
                <w:noProof/>
              </w:rPr>
              <w:t>Инвестиция 4.3 Инсталиране на инфраструктури за зареждане</w:t>
            </w:r>
          </w:p>
        </w:tc>
        <w:tc>
          <w:tcPr>
            <w:tcW w:w="1425" w:type="dxa"/>
            <w:tcBorders>
              <w:top w:val="nil"/>
              <w:left w:val="nil"/>
              <w:bottom w:val="single" w:sz="4" w:space="0" w:color="auto"/>
              <w:right w:val="single" w:sz="4" w:space="0" w:color="auto"/>
            </w:tcBorders>
            <w:shd w:val="clear" w:color="auto" w:fill="C6EFCE"/>
            <w:noWrap/>
            <w:vAlign w:val="center"/>
          </w:tcPr>
          <w:p w14:paraId="49A17549"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521D4C55" w14:textId="77777777" w:rsidR="006054AA" w:rsidRDefault="001F7667">
            <w:pPr>
              <w:pStyle w:val="P68B1DB1-Normal12"/>
              <w:rPr>
                <w:noProof/>
              </w:rPr>
            </w:pPr>
            <w:r>
              <w:rPr>
                <w:noProof/>
              </w:rPr>
              <w:t>Брой станции за бързо презареждане по свободните пътища</w:t>
            </w:r>
          </w:p>
        </w:tc>
      </w:tr>
      <w:tr w:rsidR="006054AA" w14:paraId="34C3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AF04B1" w14:textId="77777777" w:rsidR="006054AA" w:rsidRDefault="001F7667">
            <w:pPr>
              <w:pStyle w:val="P68B1DB1-Normal12"/>
              <w:jc w:val="center"/>
              <w:rPr>
                <w:noProof/>
              </w:rPr>
            </w:pPr>
            <w:r>
              <w:rPr>
                <w:noProof/>
              </w:rPr>
              <w:t>M2C2—29bis</w:t>
            </w:r>
          </w:p>
        </w:tc>
        <w:tc>
          <w:tcPr>
            <w:tcW w:w="3150" w:type="dxa"/>
            <w:tcBorders>
              <w:top w:val="nil"/>
              <w:left w:val="nil"/>
              <w:bottom w:val="single" w:sz="4" w:space="0" w:color="auto"/>
              <w:right w:val="single" w:sz="4" w:space="0" w:color="auto"/>
            </w:tcBorders>
            <w:shd w:val="clear" w:color="auto" w:fill="C6EFCE"/>
            <w:noWrap/>
            <w:vAlign w:val="center"/>
          </w:tcPr>
          <w:p w14:paraId="6B53A708" w14:textId="77777777" w:rsidR="006054AA" w:rsidRDefault="001F7667">
            <w:pPr>
              <w:pStyle w:val="P68B1DB1-Normal12"/>
              <w:jc w:val="center"/>
              <w:rPr>
                <w:noProof/>
              </w:rPr>
            </w:pPr>
            <w:r>
              <w:rPr>
                <w:noProof/>
              </w:rPr>
              <w:t>Инвестиция 4.3 Инсталиране на инфраструктури за зареждане</w:t>
            </w:r>
          </w:p>
        </w:tc>
        <w:tc>
          <w:tcPr>
            <w:tcW w:w="1425" w:type="dxa"/>
            <w:tcBorders>
              <w:top w:val="nil"/>
              <w:left w:val="nil"/>
              <w:bottom w:val="single" w:sz="4" w:space="0" w:color="auto"/>
              <w:right w:val="single" w:sz="4" w:space="0" w:color="auto"/>
            </w:tcBorders>
            <w:shd w:val="clear" w:color="auto" w:fill="C6EFCE"/>
            <w:noWrap/>
            <w:vAlign w:val="center"/>
          </w:tcPr>
          <w:p w14:paraId="033BC89C"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278BAEF6" w14:textId="77777777" w:rsidR="006054AA" w:rsidRDefault="001F7667">
            <w:pPr>
              <w:pStyle w:val="P68B1DB1-Normal12"/>
              <w:rPr>
                <w:noProof/>
              </w:rPr>
            </w:pPr>
            <w:r>
              <w:rPr>
                <w:noProof/>
              </w:rPr>
              <w:t>Брой станции за бързо презареждане в градските райони</w:t>
            </w:r>
          </w:p>
        </w:tc>
      </w:tr>
      <w:tr w:rsidR="006054AA" w14:paraId="6DB373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49EF4" w14:textId="77777777" w:rsidR="006054AA" w:rsidRDefault="001F7667">
            <w:pPr>
              <w:pStyle w:val="P68B1DB1-Normal12"/>
              <w:jc w:val="center"/>
              <w:rPr>
                <w:noProof/>
              </w:rPr>
            </w:pPr>
            <w:r>
              <w:rPr>
                <w:noProof/>
              </w:rPr>
              <w:t>M2C2—30</w:t>
            </w:r>
          </w:p>
        </w:tc>
        <w:tc>
          <w:tcPr>
            <w:tcW w:w="3150" w:type="dxa"/>
            <w:tcBorders>
              <w:top w:val="nil"/>
              <w:left w:val="nil"/>
              <w:bottom w:val="single" w:sz="4" w:space="0" w:color="auto"/>
              <w:right w:val="single" w:sz="4" w:space="0" w:color="auto"/>
            </w:tcBorders>
            <w:shd w:val="clear" w:color="auto" w:fill="C6EFCE"/>
            <w:noWrap/>
            <w:vAlign w:val="center"/>
          </w:tcPr>
          <w:p w14:paraId="6132ECF3" w14:textId="77777777" w:rsidR="006054AA" w:rsidRDefault="001F7667">
            <w:pPr>
              <w:pStyle w:val="P68B1DB1-Normal12"/>
              <w:jc w:val="center"/>
              <w:rPr>
                <w:noProof/>
              </w:rPr>
            </w:pPr>
            <w:r>
              <w:rPr>
                <w:noProof/>
              </w:rPr>
              <w:t>Инвестиция 4.3: Инсталиране на инфраструктури за зареждане</w:t>
            </w:r>
          </w:p>
        </w:tc>
        <w:tc>
          <w:tcPr>
            <w:tcW w:w="1425" w:type="dxa"/>
            <w:tcBorders>
              <w:top w:val="nil"/>
              <w:left w:val="nil"/>
              <w:bottom w:val="single" w:sz="4" w:space="0" w:color="auto"/>
              <w:right w:val="single" w:sz="4" w:space="0" w:color="auto"/>
            </w:tcBorders>
            <w:shd w:val="clear" w:color="auto" w:fill="C6EFCE"/>
            <w:noWrap/>
            <w:vAlign w:val="center"/>
          </w:tcPr>
          <w:p w14:paraId="79B91F35"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4DEF3AE6" w14:textId="77777777" w:rsidR="006054AA" w:rsidRDefault="001F7667">
            <w:pPr>
              <w:pStyle w:val="P68B1DB1-Normal12"/>
              <w:rPr>
                <w:noProof/>
              </w:rPr>
            </w:pPr>
            <w:r>
              <w:rPr>
                <w:noProof/>
              </w:rPr>
              <w:t>Брой станции за бързо презареждане по свободните пътища</w:t>
            </w:r>
          </w:p>
        </w:tc>
      </w:tr>
      <w:tr w:rsidR="006054AA" w14:paraId="40FBC7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549035" w14:textId="77777777" w:rsidR="006054AA" w:rsidRDefault="001F7667">
            <w:pPr>
              <w:pStyle w:val="P68B1DB1-Normal12"/>
              <w:jc w:val="center"/>
              <w:rPr>
                <w:noProof/>
              </w:rPr>
            </w:pPr>
            <w:r>
              <w:rPr>
                <w:noProof/>
              </w:rPr>
              <w:t>M2C2—30bis</w:t>
            </w:r>
          </w:p>
        </w:tc>
        <w:tc>
          <w:tcPr>
            <w:tcW w:w="3150" w:type="dxa"/>
            <w:tcBorders>
              <w:top w:val="nil"/>
              <w:left w:val="nil"/>
              <w:bottom w:val="single" w:sz="4" w:space="0" w:color="auto"/>
              <w:right w:val="single" w:sz="4" w:space="0" w:color="auto"/>
            </w:tcBorders>
            <w:shd w:val="clear" w:color="auto" w:fill="C6EFCE"/>
            <w:noWrap/>
            <w:vAlign w:val="center"/>
          </w:tcPr>
          <w:p w14:paraId="7F2D0536" w14:textId="77777777" w:rsidR="006054AA" w:rsidRDefault="001F7667">
            <w:pPr>
              <w:pStyle w:val="P68B1DB1-Normal12"/>
              <w:jc w:val="center"/>
              <w:rPr>
                <w:noProof/>
              </w:rPr>
            </w:pPr>
            <w:r>
              <w:rPr>
                <w:noProof/>
              </w:rPr>
              <w:t>Инвестиция 4.3: Инсталиране на инфраструктури за зареждане</w:t>
            </w:r>
          </w:p>
        </w:tc>
        <w:tc>
          <w:tcPr>
            <w:tcW w:w="1425" w:type="dxa"/>
            <w:tcBorders>
              <w:top w:val="nil"/>
              <w:left w:val="nil"/>
              <w:bottom w:val="single" w:sz="4" w:space="0" w:color="auto"/>
              <w:right w:val="single" w:sz="4" w:space="0" w:color="auto"/>
            </w:tcBorders>
            <w:shd w:val="clear" w:color="auto" w:fill="C6EFCE"/>
            <w:noWrap/>
            <w:vAlign w:val="center"/>
          </w:tcPr>
          <w:p w14:paraId="7D2DDF26"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63D6C2CB" w14:textId="77777777" w:rsidR="006054AA" w:rsidRDefault="001F7667">
            <w:pPr>
              <w:pStyle w:val="P68B1DB1-Normal12"/>
              <w:rPr>
                <w:noProof/>
              </w:rPr>
            </w:pPr>
            <w:r>
              <w:rPr>
                <w:noProof/>
              </w:rPr>
              <w:t>Брой станции за бързо презареждане в градските райони</w:t>
            </w:r>
          </w:p>
        </w:tc>
      </w:tr>
      <w:tr w:rsidR="006054AA" w14:paraId="4036B4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282133" w14:textId="77777777" w:rsidR="006054AA" w:rsidRDefault="001F7667">
            <w:pPr>
              <w:pStyle w:val="P68B1DB1-Normal12"/>
              <w:jc w:val="center"/>
              <w:rPr>
                <w:noProof/>
              </w:rPr>
            </w:pPr>
            <w:r>
              <w:rPr>
                <w:noProof/>
              </w:rPr>
              <w:t>M2C2—30ter</w:t>
            </w:r>
          </w:p>
        </w:tc>
        <w:tc>
          <w:tcPr>
            <w:tcW w:w="3150" w:type="dxa"/>
            <w:tcBorders>
              <w:top w:val="nil"/>
              <w:left w:val="nil"/>
              <w:bottom w:val="single" w:sz="4" w:space="0" w:color="auto"/>
              <w:right w:val="single" w:sz="4" w:space="0" w:color="auto"/>
            </w:tcBorders>
            <w:shd w:val="clear" w:color="auto" w:fill="C6EFCE"/>
            <w:noWrap/>
            <w:vAlign w:val="center"/>
          </w:tcPr>
          <w:p w14:paraId="1C8E63D7" w14:textId="77777777" w:rsidR="006054AA" w:rsidRDefault="001F7667">
            <w:pPr>
              <w:pStyle w:val="P68B1DB1-Normal12"/>
              <w:jc w:val="center"/>
              <w:rPr>
                <w:noProof/>
              </w:rPr>
            </w:pPr>
            <w:r>
              <w:rPr>
                <w:noProof/>
              </w:rPr>
              <w:t>Инвестиция 4.3: Инсталиране на инфраструктури за зареждане</w:t>
            </w:r>
          </w:p>
        </w:tc>
        <w:tc>
          <w:tcPr>
            <w:tcW w:w="1425" w:type="dxa"/>
            <w:tcBorders>
              <w:top w:val="nil"/>
              <w:left w:val="nil"/>
              <w:bottom w:val="single" w:sz="4" w:space="0" w:color="auto"/>
              <w:right w:val="single" w:sz="4" w:space="0" w:color="auto"/>
            </w:tcBorders>
            <w:shd w:val="clear" w:color="auto" w:fill="C6EFCE"/>
            <w:noWrap/>
            <w:vAlign w:val="center"/>
          </w:tcPr>
          <w:p w14:paraId="1D98FF6E"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118BEE03" w14:textId="77777777" w:rsidR="006054AA" w:rsidRDefault="001F7667">
            <w:pPr>
              <w:pStyle w:val="P68B1DB1-Normal12"/>
              <w:rPr>
                <w:noProof/>
              </w:rPr>
            </w:pPr>
            <w:r>
              <w:rPr>
                <w:noProof/>
              </w:rPr>
              <w:t>Брой станции за бързо презареждане</w:t>
            </w:r>
          </w:p>
        </w:tc>
      </w:tr>
      <w:tr w:rsidR="006054AA" w14:paraId="7F79C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C1AE94" w14:textId="77777777" w:rsidR="006054AA" w:rsidRDefault="001F7667">
            <w:pPr>
              <w:pStyle w:val="P68B1DB1-Normal12"/>
              <w:jc w:val="center"/>
              <w:rPr>
                <w:noProof/>
              </w:rPr>
            </w:pPr>
            <w:r>
              <w:rPr>
                <w:noProof/>
              </w:rPr>
              <w:t>M2C3—3</w:t>
            </w:r>
          </w:p>
        </w:tc>
        <w:tc>
          <w:tcPr>
            <w:tcW w:w="3150" w:type="dxa"/>
            <w:tcBorders>
              <w:top w:val="nil"/>
              <w:left w:val="nil"/>
              <w:bottom w:val="single" w:sz="4" w:space="0" w:color="auto"/>
              <w:right w:val="single" w:sz="4" w:space="0" w:color="auto"/>
            </w:tcBorders>
            <w:shd w:val="clear" w:color="auto" w:fill="C6EFCE"/>
            <w:noWrap/>
            <w:vAlign w:val="center"/>
          </w:tcPr>
          <w:p w14:paraId="5A532268" w14:textId="77777777" w:rsidR="006054AA" w:rsidRDefault="001F7667">
            <w:pPr>
              <w:pStyle w:val="P68B1DB1-Normal12"/>
              <w:jc w:val="center"/>
              <w:rPr>
                <w:noProof/>
              </w:rPr>
            </w:pPr>
            <w:r>
              <w:rPr>
                <w:noProof/>
              </w:rPr>
              <w:t xml:space="preserve">Инвестиция 2.1 — Укрепване на Ecobonus за енергийна ефективност </w:t>
            </w:r>
          </w:p>
        </w:tc>
        <w:tc>
          <w:tcPr>
            <w:tcW w:w="1425" w:type="dxa"/>
            <w:tcBorders>
              <w:top w:val="nil"/>
              <w:left w:val="nil"/>
              <w:bottom w:val="single" w:sz="4" w:space="0" w:color="auto"/>
              <w:right w:val="single" w:sz="4" w:space="0" w:color="auto"/>
            </w:tcBorders>
            <w:shd w:val="clear" w:color="auto" w:fill="C6EFCE"/>
            <w:noWrap/>
            <w:vAlign w:val="center"/>
          </w:tcPr>
          <w:p w14:paraId="425BC3ED"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55783443" w14:textId="77777777" w:rsidR="006054AA" w:rsidRDefault="001F7667">
            <w:pPr>
              <w:pStyle w:val="P68B1DB1-Normal12"/>
              <w:rPr>
                <w:noProof/>
              </w:rPr>
            </w:pPr>
            <w:r>
              <w:rPr>
                <w:noProof/>
              </w:rPr>
              <w:t>Саниране на сгради Superbonus T2</w:t>
            </w:r>
          </w:p>
        </w:tc>
      </w:tr>
      <w:tr w:rsidR="006054AA" w14:paraId="0ACEDC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944B" w14:textId="77777777" w:rsidR="006054AA" w:rsidRDefault="001F7667">
            <w:pPr>
              <w:pStyle w:val="P68B1DB1-Normal12"/>
              <w:jc w:val="center"/>
              <w:rPr>
                <w:noProof/>
              </w:rPr>
            </w:pPr>
            <w:r>
              <w:rPr>
                <w:noProof/>
              </w:rPr>
              <w:t>M4C1—13</w:t>
            </w:r>
          </w:p>
        </w:tc>
        <w:tc>
          <w:tcPr>
            <w:tcW w:w="3150" w:type="dxa"/>
            <w:tcBorders>
              <w:top w:val="nil"/>
              <w:left w:val="nil"/>
              <w:bottom w:val="single" w:sz="4" w:space="0" w:color="auto"/>
              <w:right w:val="single" w:sz="4" w:space="0" w:color="auto"/>
            </w:tcBorders>
            <w:shd w:val="clear" w:color="auto" w:fill="C6EFCE"/>
            <w:noWrap/>
            <w:vAlign w:val="center"/>
          </w:tcPr>
          <w:p w14:paraId="2F02F277" w14:textId="77777777" w:rsidR="006054AA" w:rsidRDefault="001F7667">
            <w:pPr>
              <w:pStyle w:val="P68B1DB1-Normal12"/>
              <w:jc w:val="center"/>
              <w:rPr>
                <w:noProof/>
              </w:rPr>
            </w:pPr>
            <w:r>
              <w:rPr>
                <w:noProof/>
              </w:rPr>
              <w:t>Инвестиция 2.1: Интегрирано цифрово преподаване и обучение относно цифровата трансформация за училищния персонал;</w:t>
            </w:r>
          </w:p>
        </w:tc>
        <w:tc>
          <w:tcPr>
            <w:tcW w:w="1425" w:type="dxa"/>
            <w:tcBorders>
              <w:top w:val="nil"/>
              <w:left w:val="nil"/>
              <w:bottom w:val="single" w:sz="4" w:space="0" w:color="auto"/>
              <w:right w:val="single" w:sz="4" w:space="0" w:color="auto"/>
            </w:tcBorders>
            <w:shd w:val="clear" w:color="auto" w:fill="C6EFCE"/>
            <w:noWrap/>
            <w:vAlign w:val="center"/>
          </w:tcPr>
          <w:p w14:paraId="1F1C8464"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240FBCE8" w14:textId="77777777" w:rsidR="006054AA" w:rsidRDefault="001F7667">
            <w:pPr>
              <w:pStyle w:val="P68B1DB1-Normal12"/>
              <w:rPr>
                <w:noProof/>
              </w:rPr>
            </w:pPr>
            <w:r>
              <w:rPr>
                <w:noProof/>
              </w:rPr>
              <w:t xml:space="preserve">Обучение на училищни ръководители, учители и административен персонал    </w:t>
            </w:r>
          </w:p>
        </w:tc>
      </w:tr>
      <w:tr w:rsidR="006054AA" w14:paraId="389EDB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E1D0FD" w14:textId="77777777" w:rsidR="006054AA" w:rsidRDefault="001F7667">
            <w:pPr>
              <w:pStyle w:val="P68B1DB1-Normal12"/>
              <w:jc w:val="center"/>
              <w:rPr>
                <w:noProof/>
              </w:rPr>
            </w:pPr>
            <w:r>
              <w:rPr>
                <w:noProof/>
              </w:rPr>
              <w:t>M4C1—15 bis</w:t>
            </w:r>
          </w:p>
        </w:tc>
        <w:tc>
          <w:tcPr>
            <w:tcW w:w="3150" w:type="dxa"/>
            <w:tcBorders>
              <w:top w:val="nil"/>
              <w:left w:val="nil"/>
              <w:bottom w:val="single" w:sz="4" w:space="0" w:color="auto"/>
              <w:right w:val="single" w:sz="4" w:space="0" w:color="auto"/>
            </w:tcBorders>
            <w:shd w:val="clear" w:color="auto" w:fill="C6EFCE"/>
            <w:noWrap/>
            <w:vAlign w:val="center"/>
          </w:tcPr>
          <w:p w14:paraId="3E1B528D" w14:textId="77777777" w:rsidR="006054AA" w:rsidRDefault="001F7667">
            <w:pPr>
              <w:pStyle w:val="P68B1DB1-Normal12"/>
              <w:jc w:val="center"/>
              <w:rPr>
                <w:noProof/>
              </w:rPr>
            </w:pPr>
            <w:r>
              <w:rPr>
                <w:noProof/>
              </w:rPr>
              <w:t>Инвестиция 1.7: Стипендии за достъп до университет</w:t>
            </w:r>
          </w:p>
        </w:tc>
        <w:tc>
          <w:tcPr>
            <w:tcW w:w="1425" w:type="dxa"/>
            <w:tcBorders>
              <w:top w:val="nil"/>
              <w:left w:val="nil"/>
              <w:bottom w:val="single" w:sz="4" w:space="0" w:color="auto"/>
              <w:right w:val="single" w:sz="4" w:space="0" w:color="auto"/>
            </w:tcBorders>
            <w:shd w:val="clear" w:color="auto" w:fill="C6EFCE"/>
            <w:noWrap/>
            <w:vAlign w:val="center"/>
          </w:tcPr>
          <w:p w14:paraId="393AC07E"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1DF77060" w14:textId="77777777" w:rsidR="006054AA" w:rsidRDefault="001F7667">
            <w:pPr>
              <w:pStyle w:val="P68B1DB1-Normal12"/>
              <w:rPr>
                <w:noProof/>
              </w:rPr>
            </w:pPr>
            <w:r>
              <w:rPr>
                <w:noProof/>
              </w:rPr>
              <w:t>Отпуснати стипендии за достъп до университет</w:t>
            </w:r>
          </w:p>
        </w:tc>
      </w:tr>
      <w:tr w:rsidR="006054AA" w14:paraId="63D613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48788B" w14:textId="77777777" w:rsidR="006054AA" w:rsidRDefault="001F7667">
            <w:pPr>
              <w:pStyle w:val="P68B1DB1-Normal12"/>
              <w:jc w:val="center"/>
              <w:rPr>
                <w:noProof/>
              </w:rPr>
            </w:pPr>
            <w:r>
              <w:rPr>
                <w:noProof/>
              </w:rPr>
              <w:t>M4C1—19</w:t>
            </w:r>
          </w:p>
        </w:tc>
        <w:tc>
          <w:tcPr>
            <w:tcW w:w="3150" w:type="dxa"/>
            <w:tcBorders>
              <w:top w:val="nil"/>
              <w:left w:val="nil"/>
              <w:bottom w:val="single" w:sz="4" w:space="0" w:color="auto"/>
              <w:right w:val="single" w:sz="4" w:space="0" w:color="auto"/>
            </w:tcBorders>
            <w:shd w:val="clear" w:color="auto" w:fill="C6EFCE"/>
            <w:noWrap/>
            <w:vAlign w:val="center"/>
          </w:tcPr>
          <w:p w14:paraId="14454F41" w14:textId="77777777" w:rsidR="006054AA" w:rsidRDefault="001F7667">
            <w:pPr>
              <w:pStyle w:val="P68B1DB1-Normal12"/>
              <w:jc w:val="center"/>
              <w:rPr>
                <w:noProof/>
              </w:rPr>
            </w:pPr>
            <w:r>
              <w:rPr>
                <w:noProof/>
              </w:rPr>
              <w:t>Инвестиция 3.2: Училище 4.0: иновативни училища, окабеляване, нови класни стаи и семинари</w:t>
            </w:r>
          </w:p>
        </w:tc>
        <w:tc>
          <w:tcPr>
            <w:tcW w:w="1425" w:type="dxa"/>
            <w:tcBorders>
              <w:top w:val="nil"/>
              <w:left w:val="nil"/>
              <w:bottom w:val="single" w:sz="4" w:space="0" w:color="auto"/>
              <w:right w:val="single" w:sz="4" w:space="0" w:color="auto"/>
            </w:tcBorders>
            <w:shd w:val="clear" w:color="auto" w:fill="C6EFCE"/>
            <w:noWrap/>
            <w:vAlign w:val="center"/>
          </w:tcPr>
          <w:p w14:paraId="41FE3386"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500B7D63" w14:textId="77777777" w:rsidR="006054AA" w:rsidRDefault="001F7667">
            <w:pPr>
              <w:pStyle w:val="P68B1DB1-Normal12"/>
              <w:rPr>
                <w:noProof/>
              </w:rPr>
            </w:pPr>
            <w:r>
              <w:rPr>
                <w:noProof/>
              </w:rPr>
              <w:t>Часовете се трансформират в иновативна учебна среда благодарение на Училище 4.0</w:t>
            </w:r>
          </w:p>
        </w:tc>
      </w:tr>
      <w:tr w:rsidR="006054AA" w14:paraId="520962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B371D2" w14:textId="77777777" w:rsidR="006054AA" w:rsidRDefault="001F7667">
            <w:pPr>
              <w:pStyle w:val="P68B1DB1-Normal12"/>
              <w:jc w:val="center"/>
              <w:rPr>
                <w:noProof/>
              </w:rPr>
            </w:pPr>
            <w:r>
              <w:rPr>
                <w:noProof/>
              </w:rPr>
              <w:t>M4C1—20</w:t>
            </w:r>
          </w:p>
        </w:tc>
        <w:tc>
          <w:tcPr>
            <w:tcW w:w="3150" w:type="dxa"/>
            <w:tcBorders>
              <w:top w:val="nil"/>
              <w:left w:val="nil"/>
              <w:bottom w:val="single" w:sz="4" w:space="0" w:color="auto"/>
              <w:right w:val="single" w:sz="4" w:space="0" w:color="auto"/>
            </w:tcBorders>
            <w:shd w:val="clear" w:color="auto" w:fill="C6EFCE"/>
            <w:noWrap/>
            <w:vAlign w:val="center"/>
          </w:tcPr>
          <w:p w14:paraId="4D22547D" w14:textId="77777777" w:rsidR="006054AA" w:rsidRDefault="001F7667">
            <w:pPr>
              <w:pStyle w:val="P68B1DB1-Normal12"/>
              <w:jc w:val="center"/>
              <w:rPr>
                <w:noProof/>
              </w:rPr>
            </w:pPr>
            <w:r>
              <w:rPr>
                <w:noProof/>
              </w:rPr>
              <w:t>Инвестиция 1.5: Развитие на системата за висше професионално обучение (ИТС)</w:t>
            </w:r>
          </w:p>
        </w:tc>
        <w:tc>
          <w:tcPr>
            <w:tcW w:w="1425" w:type="dxa"/>
            <w:tcBorders>
              <w:top w:val="nil"/>
              <w:left w:val="nil"/>
              <w:bottom w:val="single" w:sz="4" w:space="0" w:color="auto"/>
              <w:right w:val="single" w:sz="4" w:space="0" w:color="auto"/>
            </w:tcBorders>
            <w:shd w:val="clear" w:color="auto" w:fill="C6EFCE"/>
            <w:noWrap/>
            <w:vAlign w:val="center"/>
          </w:tcPr>
          <w:p w14:paraId="39101906"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399CDE4F" w14:textId="77777777" w:rsidR="006054AA" w:rsidRDefault="001F7667">
            <w:pPr>
              <w:pStyle w:val="P68B1DB1-Normal12"/>
              <w:rPr>
                <w:noProof/>
              </w:rPr>
            </w:pPr>
            <w:r>
              <w:rPr>
                <w:noProof/>
              </w:rPr>
              <w:t>Брой ученици, записани в системата за професионално обучение (ИТС)</w:t>
            </w:r>
          </w:p>
        </w:tc>
      </w:tr>
      <w:tr w:rsidR="006054AA" w14:paraId="7EDDF8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12C93E" w14:textId="77777777" w:rsidR="006054AA" w:rsidRDefault="001F7667">
            <w:pPr>
              <w:pStyle w:val="P68B1DB1-Normal12"/>
              <w:jc w:val="center"/>
              <w:rPr>
                <w:noProof/>
              </w:rPr>
            </w:pPr>
            <w:r>
              <w:rPr>
                <w:noProof/>
              </w:rPr>
              <w:t>M4C1—20 bis</w:t>
            </w:r>
          </w:p>
        </w:tc>
        <w:tc>
          <w:tcPr>
            <w:tcW w:w="3150" w:type="dxa"/>
            <w:tcBorders>
              <w:top w:val="nil"/>
              <w:left w:val="nil"/>
              <w:bottom w:val="single" w:sz="4" w:space="0" w:color="auto"/>
              <w:right w:val="single" w:sz="4" w:space="0" w:color="auto"/>
            </w:tcBorders>
            <w:shd w:val="clear" w:color="auto" w:fill="C6EFCE"/>
            <w:noWrap/>
            <w:vAlign w:val="center"/>
          </w:tcPr>
          <w:p w14:paraId="64BF25D7" w14:textId="77777777" w:rsidR="006054AA" w:rsidRDefault="001F7667">
            <w:pPr>
              <w:pStyle w:val="P68B1DB1-Normal12"/>
              <w:jc w:val="center"/>
              <w:rPr>
                <w:noProof/>
              </w:rPr>
            </w:pPr>
            <w:r>
              <w:rPr>
                <w:noProof/>
              </w:rPr>
              <w:t xml:space="preserve">Инвестиция 1.5: Развитие на системата за висше професионално обучение (ИТС) </w:t>
            </w:r>
          </w:p>
        </w:tc>
        <w:tc>
          <w:tcPr>
            <w:tcW w:w="1425" w:type="dxa"/>
            <w:tcBorders>
              <w:top w:val="nil"/>
              <w:left w:val="nil"/>
              <w:bottom w:val="single" w:sz="4" w:space="0" w:color="auto"/>
              <w:right w:val="single" w:sz="4" w:space="0" w:color="auto"/>
            </w:tcBorders>
            <w:shd w:val="clear" w:color="auto" w:fill="C6EFCE"/>
            <w:noWrap/>
            <w:vAlign w:val="center"/>
          </w:tcPr>
          <w:p w14:paraId="141B8C8A" w14:textId="77777777" w:rsidR="006054AA" w:rsidRDefault="001F7667">
            <w:pPr>
              <w:pStyle w:val="P68B1DB1-Normal12"/>
              <w:jc w:val="center"/>
              <w:rPr>
                <w:noProof/>
              </w:rPr>
            </w:pPr>
            <w:r>
              <w:rPr>
                <w:noProof/>
              </w:rPr>
              <w:t>Ключов етап</w:t>
            </w:r>
          </w:p>
        </w:tc>
        <w:tc>
          <w:tcPr>
            <w:tcW w:w="3959" w:type="dxa"/>
            <w:tcBorders>
              <w:top w:val="nil"/>
              <w:left w:val="nil"/>
              <w:bottom w:val="single" w:sz="4" w:space="0" w:color="auto"/>
              <w:right w:val="single" w:sz="4" w:space="0" w:color="auto"/>
            </w:tcBorders>
            <w:shd w:val="clear" w:color="auto" w:fill="C6EFCE"/>
            <w:noWrap/>
            <w:vAlign w:val="center"/>
          </w:tcPr>
          <w:p w14:paraId="7FEB3F07" w14:textId="77777777" w:rsidR="006054AA" w:rsidRDefault="001F7667">
            <w:pPr>
              <w:pStyle w:val="P68B1DB1-Normal12"/>
              <w:rPr>
                <w:noProof/>
              </w:rPr>
            </w:pPr>
            <w:r>
              <w:rPr>
                <w:noProof/>
              </w:rPr>
              <w:t xml:space="preserve">Прилагане на новата национална система за мониторинг </w:t>
            </w:r>
          </w:p>
        </w:tc>
      </w:tr>
      <w:tr w:rsidR="006054AA" w14:paraId="4A5E36F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A1F45C" w14:textId="77777777" w:rsidR="006054AA" w:rsidRDefault="001F7667">
            <w:pPr>
              <w:pStyle w:val="P68B1DB1-Normal12"/>
              <w:jc w:val="center"/>
              <w:rPr>
                <w:noProof/>
              </w:rPr>
            </w:pPr>
            <w:r>
              <w:rPr>
                <w:noProof/>
              </w:rPr>
              <w:t>M4C2—2</w:t>
            </w:r>
          </w:p>
        </w:tc>
        <w:tc>
          <w:tcPr>
            <w:tcW w:w="3150" w:type="dxa"/>
            <w:tcBorders>
              <w:top w:val="nil"/>
              <w:left w:val="nil"/>
              <w:bottom w:val="single" w:sz="4" w:space="0" w:color="auto"/>
              <w:right w:val="single" w:sz="4" w:space="0" w:color="auto"/>
            </w:tcBorders>
            <w:shd w:val="clear" w:color="auto" w:fill="C6EFCE"/>
            <w:noWrap/>
            <w:vAlign w:val="center"/>
          </w:tcPr>
          <w:p w14:paraId="74282371" w14:textId="77777777" w:rsidR="006054AA" w:rsidRDefault="001F7667">
            <w:pPr>
              <w:pStyle w:val="P68B1DB1-Normal12"/>
              <w:jc w:val="center"/>
              <w:rPr>
                <w:noProof/>
              </w:rPr>
            </w:pPr>
            <w:r>
              <w:rPr>
                <w:noProof/>
              </w:rPr>
              <w:t>Инвестиция 2.2: Партньорства в областта на научните изследвания и иновациите — „Хоризонт Европа“</w:t>
            </w:r>
          </w:p>
        </w:tc>
        <w:tc>
          <w:tcPr>
            <w:tcW w:w="1425" w:type="dxa"/>
            <w:tcBorders>
              <w:top w:val="nil"/>
              <w:left w:val="nil"/>
              <w:bottom w:val="single" w:sz="4" w:space="0" w:color="auto"/>
              <w:right w:val="single" w:sz="4" w:space="0" w:color="auto"/>
            </w:tcBorders>
            <w:shd w:val="clear" w:color="auto" w:fill="C6EFCE"/>
            <w:noWrap/>
            <w:vAlign w:val="center"/>
          </w:tcPr>
          <w:p w14:paraId="42E4A4D4"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58943FBE" w14:textId="77777777" w:rsidR="006054AA" w:rsidRDefault="001F7667">
            <w:pPr>
              <w:pStyle w:val="P68B1DB1-Normal12"/>
              <w:rPr>
                <w:noProof/>
              </w:rPr>
            </w:pPr>
            <w:r>
              <w:rPr>
                <w:noProof/>
              </w:rPr>
              <w:t>Брой на проектите от дружества, получили безвъзмездни средства</w:t>
            </w:r>
          </w:p>
        </w:tc>
      </w:tr>
      <w:tr w:rsidR="006054AA" w14:paraId="5D560A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4F05" w14:textId="77777777" w:rsidR="006054AA" w:rsidRDefault="001F7667">
            <w:pPr>
              <w:pStyle w:val="P68B1DB1-Normal12"/>
              <w:jc w:val="center"/>
              <w:rPr>
                <w:noProof/>
              </w:rPr>
            </w:pPr>
            <w:r>
              <w:rPr>
                <w:noProof/>
              </w:rPr>
              <w:t xml:space="preserve">M5C1—3 </w:t>
            </w:r>
          </w:p>
        </w:tc>
        <w:tc>
          <w:tcPr>
            <w:tcW w:w="3150" w:type="dxa"/>
            <w:tcBorders>
              <w:top w:val="nil"/>
              <w:left w:val="nil"/>
              <w:bottom w:val="single" w:sz="4" w:space="0" w:color="auto"/>
              <w:right w:val="single" w:sz="4" w:space="0" w:color="auto"/>
            </w:tcBorders>
            <w:shd w:val="clear" w:color="auto" w:fill="C6EFCE"/>
            <w:noWrap/>
            <w:vAlign w:val="center"/>
          </w:tcPr>
          <w:p w14:paraId="3E9434C1" w14:textId="77777777" w:rsidR="006054AA" w:rsidRDefault="001F7667">
            <w:pPr>
              <w:pStyle w:val="P68B1DB1-Normal12"/>
              <w:jc w:val="center"/>
              <w:rPr>
                <w:noProof/>
              </w:rPr>
            </w:pPr>
            <w:r>
              <w:rPr>
                <w:noProof/>
              </w:rPr>
              <w:t>Реформа 1 — АППТ и професионално обучение</w:t>
            </w:r>
          </w:p>
        </w:tc>
        <w:tc>
          <w:tcPr>
            <w:tcW w:w="1425" w:type="dxa"/>
            <w:tcBorders>
              <w:top w:val="nil"/>
              <w:left w:val="nil"/>
              <w:bottom w:val="single" w:sz="4" w:space="0" w:color="auto"/>
              <w:right w:val="single" w:sz="4" w:space="0" w:color="auto"/>
            </w:tcBorders>
            <w:shd w:val="clear" w:color="auto" w:fill="C6EFCE"/>
            <w:noWrap/>
            <w:vAlign w:val="center"/>
          </w:tcPr>
          <w:p w14:paraId="56B8A3F5"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0476D1AA" w14:textId="77777777" w:rsidR="006054AA" w:rsidRDefault="001F7667">
            <w:pPr>
              <w:pStyle w:val="P68B1DB1-Normal12"/>
              <w:rPr>
                <w:noProof/>
              </w:rPr>
            </w:pPr>
            <w:r>
              <w:rPr>
                <w:noProof/>
              </w:rPr>
              <w:t xml:space="preserve">Хора, обхванати от програмата за гарантирана заетост на работниците (GOL) </w:t>
            </w:r>
          </w:p>
        </w:tc>
      </w:tr>
      <w:tr w:rsidR="006054AA" w14:paraId="0CA260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D21D25" w14:textId="77777777" w:rsidR="006054AA" w:rsidRDefault="001F7667">
            <w:pPr>
              <w:pStyle w:val="P68B1DB1-Normal12"/>
              <w:jc w:val="center"/>
              <w:rPr>
                <w:noProof/>
              </w:rPr>
            </w:pPr>
            <w:r>
              <w:rPr>
                <w:noProof/>
              </w:rPr>
              <w:t xml:space="preserve">M5C1—4 </w:t>
            </w:r>
          </w:p>
        </w:tc>
        <w:tc>
          <w:tcPr>
            <w:tcW w:w="3150" w:type="dxa"/>
            <w:tcBorders>
              <w:top w:val="nil"/>
              <w:left w:val="nil"/>
              <w:bottom w:val="single" w:sz="4" w:space="0" w:color="auto"/>
              <w:right w:val="single" w:sz="4" w:space="0" w:color="auto"/>
            </w:tcBorders>
            <w:shd w:val="clear" w:color="auto" w:fill="C6EFCE"/>
            <w:noWrap/>
            <w:vAlign w:val="center"/>
          </w:tcPr>
          <w:p w14:paraId="3FB4ED62" w14:textId="77777777" w:rsidR="006054AA" w:rsidRDefault="001F7667">
            <w:pPr>
              <w:pStyle w:val="P68B1DB1-Normal12"/>
              <w:jc w:val="center"/>
              <w:rPr>
                <w:noProof/>
              </w:rPr>
            </w:pPr>
            <w:r>
              <w:rPr>
                <w:noProof/>
              </w:rPr>
              <w:t xml:space="preserve">Реформа 1 — АППТ и професионално обучение </w:t>
            </w:r>
          </w:p>
        </w:tc>
        <w:tc>
          <w:tcPr>
            <w:tcW w:w="1425" w:type="dxa"/>
            <w:tcBorders>
              <w:top w:val="nil"/>
              <w:left w:val="nil"/>
              <w:bottom w:val="single" w:sz="4" w:space="0" w:color="auto"/>
              <w:right w:val="single" w:sz="4" w:space="0" w:color="auto"/>
            </w:tcBorders>
            <w:shd w:val="clear" w:color="auto" w:fill="C6EFCE"/>
            <w:noWrap/>
            <w:vAlign w:val="center"/>
          </w:tcPr>
          <w:p w14:paraId="1B039362"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7339D4B7" w14:textId="77777777" w:rsidR="006054AA" w:rsidRDefault="001F7667">
            <w:pPr>
              <w:pStyle w:val="P68B1DB1-Normal12"/>
              <w:rPr>
                <w:noProof/>
              </w:rPr>
            </w:pPr>
            <w:r>
              <w:rPr>
                <w:noProof/>
              </w:rPr>
              <w:t xml:space="preserve">Гарантирана пригодност за заетост на бенефициерите на работниците са участвали в професионално обучение </w:t>
            </w:r>
          </w:p>
        </w:tc>
      </w:tr>
      <w:tr w:rsidR="006054AA" w14:paraId="128E9A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5FB70D" w14:textId="77777777" w:rsidR="006054AA" w:rsidRDefault="001F7667">
            <w:pPr>
              <w:pStyle w:val="P68B1DB1-Normal12"/>
              <w:jc w:val="center"/>
              <w:rPr>
                <w:noProof/>
              </w:rPr>
            </w:pPr>
            <w:r>
              <w:rPr>
                <w:noProof/>
              </w:rPr>
              <w:t xml:space="preserve">M5C1—5 </w:t>
            </w:r>
          </w:p>
        </w:tc>
        <w:tc>
          <w:tcPr>
            <w:tcW w:w="3150" w:type="dxa"/>
            <w:tcBorders>
              <w:top w:val="nil"/>
              <w:left w:val="nil"/>
              <w:bottom w:val="single" w:sz="4" w:space="0" w:color="auto"/>
              <w:right w:val="single" w:sz="4" w:space="0" w:color="auto"/>
            </w:tcBorders>
            <w:shd w:val="clear" w:color="auto" w:fill="C6EFCE"/>
            <w:noWrap/>
            <w:vAlign w:val="center"/>
          </w:tcPr>
          <w:p w14:paraId="0EFE4AC9" w14:textId="77777777" w:rsidR="006054AA" w:rsidRDefault="001F7667">
            <w:pPr>
              <w:pStyle w:val="P68B1DB1-Normal12"/>
              <w:jc w:val="center"/>
              <w:rPr>
                <w:noProof/>
              </w:rPr>
            </w:pPr>
            <w:r>
              <w:rPr>
                <w:noProof/>
              </w:rPr>
              <w:t>Реформа 1 — АППТ и професионално обучение</w:t>
            </w:r>
          </w:p>
        </w:tc>
        <w:tc>
          <w:tcPr>
            <w:tcW w:w="1425" w:type="dxa"/>
            <w:tcBorders>
              <w:top w:val="nil"/>
              <w:left w:val="nil"/>
              <w:bottom w:val="single" w:sz="4" w:space="0" w:color="auto"/>
              <w:right w:val="single" w:sz="4" w:space="0" w:color="auto"/>
            </w:tcBorders>
            <w:shd w:val="clear" w:color="auto" w:fill="C6EFCE"/>
            <w:noWrap/>
            <w:vAlign w:val="center"/>
          </w:tcPr>
          <w:p w14:paraId="4C87CB6C"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1093D63D" w14:textId="77777777" w:rsidR="006054AA" w:rsidRDefault="001F7667">
            <w:pPr>
              <w:pStyle w:val="P68B1DB1-Normal12"/>
              <w:rPr>
                <w:noProof/>
              </w:rPr>
            </w:pPr>
            <w:r>
              <w:rPr>
                <w:noProof/>
              </w:rPr>
              <w:t>Публичните служби по заетостта (ПСЗ) във всеки регион отговарят на критериите за основно равнище на услугите на ПСЗ, както е определено в програмата за гарантирана заетост на работниците (GOL)</w:t>
            </w:r>
          </w:p>
        </w:tc>
      </w:tr>
      <w:tr w:rsidR="006054AA" w14:paraId="5101DF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BBD822" w14:textId="77777777" w:rsidR="006054AA" w:rsidRDefault="001F7667">
            <w:pPr>
              <w:pStyle w:val="P68B1DB1-Normal12"/>
              <w:jc w:val="center"/>
              <w:rPr>
                <w:noProof/>
              </w:rPr>
            </w:pPr>
            <w:r>
              <w:rPr>
                <w:noProof/>
              </w:rPr>
              <w:t>M5C1—7</w:t>
            </w:r>
          </w:p>
        </w:tc>
        <w:tc>
          <w:tcPr>
            <w:tcW w:w="3150" w:type="dxa"/>
            <w:tcBorders>
              <w:top w:val="nil"/>
              <w:left w:val="nil"/>
              <w:bottom w:val="single" w:sz="4" w:space="0" w:color="auto"/>
              <w:right w:val="single" w:sz="4" w:space="0" w:color="auto"/>
            </w:tcBorders>
            <w:shd w:val="clear" w:color="auto" w:fill="C6EFCE"/>
            <w:noWrap/>
            <w:vAlign w:val="center"/>
          </w:tcPr>
          <w:p w14:paraId="585F324B" w14:textId="77777777" w:rsidR="006054AA" w:rsidRDefault="001F7667">
            <w:pPr>
              <w:pStyle w:val="P68B1DB1-Normal12"/>
              <w:jc w:val="center"/>
              <w:rPr>
                <w:noProof/>
              </w:rPr>
            </w:pPr>
            <w:r>
              <w:rPr>
                <w:noProof/>
              </w:rPr>
              <w:t xml:space="preserve">Инвестиция 1 — Укрепване на публичните служби по заетостта (ПСЗ) </w:t>
            </w:r>
          </w:p>
        </w:tc>
        <w:tc>
          <w:tcPr>
            <w:tcW w:w="1425" w:type="dxa"/>
            <w:tcBorders>
              <w:top w:val="nil"/>
              <w:left w:val="nil"/>
              <w:bottom w:val="single" w:sz="4" w:space="0" w:color="auto"/>
              <w:right w:val="single" w:sz="4" w:space="0" w:color="auto"/>
            </w:tcBorders>
            <w:shd w:val="clear" w:color="auto" w:fill="C6EFCE"/>
            <w:noWrap/>
            <w:vAlign w:val="center"/>
          </w:tcPr>
          <w:p w14:paraId="57194BF3"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008387EA" w14:textId="77777777" w:rsidR="006054AA" w:rsidRDefault="001F7667">
            <w:pPr>
              <w:pStyle w:val="P68B1DB1-Normal12"/>
              <w:rPr>
                <w:noProof/>
              </w:rPr>
            </w:pPr>
            <w:r>
              <w:rPr>
                <w:noProof/>
              </w:rPr>
              <w:t>Публичните служби по заетостта (ПСЗ) приключиха дейностите, предвидени в плана за укрепване</w:t>
            </w:r>
          </w:p>
        </w:tc>
      </w:tr>
      <w:tr w:rsidR="006054AA" w14:paraId="57952F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01E6E" w14:textId="77777777" w:rsidR="006054AA" w:rsidRDefault="001F7667">
            <w:pPr>
              <w:pStyle w:val="P68B1DB1-Normal12"/>
              <w:jc w:val="center"/>
              <w:rPr>
                <w:noProof/>
              </w:rPr>
            </w:pPr>
            <w:r>
              <w:rPr>
                <w:noProof/>
              </w:rPr>
              <w:t>M5C1—15</w:t>
            </w:r>
          </w:p>
        </w:tc>
        <w:tc>
          <w:tcPr>
            <w:tcW w:w="3150" w:type="dxa"/>
            <w:tcBorders>
              <w:top w:val="nil"/>
              <w:left w:val="nil"/>
              <w:bottom w:val="single" w:sz="4" w:space="0" w:color="auto"/>
              <w:right w:val="single" w:sz="4" w:space="0" w:color="auto"/>
            </w:tcBorders>
            <w:shd w:val="clear" w:color="auto" w:fill="C6EFCE"/>
            <w:noWrap/>
            <w:vAlign w:val="center"/>
          </w:tcPr>
          <w:p w14:paraId="63FC53A0" w14:textId="77777777" w:rsidR="006054AA" w:rsidRDefault="001F7667">
            <w:pPr>
              <w:pStyle w:val="P68B1DB1-Normal12"/>
              <w:jc w:val="center"/>
              <w:rPr>
                <w:noProof/>
              </w:rPr>
            </w:pPr>
            <w:r>
              <w:rPr>
                <w:noProof/>
              </w:rPr>
              <w:t>Инвестиция 3 — Укрепване на двойната система</w:t>
            </w:r>
          </w:p>
        </w:tc>
        <w:tc>
          <w:tcPr>
            <w:tcW w:w="1425" w:type="dxa"/>
            <w:tcBorders>
              <w:top w:val="nil"/>
              <w:left w:val="nil"/>
              <w:bottom w:val="single" w:sz="4" w:space="0" w:color="auto"/>
              <w:right w:val="single" w:sz="4" w:space="0" w:color="auto"/>
            </w:tcBorders>
            <w:shd w:val="clear" w:color="auto" w:fill="C6EFCE"/>
            <w:noWrap/>
            <w:vAlign w:val="center"/>
          </w:tcPr>
          <w:p w14:paraId="62211004"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29706310" w14:textId="77777777" w:rsidR="006054AA" w:rsidRDefault="001F7667">
            <w:pPr>
              <w:pStyle w:val="P68B1DB1-Normal12"/>
              <w:rPr>
                <w:noProof/>
              </w:rPr>
            </w:pPr>
            <w:r>
              <w:rPr>
                <w:noProof/>
              </w:rPr>
              <w:t>Лица, които са участвали в двойната система и са получили съответното сертифициране през петгодишния период 2021—2025 г.</w:t>
            </w:r>
          </w:p>
        </w:tc>
      </w:tr>
      <w:tr w:rsidR="006054AA" w14:paraId="02CBCC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3C2368" w14:textId="77777777" w:rsidR="006054AA" w:rsidRDefault="001F7667">
            <w:pPr>
              <w:pStyle w:val="P68B1DB1-Normal12"/>
              <w:jc w:val="center"/>
              <w:rPr>
                <w:noProof/>
              </w:rPr>
            </w:pPr>
            <w:r>
              <w:rPr>
                <w:noProof/>
              </w:rPr>
              <w:t>M6C2—2</w:t>
            </w:r>
          </w:p>
        </w:tc>
        <w:tc>
          <w:tcPr>
            <w:tcW w:w="3150" w:type="dxa"/>
            <w:tcBorders>
              <w:top w:val="nil"/>
              <w:left w:val="nil"/>
              <w:bottom w:val="single" w:sz="4" w:space="0" w:color="auto"/>
              <w:right w:val="single" w:sz="4" w:space="0" w:color="auto"/>
            </w:tcBorders>
            <w:shd w:val="clear" w:color="auto" w:fill="C6EFCE"/>
            <w:noWrap/>
            <w:vAlign w:val="center"/>
          </w:tcPr>
          <w:p w14:paraId="4B26FA0A" w14:textId="77777777" w:rsidR="006054AA" w:rsidRDefault="001F7667">
            <w:pPr>
              <w:pStyle w:val="P68B1DB1-Normal12"/>
              <w:jc w:val="center"/>
              <w:rPr>
                <w:noProof/>
              </w:rPr>
            </w:pPr>
            <w:r>
              <w:rPr>
                <w:noProof/>
              </w:rPr>
              <w:t>Инвестиция 2.1: Укрепване и засилване на биомедицинските изследвания на Националната здравна служба</w:t>
            </w:r>
          </w:p>
        </w:tc>
        <w:tc>
          <w:tcPr>
            <w:tcW w:w="1425" w:type="dxa"/>
            <w:tcBorders>
              <w:top w:val="nil"/>
              <w:left w:val="nil"/>
              <w:bottom w:val="single" w:sz="4" w:space="0" w:color="auto"/>
              <w:right w:val="single" w:sz="4" w:space="0" w:color="auto"/>
            </w:tcBorders>
            <w:shd w:val="clear" w:color="auto" w:fill="C6EFCE"/>
            <w:noWrap/>
            <w:vAlign w:val="center"/>
          </w:tcPr>
          <w:p w14:paraId="31532062"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5D0E25C5" w14:textId="77777777" w:rsidR="006054AA" w:rsidRDefault="001F7667">
            <w:pPr>
              <w:pStyle w:val="P68B1DB1-Normal12"/>
              <w:rPr>
                <w:noProof/>
              </w:rPr>
            </w:pPr>
            <w:r>
              <w:rPr>
                <w:noProof/>
              </w:rPr>
              <w:t>Финансирани научноизследователски проекти в областта на редките ракови заболявания и заболявания</w:t>
            </w:r>
          </w:p>
        </w:tc>
      </w:tr>
      <w:tr w:rsidR="006054AA" w14:paraId="070E19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603EF4" w14:textId="77777777" w:rsidR="006054AA" w:rsidRDefault="001F7667">
            <w:pPr>
              <w:pStyle w:val="P68B1DB1-Normal12"/>
              <w:jc w:val="center"/>
              <w:rPr>
                <w:noProof/>
              </w:rPr>
            </w:pPr>
            <w:r>
              <w:rPr>
                <w:noProof/>
              </w:rPr>
              <w:t>M6C2—3</w:t>
            </w:r>
          </w:p>
        </w:tc>
        <w:tc>
          <w:tcPr>
            <w:tcW w:w="3150" w:type="dxa"/>
            <w:tcBorders>
              <w:top w:val="nil"/>
              <w:left w:val="nil"/>
              <w:bottom w:val="single" w:sz="4" w:space="0" w:color="auto"/>
              <w:right w:val="single" w:sz="4" w:space="0" w:color="auto"/>
            </w:tcBorders>
            <w:shd w:val="clear" w:color="auto" w:fill="C6EFCE"/>
            <w:noWrap/>
            <w:vAlign w:val="center"/>
          </w:tcPr>
          <w:p w14:paraId="0A5BF8E1" w14:textId="77777777" w:rsidR="006054AA" w:rsidRDefault="001F7667">
            <w:pPr>
              <w:pStyle w:val="P68B1DB1-Normal12"/>
              <w:jc w:val="center"/>
              <w:rPr>
                <w:noProof/>
              </w:rPr>
            </w:pPr>
            <w:r>
              <w:rPr>
                <w:noProof/>
              </w:rPr>
              <w:t>Инвестиция 2.1: Укрепване и засилване на биомедицинските изследвания на Националната здравна служба</w:t>
            </w:r>
          </w:p>
        </w:tc>
        <w:tc>
          <w:tcPr>
            <w:tcW w:w="1425" w:type="dxa"/>
            <w:tcBorders>
              <w:top w:val="nil"/>
              <w:left w:val="nil"/>
              <w:bottom w:val="single" w:sz="4" w:space="0" w:color="auto"/>
              <w:right w:val="single" w:sz="4" w:space="0" w:color="auto"/>
            </w:tcBorders>
            <w:shd w:val="clear" w:color="auto" w:fill="C6EFCE"/>
            <w:noWrap/>
            <w:vAlign w:val="center"/>
          </w:tcPr>
          <w:p w14:paraId="056778E1"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6D94F87F" w14:textId="77777777" w:rsidR="006054AA" w:rsidRDefault="001F7667">
            <w:pPr>
              <w:pStyle w:val="P68B1DB1-Normal12"/>
              <w:rPr>
                <w:noProof/>
              </w:rPr>
            </w:pPr>
            <w:r>
              <w:rPr>
                <w:noProof/>
              </w:rPr>
              <w:t>Финансирани научноизследователски проекти в областта на заболяванията със силно въздействие върху здравето</w:t>
            </w:r>
          </w:p>
        </w:tc>
      </w:tr>
      <w:tr w:rsidR="006054AA" w14:paraId="379989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E787C5" w14:textId="77777777" w:rsidR="006054AA" w:rsidRDefault="001F7667">
            <w:pPr>
              <w:pStyle w:val="P68B1DB1-Normal12"/>
              <w:jc w:val="center"/>
              <w:rPr>
                <w:noProof/>
              </w:rPr>
            </w:pPr>
            <w:r>
              <w:rPr>
                <w:noProof/>
              </w:rPr>
              <w:t>M7—3</w:t>
            </w:r>
          </w:p>
        </w:tc>
        <w:tc>
          <w:tcPr>
            <w:tcW w:w="3150" w:type="dxa"/>
            <w:tcBorders>
              <w:top w:val="nil"/>
              <w:left w:val="nil"/>
              <w:bottom w:val="single" w:sz="4" w:space="0" w:color="auto"/>
              <w:right w:val="single" w:sz="4" w:space="0" w:color="auto"/>
            </w:tcBorders>
            <w:shd w:val="clear" w:color="auto" w:fill="C6EFCE"/>
            <w:noWrap/>
            <w:vAlign w:val="center"/>
          </w:tcPr>
          <w:p w14:paraId="4750568D" w14:textId="77777777" w:rsidR="006054AA" w:rsidRDefault="001F7667">
            <w:pPr>
              <w:pStyle w:val="P68B1DB1-Normal12"/>
              <w:rPr>
                <w:noProof/>
              </w:rPr>
            </w:pPr>
            <w:r>
              <w:rPr>
                <w:noProof/>
              </w:rPr>
              <w:t xml:space="preserve">Реформа 1: Рационализиране на процедурите за издаване на разрешения за енергия от възобновяеми източници </w:t>
            </w:r>
          </w:p>
        </w:tc>
        <w:tc>
          <w:tcPr>
            <w:tcW w:w="1425" w:type="dxa"/>
            <w:tcBorders>
              <w:top w:val="nil"/>
              <w:left w:val="nil"/>
              <w:bottom w:val="single" w:sz="4" w:space="0" w:color="auto"/>
              <w:right w:val="single" w:sz="4" w:space="0" w:color="auto"/>
            </w:tcBorders>
            <w:shd w:val="clear" w:color="auto" w:fill="C6EFCE"/>
            <w:noWrap/>
            <w:vAlign w:val="center"/>
          </w:tcPr>
          <w:p w14:paraId="70152BB9" w14:textId="77777777" w:rsidR="006054AA" w:rsidRDefault="001F7667">
            <w:pPr>
              <w:pStyle w:val="P68B1DB1-Normal12"/>
              <w:jc w:val="center"/>
              <w:rPr>
                <w:noProof/>
              </w:rPr>
            </w:pPr>
            <w:r>
              <w:rPr>
                <w:noProof/>
              </w:rPr>
              <w:t>Ключов етап</w:t>
            </w:r>
          </w:p>
        </w:tc>
        <w:tc>
          <w:tcPr>
            <w:tcW w:w="3959" w:type="dxa"/>
            <w:tcBorders>
              <w:top w:val="nil"/>
              <w:left w:val="nil"/>
              <w:bottom w:val="single" w:sz="4" w:space="0" w:color="auto"/>
              <w:right w:val="single" w:sz="4" w:space="0" w:color="auto"/>
            </w:tcBorders>
            <w:shd w:val="clear" w:color="auto" w:fill="C6EFCE"/>
            <w:noWrap/>
            <w:vAlign w:val="center"/>
          </w:tcPr>
          <w:p w14:paraId="773B4380" w14:textId="77777777" w:rsidR="006054AA" w:rsidRDefault="001F7667">
            <w:pPr>
              <w:pStyle w:val="P68B1DB1-Normal12"/>
              <w:rPr>
                <w:noProof/>
              </w:rPr>
            </w:pPr>
            <w:r>
              <w:rPr>
                <w:noProof/>
              </w:rPr>
              <w:t>Създаване и привеждане в действие на единната цифрова платформа за разрешения, свързани с възобновяемите енергийни източници</w:t>
            </w:r>
          </w:p>
        </w:tc>
      </w:tr>
      <w:tr w:rsidR="006054AA" w14:paraId="060466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C14E6" w14:textId="77777777" w:rsidR="006054AA" w:rsidRDefault="001F7667">
            <w:pPr>
              <w:pStyle w:val="P68B1DB1-Normal12"/>
              <w:jc w:val="center"/>
              <w:rPr>
                <w:noProof/>
              </w:rPr>
            </w:pPr>
            <w:r>
              <w:rPr>
                <w:noProof/>
              </w:rPr>
              <w:t>M7—5</w:t>
            </w:r>
          </w:p>
        </w:tc>
        <w:tc>
          <w:tcPr>
            <w:tcW w:w="3150" w:type="dxa"/>
            <w:tcBorders>
              <w:top w:val="nil"/>
              <w:left w:val="nil"/>
              <w:bottom w:val="single" w:sz="4" w:space="0" w:color="auto"/>
              <w:right w:val="single" w:sz="4" w:space="0" w:color="auto"/>
            </w:tcBorders>
            <w:shd w:val="clear" w:color="auto" w:fill="C6EFCE"/>
            <w:noWrap/>
            <w:vAlign w:val="center"/>
          </w:tcPr>
          <w:p w14:paraId="39CA74F3" w14:textId="77777777" w:rsidR="006054AA" w:rsidRDefault="001F7667">
            <w:pPr>
              <w:pStyle w:val="P68B1DB1-Normal12"/>
              <w:rPr>
                <w:noProof/>
              </w:rPr>
            </w:pPr>
            <w:r>
              <w:rPr>
                <w:noProof/>
              </w:rPr>
              <w:t>Реформа 2: Намаляване на вредните за околната среда субсидии</w:t>
            </w:r>
          </w:p>
        </w:tc>
        <w:tc>
          <w:tcPr>
            <w:tcW w:w="1425" w:type="dxa"/>
            <w:tcBorders>
              <w:top w:val="nil"/>
              <w:left w:val="nil"/>
              <w:bottom w:val="single" w:sz="4" w:space="0" w:color="auto"/>
              <w:right w:val="single" w:sz="4" w:space="0" w:color="auto"/>
            </w:tcBorders>
            <w:shd w:val="clear" w:color="auto" w:fill="C6EFCE"/>
            <w:noWrap/>
            <w:vAlign w:val="center"/>
          </w:tcPr>
          <w:p w14:paraId="26F56D5D" w14:textId="77777777" w:rsidR="006054AA" w:rsidRDefault="001F7667">
            <w:pPr>
              <w:pStyle w:val="P68B1DB1-Normal12"/>
              <w:jc w:val="center"/>
              <w:rPr>
                <w:noProof/>
              </w:rPr>
            </w:pPr>
            <w:r>
              <w:rPr>
                <w:noProof/>
              </w:rPr>
              <w:t>Ключов етап</w:t>
            </w:r>
          </w:p>
        </w:tc>
        <w:tc>
          <w:tcPr>
            <w:tcW w:w="3959" w:type="dxa"/>
            <w:tcBorders>
              <w:top w:val="nil"/>
              <w:left w:val="nil"/>
              <w:bottom w:val="single" w:sz="4" w:space="0" w:color="auto"/>
              <w:right w:val="single" w:sz="4" w:space="0" w:color="auto"/>
            </w:tcBorders>
            <w:shd w:val="clear" w:color="auto" w:fill="C6EFCE"/>
            <w:noWrap/>
            <w:vAlign w:val="center"/>
          </w:tcPr>
          <w:p w14:paraId="30714F85" w14:textId="77777777" w:rsidR="006054AA" w:rsidRDefault="001F7667">
            <w:pPr>
              <w:pStyle w:val="P68B1DB1-Normal12"/>
              <w:rPr>
                <w:noProof/>
              </w:rPr>
            </w:pPr>
            <w:r>
              <w:rPr>
                <w:noProof/>
              </w:rPr>
              <w:t>Влизане в сила на първичното и вторичното законодателство.</w:t>
            </w:r>
          </w:p>
        </w:tc>
      </w:tr>
      <w:tr w:rsidR="006054AA" w14:paraId="18C2AC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E7A261" w14:textId="77777777" w:rsidR="006054AA" w:rsidRDefault="001F7667">
            <w:pPr>
              <w:pStyle w:val="P68B1DB1-Normal12"/>
              <w:jc w:val="center"/>
              <w:rPr>
                <w:noProof/>
              </w:rPr>
            </w:pPr>
            <w:r>
              <w:rPr>
                <w:noProof/>
              </w:rPr>
              <w:t>M7—21</w:t>
            </w:r>
          </w:p>
        </w:tc>
        <w:tc>
          <w:tcPr>
            <w:tcW w:w="3150" w:type="dxa"/>
            <w:tcBorders>
              <w:top w:val="nil"/>
              <w:left w:val="nil"/>
              <w:bottom w:val="single" w:sz="4" w:space="0" w:color="auto"/>
              <w:right w:val="single" w:sz="4" w:space="0" w:color="auto"/>
            </w:tcBorders>
            <w:shd w:val="clear" w:color="auto" w:fill="C6EFCE"/>
            <w:noWrap/>
            <w:vAlign w:val="center"/>
          </w:tcPr>
          <w:p w14:paraId="5E4D4505" w14:textId="77777777" w:rsidR="006054AA" w:rsidRDefault="001F7667">
            <w:pPr>
              <w:pStyle w:val="P68B1DB1-Normal12"/>
              <w:rPr>
                <w:noProof/>
              </w:rPr>
            </w:pPr>
            <w:r>
              <w:rPr>
                <w:noProof/>
              </w:rPr>
              <w:t>Инвестиция 6: Проекти за трансгранични електроенергийни междусистемни връзки между Италия и съседни държави</w:t>
            </w:r>
          </w:p>
        </w:tc>
        <w:tc>
          <w:tcPr>
            <w:tcW w:w="1425" w:type="dxa"/>
            <w:tcBorders>
              <w:top w:val="nil"/>
              <w:left w:val="nil"/>
              <w:bottom w:val="single" w:sz="4" w:space="0" w:color="auto"/>
              <w:right w:val="single" w:sz="4" w:space="0" w:color="auto"/>
            </w:tcBorders>
            <w:shd w:val="clear" w:color="auto" w:fill="C6EFCE"/>
            <w:noWrap/>
            <w:vAlign w:val="center"/>
          </w:tcPr>
          <w:p w14:paraId="555DAC4E"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05A7FDDD" w14:textId="77777777" w:rsidR="006054AA" w:rsidRDefault="001F7667">
            <w:pPr>
              <w:pStyle w:val="P68B1DB1-Normal12"/>
              <w:rPr>
                <w:noProof/>
              </w:rPr>
            </w:pPr>
            <w:r>
              <w:rPr>
                <w:noProof/>
              </w:rPr>
              <w:t>Увеличаване на номиналния капацитет на междусистемните електропроводи между Италия и Словения след приключване на строителните работи</w:t>
            </w:r>
          </w:p>
        </w:tc>
      </w:tr>
      <w:tr w:rsidR="006054AA" w14:paraId="5FEB2B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5BB557" w14:textId="77777777" w:rsidR="006054AA" w:rsidRDefault="001F7667">
            <w:pPr>
              <w:pStyle w:val="P68B1DB1-Normal12"/>
              <w:jc w:val="center"/>
              <w:rPr>
                <w:noProof/>
              </w:rPr>
            </w:pPr>
            <w:r>
              <w:rPr>
                <w:noProof/>
              </w:rPr>
              <w:t>M7—26</w:t>
            </w:r>
          </w:p>
        </w:tc>
        <w:tc>
          <w:tcPr>
            <w:tcW w:w="3150" w:type="dxa"/>
            <w:tcBorders>
              <w:top w:val="nil"/>
              <w:left w:val="nil"/>
              <w:bottom w:val="single" w:sz="4" w:space="0" w:color="auto"/>
              <w:right w:val="single" w:sz="4" w:space="0" w:color="auto"/>
            </w:tcBorders>
            <w:shd w:val="clear" w:color="auto" w:fill="C6EFCE"/>
            <w:noWrap/>
            <w:vAlign w:val="center"/>
          </w:tcPr>
          <w:p w14:paraId="7C48BBF8" w14:textId="77777777" w:rsidR="006054AA" w:rsidRDefault="001F7667">
            <w:pPr>
              <w:pStyle w:val="P68B1DB1-Normal12"/>
              <w:rPr>
                <w:noProof/>
              </w:rPr>
            </w:pPr>
            <w:r>
              <w:rPr>
                <w:noProof/>
              </w:rPr>
              <w:t>Инвестиция 10: Устойчиви, кръгови и сигурни доставки на суровини от критично значение</w:t>
            </w:r>
          </w:p>
        </w:tc>
        <w:tc>
          <w:tcPr>
            <w:tcW w:w="1425" w:type="dxa"/>
            <w:tcBorders>
              <w:top w:val="nil"/>
              <w:left w:val="nil"/>
              <w:bottom w:val="single" w:sz="4" w:space="0" w:color="auto"/>
              <w:right w:val="single" w:sz="4" w:space="0" w:color="auto"/>
            </w:tcBorders>
            <w:shd w:val="clear" w:color="auto" w:fill="C6EFCE"/>
            <w:noWrap/>
            <w:vAlign w:val="center"/>
          </w:tcPr>
          <w:p w14:paraId="0D60128E" w14:textId="77777777" w:rsidR="006054AA" w:rsidRDefault="001F7667">
            <w:pPr>
              <w:pStyle w:val="P68B1DB1-Normal12"/>
              <w:jc w:val="center"/>
              <w:rPr>
                <w:noProof/>
              </w:rPr>
            </w:pPr>
            <w:r>
              <w:rPr>
                <w:noProof/>
              </w:rPr>
              <w:t>Целеви</w:t>
            </w:r>
          </w:p>
        </w:tc>
        <w:tc>
          <w:tcPr>
            <w:tcW w:w="3959" w:type="dxa"/>
            <w:tcBorders>
              <w:top w:val="nil"/>
              <w:left w:val="nil"/>
              <w:bottom w:val="single" w:sz="4" w:space="0" w:color="auto"/>
              <w:right w:val="single" w:sz="4" w:space="0" w:color="auto"/>
            </w:tcBorders>
            <w:shd w:val="clear" w:color="auto" w:fill="C6EFCE"/>
            <w:noWrap/>
            <w:vAlign w:val="center"/>
          </w:tcPr>
          <w:p w14:paraId="39B495FF" w14:textId="77777777" w:rsidR="006054AA" w:rsidRDefault="001F7667">
            <w:pPr>
              <w:pStyle w:val="P68B1DB1-Normal12"/>
              <w:rPr>
                <w:noProof/>
              </w:rPr>
            </w:pPr>
            <w:r>
              <w:rPr>
                <w:noProof/>
              </w:rPr>
              <w:t>Географска информационна система (ГИС) относно миннодобивните отпадъци за устойчиви, кръгови и сигурни доставки на суровини от критично значение</w:t>
            </w:r>
          </w:p>
        </w:tc>
      </w:tr>
      <w:tr w:rsidR="006054AA" w14:paraId="0432A9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751BA" w14:textId="77777777" w:rsidR="006054AA" w:rsidRDefault="006054AA">
            <w:pPr>
              <w:jc w:val="center"/>
              <w:rPr>
                <w:noProof/>
                <w:color w:val="006100"/>
                <w:sz w:val="20"/>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543722BD" w14:textId="77777777" w:rsidR="006054AA" w:rsidRDefault="006054AA">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623C8227" w14:textId="77777777" w:rsidR="006054AA" w:rsidRDefault="001F7667">
            <w:pPr>
              <w:pStyle w:val="P68B1DB1-Normal12"/>
              <w:rPr>
                <w:noProof/>
              </w:rPr>
            </w:pPr>
            <w:r>
              <w:rPr>
                <w:noProof/>
              </w:rPr>
              <w:t>Размер на вноската</w:t>
            </w:r>
          </w:p>
        </w:tc>
        <w:tc>
          <w:tcPr>
            <w:tcW w:w="3959" w:type="dxa"/>
            <w:tcBorders>
              <w:top w:val="single" w:sz="4" w:space="0" w:color="auto"/>
              <w:left w:val="nil"/>
              <w:bottom w:val="single" w:sz="4" w:space="0" w:color="auto"/>
              <w:right w:val="single" w:sz="4" w:space="0" w:color="auto"/>
            </w:tcBorders>
            <w:shd w:val="clear" w:color="auto" w:fill="C6EFCE"/>
            <w:noWrap/>
            <w:vAlign w:val="bottom"/>
          </w:tcPr>
          <w:p w14:paraId="4659F5AC" w14:textId="00AC1C74" w:rsidR="006054AA" w:rsidRDefault="001F7667">
            <w:pPr>
              <w:pStyle w:val="P68B1DB1-Normal46"/>
              <w:rPr>
                <w:noProof/>
              </w:rPr>
            </w:pPr>
            <w:r>
              <w:rPr>
                <w:noProof/>
              </w:rPr>
              <w:t>7</w:t>
            </w:r>
            <w:r>
              <w:rPr>
                <w:noProof/>
              </w:rPr>
              <w:t> </w:t>
            </w:r>
            <w:r>
              <w:rPr>
                <w:noProof/>
              </w:rPr>
              <w:t>046</w:t>
            </w:r>
            <w:r>
              <w:rPr>
                <w:noProof/>
              </w:rPr>
              <w:t> </w:t>
            </w:r>
            <w:r>
              <w:rPr>
                <w:noProof/>
              </w:rPr>
              <w:t>237</w:t>
            </w:r>
            <w:r>
              <w:rPr>
                <w:noProof/>
              </w:rPr>
              <w:t> </w:t>
            </w:r>
            <w:r>
              <w:rPr>
                <w:noProof/>
              </w:rPr>
              <w:t>746</w:t>
            </w:r>
            <w:r>
              <w:rPr>
                <w:noProof/>
              </w:rPr>
              <w:t> </w:t>
            </w:r>
            <w:r>
              <w:rPr>
                <w:noProof/>
              </w:rPr>
              <w:t>EUR</w:t>
            </w:r>
          </w:p>
        </w:tc>
      </w:tr>
    </w:tbl>
    <w:p w14:paraId="0DC62B79" w14:textId="1FB27D29" w:rsidR="006054AA" w:rsidRDefault="001F7667">
      <w:pPr>
        <w:pStyle w:val="P68B1DB1-Normal44"/>
        <w:numPr>
          <w:ilvl w:val="1"/>
          <w:numId w:val="6"/>
        </w:numPr>
        <w:spacing w:before="120" w:after="120"/>
        <w:jc w:val="both"/>
        <w:rPr>
          <w:noProof/>
        </w:rPr>
      </w:pPr>
      <w:r>
        <w:rPr>
          <w:noProof/>
        </w:rPr>
        <w:t>Десетата вноска (безвъзмездна подкрепа):</w:t>
      </w:r>
    </w:p>
    <w:tbl>
      <w:tblPr>
        <w:tblW w:w="10023" w:type="dxa"/>
        <w:tblInd w:w="113" w:type="dxa"/>
        <w:tblLook w:val="04A0" w:firstRow="1" w:lastRow="0" w:firstColumn="1" w:lastColumn="0" w:noHBand="0" w:noVBand="1"/>
      </w:tblPr>
      <w:tblGrid>
        <w:gridCol w:w="1413"/>
        <w:gridCol w:w="3195"/>
        <w:gridCol w:w="1380"/>
        <w:gridCol w:w="4035"/>
      </w:tblGrid>
      <w:tr w:rsidR="006054AA" w14:paraId="688B3F1D"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421B7B" w14:textId="77777777" w:rsidR="006054AA" w:rsidRDefault="001F7667">
            <w:pPr>
              <w:pStyle w:val="P68B1DB1-Normal45"/>
              <w:jc w:val="center"/>
              <w:rPr>
                <w:noProof/>
              </w:rPr>
            </w:pPr>
            <w:r>
              <w:rPr>
                <w:noProof/>
              </w:rPr>
              <w:t>Пореден номер</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24FF18" w14:textId="77777777" w:rsidR="006054AA" w:rsidRDefault="001F7667">
            <w:pPr>
              <w:pStyle w:val="P68B1DB1-Normal45"/>
              <w:jc w:val="center"/>
              <w:rPr>
                <w:noProof/>
              </w:rPr>
            </w:pPr>
            <w:r>
              <w:rPr>
                <w:noProof/>
              </w:rPr>
              <w:t>Свързана мярка (реформа или инвестиции)</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5B2B83" w14:textId="77777777" w:rsidR="006054AA" w:rsidRDefault="001F7667">
            <w:pPr>
              <w:pStyle w:val="P68B1DB1-Normal45"/>
              <w:jc w:val="center"/>
              <w:rPr>
                <w:noProof/>
              </w:rPr>
            </w:pPr>
            <w:r>
              <w:rPr>
                <w:noProof/>
              </w:rPr>
              <w:t>Ключов етап/Цел</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A11ABB" w14:textId="77777777" w:rsidR="006054AA" w:rsidRDefault="001F7667">
            <w:pPr>
              <w:pStyle w:val="P68B1DB1-Normal45"/>
              <w:jc w:val="center"/>
              <w:rPr>
                <w:noProof/>
              </w:rPr>
            </w:pPr>
            <w:r>
              <w:rPr>
                <w:noProof/>
              </w:rPr>
              <w:t>Име</w:t>
            </w:r>
          </w:p>
        </w:tc>
      </w:tr>
      <w:tr w:rsidR="006054AA" w14:paraId="6580FD9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012ACE" w14:textId="77777777" w:rsidR="006054AA" w:rsidRDefault="006054AA">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64D3F08F" w14:textId="77777777" w:rsidR="006054AA" w:rsidRDefault="006054AA">
            <w:pPr>
              <w:rPr>
                <w:b/>
                <w:noProof/>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1C081FB" w14:textId="77777777" w:rsidR="006054AA" w:rsidRDefault="006054AA">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41474077" w14:textId="77777777" w:rsidR="006054AA" w:rsidRDefault="006054AA">
            <w:pPr>
              <w:rPr>
                <w:b/>
                <w:noProof/>
              </w:rPr>
            </w:pPr>
          </w:p>
        </w:tc>
      </w:tr>
      <w:tr w:rsidR="006054AA" w14:paraId="73054B8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DFE20" w14:textId="77777777" w:rsidR="006054AA" w:rsidRDefault="001F7667">
            <w:pPr>
              <w:pStyle w:val="P68B1DB1-Normal12"/>
              <w:jc w:val="center"/>
              <w:rPr>
                <w:noProof/>
              </w:rPr>
            </w:pPr>
            <w:r>
              <w:rPr>
                <w:noProof/>
              </w:rPr>
              <w:t>M1C1—88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25ACACD"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380" w:type="dxa"/>
            <w:tcBorders>
              <w:top w:val="single" w:sz="4" w:space="0" w:color="auto"/>
              <w:left w:val="nil"/>
              <w:bottom w:val="single" w:sz="4" w:space="0" w:color="auto"/>
              <w:right w:val="single" w:sz="4" w:space="0" w:color="auto"/>
            </w:tcBorders>
            <w:shd w:val="clear" w:color="auto" w:fill="C6EFCE"/>
            <w:noWrap/>
            <w:vAlign w:val="center"/>
          </w:tcPr>
          <w:p w14:paraId="7022BE49" w14:textId="77777777" w:rsidR="006054AA" w:rsidRDefault="001F7667">
            <w:pPr>
              <w:pStyle w:val="P68B1DB1-Normal12"/>
              <w:jc w:val="center"/>
              <w:rPr>
                <w:noProof/>
              </w:rPr>
            </w:pPr>
            <w:r>
              <w:rPr>
                <w:noProof/>
              </w:rPr>
              <w:t>Целеви</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7FEAEFFA" w14:textId="77777777" w:rsidR="006054AA" w:rsidRDefault="001F7667">
            <w:pPr>
              <w:pStyle w:val="P68B1DB1-Normal12"/>
              <w:rPr>
                <w:noProof/>
              </w:rPr>
            </w:pPr>
            <w:r>
              <w:rPr>
                <w:noProof/>
              </w:rPr>
              <w:t>Средният брой дни, през които централните публични администрации плащат на предприятията, е намален</w:t>
            </w:r>
          </w:p>
        </w:tc>
      </w:tr>
      <w:tr w:rsidR="006054AA" w14:paraId="439C5D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F1757" w14:textId="77777777" w:rsidR="006054AA" w:rsidRDefault="001F7667">
            <w:pPr>
              <w:pStyle w:val="P68B1DB1-Normal12"/>
              <w:jc w:val="center"/>
              <w:rPr>
                <w:noProof/>
              </w:rPr>
            </w:pPr>
            <w:r>
              <w:rPr>
                <w:noProof/>
              </w:rPr>
              <w:t>M1C1—89</w:t>
            </w:r>
          </w:p>
        </w:tc>
        <w:tc>
          <w:tcPr>
            <w:tcW w:w="3195" w:type="dxa"/>
            <w:tcBorders>
              <w:top w:val="nil"/>
              <w:left w:val="nil"/>
              <w:bottom w:val="single" w:sz="4" w:space="0" w:color="auto"/>
              <w:right w:val="single" w:sz="4" w:space="0" w:color="auto"/>
            </w:tcBorders>
            <w:shd w:val="clear" w:color="auto" w:fill="C6EFCE"/>
            <w:noWrap/>
            <w:vAlign w:val="center"/>
          </w:tcPr>
          <w:p w14:paraId="029F3F59"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380" w:type="dxa"/>
            <w:tcBorders>
              <w:top w:val="nil"/>
              <w:left w:val="nil"/>
              <w:bottom w:val="single" w:sz="4" w:space="0" w:color="auto"/>
              <w:right w:val="single" w:sz="4" w:space="0" w:color="auto"/>
            </w:tcBorders>
            <w:shd w:val="clear" w:color="auto" w:fill="C6EFCE"/>
            <w:noWrap/>
            <w:vAlign w:val="center"/>
          </w:tcPr>
          <w:p w14:paraId="324DEB89"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7251B512" w14:textId="77777777" w:rsidR="006054AA" w:rsidRDefault="001F7667">
            <w:pPr>
              <w:pStyle w:val="P68B1DB1-Normal12"/>
              <w:rPr>
                <w:noProof/>
              </w:rPr>
            </w:pPr>
            <w:r>
              <w:rPr>
                <w:noProof/>
              </w:rPr>
              <w:t>Намалява се средният брой дни, през които регионалните публични администрации плащат на предприятията</w:t>
            </w:r>
          </w:p>
        </w:tc>
      </w:tr>
      <w:tr w:rsidR="006054AA" w14:paraId="722113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2B891" w14:textId="77777777" w:rsidR="006054AA" w:rsidRDefault="001F7667">
            <w:pPr>
              <w:pStyle w:val="P68B1DB1-Normal12"/>
              <w:jc w:val="center"/>
              <w:rPr>
                <w:noProof/>
              </w:rPr>
            </w:pPr>
            <w:r>
              <w:rPr>
                <w:noProof/>
              </w:rPr>
              <w:t>M1C1—90</w:t>
            </w:r>
          </w:p>
        </w:tc>
        <w:tc>
          <w:tcPr>
            <w:tcW w:w="3195" w:type="dxa"/>
            <w:tcBorders>
              <w:top w:val="nil"/>
              <w:left w:val="nil"/>
              <w:bottom w:val="single" w:sz="4" w:space="0" w:color="auto"/>
              <w:right w:val="single" w:sz="4" w:space="0" w:color="auto"/>
            </w:tcBorders>
            <w:shd w:val="clear" w:color="auto" w:fill="C6EFCE"/>
            <w:noWrap/>
            <w:vAlign w:val="center"/>
          </w:tcPr>
          <w:p w14:paraId="435F7BBA"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380" w:type="dxa"/>
            <w:tcBorders>
              <w:top w:val="nil"/>
              <w:left w:val="nil"/>
              <w:bottom w:val="single" w:sz="4" w:space="0" w:color="auto"/>
              <w:right w:val="single" w:sz="4" w:space="0" w:color="auto"/>
            </w:tcBorders>
            <w:shd w:val="clear" w:color="auto" w:fill="C6EFCE"/>
            <w:noWrap/>
            <w:vAlign w:val="center"/>
          </w:tcPr>
          <w:p w14:paraId="411A5B5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2B302C52" w14:textId="77777777" w:rsidR="006054AA" w:rsidRDefault="001F7667">
            <w:pPr>
              <w:pStyle w:val="P68B1DB1-Normal12"/>
              <w:rPr>
                <w:noProof/>
              </w:rPr>
            </w:pPr>
            <w:r>
              <w:rPr>
                <w:noProof/>
              </w:rPr>
              <w:t>Намалява се средният брой дни, през които местните публични администрации плащат на предприятията</w:t>
            </w:r>
          </w:p>
        </w:tc>
      </w:tr>
      <w:tr w:rsidR="006054AA" w14:paraId="4D0D8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FCA5E" w14:textId="77777777" w:rsidR="006054AA" w:rsidRDefault="001F7667">
            <w:pPr>
              <w:pStyle w:val="P68B1DB1-Normal12"/>
              <w:jc w:val="center"/>
              <w:rPr>
                <w:noProof/>
              </w:rPr>
            </w:pPr>
            <w:r>
              <w:rPr>
                <w:noProof/>
              </w:rPr>
              <w:t>M1C1—91</w:t>
            </w:r>
          </w:p>
        </w:tc>
        <w:tc>
          <w:tcPr>
            <w:tcW w:w="3195" w:type="dxa"/>
            <w:tcBorders>
              <w:top w:val="nil"/>
              <w:left w:val="nil"/>
              <w:bottom w:val="single" w:sz="4" w:space="0" w:color="auto"/>
              <w:right w:val="single" w:sz="4" w:space="0" w:color="auto"/>
            </w:tcBorders>
            <w:shd w:val="clear" w:color="auto" w:fill="C6EFCE"/>
            <w:noWrap/>
            <w:vAlign w:val="center"/>
          </w:tcPr>
          <w:p w14:paraId="7F33695D"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380" w:type="dxa"/>
            <w:tcBorders>
              <w:top w:val="nil"/>
              <w:left w:val="nil"/>
              <w:bottom w:val="single" w:sz="4" w:space="0" w:color="auto"/>
              <w:right w:val="single" w:sz="4" w:space="0" w:color="auto"/>
            </w:tcBorders>
            <w:shd w:val="clear" w:color="auto" w:fill="C6EFCE"/>
            <w:noWrap/>
            <w:vAlign w:val="center"/>
          </w:tcPr>
          <w:p w14:paraId="725E004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1B3EA35A" w14:textId="77777777" w:rsidR="006054AA" w:rsidRDefault="001F7667">
            <w:pPr>
              <w:pStyle w:val="P68B1DB1-Normal12"/>
              <w:rPr>
                <w:noProof/>
              </w:rPr>
            </w:pPr>
            <w:r>
              <w:rPr>
                <w:noProof/>
              </w:rPr>
              <w:t>Намалява се средният брой дни, през които администрациите в областта на общественото здравеопазване да плащат на предприятията</w:t>
            </w:r>
          </w:p>
        </w:tc>
      </w:tr>
      <w:tr w:rsidR="006054AA" w14:paraId="1E368D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31E58" w14:textId="77777777" w:rsidR="006054AA" w:rsidRDefault="001F7667">
            <w:pPr>
              <w:pStyle w:val="P68B1DB1-Normal12"/>
              <w:jc w:val="center"/>
              <w:rPr>
                <w:noProof/>
              </w:rPr>
            </w:pPr>
            <w:r>
              <w:rPr>
                <w:noProof/>
              </w:rPr>
              <w:t>M1C1—92</w:t>
            </w:r>
          </w:p>
        </w:tc>
        <w:tc>
          <w:tcPr>
            <w:tcW w:w="3195" w:type="dxa"/>
            <w:tcBorders>
              <w:top w:val="nil"/>
              <w:left w:val="nil"/>
              <w:bottom w:val="single" w:sz="4" w:space="0" w:color="auto"/>
              <w:right w:val="single" w:sz="4" w:space="0" w:color="auto"/>
            </w:tcBorders>
            <w:shd w:val="clear" w:color="auto" w:fill="C6EFCE"/>
            <w:noWrap/>
            <w:vAlign w:val="center"/>
          </w:tcPr>
          <w:p w14:paraId="7BDFC47F"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380" w:type="dxa"/>
            <w:tcBorders>
              <w:top w:val="nil"/>
              <w:left w:val="nil"/>
              <w:bottom w:val="single" w:sz="4" w:space="0" w:color="auto"/>
              <w:right w:val="single" w:sz="4" w:space="0" w:color="auto"/>
            </w:tcBorders>
            <w:shd w:val="clear" w:color="auto" w:fill="C6EFCE"/>
            <w:noWrap/>
            <w:vAlign w:val="center"/>
          </w:tcPr>
          <w:p w14:paraId="5282349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68299499" w14:textId="77777777" w:rsidR="006054AA" w:rsidRDefault="001F7667">
            <w:pPr>
              <w:pStyle w:val="P68B1DB1-Normal12"/>
              <w:rPr>
                <w:noProof/>
              </w:rPr>
            </w:pPr>
            <w:r>
              <w:rPr>
                <w:noProof/>
              </w:rPr>
              <w:t>Намалява се средният брой дни на забавяне от страна на централните публични администрации да плащат на предприятията</w:t>
            </w:r>
          </w:p>
        </w:tc>
      </w:tr>
      <w:tr w:rsidR="006054AA" w14:paraId="366F66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DD1C6A" w14:textId="77777777" w:rsidR="006054AA" w:rsidRDefault="001F7667">
            <w:pPr>
              <w:pStyle w:val="P68B1DB1-Normal12"/>
              <w:jc w:val="center"/>
              <w:rPr>
                <w:noProof/>
              </w:rPr>
            </w:pPr>
            <w:r>
              <w:rPr>
                <w:noProof/>
              </w:rPr>
              <w:t>M1C1—93</w:t>
            </w:r>
          </w:p>
        </w:tc>
        <w:tc>
          <w:tcPr>
            <w:tcW w:w="3195" w:type="dxa"/>
            <w:tcBorders>
              <w:top w:val="nil"/>
              <w:left w:val="nil"/>
              <w:bottom w:val="single" w:sz="4" w:space="0" w:color="auto"/>
              <w:right w:val="single" w:sz="4" w:space="0" w:color="auto"/>
            </w:tcBorders>
            <w:shd w:val="clear" w:color="auto" w:fill="C6EFCE"/>
            <w:noWrap/>
            <w:vAlign w:val="center"/>
          </w:tcPr>
          <w:p w14:paraId="1697EBB9"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380" w:type="dxa"/>
            <w:tcBorders>
              <w:top w:val="nil"/>
              <w:left w:val="nil"/>
              <w:bottom w:val="single" w:sz="4" w:space="0" w:color="auto"/>
              <w:right w:val="single" w:sz="4" w:space="0" w:color="auto"/>
            </w:tcBorders>
            <w:shd w:val="clear" w:color="auto" w:fill="C6EFCE"/>
            <w:noWrap/>
            <w:vAlign w:val="center"/>
          </w:tcPr>
          <w:p w14:paraId="5D3ACA2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336B4CD5" w14:textId="77777777" w:rsidR="006054AA" w:rsidRDefault="001F7667">
            <w:pPr>
              <w:pStyle w:val="P68B1DB1-Normal12"/>
              <w:rPr>
                <w:noProof/>
              </w:rPr>
            </w:pPr>
            <w:r>
              <w:rPr>
                <w:noProof/>
              </w:rPr>
              <w:t>Намалява се средният брой дни закъснение за регионалните публични администрации да плащат на предприятията</w:t>
            </w:r>
          </w:p>
        </w:tc>
      </w:tr>
      <w:tr w:rsidR="006054AA" w14:paraId="25E461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AA9F6" w14:textId="77777777" w:rsidR="006054AA" w:rsidRDefault="001F7667">
            <w:pPr>
              <w:pStyle w:val="P68B1DB1-Normal12"/>
              <w:jc w:val="center"/>
              <w:rPr>
                <w:noProof/>
              </w:rPr>
            </w:pPr>
            <w:r>
              <w:rPr>
                <w:noProof/>
              </w:rPr>
              <w:t>M1C1—94</w:t>
            </w:r>
          </w:p>
        </w:tc>
        <w:tc>
          <w:tcPr>
            <w:tcW w:w="3195" w:type="dxa"/>
            <w:tcBorders>
              <w:top w:val="nil"/>
              <w:left w:val="nil"/>
              <w:bottom w:val="single" w:sz="4" w:space="0" w:color="auto"/>
              <w:right w:val="single" w:sz="4" w:space="0" w:color="auto"/>
            </w:tcBorders>
            <w:shd w:val="clear" w:color="auto" w:fill="C6EFCE"/>
            <w:noWrap/>
            <w:vAlign w:val="center"/>
          </w:tcPr>
          <w:p w14:paraId="16172E31"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380" w:type="dxa"/>
            <w:tcBorders>
              <w:top w:val="nil"/>
              <w:left w:val="nil"/>
              <w:bottom w:val="single" w:sz="4" w:space="0" w:color="auto"/>
              <w:right w:val="single" w:sz="4" w:space="0" w:color="auto"/>
            </w:tcBorders>
            <w:shd w:val="clear" w:color="auto" w:fill="C6EFCE"/>
            <w:noWrap/>
            <w:vAlign w:val="center"/>
          </w:tcPr>
          <w:p w14:paraId="1253CFE4"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345B193F" w14:textId="77777777" w:rsidR="006054AA" w:rsidRDefault="001F7667">
            <w:pPr>
              <w:pStyle w:val="P68B1DB1-Normal12"/>
              <w:rPr>
                <w:noProof/>
              </w:rPr>
            </w:pPr>
            <w:r>
              <w:rPr>
                <w:noProof/>
              </w:rPr>
              <w:t>Намалява се средният брой дни закъснение за местните публични администрации да плащат на предприятията</w:t>
            </w:r>
          </w:p>
        </w:tc>
      </w:tr>
      <w:tr w:rsidR="006054AA" w14:paraId="62E4A9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759187" w14:textId="77777777" w:rsidR="006054AA" w:rsidRDefault="001F7667">
            <w:pPr>
              <w:pStyle w:val="P68B1DB1-Normal12"/>
              <w:jc w:val="center"/>
              <w:rPr>
                <w:noProof/>
              </w:rPr>
            </w:pPr>
            <w:r>
              <w:rPr>
                <w:noProof/>
              </w:rPr>
              <w:t>M1C1—95</w:t>
            </w:r>
          </w:p>
        </w:tc>
        <w:tc>
          <w:tcPr>
            <w:tcW w:w="3195" w:type="dxa"/>
            <w:tcBorders>
              <w:top w:val="nil"/>
              <w:left w:val="nil"/>
              <w:bottom w:val="single" w:sz="4" w:space="0" w:color="auto"/>
              <w:right w:val="single" w:sz="4" w:space="0" w:color="auto"/>
            </w:tcBorders>
            <w:shd w:val="clear" w:color="auto" w:fill="C6EFCE"/>
            <w:noWrap/>
            <w:vAlign w:val="center"/>
          </w:tcPr>
          <w:p w14:paraId="4A5CB79E" w14:textId="77777777" w:rsidR="006054AA" w:rsidRDefault="001F7667">
            <w:pPr>
              <w:pStyle w:val="P68B1DB1-Normal12"/>
              <w:jc w:val="center"/>
              <w:rPr>
                <w:noProof/>
              </w:rPr>
            </w:pPr>
            <w:r>
              <w:rPr>
                <w:noProof/>
              </w:rPr>
              <w:t>Реформа 1.11: Намаляване на забавените плащания от страна на публичните администрации и здравните органи</w:t>
            </w:r>
          </w:p>
        </w:tc>
        <w:tc>
          <w:tcPr>
            <w:tcW w:w="1380" w:type="dxa"/>
            <w:tcBorders>
              <w:top w:val="nil"/>
              <w:left w:val="nil"/>
              <w:bottom w:val="single" w:sz="4" w:space="0" w:color="auto"/>
              <w:right w:val="single" w:sz="4" w:space="0" w:color="auto"/>
            </w:tcBorders>
            <w:shd w:val="clear" w:color="auto" w:fill="C6EFCE"/>
            <w:noWrap/>
            <w:vAlign w:val="center"/>
          </w:tcPr>
          <w:p w14:paraId="61FCFE7D"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1BBF64C" w14:textId="77777777" w:rsidR="006054AA" w:rsidRDefault="001F7667">
            <w:pPr>
              <w:pStyle w:val="P68B1DB1-Normal12"/>
              <w:rPr>
                <w:noProof/>
              </w:rPr>
            </w:pPr>
            <w:r>
              <w:rPr>
                <w:noProof/>
              </w:rPr>
              <w:t>Намалява се средният брой дни, в които публичните здравни администрации закъсняват да плащат на предприятията</w:t>
            </w:r>
          </w:p>
        </w:tc>
      </w:tr>
      <w:tr w:rsidR="006054AA" w14:paraId="2018D3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3D44A6" w14:textId="77777777" w:rsidR="006054AA" w:rsidRDefault="001F7667">
            <w:pPr>
              <w:pStyle w:val="P68B1DB1-Normal12"/>
              <w:jc w:val="center"/>
              <w:rPr>
                <w:noProof/>
              </w:rPr>
            </w:pPr>
            <w:r>
              <w:rPr>
                <w:noProof/>
              </w:rPr>
              <w:t>M1C1—117</w:t>
            </w:r>
          </w:p>
        </w:tc>
        <w:tc>
          <w:tcPr>
            <w:tcW w:w="3195" w:type="dxa"/>
            <w:tcBorders>
              <w:top w:val="nil"/>
              <w:left w:val="nil"/>
              <w:bottom w:val="single" w:sz="4" w:space="0" w:color="auto"/>
              <w:right w:val="single" w:sz="4" w:space="0" w:color="auto"/>
            </w:tcBorders>
            <w:shd w:val="clear" w:color="auto" w:fill="C6EFCE"/>
            <w:noWrap/>
            <w:vAlign w:val="center"/>
          </w:tcPr>
          <w:p w14:paraId="3E7F9D0D" w14:textId="77777777" w:rsidR="006054AA" w:rsidRDefault="001F7667">
            <w:pPr>
              <w:pStyle w:val="P68B1DB1-Normal12"/>
              <w:jc w:val="center"/>
              <w:rPr>
                <w:noProof/>
              </w:rPr>
            </w:pPr>
            <w:r>
              <w:rPr>
                <w:noProof/>
              </w:rPr>
              <w:t>Реформа 1.15: Реформа на счетоводните правила за публичния сектор</w:t>
            </w:r>
          </w:p>
        </w:tc>
        <w:tc>
          <w:tcPr>
            <w:tcW w:w="1380" w:type="dxa"/>
            <w:tcBorders>
              <w:top w:val="nil"/>
              <w:left w:val="nil"/>
              <w:bottom w:val="single" w:sz="4" w:space="0" w:color="auto"/>
              <w:right w:val="single" w:sz="4" w:space="0" w:color="auto"/>
            </w:tcBorders>
            <w:shd w:val="clear" w:color="auto" w:fill="C6EFCE"/>
            <w:noWrap/>
            <w:vAlign w:val="center"/>
          </w:tcPr>
          <w:p w14:paraId="40B8C23B"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B00285B" w14:textId="77777777" w:rsidR="006054AA" w:rsidRDefault="001F7667">
            <w:pPr>
              <w:pStyle w:val="P68B1DB1-Normal12"/>
              <w:rPr>
                <w:noProof/>
              </w:rPr>
            </w:pPr>
            <w:r>
              <w:rPr>
                <w:noProof/>
              </w:rPr>
              <w:t>Публични субекти, обучени за преминаване към новата система за счетоводна отчетност на базата на текущо начисляване</w:t>
            </w:r>
          </w:p>
        </w:tc>
      </w:tr>
      <w:tr w:rsidR="006054AA" w14:paraId="537B45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91319" w14:textId="77777777" w:rsidR="006054AA" w:rsidRDefault="001F7667">
            <w:pPr>
              <w:pStyle w:val="P68B1DB1-Normal12"/>
              <w:jc w:val="center"/>
              <w:rPr>
                <w:noProof/>
              </w:rPr>
            </w:pPr>
            <w:r>
              <w:rPr>
                <w:noProof/>
              </w:rPr>
              <w:t>M1C1—119</w:t>
            </w:r>
          </w:p>
        </w:tc>
        <w:tc>
          <w:tcPr>
            <w:tcW w:w="3195" w:type="dxa"/>
            <w:tcBorders>
              <w:top w:val="nil"/>
              <w:left w:val="nil"/>
              <w:bottom w:val="single" w:sz="4" w:space="0" w:color="auto"/>
              <w:right w:val="single" w:sz="4" w:space="0" w:color="auto"/>
            </w:tcBorders>
            <w:shd w:val="clear" w:color="auto" w:fill="C6EFCE"/>
            <w:noWrap/>
            <w:vAlign w:val="center"/>
          </w:tcPr>
          <w:p w14:paraId="210E8C10" w14:textId="77777777" w:rsidR="006054AA" w:rsidRDefault="001F7667">
            <w:pPr>
              <w:pStyle w:val="P68B1DB1-Normal12"/>
              <w:jc w:val="center"/>
              <w:rPr>
                <w:noProof/>
              </w:rPr>
            </w:pPr>
            <w:r>
              <w:rPr>
                <w:noProof/>
              </w:rPr>
              <w:t>Реформа 1.14: Реформа на поднационалната фискална рамка</w:t>
            </w:r>
          </w:p>
        </w:tc>
        <w:tc>
          <w:tcPr>
            <w:tcW w:w="1380" w:type="dxa"/>
            <w:tcBorders>
              <w:top w:val="nil"/>
              <w:left w:val="nil"/>
              <w:bottom w:val="single" w:sz="4" w:space="0" w:color="auto"/>
              <w:right w:val="single" w:sz="4" w:space="0" w:color="auto"/>
            </w:tcBorders>
            <w:shd w:val="clear" w:color="auto" w:fill="C6EFCE"/>
            <w:noWrap/>
            <w:vAlign w:val="center"/>
          </w:tcPr>
          <w:p w14:paraId="461FFD88" w14:textId="77777777" w:rsidR="006054AA" w:rsidRDefault="001F7667">
            <w:pPr>
              <w:pStyle w:val="P68B1DB1-Normal12"/>
              <w:jc w:val="center"/>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544E1B54" w14:textId="77777777" w:rsidR="006054AA" w:rsidRDefault="001F7667">
            <w:pPr>
              <w:pStyle w:val="P68B1DB1-Normal12"/>
              <w:rPr>
                <w:noProof/>
              </w:rPr>
            </w:pPr>
            <w:r>
              <w:rPr>
                <w:noProof/>
              </w:rPr>
              <w:t>Влизане в сила на първично и вторично законодателство за прилагане на регионалния фискален федерализъм</w:t>
            </w:r>
          </w:p>
        </w:tc>
      </w:tr>
      <w:tr w:rsidR="006054AA" w14:paraId="36FD70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74C5A" w14:textId="77777777" w:rsidR="006054AA" w:rsidRDefault="001F7667">
            <w:pPr>
              <w:pStyle w:val="P68B1DB1-Normal12"/>
              <w:jc w:val="center"/>
              <w:rPr>
                <w:noProof/>
              </w:rPr>
            </w:pPr>
            <w:r>
              <w:rPr>
                <w:noProof/>
              </w:rPr>
              <w:t>M1C1—120</w:t>
            </w:r>
          </w:p>
        </w:tc>
        <w:tc>
          <w:tcPr>
            <w:tcW w:w="3195" w:type="dxa"/>
            <w:tcBorders>
              <w:top w:val="nil"/>
              <w:left w:val="nil"/>
              <w:bottom w:val="single" w:sz="4" w:space="0" w:color="auto"/>
              <w:right w:val="single" w:sz="4" w:space="0" w:color="auto"/>
            </w:tcBorders>
            <w:shd w:val="clear" w:color="auto" w:fill="C6EFCE"/>
            <w:noWrap/>
            <w:vAlign w:val="center"/>
          </w:tcPr>
          <w:p w14:paraId="5378E0B3" w14:textId="77777777" w:rsidR="006054AA" w:rsidRDefault="001F7667">
            <w:pPr>
              <w:pStyle w:val="P68B1DB1-Normal12"/>
              <w:jc w:val="center"/>
              <w:rPr>
                <w:noProof/>
              </w:rPr>
            </w:pPr>
            <w:r>
              <w:rPr>
                <w:noProof/>
              </w:rPr>
              <w:t>Реформа 1.14: Реформа на поднационалната фискална рамка</w:t>
            </w:r>
          </w:p>
        </w:tc>
        <w:tc>
          <w:tcPr>
            <w:tcW w:w="1380" w:type="dxa"/>
            <w:tcBorders>
              <w:top w:val="nil"/>
              <w:left w:val="nil"/>
              <w:bottom w:val="single" w:sz="4" w:space="0" w:color="auto"/>
              <w:right w:val="single" w:sz="4" w:space="0" w:color="auto"/>
            </w:tcBorders>
            <w:shd w:val="clear" w:color="auto" w:fill="C6EFCE"/>
            <w:noWrap/>
            <w:vAlign w:val="center"/>
          </w:tcPr>
          <w:p w14:paraId="5F512238" w14:textId="77777777" w:rsidR="006054AA" w:rsidRDefault="001F7667">
            <w:pPr>
              <w:pStyle w:val="P68B1DB1-Normal12"/>
              <w:jc w:val="center"/>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469AAD76" w14:textId="77777777" w:rsidR="006054AA" w:rsidRDefault="001F7667">
            <w:pPr>
              <w:pStyle w:val="P68B1DB1-Normal12"/>
              <w:rPr>
                <w:noProof/>
              </w:rPr>
            </w:pPr>
            <w:r>
              <w:rPr>
                <w:noProof/>
              </w:rPr>
              <w:t>Влизане в сила на първично и вторично законодателство за прилагане на регионалния фискален федерализъм</w:t>
            </w:r>
          </w:p>
        </w:tc>
      </w:tr>
      <w:tr w:rsidR="006054AA" w14:paraId="3C0240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BF35BA" w14:textId="77777777" w:rsidR="006054AA" w:rsidRDefault="001F7667">
            <w:pPr>
              <w:pStyle w:val="P68B1DB1-Normal12"/>
              <w:jc w:val="center"/>
              <w:rPr>
                <w:noProof/>
              </w:rPr>
            </w:pPr>
            <w:r>
              <w:rPr>
                <w:noProof/>
              </w:rPr>
              <w:t>M3C2—6</w:t>
            </w:r>
          </w:p>
        </w:tc>
        <w:tc>
          <w:tcPr>
            <w:tcW w:w="3195" w:type="dxa"/>
            <w:tcBorders>
              <w:top w:val="nil"/>
              <w:left w:val="nil"/>
              <w:bottom w:val="single" w:sz="4" w:space="0" w:color="auto"/>
              <w:right w:val="single" w:sz="4" w:space="0" w:color="auto"/>
            </w:tcBorders>
            <w:shd w:val="clear" w:color="auto" w:fill="C6EFCE"/>
            <w:noWrap/>
            <w:vAlign w:val="center"/>
          </w:tcPr>
          <w:p w14:paraId="497CE61B" w14:textId="77777777" w:rsidR="006054AA" w:rsidRDefault="001F7667">
            <w:pPr>
              <w:pStyle w:val="P68B1DB1-Normal12"/>
              <w:jc w:val="center"/>
              <w:rPr>
                <w:noProof/>
              </w:rPr>
            </w:pPr>
            <w:r>
              <w:rPr>
                <w:noProof/>
              </w:rPr>
              <w:t>Инвестиция 2.2: Цифровизация на управлението на въздушното движение</w:t>
            </w:r>
          </w:p>
        </w:tc>
        <w:tc>
          <w:tcPr>
            <w:tcW w:w="1380" w:type="dxa"/>
            <w:tcBorders>
              <w:top w:val="nil"/>
              <w:left w:val="nil"/>
              <w:bottom w:val="single" w:sz="4" w:space="0" w:color="auto"/>
              <w:right w:val="single" w:sz="4" w:space="0" w:color="auto"/>
            </w:tcBorders>
            <w:shd w:val="clear" w:color="auto" w:fill="C6EFCE"/>
            <w:noWrap/>
            <w:vAlign w:val="center"/>
          </w:tcPr>
          <w:p w14:paraId="579462DD" w14:textId="77777777" w:rsidR="006054AA" w:rsidRDefault="001F7667">
            <w:pPr>
              <w:pStyle w:val="P68B1DB1-Normal12"/>
              <w:jc w:val="center"/>
              <w:rPr>
                <w:noProof/>
              </w:rPr>
            </w:pPr>
            <w:r>
              <w:rPr>
                <w:noProof/>
              </w:rPr>
              <w:t xml:space="preserve">Целеви </w:t>
            </w:r>
          </w:p>
        </w:tc>
        <w:tc>
          <w:tcPr>
            <w:tcW w:w="4035" w:type="dxa"/>
            <w:tcBorders>
              <w:top w:val="nil"/>
              <w:left w:val="nil"/>
              <w:bottom w:val="single" w:sz="4" w:space="0" w:color="auto"/>
              <w:right w:val="single" w:sz="4" w:space="0" w:color="auto"/>
            </w:tcBorders>
            <w:shd w:val="clear" w:color="auto" w:fill="C6EFCE"/>
            <w:noWrap/>
            <w:vAlign w:val="center"/>
          </w:tcPr>
          <w:p w14:paraId="72A195F1" w14:textId="77777777" w:rsidR="006054AA" w:rsidRDefault="001F7667">
            <w:pPr>
              <w:pStyle w:val="P68B1DB1-Normal12"/>
              <w:rPr>
                <w:noProof/>
              </w:rPr>
            </w:pPr>
            <w:r>
              <w:rPr>
                <w:noProof/>
              </w:rPr>
              <w:t>Цифровизация на управлението на въздушното движение: въвеждане в експлоатация на нови инструменти</w:t>
            </w:r>
          </w:p>
        </w:tc>
      </w:tr>
      <w:tr w:rsidR="006054AA" w14:paraId="1AB76C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90080" w14:textId="77777777" w:rsidR="006054AA" w:rsidRDefault="001F7667">
            <w:pPr>
              <w:pStyle w:val="P68B1DB1-Normal12"/>
              <w:jc w:val="center"/>
              <w:rPr>
                <w:noProof/>
              </w:rPr>
            </w:pPr>
            <w:r>
              <w:rPr>
                <w:noProof/>
              </w:rPr>
              <w:t xml:space="preserve">M5C1—11 </w:t>
            </w:r>
          </w:p>
        </w:tc>
        <w:tc>
          <w:tcPr>
            <w:tcW w:w="3195" w:type="dxa"/>
            <w:tcBorders>
              <w:top w:val="nil"/>
              <w:left w:val="nil"/>
              <w:bottom w:val="single" w:sz="4" w:space="0" w:color="auto"/>
              <w:right w:val="single" w:sz="4" w:space="0" w:color="auto"/>
            </w:tcBorders>
            <w:shd w:val="clear" w:color="auto" w:fill="C6EFCE"/>
            <w:noWrap/>
            <w:vAlign w:val="center"/>
          </w:tcPr>
          <w:p w14:paraId="6614F06F" w14:textId="77777777" w:rsidR="006054AA" w:rsidRDefault="001F7667">
            <w:pPr>
              <w:pStyle w:val="P68B1DB1-Normal12"/>
              <w:jc w:val="center"/>
              <w:rPr>
                <w:noProof/>
              </w:rPr>
            </w:pPr>
            <w:r>
              <w:rPr>
                <w:noProof/>
              </w:rPr>
              <w:t xml:space="preserve">Реформа 2 — Недеклариран труд </w:t>
            </w:r>
          </w:p>
        </w:tc>
        <w:tc>
          <w:tcPr>
            <w:tcW w:w="1380" w:type="dxa"/>
            <w:tcBorders>
              <w:top w:val="nil"/>
              <w:left w:val="nil"/>
              <w:bottom w:val="single" w:sz="4" w:space="0" w:color="auto"/>
              <w:right w:val="single" w:sz="4" w:space="0" w:color="auto"/>
            </w:tcBorders>
            <w:shd w:val="clear" w:color="auto" w:fill="C6EFCE"/>
            <w:noWrap/>
            <w:vAlign w:val="center"/>
          </w:tcPr>
          <w:p w14:paraId="4C58CC88"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5AB6111" w14:textId="77777777" w:rsidR="006054AA" w:rsidRDefault="001F7667">
            <w:pPr>
              <w:pStyle w:val="P68B1DB1-Normal12"/>
              <w:rPr>
                <w:noProof/>
              </w:rPr>
            </w:pPr>
            <w:r>
              <w:rPr>
                <w:noProof/>
              </w:rPr>
              <w:t>Намалено разпространение на недекларирания труд</w:t>
            </w:r>
          </w:p>
        </w:tc>
      </w:tr>
      <w:tr w:rsidR="006054AA" w14:paraId="73CB1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CEC005" w14:textId="77777777" w:rsidR="006054AA" w:rsidRDefault="001F7667">
            <w:pPr>
              <w:pStyle w:val="P68B1DB1-Normal12"/>
              <w:jc w:val="center"/>
              <w:rPr>
                <w:noProof/>
              </w:rPr>
            </w:pPr>
            <w:r>
              <w:rPr>
                <w:noProof/>
              </w:rPr>
              <w:t>M5C2—6</w:t>
            </w:r>
          </w:p>
        </w:tc>
        <w:tc>
          <w:tcPr>
            <w:tcW w:w="3195" w:type="dxa"/>
            <w:tcBorders>
              <w:top w:val="nil"/>
              <w:left w:val="nil"/>
              <w:bottom w:val="single" w:sz="4" w:space="0" w:color="auto"/>
              <w:right w:val="single" w:sz="4" w:space="0" w:color="auto"/>
            </w:tcBorders>
            <w:shd w:val="clear" w:color="auto" w:fill="C6EFCE"/>
            <w:noWrap/>
            <w:vAlign w:val="center"/>
          </w:tcPr>
          <w:p w14:paraId="5BA93264" w14:textId="77777777" w:rsidR="006054AA" w:rsidRDefault="001F7667">
            <w:pPr>
              <w:pStyle w:val="P68B1DB1-Normal12"/>
              <w:jc w:val="center"/>
              <w:rPr>
                <w:noProof/>
              </w:rPr>
            </w:pPr>
            <w:r>
              <w:rPr>
                <w:noProof/>
              </w:rPr>
              <w:t>Инвестиция 1 — Подкрепа за уязвимите лица и предотвратяване на институционализацията</w:t>
            </w:r>
          </w:p>
        </w:tc>
        <w:tc>
          <w:tcPr>
            <w:tcW w:w="1380" w:type="dxa"/>
            <w:tcBorders>
              <w:top w:val="nil"/>
              <w:left w:val="nil"/>
              <w:bottom w:val="single" w:sz="4" w:space="0" w:color="auto"/>
              <w:right w:val="single" w:sz="4" w:space="0" w:color="auto"/>
            </w:tcBorders>
            <w:shd w:val="clear" w:color="auto" w:fill="C6EFCE"/>
            <w:noWrap/>
            <w:vAlign w:val="center"/>
          </w:tcPr>
          <w:p w14:paraId="04FF1779"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9343B13" w14:textId="77777777" w:rsidR="006054AA" w:rsidRDefault="001F7667">
            <w:pPr>
              <w:pStyle w:val="P68B1DB1-Normal12"/>
              <w:rPr>
                <w:noProof/>
              </w:rPr>
            </w:pPr>
            <w:r>
              <w:rPr>
                <w:noProof/>
              </w:rPr>
              <w:t>Социалните райони постигат поне един от следните резултати: I) подкрепа за родителите, ii) самостоятелност на възрастните хора, iii) домашни услуги за възрастни хора или iv) облагодетелстване на социалните работници с цел предотвратяване на професионалното изчерпване</w:t>
            </w:r>
          </w:p>
        </w:tc>
      </w:tr>
      <w:tr w:rsidR="006054AA" w14:paraId="1FC598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04380" w14:textId="77777777" w:rsidR="006054AA" w:rsidRDefault="001F7667">
            <w:pPr>
              <w:pStyle w:val="P68B1DB1-Normal12"/>
              <w:jc w:val="center"/>
              <w:rPr>
                <w:noProof/>
              </w:rPr>
            </w:pPr>
            <w:r>
              <w:rPr>
                <w:noProof/>
              </w:rPr>
              <w:t>M5C2—8</w:t>
            </w:r>
          </w:p>
        </w:tc>
        <w:tc>
          <w:tcPr>
            <w:tcW w:w="3195" w:type="dxa"/>
            <w:tcBorders>
              <w:top w:val="nil"/>
              <w:left w:val="nil"/>
              <w:bottom w:val="single" w:sz="4" w:space="0" w:color="auto"/>
              <w:right w:val="single" w:sz="4" w:space="0" w:color="auto"/>
            </w:tcBorders>
            <w:shd w:val="clear" w:color="auto" w:fill="C6EFCE"/>
            <w:noWrap/>
            <w:vAlign w:val="center"/>
          </w:tcPr>
          <w:p w14:paraId="7DDA62A2" w14:textId="77777777" w:rsidR="006054AA" w:rsidRDefault="001F7667">
            <w:pPr>
              <w:pStyle w:val="P68B1DB1-Normal12"/>
              <w:jc w:val="center"/>
              <w:rPr>
                <w:noProof/>
              </w:rPr>
            </w:pPr>
            <w:r>
              <w:rPr>
                <w:noProof/>
              </w:rPr>
              <w:t>Инвестиция 2 — Самостоятелни модели за хората с увреждания</w:t>
            </w:r>
          </w:p>
        </w:tc>
        <w:tc>
          <w:tcPr>
            <w:tcW w:w="1380" w:type="dxa"/>
            <w:tcBorders>
              <w:top w:val="nil"/>
              <w:left w:val="nil"/>
              <w:bottom w:val="single" w:sz="4" w:space="0" w:color="auto"/>
              <w:right w:val="single" w:sz="4" w:space="0" w:color="auto"/>
            </w:tcBorders>
            <w:shd w:val="clear" w:color="auto" w:fill="C6EFCE"/>
            <w:noWrap/>
            <w:vAlign w:val="center"/>
          </w:tcPr>
          <w:p w14:paraId="3E06D896"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27AFD686" w14:textId="77777777" w:rsidR="006054AA" w:rsidRDefault="001F7667">
            <w:pPr>
              <w:pStyle w:val="P68B1DB1-Normal12"/>
              <w:rPr>
                <w:noProof/>
              </w:rPr>
            </w:pPr>
            <w:r>
              <w:rPr>
                <w:noProof/>
              </w:rPr>
              <w:t>Хората с увреждания получиха ремонт на домашното пространство и/или предоставяне на ИКТ устройства. Услугите се придружават от обучение по цифрови умения.</w:t>
            </w:r>
          </w:p>
        </w:tc>
      </w:tr>
      <w:tr w:rsidR="006054AA" w14:paraId="293221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89FDBD" w14:textId="77777777" w:rsidR="006054AA" w:rsidRDefault="001F7667">
            <w:pPr>
              <w:pStyle w:val="P68B1DB1-Normal12"/>
              <w:jc w:val="center"/>
              <w:rPr>
                <w:noProof/>
              </w:rPr>
            </w:pPr>
            <w:r>
              <w:rPr>
                <w:noProof/>
              </w:rPr>
              <w:t>M5C2—10</w:t>
            </w:r>
          </w:p>
        </w:tc>
        <w:tc>
          <w:tcPr>
            <w:tcW w:w="3195" w:type="dxa"/>
            <w:tcBorders>
              <w:top w:val="nil"/>
              <w:left w:val="nil"/>
              <w:bottom w:val="single" w:sz="4" w:space="0" w:color="auto"/>
              <w:right w:val="single" w:sz="4" w:space="0" w:color="auto"/>
            </w:tcBorders>
            <w:shd w:val="clear" w:color="auto" w:fill="C6EFCE"/>
            <w:noWrap/>
            <w:vAlign w:val="center"/>
          </w:tcPr>
          <w:p w14:paraId="1AD83CD7" w14:textId="77777777" w:rsidR="006054AA" w:rsidRDefault="001F7667">
            <w:pPr>
              <w:pStyle w:val="P68B1DB1-Normal12"/>
              <w:jc w:val="center"/>
              <w:rPr>
                <w:noProof/>
              </w:rPr>
            </w:pPr>
            <w:r>
              <w:rPr>
                <w:noProof/>
              </w:rPr>
              <w:t>Инвестиция 3 — Жилищни първи и пощенски станции</w:t>
            </w:r>
          </w:p>
        </w:tc>
        <w:tc>
          <w:tcPr>
            <w:tcW w:w="1380" w:type="dxa"/>
            <w:tcBorders>
              <w:top w:val="nil"/>
              <w:left w:val="nil"/>
              <w:bottom w:val="single" w:sz="4" w:space="0" w:color="auto"/>
              <w:right w:val="single" w:sz="4" w:space="0" w:color="auto"/>
            </w:tcBorders>
            <w:shd w:val="clear" w:color="auto" w:fill="C6EFCE"/>
            <w:noWrap/>
            <w:vAlign w:val="center"/>
          </w:tcPr>
          <w:p w14:paraId="74A2BD46"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224416F9" w14:textId="77777777" w:rsidR="006054AA" w:rsidRDefault="001F7667">
            <w:pPr>
              <w:pStyle w:val="P68B1DB1-Normal12"/>
              <w:rPr>
                <w:noProof/>
              </w:rPr>
            </w:pPr>
            <w:r>
              <w:rPr>
                <w:noProof/>
              </w:rPr>
              <w:t>Хората, живеещи в тежки материални лишения, поемат отговорност за проекти „Жилище преди всичко“ в продължение на най-малко шест месеца и пощенски станции</w:t>
            </w:r>
          </w:p>
        </w:tc>
      </w:tr>
      <w:tr w:rsidR="006054AA" w14:paraId="26568C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43C8AA" w14:textId="77777777" w:rsidR="006054AA" w:rsidRDefault="001F7667">
            <w:pPr>
              <w:pStyle w:val="P68B1DB1-Normal12"/>
              <w:jc w:val="center"/>
              <w:rPr>
                <w:noProof/>
              </w:rPr>
            </w:pPr>
            <w:r>
              <w:rPr>
                <w:noProof/>
              </w:rPr>
              <w:t>M7—33</w:t>
            </w:r>
          </w:p>
        </w:tc>
        <w:tc>
          <w:tcPr>
            <w:tcW w:w="3195" w:type="dxa"/>
            <w:tcBorders>
              <w:top w:val="nil"/>
              <w:left w:val="nil"/>
              <w:bottom w:val="single" w:sz="4" w:space="0" w:color="auto"/>
              <w:right w:val="single" w:sz="4" w:space="0" w:color="auto"/>
            </w:tcBorders>
            <w:shd w:val="clear" w:color="auto" w:fill="C6EFCE"/>
            <w:noWrap/>
            <w:vAlign w:val="center"/>
          </w:tcPr>
          <w:p w14:paraId="5A75E62B" w14:textId="77777777" w:rsidR="006054AA" w:rsidRDefault="001F7667">
            <w:pPr>
              <w:pStyle w:val="P68B1DB1-Normal12"/>
              <w:rPr>
                <w:noProof/>
              </w:rPr>
            </w:pPr>
            <w:r>
              <w:rPr>
                <w:noProof/>
              </w:rPr>
              <w:t>Схема за отпускане на безвъзмездни средства за инвестиции 12 за развитие на международно и промишлено лидерство и лидерство в областта на научноизследователската и развойната дейност в електрическите автобуси</w:t>
            </w:r>
          </w:p>
        </w:tc>
        <w:tc>
          <w:tcPr>
            <w:tcW w:w="1380" w:type="dxa"/>
            <w:tcBorders>
              <w:top w:val="nil"/>
              <w:left w:val="nil"/>
              <w:bottom w:val="single" w:sz="4" w:space="0" w:color="auto"/>
              <w:right w:val="single" w:sz="4" w:space="0" w:color="auto"/>
            </w:tcBorders>
            <w:shd w:val="clear" w:color="auto" w:fill="C6EFCE"/>
            <w:noWrap/>
            <w:vAlign w:val="center"/>
          </w:tcPr>
          <w:p w14:paraId="780BD33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78B3D746" w14:textId="77777777" w:rsidR="006054AA" w:rsidRDefault="001F7667">
            <w:pPr>
              <w:pStyle w:val="P68B1DB1-Normal12"/>
              <w:rPr>
                <w:noProof/>
              </w:rPr>
            </w:pPr>
            <w:r>
              <w:rPr>
                <w:noProof/>
              </w:rPr>
              <w:t>Правни споразумения, подписани с крайните бенефициери</w:t>
            </w:r>
          </w:p>
        </w:tc>
      </w:tr>
      <w:tr w:rsidR="006054AA" w14:paraId="573F2A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476653" w14:textId="77777777" w:rsidR="006054AA" w:rsidRDefault="001F7667">
            <w:pPr>
              <w:pStyle w:val="P68B1DB1-Normal12"/>
              <w:jc w:val="center"/>
              <w:rPr>
                <w:noProof/>
              </w:rPr>
            </w:pPr>
            <w:r>
              <w:rPr>
                <w:noProof/>
              </w:rPr>
              <w:t>M3C2—12</w:t>
            </w:r>
          </w:p>
        </w:tc>
        <w:tc>
          <w:tcPr>
            <w:tcW w:w="3195" w:type="dxa"/>
            <w:tcBorders>
              <w:top w:val="nil"/>
              <w:left w:val="nil"/>
              <w:bottom w:val="single" w:sz="4" w:space="0" w:color="auto"/>
              <w:right w:val="single" w:sz="4" w:space="0" w:color="auto"/>
            </w:tcBorders>
            <w:shd w:val="clear" w:color="auto" w:fill="C6EFCE"/>
            <w:noWrap/>
            <w:vAlign w:val="center"/>
          </w:tcPr>
          <w:p w14:paraId="0B2D6050" w14:textId="77777777" w:rsidR="006054AA" w:rsidRDefault="001F7667">
            <w:pPr>
              <w:pStyle w:val="P68B1DB1-Normal12"/>
              <w:jc w:val="center"/>
              <w:rPr>
                <w:noProof/>
              </w:rPr>
            </w:pPr>
            <w:r>
              <w:rPr>
                <w:noProof/>
              </w:rPr>
              <w:t xml:space="preserve">Инвестиция 9: Студено гладене </w:t>
            </w:r>
          </w:p>
        </w:tc>
        <w:tc>
          <w:tcPr>
            <w:tcW w:w="1380" w:type="dxa"/>
            <w:tcBorders>
              <w:top w:val="nil"/>
              <w:left w:val="nil"/>
              <w:bottom w:val="single" w:sz="4" w:space="0" w:color="auto"/>
              <w:right w:val="single" w:sz="4" w:space="0" w:color="auto"/>
            </w:tcBorders>
            <w:shd w:val="clear" w:color="auto" w:fill="C6EFCE"/>
            <w:noWrap/>
            <w:vAlign w:val="center"/>
          </w:tcPr>
          <w:p w14:paraId="66D48E97" w14:textId="77777777" w:rsidR="006054AA" w:rsidRDefault="001F7667">
            <w:pPr>
              <w:pStyle w:val="P68B1DB1-Normal12"/>
              <w:jc w:val="center"/>
              <w:rPr>
                <w:noProof/>
              </w:rPr>
            </w:pPr>
            <w:r>
              <w:rPr>
                <w:noProof/>
              </w:rPr>
              <w:t xml:space="preserve">Целеви </w:t>
            </w:r>
          </w:p>
        </w:tc>
        <w:tc>
          <w:tcPr>
            <w:tcW w:w="4035" w:type="dxa"/>
            <w:tcBorders>
              <w:top w:val="nil"/>
              <w:left w:val="nil"/>
              <w:bottom w:val="single" w:sz="4" w:space="0" w:color="auto"/>
              <w:right w:val="single" w:sz="4" w:space="0" w:color="auto"/>
            </w:tcBorders>
            <w:shd w:val="clear" w:color="auto" w:fill="C6EFCE"/>
            <w:noWrap/>
            <w:vAlign w:val="center"/>
          </w:tcPr>
          <w:p w14:paraId="036F132C" w14:textId="77777777" w:rsidR="006054AA" w:rsidRDefault="001F7667">
            <w:pPr>
              <w:pStyle w:val="P68B1DB1-Normal12"/>
              <w:rPr>
                <w:noProof/>
              </w:rPr>
            </w:pPr>
            <w:r>
              <w:rPr>
                <w:noProof/>
              </w:rPr>
              <w:t xml:space="preserve">Въвеждане в експлоатация на инфраструктури за студено гладене. </w:t>
            </w:r>
          </w:p>
        </w:tc>
      </w:tr>
      <w:tr w:rsidR="006054AA" w14:paraId="21630E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DB906" w14:textId="77777777" w:rsidR="006054AA" w:rsidRDefault="001F7667">
            <w:pPr>
              <w:pStyle w:val="P68B1DB1-Normal12"/>
              <w:jc w:val="center"/>
              <w:rPr>
                <w:noProof/>
              </w:rPr>
            </w:pPr>
            <w:r>
              <w:rPr>
                <w:noProof/>
              </w:rPr>
              <w:t>M1C1—26</w:t>
            </w:r>
          </w:p>
        </w:tc>
        <w:tc>
          <w:tcPr>
            <w:tcW w:w="3195" w:type="dxa"/>
            <w:tcBorders>
              <w:top w:val="nil"/>
              <w:left w:val="nil"/>
              <w:bottom w:val="single" w:sz="4" w:space="0" w:color="auto"/>
              <w:right w:val="single" w:sz="4" w:space="0" w:color="auto"/>
            </w:tcBorders>
            <w:shd w:val="clear" w:color="auto" w:fill="C6EFCE"/>
            <w:noWrap/>
            <w:vAlign w:val="center"/>
          </w:tcPr>
          <w:p w14:paraId="33EFF5C5" w14:textId="77777777" w:rsidR="006054AA" w:rsidRDefault="001F7667">
            <w:pPr>
              <w:pStyle w:val="P68B1DB1-Normal12"/>
              <w:jc w:val="center"/>
              <w:rPr>
                <w:noProof/>
              </w:rPr>
            </w:pPr>
            <w:r>
              <w:rPr>
                <w:noProof/>
              </w:rPr>
              <w:t>Инвестиция 1.1: Цифрова инфраструктура</w:t>
            </w:r>
          </w:p>
        </w:tc>
        <w:tc>
          <w:tcPr>
            <w:tcW w:w="1380" w:type="dxa"/>
            <w:tcBorders>
              <w:top w:val="nil"/>
              <w:left w:val="nil"/>
              <w:bottom w:val="single" w:sz="4" w:space="0" w:color="auto"/>
              <w:right w:val="single" w:sz="4" w:space="0" w:color="auto"/>
            </w:tcBorders>
            <w:shd w:val="clear" w:color="auto" w:fill="C6EFCE"/>
            <w:noWrap/>
            <w:vAlign w:val="center"/>
          </w:tcPr>
          <w:p w14:paraId="17B45133"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7B9BC1B4" w14:textId="77777777" w:rsidR="006054AA" w:rsidRDefault="001F7667">
            <w:pPr>
              <w:pStyle w:val="P68B1DB1-Normal12"/>
              <w:rPr>
                <w:noProof/>
              </w:rPr>
            </w:pPr>
            <w:r>
              <w:rPr>
                <w:noProof/>
              </w:rPr>
              <w:t>Миграция към Polo Strategico Nazionale T2</w:t>
            </w:r>
          </w:p>
        </w:tc>
      </w:tr>
      <w:tr w:rsidR="006054AA" w14:paraId="35DC91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8C49E" w14:textId="77777777" w:rsidR="006054AA" w:rsidRDefault="001F7667">
            <w:pPr>
              <w:pStyle w:val="P68B1DB1-Normal12"/>
              <w:jc w:val="center"/>
              <w:rPr>
                <w:noProof/>
              </w:rPr>
            </w:pPr>
            <w:r>
              <w:rPr>
                <w:noProof/>
              </w:rPr>
              <w:t>M1C1—27</w:t>
            </w:r>
          </w:p>
        </w:tc>
        <w:tc>
          <w:tcPr>
            <w:tcW w:w="3195" w:type="dxa"/>
            <w:tcBorders>
              <w:top w:val="nil"/>
              <w:left w:val="nil"/>
              <w:bottom w:val="single" w:sz="4" w:space="0" w:color="auto"/>
              <w:right w:val="single" w:sz="4" w:space="0" w:color="auto"/>
            </w:tcBorders>
            <w:shd w:val="clear" w:color="auto" w:fill="C6EFCE"/>
            <w:noWrap/>
            <w:vAlign w:val="center"/>
          </w:tcPr>
          <w:p w14:paraId="4CDBD370" w14:textId="77777777" w:rsidR="006054AA" w:rsidRDefault="001F7667">
            <w:pPr>
              <w:pStyle w:val="P68B1DB1-Normal12"/>
              <w:jc w:val="center"/>
              <w:rPr>
                <w:noProof/>
              </w:rPr>
            </w:pPr>
            <w:r>
              <w:rPr>
                <w:noProof/>
              </w:rPr>
              <w:t>Инвестиция 1.3.1: Национална платформа за цифрови данни</w:t>
            </w:r>
          </w:p>
        </w:tc>
        <w:tc>
          <w:tcPr>
            <w:tcW w:w="1380" w:type="dxa"/>
            <w:tcBorders>
              <w:top w:val="nil"/>
              <w:left w:val="nil"/>
              <w:bottom w:val="single" w:sz="4" w:space="0" w:color="auto"/>
              <w:right w:val="single" w:sz="4" w:space="0" w:color="auto"/>
            </w:tcBorders>
            <w:shd w:val="clear" w:color="auto" w:fill="C6EFCE"/>
            <w:noWrap/>
            <w:vAlign w:val="center"/>
          </w:tcPr>
          <w:p w14:paraId="284B5B36"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6DF6F331" w14:textId="77777777" w:rsidR="006054AA" w:rsidRDefault="001F7667">
            <w:pPr>
              <w:pStyle w:val="P68B1DB1-Normal12"/>
              <w:rPr>
                <w:noProof/>
              </w:rPr>
            </w:pPr>
            <w:r>
              <w:rPr>
                <w:noProof/>
              </w:rPr>
              <w:t>Приложно-програмни интерфейси в националната платформа за цифрови данни T2</w:t>
            </w:r>
          </w:p>
        </w:tc>
      </w:tr>
      <w:tr w:rsidR="006054AA" w14:paraId="7F621F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6132A" w14:textId="77777777" w:rsidR="006054AA" w:rsidRDefault="001F7667">
            <w:pPr>
              <w:pStyle w:val="P68B1DB1-Normal12"/>
              <w:jc w:val="center"/>
              <w:rPr>
                <w:noProof/>
              </w:rPr>
            </w:pPr>
            <w:r>
              <w:rPr>
                <w:noProof/>
              </w:rPr>
              <w:t>M1C1—28</w:t>
            </w:r>
          </w:p>
        </w:tc>
        <w:tc>
          <w:tcPr>
            <w:tcW w:w="3195" w:type="dxa"/>
            <w:tcBorders>
              <w:top w:val="nil"/>
              <w:left w:val="nil"/>
              <w:bottom w:val="single" w:sz="4" w:space="0" w:color="auto"/>
              <w:right w:val="single" w:sz="4" w:space="0" w:color="auto"/>
            </w:tcBorders>
            <w:shd w:val="clear" w:color="auto" w:fill="C6EFCE"/>
            <w:noWrap/>
            <w:vAlign w:val="center"/>
          </w:tcPr>
          <w:p w14:paraId="090A11DF" w14:textId="77777777" w:rsidR="006054AA" w:rsidRDefault="001F7667">
            <w:pPr>
              <w:pStyle w:val="P68B1DB1-Normal12"/>
              <w:jc w:val="center"/>
              <w:rPr>
                <w:noProof/>
              </w:rPr>
            </w:pPr>
            <w:r>
              <w:rPr>
                <w:noProof/>
              </w:rPr>
              <w:t>Инвестиция 1.7.2: Мрежа от цифрови услуги за улесняване</w:t>
            </w:r>
          </w:p>
        </w:tc>
        <w:tc>
          <w:tcPr>
            <w:tcW w:w="1380" w:type="dxa"/>
            <w:tcBorders>
              <w:top w:val="nil"/>
              <w:left w:val="nil"/>
              <w:bottom w:val="single" w:sz="4" w:space="0" w:color="auto"/>
              <w:right w:val="single" w:sz="4" w:space="0" w:color="auto"/>
            </w:tcBorders>
            <w:shd w:val="clear" w:color="auto" w:fill="C6EFCE"/>
            <w:noWrap/>
            <w:vAlign w:val="center"/>
          </w:tcPr>
          <w:p w14:paraId="625C42CB"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87B5B16" w14:textId="77777777" w:rsidR="006054AA" w:rsidRDefault="001F7667">
            <w:pPr>
              <w:pStyle w:val="P68B1DB1-Normal12"/>
              <w:rPr>
                <w:noProof/>
              </w:rPr>
            </w:pPr>
            <w:r>
              <w:rPr>
                <w:noProof/>
              </w:rPr>
              <w:t>Брой на гражданите, участващи в нови инициативи за цифрово образование и/или улесняване, осигурени от центровете за цифрово подпомагане</w:t>
            </w:r>
          </w:p>
        </w:tc>
      </w:tr>
      <w:tr w:rsidR="006054AA" w14:paraId="157CE0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670585" w14:textId="77777777" w:rsidR="006054AA" w:rsidRDefault="001F7667">
            <w:pPr>
              <w:pStyle w:val="P68B1DB1-Normal12"/>
              <w:jc w:val="center"/>
              <w:rPr>
                <w:noProof/>
              </w:rPr>
            </w:pPr>
            <w:r>
              <w:rPr>
                <w:noProof/>
              </w:rPr>
              <w:t>M1C1—45</w:t>
            </w:r>
          </w:p>
        </w:tc>
        <w:tc>
          <w:tcPr>
            <w:tcW w:w="3195" w:type="dxa"/>
            <w:tcBorders>
              <w:top w:val="nil"/>
              <w:left w:val="nil"/>
              <w:bottom w:val="single" w:sz="4" w:space="0" w:color="auto"/>
              <w:right w:val="single" w:sz="4" w:space="0" w:color="auto"/>
            </w:tcBorders>
            <w:shd w:val="clear" w:color="auto" w:fill="C6EFCE"/>
            <w:noWrap/>
            <w:vAlign w:val="center"/>
          </w:tcPr>
          <w:p w14:paraId="754BA3F1" w14:textId="77777777" w:rsidR="006054AA" w:rsidRDefault="001F7667">
            <w:pPr>
              <w:pStyle w:val="P68B1DB1-Normal12"/>
              <w:jc w:val="center"/>
              <w:rPr>
                <w:noProof/>
              </w:rPr>
            </w:pPr>
            <w:r>
              <w:rPr>
                <w:noProof/>
              </w:rPr>
              <w:t>Реформи 1.4 и 1.5: Реформа на гражданското и наказателното правосъдие</w:t>
            </w:r>
          </w:p>
        </w:tc>
        <w:tc>
          <w:tcPr>
            <w:tcW w:w="1380" w:type="dxa"/>
            <w:tcBorders>
              <w:top w:val="nil"/>
              <w:left w:val="nil"/>
              <w:bottom w:val="single" w:sz="4" w:space="0" w:color="auto"/>
              <w:right w:val="single" w:sz="4" w:space="0" w:color="auto"/>
            </w:tcBorders>
            <w:shd w:val="clear" w:color="auto" w:fill="C6EFCE"/>
            <w:noWrap/>
            <w:vAlign w:val="center"/>
          </w:tcPr>
          <w:p w14:paraId="71DD52A7"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52B8C57B" w14:textId="77777777" w:rsidR="006054AA" w:rsidRDefault="001F7667">
            <w:pPr>
              <w:pStyle w:val="P68B1DB1-Normal12"/>
              <w:rPr>
                <w:noProof/>
              </w:rPr>
            </w:pPr>
            <w:r>
              <w:rPr>
                <w:noProof/>
              </w:rPr>
              <w:t>Намаляване на продължителността на гражданските производства</w:t>
            </w:r>
          </w:p>
        </w:tc>
      </w:tr>
      <w:tr w:rsidR="006054AA" w14:paraId="43CD13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BA2F73" w14:textId="77777777" w:rsidR="006054AA" w:rsidRDefault="001F7667">
            <w:pPr>
              <w:pStyle w:val="P68B1DB1-Normal12"/>
              <w:jc w:val="center"/>
              <w:rPr>
                <w:noProof/>
              </w:rPr>
            </w:pPr>
            <w:r>
              <w:rPr>
                <w:noProof/>
              </w:rPr>
              <w:t>M1C1—46</w:t>
            </w:r>
          </w:p>
        </w:tc>
        <w:tc>
          <w:tcPr>
            <w:tcW w:w="3195" w:type="dxa"/>
            <w:tcBorders>
              <w:top w:val="nil"/>
              <w:left w:val="nil"/>
              <w:bottom w:val="single" w:sz="4" w:space="0" w:color="auto"/>
              <w:right w:val="single" w:sz="4" w:space="0" w:color="auto"/>
            </w:tcBorders>
            <w:shd w:val="clear" w:color="auto" w:fill="C6EFCE"/>
            <w:noWrap/>
            <w:vAlign w:val="center"/>
          </w:tcPr>
          <w:p w14:paraId="6BBB5306" w14:textId="77777777" w:rsidR="006054AA" w:rsidRDefault="001F7667">
            <w:pPr>
              <w:pStyle w:val="P68B1DB1-Normal12"/>
              <w:jc w:val="center"/>
              <w:rPr>
                <w:noProof/>
              </w:rPr>
            </w:pPr>
            <w:r>
              <w:rPr>
                <w:noProof/>
              </w:rPr>
              <w:t>Реформи 1.4 и 1.5: Реформа на гражданското и наказателното правосъдие</w:t>
            </w:r>
          </w:p>
        </w:tc>
        <w:tc>
          <w:tcPr>
            <w:tcW w:w="1380" w:type="dxa"/>
            <w:tcBorders>
              <w:top w:val="nil"/>
              <w:left w:val="nil"/>
              <w:bottom w:val="single" w:sz="4" w:space="0" w:color="auto"/>
              <w:right w:val="single" w:sz="4" w:space="0" w:color="auto"/>
            </w:tcBorders>
            <w:shd w:val="clear" w:color="auto" w:fill="C6EFCE"/>
            <w:noWrap/>
            <w:vAlign w:val="center"/>
          </w:tcPr>
          <w:p w14:paraId="0C6CFDF3"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C5714FD" w14:textId="77777777" w:rsidR="006054AA" w:rsidRDefault="001F7667">
            <w:pPr>
              <w:pStyle w:val="P68B1DB1-Normal12"/>
              <w:rPr>
                <w:noProof/>
              </w:rPr>
            </w:pPr>
            <w:r>
              <w:rPr>
                <w:noProof/>
              </w:rPr>
              <w:t>Намаляване на продължителността на наказателните производства</w:t>
            </w:r>
          </w:p>
        </w:tc>
      </w:tr>
      <w:tr w:rsidR="006054AA" w14:paraId="7D7B1E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6EEA3" w14:textId="77777777" w:rsidR="006054AA" w:rsidRDefault="001F7667">
            <w:pPr>
              <w:pStyle w:val="P68B1DB1-Normal12"/>
              <w:jc w:val="center"/>
              <w:rPr>
                <w:noProof/>
              </w:rPr>
            </w:pPr>
            <w:r>
              <w:rPr>
                <w:noProof/>
              </w:rPr>
              <w:t>M1C1—47</w:t>
            </w:r>
          </w:p>
        </w:tc>
        <w:tc>
          <w:tcPr>
            <w:tcW w:w="3195" w:type="dxa"/>
            <w:tcBorders>
              <w:top w:val="nil"/>
              <w:left w:val="nil"/>
              <w:bottom w:val="single" w:sz="4" w:space="0" w:color="auto"/>
              <w:right w:val="single" w:sz="4" w:space="0" w:color="auto"/>
            </w:tcBorders>
            <w:shd w:val="clear" w:color="auto" w:fill="C6EFCE"/>
            <w:noWrap/>
            <w:vAlign w:val="center"/>
          </w:tcPr>
          <w:p w14:paraId="60DDABE5" w14:textId="77777777" w:rsidR="006054AA" w:rsidRDefault="001F7667">
            <w:pPr>
              <w:pStyle w:val="P68B1DB1-Normal12"/>
              <w:jc w:val="center"/>
              <w:rPr>
                <w:noProof/>
              </w:rPr>
            </w:pPr>
            <w:r>
              <w:rPr>
                <w:noProof/>
              </w:rPr>
              <w:t>Реформа 1.4: Реформа на гражданското правосъдие</w:t>
            </w:r>
          </w:p>
        </w:tc>
        <w:tc>
          <w:tcPr>
            <w:tcW w:w="1380" w:type="dxa"/>
            <w:tcBorders>
              <w:top w:val="nil"/>
              <w:left w:val="nil"/>
              <w:bottom w:val="single" w:sz="4" w:space="0" w:color="auto"/>
              <w:right w:val="single" w:sz="4" w:space="0" w:color="auto"/>
            </w:tcBorders>
            <w:shd w:val="clear" w:color="auto" w:fill="C6EFCE"/>
            <w:noWrap/>
            <w:vAlign w:val="center"/>
          </w:tcPr>
          <w:p w14:paraId="33185160"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6F699E7" w14:textId="77777777" w:rsidR="006054AA" w:rsidRDefault="001F7667">
            <w:pPr>
              <w:pStyle w:val="P68B1DB1-Normal12"/>
              <w:rPr>
                <w:noProof/>
              </w:rPr>
            </w:pPr>
            <w:r>
              <w:rPr>
                <w:noProof/>
              </w:rPr>
              <w:t>Намаляване на броя на висящите дела за гражданските общи съдилища (първа инстанция)</w:t>
            </w:r>
          </w:p>
        </w:tc>
      </w:tr>
      <w:tr w:rsidR="006054AA" w14:paraId="06A5F4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BA1A0" w14:textId="77777777" w:rsidR="006054AA" w:rsidRDefault="001F7667">
            <w:pPr>
              <w:pStyle w:val="P68B1DB1-Normal12"/>
              <w:jc w:val="center"/>
              <w:rPr>
                <w:noProof/>
              </w:rPr>
            </w:pPr>
            <w:r>
              <w:rPr>
                <w:noProof/>
              </w:rPr>
              <w:t>M1C1—48</w:t>
            </w:r>
          </w:p>
        </w:tc>
        <w:tc>
          <w:tcPr>
            <w:tcW w:w="3195" w:type="dxa"/>
            <w:tcBorders>
              <w:top w:val="nil"/>
              <w:left w:val="nil"/>
              <w:bottom w:val="single" w:sz="4" w:space="0" w:color="auto"/>
              <w:right w:val="single" w:sz="4" w:space="0" w:color="auto"/>
            </w:tcBorders>
            <w:shd w:val="clear" w:color="auto" w:fill="C6EFCE"/>
            <w:noWrap/>
            <w:vAlign w:val="center"/>
          </w:tcPr>
          <w:p w14:paraId="2B84698B" w14:textId="77777777" w:rsidR="006054AA" w:rsidRDefault="001F7667">
            <w:pPr>
              <w:pStyle w:val="P68B1DB1-Normal12"/>
              <w:jc w:val="center"/>
              <w:rPr>
                <w:noProof/>
              </w:rPr>
            </w:pPr>
            <w:r>
              <w:rPr>
                <w:noProof/>
              </w:rPr>
              <w:t>Реформа 1.4: Реформа на гражданското правосъдие</w:t>
            </w:r>
          </w:p>
        </w:tc>
        <w:tc>
          <w:tcPr>
            <w:tcW w:w="1380" w:type="dxa"/>
            <w:tcBorders>
              <w:top w:val="nil"/>
              <w:left w:val="nil"/>
              <w:bottom w:val="single" w:sz="4" w:space="0" w:color="auto"/>
              <w:right w:val="single" w:sz="4" w:space="0" w:color="auto"/>
            </w:tcBorders>
            <w:shd w:val="clear" w:color="auto" w:fill="C6EFCE"/>
            <w:noWrap/>
            <w:vAlign w:val="center"/>
          </w:tcPr>
          <w:p w14:paraId="11D1BB10"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360205D1" w14:textId="77777777" w:rsidR="006054AA" w:rsidRDefault="001F7667">
            <w:pPr>
              <w:pStyle w:val="P68B1DB1-Normal12"/>
              <w:rPr>
                <w:noProof/>
              </w:rPr>
            </w:pPr>
            <w:r>
              <w:rPr>
                <w:noProof/>
              </w:rPr>
              <w:t>Намаляване на броя на висящите дела за Апелативния граждански съд (втора инстанция)</w:t>
            </w:r>
          </w:p>
        </w:tc>
      </w:tr>
      <w:tr w:rsidR="006054AA" w14:paraId="018732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AE0A96" w14:textId="77777777" w:rsidR="006054AA" w:rsidRDefault="001F7667">
            <w:pPr>
              <w:pStyle w:val="P68B1DB1-Normal12"/>
              <w:jc w:val="center"/>
              <w:rPr>
                <w:noProof/>
              </w:rPr>
            </w:pPr>
            <w:r>
              <w:rPr>
                <w:noProof/>
              </w:rPr>
              <w:t>M1C1—49</w:t>
            </w:r>
          </w:p>
        </w:tc>
        <w:tc>
          <w:tcPr>
            <w:tcW w:w="3195" w:type="dxa"/>
            <w:tcBorders>
              <w:top w:val="nil"/>
              <w:left w:val="nil"/>
              <w:bottom w:val="single" w:sz="4" w:space="0" w:color="auto"/>
              <w:right w:val="single" w:sz="4" w:space="0" w:color="auto"/>
            </w:tcBorders>
            <w:shd w:val="clear" w:color="auto" w:fill="C6EFCE"/>
            <w:noWrap/>
            <w:vAlign w:val="center"/>
          </w:tcPr>
          <w:p w14:paraId="5AD8DE5A" w14:textId="77777777" w:rsidR="006054AA" w:rsidRDefault="001F7667">
            <w:pPr>
              <w:pStyle w:val="P68B1DB1-Normal12"/>
              <w:jc w:val="center"/>
              <w:rPr>
                <w:noProof/>
              </w:rPr>
            </w:pPr>
            <w:r>
              <w:rPr>
                <w:noProof/>
              </w:rPr>
              <w:t>Инвестиция 1.8: Процедури за набиране на персонал в административните съдилища</w:t>
            </w:r>
          </w:p>
        </w:tc>
        <w:tc>
          <w:tcPr>
            <w:tcW w:w="1380" w:type="dxa"/>
            <w:tcBorders>
              <w:top w:val="nil"/>
              <w:left w:val="nil"/>
              <w:bottom w:val="single" w:sz="4" w:space="0" w:color="auto"/>
              <w:right w:val="single" w:sz="4" w:space="0" w:color="auto"/>
            </w:tcBorders>
            <w:shd w:val="clear" w:color="auto" w:fill="C6EFCE"/>
            <w:noWrap/>
            <w:vAlign w:val="center"/>
          </w:tcPr>
          <w:p w14:paraId="4CD715E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72715999" w14:textId="77777777" w:rsidR="006054AA" w:rsidRDefault="001F7667">
            <w:pPr>
              <w:pStyle w:val="P68B1DB1-Normal12"/>
              <w:rPr>
                <w:noProof/>
              </w:rPr>
            </w:pPr>
            <w:r>
              <w:rPr>
                <w:noProof/>
              </w:rPr>
              <w:t>Намаляване на броя на висящите дела за районните административни съдилища (първа инстанция)</w:t>
            </w:r>
          </w:p>
        </w:tc>
      </w:tr>
      <w:tr w:rsidR="006054AA" w14:paraId="02D871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A46704" w14:textId="77777777" w:rsidR="006054AA" w:rsidRDefault="001F7667">
            <w:pPr>
              <w:pStyle w:val="P68B1DB1-Normal12"/>
              <w:jc w:val="center"/>
              <w:rPr>
                <w:noProof/>
              </w:rPr>
            </w:pPr>
            <w:r>
              <w:rPr>
                <w:noProof/>
              </w:rPr>
              <w:t>M1C1—50</w:t>
            </w:r>
          </w:p>
        </w:tc>
        <w:tc>
          <w:tcPr>
            <w:tcW w:w="3195" w:type="dxa"/>
            <w:tcBorders>
              <w:top w:val="nil"/>
              <w:left w:val="nil"/>
              <w:bottom w:val="single" w:sz="4" w:space="0" w:color="auto"/>
              <w:right w:val="single" w:sz="4" w:space="0" w:color="auto"/>
            </w:tcBorders>
            <w:shd w:val="clear" w:color="auto" w:fill="C6EFCE"/>
            <w:noWrap/>
            <w:vAlign w:val="center"/>
          </w:tcPr>
          <w:p w14:paraId="5010CBA3" w14:textId="77777777" w:rsidR="006054AA" w:rsidRDefault="001F7667">
            <w:pPr>
              <w:pStyle w:val="P68B1DB1-Normal12"/>
              <w:jc w:val="center"/>
              <w:rPr>
                <w:noProof/>
              </w:rPr>
            </w:pPr>
            <w:r>
              <w:rPr>
                <w:noProof/>
              </w:rPr>
              <w:t>Инвестиция 1.8: Процедури за набиране на персонал в административните съдилища</w:t>
            </w:r>
          </w:p>
        </w:tc>
        <w:tc>
          <w:tcPr>
            <w:tcW w:w="1380" w:type="dxa"/>
            <w:tcBorders>
              <w:top w:val="nil"/>
              <w:left w:val="nil"/>
              <w:bottom w:val="single" w:sz="4" w:space="0" w:color="auto"/>
              <w:right w:val="single" w:sz="4" w:space="0" w:color="auto"/>
            </w:tcBorders>
            <w:shd w:val="clear" w:color="auto" w:fill="C6EFCE"/>
            <w:noWrap/>
            <w:vAlign w:val="center"/>
          </w:tcPr>
          <w:p w14:paraId="2F610096"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37604233" w14:textId="77777777" w:rsidR="006054AA" w:rsidRDefault="001F7667">
            <w:pPr>
              <w:pStyle w:val="P68B1DB1-Normal12"/>
              <w:rPr>
                <w:noProof/>
              </w:rPr>
            </w:pPr>
            <w:r>
              <w:rPr>
                <w:noProof/>
              </w:rPr>
              <w:t>Намаляване на броя на висящите дела за Държавния съвет</w:t>
            </w:r>
          </w:p>
        </w:tc>
      </w:tr>
      <w:tr w:rsidR="006054AA" w14:paraId="49BCAB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946B12" w14:textId="77777777" w:rsidR="006054AA" w:rsidRDefault="001F7667">
            <w:pPr>
              <w:pStyle w:val="P68B1DB1-Normal12"/>
              <w:jc w:val="center"/>
              <w:rPr>
                <w:noProof/>
              </w:rPr>
            </w:pPr>
            <w:r>
              <w:rPr>
                <w:noProof/>
              </w:rPr>
              <w:t>M1C1—63</w:t>
            </w:r>
          </w:p>
        </w:tc>
        <w:tc>
          <w:tcPr>
            <w:tcW w:w="3195" w:type="dxa"/>
            <w:tcBorders>
              <w:top w:val="nil"/>
              <w:left w:val="nil"/>
              <w:bottom w:val="single" w:sz="4" w:space="0" w:color="auto"/>
              <w:right w:val="single" w:sz="4" w:space="0" w:color="auto"/>
            </w:tcBorders>
            <w:shd w:val="clear" w:color="auto" w:fill="C6EFCE"/>
            <w:noWrap/>
            <w:vAlign w:val="center"/>
          </w:tcPr>
          <w:p w14:paraId="0CDC7832" w14:textId="77777777" w:rsidR="006054AA" w:rsidRDefault="001F7667">
            <w:pPr>
              <w:pStyle w:val="P68B1DB1-Normal12"/>
              <w:jc w:val="center"/>
              <w:rPr>
                <w:noProof/>
              </w:rPr>
            </w:pPr>
            <w:r>
              <w:rPr>
                <w:noProof/>
              </w:rPr>
              <w:t>Реформа 1.9: Реформа на публичната администрация</w:t>
            </w:r>
          </w:p>
        </w:tc>
        <w:tc>
          <w:tcPr>
            <w:tcW w:w="1380" w:type="dxa"/>
            <w:tcBorders>
              <w:top w:val="nil"/>
              <w:left w:val="nil"/>
              <w:bottom w:val="single" w:sz="4" w:space="0" w:color="auto"/>
              <w:right w:val="single" w:sz="4" w:space="0" w:color="auto"/>
            </w:tcBorders>
            <w:shd w:val="clear" w:color="auto" w:fill="C6EFCE"/>
            <w:noWrap/>
            <w:vAlign w:val="center"/>
          </w:tcPr>
          <w:p w14:paraId="00FBDACD" w14:textId="77777777" w:rsidR="006054AA" w:rsidRDefault="001F7667">
            <w:pPr>
              <w:pStyle w:val="P68B1DB1-Normal12"/>
              <w:jc w:val="center"/>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5905ACA2" w14:textId="77777777" w:rsidR="006054AA" w:rsidRDefault="001F7667">
            <w:pPr>
              <w:pStyle w:val="P68B1DB1-Normal12"/>
              <w:rPr>
                <w:noProof/>
              </w:rPr>
            </w:pPr>
            <w:r>
              <w:rPr>
                <w:noProof/>
              </w:rPr>
              <w:t>Завършване на опростяването и създаване на регистър на всички опростени процедури и съответните административни режими с пълна правна валидност на цялата национална територия</w:t>
            </w:r>
          </w:p>
        </w:tc>
      </w:tr>
      <w:tr w:rsidR="006054AA" w14:paraId="52F7BA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1015B3" w14:textId="77777777" w:rsidR="006054AA" w:rsidRDefault="001F7667">
            <w:pPr>
              <w:pStyle w:val="P68B1DB1-Normal12"/>
              <w:jc w:val="center"/>
              <w:rPr>
                <w:noProof/>
              </w:rPr>
            </w:pPr>
            <w:r>
              <w:rPr>
                <w:noProof/>
              </w:rPr>
              <w:t>M1C1—64</w:t>
            </w:r>
          </w:p>
        </w:tc>
        <w:tc>
          <w:tcPr>
            <w:tcW w:w="3195" w:type="dxa"/>
            <w:tcBorders>
              <w:top w:val="nil"/>
              <w:left w:val="nil"/>
              <w:bottom w:val="single" w:sz="4" w:space="0" w:color="auto"/>
              <w:right w:val="single" w:sz="4" w:space="0" w:color="auto"/>
            </w:tcBorders>
            <w:shd w:val="clear" w:color="auto" w:fill="C6EFCE"/>
            <w:noWrap/>
            <w:vAlign w:val="center"/>
          </w:tcPr>
          <w:p w14:paraId="121D5D4E" w14:textId="77777777" w:rsidR="006054AA" w:rsidRDefault="001F7667">
            <w:pPr>
              <w:pStyle w:val="P68B1DB1-Normal12"/>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380" w:type="dxa"/>
            <w:tcBorders>
              <w:top w:val="nil"/>
              <w:left w:val="nil"/>
              <w:bottom w:val="single" w:sz="4" w:space="0" w:color="auto"/>
              <w:right w:val="single" w:sz="4" w:space="0" w:color="auto"/>
            </w:tcBorders>
            <w:shd w:val="clear" w:color="auto" w:fill="C6EFCE"/>
            <w:noWrap/>
            <w:vAlign w:val="center"/>
          </w:tcPr>
          <w:p w14:paraId="0B9134A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5C9ECBA7" w14:textId="77777777" w:rsidR="006054AA" w:rsidRDefault="001F7667">
            <w:pPr>
              <w:pStyle w:val="P68B1DB1-Normal12"/>
              <w:rPr>
                <w:noProof/>
              </w:rPr>
            </w:pPr>
            <w:r>
              <w:rPr>
                <w:noProof/>
              </w:rPr>
              <w:t>Образованието и обучението;</w:t>
            </w:r>
          </w:p>
        </w:tc>
      </w:tr>
      <w:tr w:rsidR="006054AA" w14:paraId="1B1AF7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C280F5" w14:textId="77777777" w:rsidR="006054AA" w:rsidRDefault="001F7667">
            <w:pPr>
              <w:pStyle w:val="P68B1DB1-Normal12"/>
              <w:jc w:val="center"/>
              <w:rPr>
                <w:noProof/>
              </w:rPr>
            </w:pPr>
            <w:r>
              <w:rPr>
                <w:noProof/>
              </w:rPr>
              <w:t>M1C1—65</w:t>
            </w:r>
          </w:p>
        </w:tc>
        <w:tc>
          <w:tcPr>
            <w:tcW w:w="3195" w:type="dxa"/>
            <w:tcBorders>
              <w:top w:val="nil"/>
              <w:left w:val="nil"/>
              <w:bottom w:val="single" w:sz="4" w:space="0" w:color="auto"/>
              <w:right w:val="single" w:sz="4" w:space="0" w:color="auto"/>
            </w:tcBorders>
            <w:shd w:val="clear" w:color="auto" w:fill="C6EFCE"/>
            <w:noWrap/>
            <w:vAlign w:val="center"/>
          </w:tcPr>
          <w:p w14:paraId="34D9EA42" w14:textId="77777777" w:rsidR="006054AA" w:rsidRDefault="001F7667">
            <w:pPr>
              <w:pStyle w:val="P68B1DB1-Normal12"/>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380" w:type="dxa"/>
            <w:tcBorders>
              <w:top w:val="nil"/>
              <w:left w:val="nil"/>
              <w:bottom w:val="single" w:sz="4" w:space="0" w:color="auto"/>
              <w:right w:val="single" w:sz="4" w:space="0" w:color="auto"/>
            </w:tcBorders>
            <w:shd w:val="clear" w:color="auto" w:fill="C6EFCE"/>
            <w:noWrap/>
            <w:vAlign w:val="center"/>
          </w:tcPr>
          <w:p w14:paraId="26FCA2B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4FC38C7" w14:textId="77777777" w:rsidR="006054AA" w:rsidRDefault="001F7667">
            <w:pPr>
              <w:pStyle w:val="P68B1DB1-Normal12"/>
              <w:rPr>
                <w:noProof/>
              </w:rPr>
            </w:pPr>
            <w:r>
              <w:rPr>
                <w:noProof/>
              </w:rPr>
              <w:t>Образованието и обучението;</w:t>
            </w:r>
          </w:p>
        </w:tc>
      </w:tr>
      <w:tr w:rsidR="006054AA" w14:paraId="17E1BC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1B402" w14:textId="77777777" w:rsidR="006054AA" w:rsidRDefault="001F7667">
            <w:pPr>
              <w:pStyle w:val="P68B1DB1-Normal12"/>
              <w:jc w:val="center"/>
              <w:rPr>
                <w:noProof/>
              </w:rPr>
            </w:pPr>
            <w:r>
              <w:rPr>
                <w:noProof/>
              </w:rPr>
              <w:t>M1C1—66</w:t>
            </w:r>
          </w:p>
        </w:tc>
        <w:tc>
          <w:tcPr>
            <w:tcW w:w="3195" w:type="dxa"/>
            <w:tcBorders>
              <w:top w:val="nil"/>
              <w:left w:val="nil"/>
              <w:bottom w:val="single" w:sz="4" w:space="0" w:color="auto"/>
              <w:right w:val="single" w:sz="4" w:space="0" w:color="auto"/>
            </w:tcBorders>
            <w:shd w:val="clear" w:color="auto" w:fill="C6EFCE"/>
            <w:noWrap/>
            <w:vAlign w:val="center"/>
          </w:tcPr>
          <w:p w14:paraId="14B39429" w14:textId="77777777" w:rsidR="006054AA" w:rsidRDefault="001F7667">
            <w:pPr>
              <w:pStyle w:val="P68B1DB1-Normal12"/>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380" w:type="dxa"/>
            <w:tcBorders>
              <w:top w:val="nil"/>
              <w:left w:val="nil"/>
              <w:bottom w:val="single" w:sz="4" w:space="0" w:color="auto"/>
              <w:right w:val="single" w:sz="4" w:space="0" w:color="auto"/>
            </w:tcBorders>
            <w:shd w:val="clear" w:color="auto" w:fill="C6EFCE"/>
            <w:noWrap/>
            <w:vAlign w:val="center"/>
          </w:tcPr>
          <w:p w14:paraId="48479DD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7E803798" w14:textId="77777777" w:rsidR="006054AA" w:rsidRDefault="001F7667">
            <w:pPr>
              <w:pStyle w:val="P68B1DB1-Normal12"/>
              <w:rPr>
                <w:noProof/>
              </w:rPr>
            </w:pPr>
            <w:r>
              <w:rPr>
                <w:noProof/>
              </w:rPr>
              <w:t>Образованието и обучението;</w:t>
            </w:r>
          </w:p>
        </w:tc>
      </w:tr>
      <w:tr w:rsidR="006054AA" w14:paraId="2B6BAC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00C596" w14:textId="77777777" w:rsidR="006054AA" w:rsidRDefault="001F7667">
            <w:pPr>
              <w:pStyle w:val="P68B1DB1-Normal12"/>
              <w:jc w:val="center"/>
              <w:rPr>
                <w:noProof/>
              </w:rPr>
            </w:pPr>
            <w:r>
              <w:rPr>
                <w:noProof/>
              </w:rPr>
              <w:t>M1C1—67</w:t>
            </w:r>
          </w:p>
        </w:tc>
        <w:tc>
          <w:tcPr>
            <w:tcW w:w="3195" w:type="dxa"/>
            <w:tcBorders>
              <w:top w:val="nil"/>
              <w:left w:val="nil"/>
              <w:bottom w:val="single" w:sz="4" w:space="0" w:color="auto"/>
              <w:right w:val="single" w:sz="4" w:space="0" w:color="auto"/>
            </w:tcBorders>
            <w:shd w:val="clear" w:color="auto" w:fill="C6EFCE"/>
            <w:noWrap/>
            <w:vAlign w:val="center"/>
          </w:tcPr>
          <w:p w14:paraId="1AA8E482" w14:textId="77777777" w:rsidR="006054AA" w:rsidRDefault="001F7667">
            <w:pPr>
              <w:pStyle w:val="P68B1DB1-Normal12"/>
              <w:jc w:val="center"/>
              <w:rPr>
                <w:noProof/>
              </w:rPr>
            </w:pPr>
            <w:r>
              <w:rPr>
                <w:noProof/>
              </w:rPr>
              <w:t>Инвестиция 1.9: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380" w:type="dxa"/>
            <w:tcBorders>
              <w:top w:val="nil"/>
              <w:left w:val="nil"/>
              <w:bottom w:val="single" w:sz="4" w:space="0" w:color="auto"/>
              <w:right w:val="single" w:sz="4" w:space="0" w:color="auto"/>
            </w:tcBorders>
            <w:shd w:val="clear" w:color="auto" w:fill="C6EFCE"/>
            <w:noWrap/>
            <w:vAlign w:val="center"/>
          </w:tcPr>
          <w:p w14:paraId="5C5320F9"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7C24D0D0" w14:textId="77777777" w:rsidR="006054AA" w:rsidRDefault="001F7667">
            <w:pPr>
              <w:pStyle w:val="P68B1DB1-Normal12"/>
              <w:rPr>
                <w:noProof/>
              </w:rPr>
            </w:pPr>
            <w:r>
              <w:rPr>
                <w:noProof/>
              </w:rPr>
              <w:t>Образованието и обучението;</w:t>
            </w:r>
          </w:p>
        </w:tc>
      </w:tr>
      <w:tr w:rsidR="006054AA" w14:paraId="33F58E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B37B1B" w14:textId="77777777" w:rsidR="006054AA" w:rsidRDefault="001F7667">
            <w:pPr>
              <w:pStyle w:val="P68B1DB1-Normal12"/>
              <w:jc w:val="center"/>
              <w:rPr>
                <w:noProof/>
              </w:rPr>
            </w:pPr>
            <w:r>
              <w:rPr>
                <w:noProof/>
              </w:rPr>
              <w:t>M1C1—118</w:t>
            </w:r>
          </w:p>
        </w:tc>
        <w:tc>
          <w:tcPr>
            <w:tcW w:w="3195" w:type="dxa"/>
            <w:tcBorders>
              <w:top w:val="nil"/>
              <w:left w:val="nil"/>
              <w:bottom w:val="single" w:sz="4" w:space="0" w:color="auto"/>
              <w:right w:val="single" w:sz="4" w:space="0" w:color="auto"/>
            </w:tcBorders>
            <w:shd w:val="clear" w:color="auto" w:fill="C6EFCE"/>
            <w:noWrap/>
            <w:vAlign w:val="center"/>
          </w:tcPr>
          <w:p w14:paraId="6C86B098" w14:textId="77777777" w:rsidR="006054AA" w:rsidRDefault="001F7667">
            <w:pPr>
              <w:pStyle w:val="P68B1DB1-Normal12"/>
              <w:jc w:val="center"/>
              <w:rPr>
                <w:noProof/>
              </w:rPr>
            </w:pPr>
            <w:r>
              <w:rPr>
                <w:noProof/>
              </w:rPr>
              <w:t>Реформа 1.15: Реформа на счетоводните правила за публичния сектор</w:t>
            </w:r>
          </w:p>
        </w:tc>
        <w:tc>
          <w:tcPr>
            <w:tcW w:w="1380" w:type="dxa"/>
            <w:tcBorders>
              <w:top w:val="nil"/>
              <w:left w:val="nil"/>
              <w:bottom w:val="single" w:sz="4" w:space="0" w:color="auto"/>
              <w:right w:val="single" w:sz="4" w:space="0" w:color="auto"/>
            </w:tcBorders>
            <w:shd w:val="clear" w:color="auto" w:fill="C6EFCE"/>
            <w:noWrap/>
            <w:vAlign w:val="center"/>
          </w:tcPr>
          <w:p w14:paraId="0631A5BE" w14:textId="77777777" w:rsidR="006054AA" w:rsidRDefault="001F7667">
            <w:pPr>
              <w:pStyle w:val="P68B1DB1-Normal12"/>
              <w:jc w:val="center"/>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39B01A81" w14:textId="4771F2DD" w:rsidR="006054AA" w:rsidRDefault="001F7667">
            <w:pPr>
              <w:pStyle w:val="P68B1DB1-Normal12"/>
              <w:rPr>
                <w:noProof/>
              </w:rPr>
            </w:pPr>
            <w:r>
              <w:rPr>
                <w:noProof/>
              </w:rPr>
              <w:t>Влизане в сила на реформата на принципа на текущо начисляване за най-малко 90 % от целия публичен сектор.</w:t>
            </w:r>
          </w:p>
        </w:tc>
      </w:tr>
      <w:tr w:rsidR="006054AA" w14:paraId="7E3FE3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2AABF" w14:textId="77777777" w:rsidR="006054AA" w:rsidRDefault="001F7667">
            <w:pPr>
              <w:pStyle w:val="P68B1DB1-Normal12"/>
              <w:jc w:val="center"/>
              <w:rPr>
                <w:noProof/>
              </w:rPr>
            </w:pPr>
            <w:r>
              <w:rPr>
                <w:noProof/>
              </w:rPr>
              <w:t>M1C1—121</w:t>
            </w:r>
          </w:p>
        </w:tc>
        <w:tc>
          <w:tcPr>
            <w:tcW w:w="3195" w:type="dxa"/>
            <w:tcBorders>
              <w:top w:val="nil"/>
              <w:left w:val="nil"/>
              <w:bottom w:val="single" w:sz="4" w:space="0" w:color="auto"/>
              <w:right w:val="single" w:sz="4" w:space="0" w:color="auto"/>
            </w:tcBorders>
            <w:shd w:val="clear" w:color="auto" w:fill="C6EFCE"/>
            <w:noWrap/>
            <w:vAlign w:val="center"/>
          </w:tcPr>
          <w:p w14:paraId="5A3D46FD" w14:textId="77777777" w:rsidR="006054AA" w:rsidRDefault="001F7667">
            <w:pPr>
              <w:pStyle w:val="P68B1DB1-Normal12"/>
              <w:jc w:val="center"/>
              <w:rPr>
                <w:noProof/>
              </w:rPr>
            </w:pPr>
            <w:r>
              <w:rPr>
                <w:noProof/>
              </w:rPr>
              <w:t>Реформа 1.12: Реформа на данъчната администрация</w:t>
            </w:r>
          </w:p>
        </w:tc>
        <w:tc>
          <w:tcPr>
            <w:tcW w:w="1380" w:type="dxa"/>
            <w:tcBorders>
              <w:top w:val="nil"/>
              <w:left w:val="nil"/>
              <w:bottom w:val="single" w:sz="4" w:space="0" w:color="auto"/>
              <w:right w:val="single" w:sz="4" w:space="0" w:color="auto"/>
            </w:tcBorders>
            <w:shd w:val="clear" w:color="auto" w:fill="C6EFCE"/>
            <w:noWrap/>
            <w:vAlign w:val="center"/>
          </w:tcPr>
          <w:p w14:paraId="7BD93D6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5816D03F" w14:textId="77777777" w:rsidR="006054AA" w:rsidRDefault="001F7667">
            <w:pPr>
              <w:pStyle w:val="P68B1DB1-Normal12"/>
              <w:rPr>
                <w:noProof/>
              </w:rPr>
            </w:pPr>
            <w:r>
              <w:rPr>
                <w:noProof/>
              </w:rPr>
              <w:t>Намаляване на отклонението от данъчно облагане, както е определено от показателя „склонност за избягване“</w:t>
            </w:r>
          </w:p>
        </w:tc>
      </w:tr>
      <w:tr w:rsidR="006054AA" w14:paraId="6C5472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FD3B8" w14:textId="77777777" w:rsidR="006054AA" w:rsidRDefault="001F7667">
            <w:pPr>
              <w:pStyle w:val="P68B1DB1-Normal12"/>
              <w:jc w:val="center"/>
              <w:rPr>
                <w:noProof/>
              </w:rPr>
            </w:pPr>
            <w:r>
              <w:rPr>
                <w:noProof/>
              </w:rPr>
              <w:t>M1C1—122</w:t>
            </w:r>
          </w:p>
        </w:tc>
        <w:tc>
          <w:tcPr>
            <w:tcW w:w="3195" w:type="dxa"/>
            <w:tcBorders>
              <w:top w:val="nil"/>
              <w:left w:val="nil"/>
              <w:bottom w:val="single" w:sz="4" w:space="0" w:color="auto"/>
              <w:right w:val="single" w:sz="4" w:space="0" w:color="auto"/>
            </w:tcBorders>
            <w:shd w:val="clear" w:color="auto" w:fill="C6EFCE"/>
            <w:noWrap/>
            <w:vAlign w:val="center"/>
          </w:tcPr>
          <w:p w14:paraId="1E3A3DF2" w14:textId="77777777" w:rsidR="006054AA" w:rsidRDefault="001F7667">
            <w:pPr>
              <w:pStyle w:val="P68B1DB1-Normal12"/>
              <w:jc w:val="center"/>
              <w:rPr>
                <w:noProof/>
              </w:rPr>
            </w:pPr>
            <w:r>
              <w:rPr>
                <w:noProof/>
              </w:rPr>
              <w:t>Реформа 1.13: Реформа на рамката за преглед на разходите</w:t>
            </w:r>
          </w:p>
        </w:tc>
        <w:tc>
          <w:tcPr>
            <w:tcW w:w="1380" w:type="dxa"/>
            <w:tcBorders>
              <w:top w:val="nil"/>
              <w:left w:val="nil"/>
              <w:bottom w:val="single" w:sz="4" w:space="0" w:color="auto"/>
              <w:right w:val="single" w:sz="4" w:space="0" w:color="auto"/>
            </w:tcBorders>
            <w:shd w:val="clear" w:color="auto" w:fill="C6EFCE"/>
            <w:noWrap/>
            <w:vAlign w:val="center"/>
          </w:tcPr>
          <w:p w14:paraId="3B672962" w14:textId="77777777" w:rsidR="006054AA" w:rsidRDefault="001F7667">
            <w:pPr>
              <w:pStyle w:val="P68B1DB1-Normal12"/>
              <w:jc w:val="center"/>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7FAB5E7A" w14:textId="77777777" w:rsidR="006054AA" w:rsidRDefault="001F7667">
            <w:pPr>
              <w:pStyle w:val="P68B1DB1-Normal12"/>
              <w:rPr>
                <w:noProof/>
              </w:rPr>
            </w:pPr>
            <w:r>
              <w:rPr>
                <w:noProof/>
              </w:rPr>
              <w:t>Приключване на годишния преглед на разходите за 2025 г. във връзка с целта за икономии, определена през 2022 г., 2023 г. и 2024 г. за 2025 г.</w:t>
            </w:r>
          </w:p>
        </w:tc>
      </w:tr>
      <w:tr w:rsidR="006054AA" w14:paraId="69F151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095F5" w14:textId="77777777" w:rsidR="006054AA" w:rsidRDefault="001F7667">
            <w:pPr>
              <w:pStyle w:val="P68B1DB1-Normal12"/>
              <w:jc w:val="center"/>
              <w:rPr>
                <w:noProof/>
              </w:rPr>
            </w:pPr>
            <w:r>
              <w:rPr>
                <w:noProof/>
              </w:rPr>
              <w:t>M1C3—3</w:t>
            </w:r>
          </w:p>
        </w:tc>
        <w:tc>
          <w:tcPr>
            <w:tcW w:w="3195" w:type="dxa"/>
            <w:tcBorders>
              <w:top w:val="nil"/>
              <w:left w:val="nil"/>
              <w:bottom w:val="single" w:sz="4" w:space="0" w:color="auto"/>
              <w:right w:val="single" w:sz="4" w:space="0" w:color="auto"/>
            </w:tcBorders>
            <w:shd w:val="clear" w:color="auto" w:fill="C6EFCE"/>
            <w:noWrap/>
            <w:vAlign w:val="center"/>
          </w:tcPr>
          <w:p w14:paraId="5775D090" w14:textId="77777777" w:rsidR="006054AA" w:rsidRDefault="001F7667">
            <w:pPr>
              <w:pStyle w:val="P68B1DB1-Normal12"/>
              <w:jc w:val="center"/>
              <w:rPr>
                <w:noProof/>
              </w:rPr>
            </w:pPr>
            <w:r>
              <w:rPr>
                <w:noProof/>
              </w:rPr>
              <w:t>Инвестиции — 1.2 Премахване на физическите и когнитивните бариери в музеите, библиотеките и архивите, за да се даде възможност за по-широк достъп до културата и участие в нея</w:t>
            </w:r>
          </w:p>
        </w:tc>
        <w:tc>
          <w:tcPr>
            <w:tcW w:w="1380" w:type="dxa"/>
            <w:tcBorders>
              <w:top w:val="nil"/>
              <w:left w:val="nil"/>
              <w:bottom w:val="single" w:sz="4" w:space="0" w:color="auto"/>
              <w:right w:val="single" w:sz="4" w:space="0" w:color="auto"/>
            </w:tcBorders>
            <w:shd w:val="clear" w:color="auto" w:fill="C6EFCE"/>
            <w:noWrap/>
            <w:vAlign w:val="center"/>
          </w:tcPr>
          <w:p w14:paraId="5DCF0831"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6A7A1E82" w14:textId="77777777" w:rsidR="006054AA" w:rsidRDefault="001F7667">
            <w:pPr>
              <w:pStyle w:val="P68B1DB1-Normal12"/>
              <w:rPr>
                <w:noProof/>
              </w:rPr>
            </w:pPr>
            <w:r>
              <w:rPr>
                <w:noProof/>
              </w:rPr>
              <w:t>Интервенции за подобряване на физическата и когнитивната достъпност на местата на културата</w:t>
            </w:r>
          </w:p>
        </w:tc>
      </w:tr>
      <w:tr w:rsidR="006054AA" w14:paraId="090D93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A588" w14:textId="77777777" w:rsidR="006054AA" w:rsidRDefault="001F7667">
            <w:pPr>
              <w:pStyle w:val="P68B1DB1-Normal12"/>
              <w:jc w:val="center"/>
              <w:rPr>
                <w:noProof/>
              </w:rPr>
            </w:pPr>
            <w:r>
              <w:rPr>
                <w:noProof/>
              </w:rPr>
              <w:t>M2C1—8</w:t>
            </w:r>
          </w:p>
        </w:tc>
        <w:tc>
          <w:tcPr>
            <w:tcW w:w="3195" w:type="dxa"/>
            <w:tcBorders>
              <w:top w:val="nil"/>
              <w:left w:val="nil"/>
              <w:bottom w:val="single" w:sz="4" w:space="0" w:color="auto"/>
              <w:right w:val="single" w:sz="4" w:space="0" w:color="auto"/>
            </w:tcBorders>
            <w:shd w:val="clear" w:color="auto" w:fill="C6EFCE"/>
            <w:noWrap/>
            <w:vAlign w:val="center"/>
          </w:tcPr>
          <w:p w14:paraId="772438FB" w14:textId="77777777" w:rsidR="006054AA" w:rsidRDefault="001F7667">
            <w:pPr>
              <w:pStyle w:val="P68B1DB1-Normal12"/>
              <w:jc w:val="center"/>
              <w:rPr>
                <w:noProof/>
              </w:rPr>
            </w:pPr>
            <w:r>
              <w:rPr>
                <w:noProof/>
              </w:rPr>
              <w:t>Инвестиция 2.3: Иновации и механизация в селскостопанския и хранително-вкусовия сектор</w:t>
            </w:r>
          </w:p>
        </w:tc>
        <w:tc>
          <w:tcPr>
            <w:tcW w:w="1380" w:type="dxa"/>
            <w:tcBorders>
              <w:top w:val="nil"/>
              <w:left w:val="nil"/>
              <w:bottom w:val="single" w:sz="4" w:space="0" w:color="auto"/>
              <w:right w:val="single" w:sz="4" w:space="0" w:color="auto"/>
            </w:tcBorders>
            <w:shd w:val="clear" w:color="auto" w:fill="C6EFCE"/>
            <w:noWrap/>
            <w:vAlign w:val="center"/>
          </w:tcPr>
          <w:p w14:paraId="43AAE893"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EA91EC1" w14:textId="77777777" w:rsidR="006054AA" w:rsidRDefault="001F7667">
            <w:pPr>
              <w:pStyle w:val="P68B1DB1-Normal12"/>
              <w:rPr>
                <w:noProof/>
              </w:rPr>
            </w:pPr>
            <w:r>
              <w:rPr>
                <w:noProof/>
              </w:rPr>
              <w:t>Подкрепа за инвестиции в иновации в кръговата икономика и биоикономиката</w:t>
            </w:r>
          </w:p>
        </w:tc>
      </w:tr>
      <w:tr w:rsidR="006054AA" w14:paraId="11B75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D8CBDC" w14:textId="77777777" w:rsidR="006054AA" w:rsidRDefault="001F7667">
            <w:pPr>
              <w:pStyle w:val="P68B1DB1-Normal12"/>
              <w:jc w:val="center"/>
              <w:rPr>
                <w:noProof/>
              </w:rPr>
            </w:pPr>
            <w:r>
              <w:rPr>
                <w:noProof/>
              </w:rPr>
              <w:t>M2C1—9</w:t>
            </w:r>
          </w:p>
        </w:tc>
        <w:tc>
          <w:tcPr>
            <w:tcW w:w="3195" w:type="dxa"/>
            <w:tcBorders>
              <w:top w:val="nil"/>
              <w:left w:val="nil"/>
              <w:bottom w:val="single" w:sz="4" w:space="0" w:color="auto"/>
              <w:right w:val="single" w:sz="4" w:space="0" w:color="auto"/>
            </w:tcBorders>
            <w:shd w:val="clear" w:color="auto" w:fill="C6EFCE"/>
            <w:noWrap/>
            <w:vAlign w:val="center"/>
          </w:tcPr>
          <w:p w14:paraId="60119D6C" w14:textId="77777777" w:rsidR="006054AA" w:rsidRDefault="001F7667">
            <w:pPr>
              <w:pStyle w:val="P68B1DB1-Normal12"/>
              <w:jc w:val="center"/>
              <w:rPr>
                <w:noProof/>
              </w:rPr>
            </w:pPr>
            <w:r>
              <w:rPr>
                <w:noProof/>
              </w:rPr>
              <w:t>Инвестиция 2.2: Агрослънчев парк</w:t>
            </w:r>
          </w:p>
        </w:tc>
        <w:tc>
          <w:tcPr>
            <w:tcW w:w="1380" w:type="dxa"/>
            <w:tcBorders>
              <w:top w:val="nil"/>
              <w:left w:val="nil"/>
              <w:bottom w:val="single" w:sz="4" w:space="0" w:color="auto"/>
              <w:right w:val="single" w:sz="4" w:space="0" w:color="auto"/>
            </w:tcBorders>
            <w:shd w:val="clear" w:color="auto" w:fill="C6EFCE"/>
            <w:noWrap/>
            <w:vAlign w:val="center"/>
          </w:tcPr>
          <w:p w14:paraId="1ED124A8"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58781480" w14:textId="77777777" w:rsidR="006054AA" w:rsidRDefault="001F7667">
            <w:pPr>
              <w:pStyle w:val="P68B1DB1-Normal12"/>
              <w:rPr>
                <w:noProof/>
              </w:rPr>
            </w:pPr>
            <w:r>
              <w:rPr>
                <w:noProof/>
              </w:rPr>
              <w:t>Агроволтаично производство на електроенергия</w:t>
            </w:r>
          </w:p>
        </w:tc>
      </w:tr>
      <w:tr w:rsidR="006054AA" w14:paraId="315A0A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2042" w14:textId="77777777" w:rsidR="006054AA" w:rsidRDefault="001F7667">
            <w:pPr>
              <w:pStyle w:val="P68B1DB1-Normal12"/>
              <w:jc w:val="center"/>
              <w:rPr>
                <w:noProof/>
              </w:rPr>
            </w:pPr>
            <w:r>
              <w:rPr>
                <w:noProof/>
              </w:rPr>
              <w:t>M2C1—10</w:t>
            </w:r>
          </w:p>
        </w:tc>
        <w:tc>
          <w:tcPr>
            <w:tcW w:w="3195" w:type="dxa"/>
            <w:tcBorders>
              <w:top w:val="nil"/>
              <w:left w:val="nil"/>
              <w:bottom w:val="single" w:sz="4" w:space="0" w:color="auto"/>
              <w:right w:val="single" w:sz="4" w:space="0" w:color="auto"/>
            </w:tcBorders>
            <w:shd w:val="clear" w:color="auto" w:fill="C6EFCE"/>
            <w:noWrap/>
            <w:vAlign w:val="center"/>
          </w:tcPr>
          <w:p w14:paraId="66FA58B8" w14:textId="77777777" w:rsidR="006054AA" w:rsidRDefault="001F7667">
            <w:pPr>
              <w:pStyle w:val="P68B1DB1-Normal12"/>
              <w:jc w:val="center"/>
              <w:rPr>
                <w:noProof/>
              </w:rPr>
            </w:pPr>
            <w:r>
              <w:rPr>
                <w:noProof/>
              </w:rPr>
              <w:t>Инвестиция 2.1: Логистичен план за секторите на хранително-вкусовата промишленост, рибарството и аквакултурите, горското стопанство, цветарството и растениевъдството</w:t>
            </w:r>
          </w:p>
        </w:tc>
        <w:tc>
          <w:tcPr>
            <w:tcW w:w="1380" w:type="dxa"/>
            <w:tcBorders>
              <w:top w:val="nil"/>
              <w:left w:val="nil"/>
              <w:bottom w:val="single" w:sz="4" w:space="0" w:color="auto"/>
              <w:right w:val="single" w:sz="4" w:space="0" w:color="auto"/>
            </w:tcBorders>
            <w:shd w:val="clear" w:color="auto" w:fill="C6EFCE"/>
            <w:noWrap/>
            <w:vAlign w:val="center"/>
          </w:tcPr>
          <w:p w14:paraId="2D2A7565"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50E66268" w14:textId="77777777" w:rsidR="006054AA" w:rsidRDefault="001F7667">
            <w:pPr>
              <w:pStyle w:val="P68B1DB1-Normal12"/>
              <w:rPr>
                <w:noProof/>
              </w:rPr>
            </w:pPr>
            <w:r>
              <w:rPr>
                <w:noProof/>
              </w:rPr>
              <w:t>Интервенции за подобряване на логистиката в секторите на хранително-вкусовата промишленост, рибарството и аквакултурите, горското стопанство, цветарството и растениевъдството</w:t>
            </w:r>
          </w:p>
        </w:tc>
      </w:tr>
      <w:tr w:rsidR="006054AA" w14:paraId="64A412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0C83C" w14:textId="77777777" w:rsidR="006054AA" w:rsidRDefault="001F7667">
            <w:pPr>
              <w:pStyle w:val="P68B1DB1-Normal12"/>
              <w:jc w:val="center"/>
              <w:rPr>
                <w:noProof/>
              </w:rPr>
            </w:pPr>
            <w:r>
              <w:rPr>
                <w:noProof/>
              </w:rPr>
              <w:t>M2C1—12</w:t>
            </w:r>
          </w:p>
        </w:tc>
        <w:tc>
          <w:tcPr>
            <w:tcW w:w="3195" w:type="dxa"/>
            <w:tcBorders>
              <w:top w:val="nil"/>
              <w:left w:val="nil"/>
              <w:bottom w:val="single" w:sz="4" w:space="0" w:color="auto"/>
              <w:right w:val="single" w:sz="4" w:space="0" w:color="auto"/>
            </w:tcBorders>
            <w:shd w:val="clear" w:color="auto" w:fill="C6EFCE"/>
            <w:noWrap/>
            <w:vAlign w:val="center"/>
          </w:tcPr>
          <w:p w14:paraId="29EE85DB" w14:textId="77777777" w:rsidR="006054AA" w:rsidRDefault="001F7667">
            <w:pPr>
              <w:pStyle w:val="P68B1DB1-Normal12"/>
              <w:jc w:val="center"/>
              <w:rPr>
                <w:noProof/>
              </w:rPr>
            </w:pPr>
            <w:r>
              <w:rPr>
                <w:noProof/>
              </w:rPr>
              <w:t>Инвестиция 3.3: Култура и осведоменост по екологични теми и предизвикателства</w:t>
            </w:r>
          </w:p>
        </w:tc>
        <w:tc>
          <w:tcPr>
            <w:tcW w:w="1380" w:type="dxa"/>
            <w:tcBorders>
              <w:top w:val="nil"/>
              <w:left w:val="nil"/>
              <w:bottom w:val="single" w:sz="4" w:space="0" w:color="auto"/>
              <w:right w:val="single" w:sz="4" w:space="0" w:color="auto"/>
            </w:tcBorders>
            <w:shd w:val="clear" w:color="auto" w:fill="C6EFCE"/>
            <w:noWrap/>
            <w:vAlign w:val="center"/>
          </w:tcPr>
          <w:p w14:paraId="3E91F727"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0C36FC9" w14:textId="77777777" w:rsidR="006054AA" w:rsidRDefault="001F7667">
            <w:pPr>
              <w:pStyle w:val="P68B1DB1-Normal12"/>
              <w:rPr>
                <w:noProof/>
              </w:rPr>
            </w:pPr>
            <w:r>
              <w:rPr>
                <w:noProof/>
              </w:rPr>
              <w:t>Аудио-визуални материали за екологичния преход</w:t>
            </w:r>
          </w:p>
        </w:tc>
      </w:tr>
      <w:tr w:rsidR="006054AA" w14:paraId="0422E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AEB67" w14:textId="77777777" w:rsidR="006054AA" w:rsidRDefault="001F7667">
            <w:pPr>
              <w:pStyle w:val="P68B1DB1-Normal12"/>
              <w:jc w:val="center"/>
              <w:rPr>
                <w:noProof/>
              </w:rPr>
            </w:pPr>
            <w:r>
              <w:rPr>
                <w:noProof/>
              </w:rPr>
              <w:t>M2C2—23</w:t>
            </w:r>
          </w:p>
        </w:tc>
        <w:tc>
          <w:tcPr>
            <w:tcW w:w="3195" w:type="dxa"/>
            <w:tcBorders>
              <w:top w:val="nil"/>
              <w:left w:val="nil"/>
              <w:bottom w:val="single" w:sz="4" w:space="0" w:color="auto"/>
              <w:right w:val="single" w:sz="4" w:space="0" w:color="auto"/>
            </w:tcBorders>
            <w:shd w:val="clear" w:color="auto" w:fill="C6EFCE"/>
            <w:noWrap/>
            <w:vAlign w:val="center"/>
          </w:tcPr>
          <w:p w14:paraId="71D58F9A" w14:textId="77777777" w:rsidR="006054AA" w:rsidRDefault="001F7667">
            <w:pPr>
              <w:pStyle w:val="P68B1DB1-Normal12"/>
              <w:jc w:val="center"/>
              <w:rPr>
                <w:noProof/>
              </w:rPr>
            </w:pPr>
            <w:r>
              <w:rPr>
                <w:noProof/>
              </w:rPr>
              <w:t>Инвестиция 4.1 Инвестиции в екологосъобразна мобилност (Национален план на цикъла)</w:t>
            </w:r>
          </w:p>
        </w:tc>
        <w:tc>
          <w:tcPr>
            <w:tcW w:w="1380" w:type="dxa"/>
            <w:tcBorders>
              <w:top w:val="nil"/>
              <w:left w:val="nil"/>
              <w:bottom w:val="single" w:sz="4" w:space="0" w:color="auto"/>
              <w:right w:val="single" w:sz="4" w:space="0" w:color="auto"/>
            </w:tcBorders>
            <w:shd w:val="clear" w:color="auto" w:fill="C6EFCE"/>
            <w:noWrap/>
            <w:vAlign w:val="center"/>
          </w:tcPr>
          <w:p w14:paraId="28F30833"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E8E4CBF" w14:textId="77777777" w:rsidR="006054AA" w:rsidRDefault="001F7667">
            <w:pPr>
              <w:pStyle w:val="P68B1DB1-Normal12"/>
              <w:rPr>
                <w:noProof/>
              </w:rPr>
            </w:pPr>
            <w:r>
              <w:rPr>
                <w:noProof/>
              </w:rPr>
              <w:t>Велосипедни алеи T2</w:t>
            </w:r>
          </w:p>
        </w:tc>
      </w:tr>
      <w:tr w:rsidR="006054AA" w14:paraId="7404B2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46DC12" w14:textId="77777777" w:rsidR="006054AA" w:rsidRDefault="001F7667">
            <w:pPr>
              <w:pStyle w:val="P68B1DB1-Normal12"/>
              <w:jc w:val="center"/>
              <w:rPr>
                <w:noProof/>
              </w:rPr>
            </w:pPr>
            <w:r>
              <w:rPr>
                <w:noProof/>
              </w:rPr>
              <w:t>M4C1—18</w:t>
            </w:r>
          </w:p>
        </w:tc>
        <w:tc>
          <w:tcPr>
            <w:tcW w:w="3195" w:type="dxa"/>
            <w:tcBorders>
              <w:top w:val="nil"/>
              <w:left w:val="nil"/>
              <w:bottom w:val="single" w:sz="4" w:space="0" w:color="auto"/>
              <w:right w:val="single" w:sz="4" w:space="0" w:color="auto"/>
            </w:tcBorders>
            <w:shd w:val="clear" w:color="auto" w:fill="C6EFCE"/>
            <w:noWrap/>
            <w:vAlign w:val="center"/>
          </w:tcPr>
          <w:p w14:paraId="3E758617" w14:textId="77777777" w:rsidR="006054AA" w:rsidRDefault="001F7667">
            <w:pPr>
              <w:pStyle w:val="P68B1DB1-Normal12"/>
              <w:jc w:val="center"/>
              <w:rPr>
                <w:noProof/>
              </w:rPr>
            </w:pPr>
            <w:r>
              <w:rPr>
                <w:noProof/>
              </w:rPr>
              <w:t>Инвестиция 1.1: План за детски градини и предучилищни заведения и услуги за образование и грижи в ранна детска възраст</w:t>
            </w:r>
          </w:p>
        </w:tc>
        <w:tc>
          <w:tcPr>
            <w:tcW w:w="1380" w:type="dxa"/>
            <w:tcBorders>
              <w:top w:val="nil"/>
              <w:left w:val="nil"/>
              <w:bottom w:val="single" w:sz="4" w:space="0" w:color="auto"/>
              <w:right w:val="single" w:sz="4" w:space="0" w:color="auto"/>
            </w:tcBorders>
            <w:shd w:val="clear" w:color="auto" w:fill="C6EFCE"/>
            <w:noWrap/>
            <w:vAlign w:val="center"/>
          </w:tcPr>
          <w:p w14:paraId="3DA5FB3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23A46007" w14:textId="77777777" w:rsidR="006054AA" w:rsidRDefault="001F7667">
            <w:pPr>
              <w:pStyle w:val="P68B1DB1-Normal12"/>
              <w:rPr>
                <w:noProof/>
              </w:rPr>
            </w:pPr>
            <w:r>
              <w:rPr>
                <w:noProof/>
              </w:rPr>
              <w:t>Нови места, активирани за образователни услуги и грижи в ранна детска възраст (на възраст от нула до шест години)</w:t>
            </w:r>
          </w:p>
        </w:tc>
      </w:tr>
      <w:tr w:rsidR="006054AA" w14:paraId="4B7DA0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4916A" w14:textId="77777777" w:rsidR="006054AA" w:rsidRDefault="001F7667">
            <w:pPr>
              <w:pStyle w:val="P68B1DB1-Normal12"/>
              <w:jc w:val="center"/>
              <w:rPr>
                <w:noProof/>
              </w:rPr>
            </w:pPr>
            <w:r>
              <w:rPr>
                <w:noProof/>
              </w:rPr>
              <w:t>M4C1—21</w:t>
            </w:r>
          </w:p>
        </w:tc>
        <w:tc>
          <w:tcPr>
            <w:tcW w:w="3195" w:type="dxa"/>
            <w:tcBorders>
              <w:top w:val="nil"/>
              <w:left w:val="nil"/>
              <w:bottom w:val="single" w:sz="4" w:space="0" w:color="auto"/>
              <w:right w:val="single" w:sz="4" w:space="0" w:color="auto"/>
            </w:tcBorders>
            <w:shd w:val="clear" w:color="auto" w:fill="C6EFCE"/>
            <w:noWrap/>
            <w:vAlign w:val="center"/>
          </w:tcPr>
          <w:p w14:paraId="288B76D6" w14:textId="77777777" w:rsidR="006054AA" w:rsidRDefault="001F7667">
            <w:pPr>
              <w:pStyle w:val="P68B1DB1-Normal12"/>
              <w:jc w:val="center"/>
              <w:rPr>
                <w:noProof/>
              </w:rPr>
            </w:pPr>
            <w:r>
              <w:rPr>
                <w:noProof/>
              </w:rPr>
              <w:t>Инвестиция 1.2: План за продължаване на работата на пълно работно време</w:t>
            </w:r>
          </w:p>
        </w:tc>
        <w:tc>
          <w:tcPr>
            <w:tcW w:w="1380" w:type="dxa"/>
            <w:tcBorders>
              <w:top w:val="nil"/>
              <w:left w:val="nil"/>
              <w:bottom w:val="single" w:sz="4" w:space="0" w:color="auto"/>
              <w:right w:val="single" w:sz="4" w:space="0" w:color="auto"/>
            </w:tcBorders>
            <w:shd w:val="clear" w:color="auto" w:fill="C6EFCE"/>
            <w:noWrap/>
            <w:vAlign w:val="center"/>
          </w:tcPr>
          <w:p w14:paraId="095AB5C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77FD4CF1" w14:textId="77777777" w:rsidR="006054AA" w:rsidRDefault="001F7667">
            <w:pPr>
              <w:pStyle w:val="P68B1DB1-Normal47"/>
              <w:rPr>
                <w:noProof/>
              </w:rPr>
            </w:pPr>
            <w:r>
              <w:rPr>
                <w:noProof/>
              </w:rPr>
              <w:t>Структури за приемане на ученици след училищното време</w:t>
            </w:r>
          </w:p>
        </w:tc>
      </w:tr>
      <w:tr w:rsidR="006054AA" w14:paraId="688E35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BDE0E" w14:textId="77777777" w:rsidR="006054AA" w:rsidRDefault="001F7667">
            <w:pPr>
              <w:pStyle w:val="P68B1DB1-Normal12"/>
              <w:jc w:val="center"/>
              <w:rPr>
                <w:noProof/>
              </w:rPr>
            </w:pPr>
            <w:r>
              <w:rPr>
                <w:noProof/>
              </w:rPr>
              <w:t>M4C1—22</w:t>
            </w:r>
          </w:p>
        </w:tc>
        <w:tc>
          <w:tcPr>
            <w:tcW w:w="3195" w:type="dxa"/>
            <w:tcBorders>
              <w:top w:val="nil"/>
              <w:left w:val="nil"/>
              <w:bottom w:val="single" w:sz="4" w:space="0" w:color="auto"/>
              <w:right w:val="single" w:sz="4" w:space="0" w:color="auto"/>
            </w:tcBorders>
            <w:shd w:val="clear" w:color="auto" w:fill="C6EFCE"/>
            <w:noWrap/>
            <w:vAlign w:val="center"/>
          </w:tcPr>
          <w:p w14:paraId="69D29ACC" w14:textId="77777777" w:rsidR="006054AA" w:rsidRDefault="001F7667">
            <w:pPr>
              <w:pStyle w:val="P68B1DB1-Normal12"/>
              <w:jc w:val="center"/>
              <w:rPr>
                <w:noProof/>
              </w:rPr>
            </w:pPr>
            <w:r>
              <w:rPr>
                <w:noProof/>
              </w:rPr>
              <w:t>Инвестиция 1.3: План за подобряване на училищната спортна инфраструктура</w:t>
            </w:r>
          </w:p>
        </w:tc>
        <w:tc>
          <w:tcPr>
            <w:tcW w:w="1380" w:type="dxa"/>
            <w:tcBorders>
              <w:top w:val="nil"/>
              <w:left w:val="nil"/>
              <w:bottom w:val="single" w:sz="4" w:space="0" w:color="auto"/>
              <w:right w:val="single" w:sz="4" w:space="0" w:color="auto"/>
            </w:tcBorders>
            <w:shd w:val="clear" w:color="auto" w:fill="C6EFCE"/>
            <w:noWrap/>
            <w:vAlign w:val="center"/>
          </w:tcPr>
          <w:p w14:paraId="4F896A89"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65C8EF38" w14:textId="77777777" w:rsidR="006054AA" w:rsidRDefault="001F7667">
            <w:pPr>
              <w:pStyle w:val="P68B1DB1-Normal12"/>
              <w:rPr>
                <w:noProof/>
              </w:rPr>
            </w:pPr>
            <w:r>
              <w:rPr>
                <w:noProof/>
              </w:rPr>
              <w:t>Sqm, построени или обновени, да се използват като спортни зали или спортни съоръжения</w:t>
            </w:r>
          </w:p>
        </w:tc>
      </w:tr>
      <w:tr w:rsidR="006054AA" w14:paraId="6AFC5A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9F8B6A" w14:textId="77777777" w:rsidR="006054AA" w:rsidRDefault="001F7667">
            <w:pPr>
              <w:pStyle w:val="P68B1DB1-Normal12"/>
              <w:jc w:val="center"/>
              <w:rPr>
                <w:noProof/>
              </w:rPr>
            </w:pPr>
            <w:r>
              <w:rPr>
                <w:noProof/>
              </w:rPr>
              <w:t>M4C1—23</w:t>
            </w:r>
          </w:p>
        </w:tc>
        <w:tc>
          <w:tcPr>
            <w:tcW w:w="3195" w:type="dxa"/>
            <w:tcBorders>
              <w:top w:val="nil"/>
              <w:left w:val="nil"/>
              <w:bottom w:val="single" w:sz="4" w:space="0" w:color="auto"/>
              <w:right w:val="single" w:sz="4" w:space="0" w:color="auto"/>
            </w:tcBorders>
            <w:shd w:val="clear" w:color="auto" w:fill="C6EFCE"/>
            <w:noWrap/>
            <w:vAlign w:val="center"/>
          </w:tcPr>
          <w:p w14:paraId="2DB41D14" w14:textId="77777777" w:rsidR="006054AA" w:rsidRDefault="001F7667">
            <w:pPr>
              <w:pStyle w:val="P68B1DB1-Normal12"/>
              <w:jc w:val="center"/>
              <w:rPr>
                <w:noProof/>
              </w:rPr>
            </w:pPr>
            <w:r>
              <w:rPr>
                <w:noProof/>
              </w:rPr>
              <w:t xml:space="preserve">Инвестиция 3.4: Преподаване и задълбочени университетски умения </w:t>
            </w:r>
          </w:p>
        </w:tc>
        <w:tc>
          <w:tcPr>
            <w:tcW w:w="1380" w:type="dxa"/>
            <w:tcBorders>
              <w:top w:val="nil"/>
              <w:left w:val="nil"/>
              <w:bottom w:val="single" w:sz="4" w:space="0" w:color="auto"/>
              <w:right w:val="single" w:sz="4" w:space="0" w:color="auto"/>
            </w:tcBorders>
            <w:shd w:val="clear" w:color="auto" w:fill="C6EFCE"/>
            <w:noWrap/>
            <w:vAlign w:val="center"/>
          </w:tcPr>
          <w:p w14:paraId="71CC4B40"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56FBEED" w14:textId="77777777" w:rsidR="006054AA" w:rsidRDefault="001F7667">
            <w:pPr>
              <w:pStyle w:val="P68B1DB1-Normal12"/>
              <w:rPr>
                <w:noProof/>
              </w:rPr>
            </w:pPr>
            <w:r>
              <w:rPr>
                <w:noProof/>
              </w:rPr>
              <w:t xml:space="preserve">Нови докторантури, присъждани за три години по програми, посветени на цифровия и екологичния преход  </w:t>
            </w:r>
          </w:p>
        </w:tc>
      </w:tr>
      <w:tr w:rsidR="006054AA" w14:paraId="6B7A35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89027" w14:textId="77777777" w:rsidR="006054AA" w:rsidRDefault="001F7667">
            <w:pPr>
              <w:pStyle w:val="P68B1DB1-Normal12"/>
              <w:jc w:val="center"/>
              <w:rPr>
                <w:noProof/>
              </w:rPr>
            </w:pPr>
            <w:r>
              <w:rPr>
                <w:noProof/>
              </w:rPr>
              <w:t>M4C1—23 bis</w:t>
            </w:r>
          </w:p>
        </w:tc>
        <w:tc>
          <w:tcPr>
            <w:tcW w:w="3195" w:type="dxa"/>
            <w:tcBorders>
              <w:top w:val="nil"/>
              <w:left w:val="nil"/>
              <w:bottom w:val="single" w:sz="4" w:space="0" w:color="auto"/>
              <w:right w:val="single" w:sz="4" w:space="0" w:color="auto"/>
            </w:tcBorders>
            <w:shd w:val="clear" w:color="auto" w:fill="C6EFCE"/>
            <w:noWrap/>
            <w:vAlign w:val="center"/>
          </w:tcPr>
          <w:p w14:paraId="252F1617" w14:textId="77777777" w:rsidR="006054AA" w:rsidRDefault="001F7667">
            <w:pPr>
              <w:pStyle w:val="P68B1DB1-Normal12"/>
              <w:jc w:val="center"/>
              <w:rPr>
                <w:noProof/>
              </w:rPr>
            </w:pPr>
            <w:r>
              <w:rPr>
                <w:noProof/>
              </w:rPr>
              <w:t xml:space="preserve">Инвестиция 3.4: Преподаване и задълбочени университетски умения </w:t>
            </w:r>
          </w:p>
        </w:tc>
        <w:tc>
          <w:tcPr>
            <w:tcW w:w="1380" w:type="dxa"/>
            <w:tcBorders>
              <w:top w:val="nil"/>
              <w:left w:val="nil"/>
              <w:bottom w:val="single" w:sz="4" w:space="0" w:color="auto"/>
              <w:right w:val="single" w:sz="4" w:space="0" w:color="auto"/>
            </w:tcBorders>
            <w:shd w:val="clear" w:color="auto" w:fill="C6EFCE"/>
            <w:noWrap/>
            <w:vAlign w:val="center"/>
          </w:tcPr>
          <w:p w14:paraId="1A6F35D1" w14:textId="77777777" w:rsidR="006054AA" w:rsidRDefault="001F7667">
            <w:pPr>
              <w:pStyle w:val="P68B1DB1-Normal12"/>
              <w:jc w:val="center"/>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37705503" w14:textId="77777777" w:rsidR="006054AA" w:rsidRDefault="001F7667">
            <w:pPr>
              <w:pStyle w:val="P68B1DB1-Normal12"/>
              <w:rPr>
                <w:noProof/>
              </w:rPr>
            </w:pPr>
            <w:r>
              <w:rPr>
                <w:noProof/>
              </w:rPr>
              <w:t>Приключване на изпълнението на подмерки за преподаване и задълбочени университетски умения</w:t>
            </w:r>
          </w:p>
        </w:tc>
      </w:tr>
      <w:tr w:rsidR="006054AA" w14:paraId="374F0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71876D" w14:textId="77777777" w:rsidR="006054AA" w:rsidRDefault="001F7667">
            <w:pPr>
              <w:pStyle w:val="P68B1DB1-Normal12"/>
              <w:jc w:val="center"/>
              <w:rPr>
                <w:noProof/>
              </w:rPr>
            </w:pPr>
            <w:r>
              <w:rPr>
                <w:noProof/>
              </w:rPr>
              <w:t>M4C1—24</w:t>
            </w:r>
          </w:p>
        </w:tc>
        <w:tc>
          <w:tcPr>
            <w:tcW w:w="3195" w:type="dxa"/>
            <w:tcBorders>
              <w:top w:val="nil"/>
              <w:left w:val="nil"/>
              <w:bottom w:val="single" w:sz="4" w:space="0" w:color="auto"/>
              <w:right w:val="single" w:sz="4" w:space="0" w:color="auto"/>
            </w:tcBorders>
            <w:shd w:val="clear" w:color="auto" w:fill="C6EFCE"/>
            <w:noWrap/>
            <w:vAlign w:val="center"/>
          </w:tcPr>
          <w:p w14:paraId="00652B28" w14:textId="77777777" w:rsidR="006054AA" w:rsidRDefault="001F7667">
            <w:pPr>
              <w:pStyle w:val="P68B1DB1-Normal12"/>
              <w:jc w:val="center"/>
              <w:rPr>
                <w:noProof/>
              </w:rPr>
            </w:pPr>
            <w:r>
              <w:rPr>
                <w:noProof/>
              </w:rPr>
              <w:t>Инвестиция 1.6: Активна ориентация в прехода между училищата и университетите.</w:t>
            </w:r>
          </w:p>
        </w:tc>
        <w:tc>
          <w:tcPr>
            <w:tcW w:w="1380" w:type="dxa"/>
            <w:tcBorders>
              <w:top w:val="nil"/>
              <w:left w:val="nil"/>
              <w:bottom w:val="single" w:sz="4" w:space="0" w:color="auto"/>
              <w:right w:val="single" w:sz="4" w:space="0" w:color="auto"/>
            </w:tcBorders>
            <w:shd w:val="clear" w:color="auto" w:fill="C6EFCE"/>
            <w:noWrap/>
            <w:vAlign w:val="center"/>
          </w:tcPr>
          <w:p w14:paraId="443546B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AE7BD1E" w14:textId="77777777" w:rsidR="006054AA" w:rsidRDefault="001F7667">
            <w:pPr>
              <w:pStyle w:val="P68B1DB1-Normal12"/>
              <w:rPr>
                <w:noProof/>
              </w:rPr>
            </w:pPr>
            <w:r>
              <w:rPr>
                <w:noProof/>
              </w:rPr>
              <w:t>Студенти, които са посещавали курсове за преход между училища и университети</w:t>
            </w:r>
          </w:p>
        </w:tc>
      </w:tr>
      <w:tr w:rsidR="006054AA" w14:paraId="372AE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785C07" w14:textId="77777777" w:rsidR="006054AA" w:rsidRDefault="001F7667">
            <w:pPr>
              <w:pStyle w:val="P68B1DB1-Normal12"/>
              <w:jc w:val="center"/>
              <w:rPr>
                <w:noProof/>
              </w:rPr>
            </w:pPr>
            <w:r>
              <w:rPr>
                <w:noProof/>
              </w:rPr>
              <w:t>M4C1—25</w:t>
            </w:r>
          </w:p>
        </w:tc>
        <w:tc>
          <w:tcPr>
            <w:tcW w:w="3195" w:type="dxa"/>
            <w:tcBorders>
              <w:top w:val="nil"/>
              <w:left w:val="nil"/>
              <w:bottom w:val="single" w:sz="4" w:space="0" w:color="auto"/>
              <w:right w:val="single" w:sz="4" w:space="0" w:color="auto"/>
            </w:tcBorders>
            <w:shd w:val="clear" w:color="auto" w:fill="C6EFCE"/>
            <w:noWrap/>
            <w:vAlign w:val="center"/>
          </w:tcPr>
          <w:p w14:paraId="3D6F68C9" w14:textId="77777777" w:rsidR="006054AA" w:rsidRDefault="001F7667">
            <w:pPr>
              <w:pStyle w:val="P68B1DB1-Normal12"/>
              <w:jc w:val="center"/>
              <w:rPr>
                <w:noProof/>
              </w:rPr>
            </w:pPr>
            <w:r>
              <w:rPr>
                <w:noProof/>
              </w:rPr>
              <w:t>Инвестиция 1.4: Извънредна намеса, насочена към намаляване на териториалните различия в първия и втория цикъл на средното образование и към справяне с преждевременното напускане на училище</w:t>
            </w:r>
          </w:p>
        </w:tc>
        <w:tc>
          <w:tcPr>
            <w:tcW w:w="1380" w:type="dxa"/>
            <w:tcBorders>
              <w:top w:val="nil"/>
              <w:left w:val="nil"/>
              <w:bottom w:val="single" w:sz="4" w:space="0" w:color="auto"/>
              <w:right w:val="single" w:sz="4" w:space="0" w:color="auto"/>
            </w:tcBorders>
            <w:shd w:val="clear" w:color="auto" w:fill="C6EFCE"/>
            <w:noWrap/>
            <w:vAlign w:val="center"/>
          </w:tcPr>
          <w:p w14:paraId="7613C4C0"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6F7002DE" w14:textId="77777777" w:rsidR="006054AA" w:rsidRDefault="001F7667">
            <w:pPr>
              <w:pStyle w:val="P68B1DB1-Normal12"/>
              <w:rPr>
                <w:noProof/>
              </w:rPr>
            </w:pPr>
            <w:r>
              <w:rPr>
                <w:noProof/>
              </w:rPr>
              <w:t>Разликата в процента на преждевременно напускащите системата на средното образование</w:t>
            </w:r>
          </w:p>
        </w:tc>
      </w:tr>
      <w:tr w:rsidR="006054AA" w14:paraId="22AF60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15EA43" w14:textId="77777777" w:rsidR="006054AA" w:rsidRDefault="001F7667">
            <w:pPr>
              <w:pStyle w:val="P68B1DB1-Normal12"/>
              <w:jc w:val="center"/>
              <w:rPr>
                <w:noProof/>
              </w:rPr>
            </w:pPr>
            <w:r>
              <w:rPr>
                <w:noProof/>
              </w:rPr>
              <w:t>M4C1—26</w:t>
            </w:r>
          </w:p>
        </w:tc>
        <w:tc>
          <w:tcPr>
            <w:tcW w:w="3195" w:type="dxa"/>
            <w:tcBorders>
              <w:top w:val="nil"/>
              <w:left w:val="nil"/>
              <w:bottom w:val="single" w:sz="4" w:space="0" w:color="auto"/>
              <w:right w:val="single" w:sz="4" w:space="0" w:color="auto"/>
            </w:tcBorders>
            <w:shd w:val="clear" w:color="auto" w:fill="C6EFCE"/>
            <w:noWrap/>
            <w:vAlign w:val="center"/>
          </w:tcPr>
          <w:p w14:paraId="57C8B925" w14:textId="77777777" w:rsidR="006054AA" w:rsidRDefault="001F7667">
            <w:pPr>
              <w:pStyle w:val="P68B1DB1-Normal12"/>
              <w:jc w:val="center"/>
              <w:rPr>
                <w:noProof/>
              </w:rPr>
            </w:pPr>
            <w:r>
              <w:rPr>
                <w:noProof/>
              </w:rPr>
              <w:t>Инвестиция 3.3: Сигурност на училищните сгради и план за структурно възстановяване</w:t>
            </w:r>
          </w:p>
        </w:tc>
        <w:tc>
          <w:tcPr>
            <w:tcW w:w="1380" w:type="dxa"/>
            <w:tcBorders>
              <w:top w:val="nil"/>
              <w:left w:val="nil"/>
              <w:bottom w:val="single" w:sz="4" w:space="0" w:color="auto"/>
              <w:right w:val="single" w:sz="4" w:space="0" w:color="auto"/>
            </w:tcBorders>
            <w:shd w:val="clear" w:color="auto" w:fill="C6EFCE"/>
            <w:noWrap/>
            <w:vAlign w:val="center"/>
          </w:tcPr>
          <w:p w14:paraId="4A73B21B"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5384A4B4" w14:textId="77777777" w:rsidR="006054AA" w:rsidRDefault="001F7667">
            <w:pPr>
              <w:pStyle w:val="P68B1DB1-Normal12"/>
              <w:rPr>
                <w:noProof/>
              </w:rPr>
            </w:pPr>
            <w:r>
              <w:rPr>
                <w:noProof/>
              </w:rPr>
              <w:t>Квм на санираните училищни сгради</w:t>
            </w:r>
          </w:p>
        </w:tc>
      </w:tr>
      <w:tr w:rsidR="006054AA" w14:paraId="0B80DA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B1F7D" w14:textId="77777777" w:rsidR="006054AA" w:rsidRDefault="001F7667">
            <w:pPr>
              <w:pStyle w:val="P68B1DB1-Normal12"/>
              <w:jc w:val="center"/>
              <w:rPr>
                <w:noProof/>
              </w:rPr>
            </w:pPr>
            <w:r>
              <w:rPr>
                <w:noProof/>
              </w:rPr>
              <w:t>M5C1—7bis</w:t>
            </w:r>
          </w:p>
        </w:tc>
        <w:tc>
          <w:tcPr>
            <w:tcW w:w="3195" w:type="dxa"/>
            <w:tcBorders>
              <w:top w:val="nil"/>
              <w:left w:val="nil"/>
              <w:bottom w:val="single" w:sz="4" w:space="0" w:color="auto"/>
              <w:right w:val="single" w:sz="4" w:space="0" w:color="auto"/>
            </w:tcBorders>
            <w:shd w:val="clear" w:color="auto" w:fill="C6EFCE"/>
            <w:noWrap/>
            <w:vAlign w:val="center"/>
          </w:tcPr>
          <w:p w14:paraId="5493C2D2" w14:textId="77777777" w:rsidR="006054AA" w:rsidRDefault="001F7667">
            <w:pPr>
              <w:pStyle w:val="P68B1DB1-Normal12"/>
              <w:jc w:val="center"/>
              <w:rPr>
                <w:noProof/>
              </w:rPr>
            </w:pPr>
            <w:r>
              <w:rPr>
                <w:noProof/>
              </w:rPr>
              <w:t xml:space="preserve">Инвестиция 1 — Укрепване на публичните служби по заетостта (ПСЗ) </w:t>
            </w:r>
          </w:p>
        </w:tc>
        <w:tc>
          <w:tcPr>
            <w:tcW w:w="1380" w:type="dxa"/>
            <w:tcBorders>
              <w:top w:val="nil"/>
              <w:left w:val="nil"/>
              <w:bottom w:val="single" w:sz="4" w:space="0" w:color="auto"/>
              <w:right w:val="single" w:sz="4" w:space="0" w:color="auto"/>
            </w:tcBorders>
            <w:shd w:val="clear" w:color="auto" w:fill="C6EFCE"/>
            <w:noWrap/>
            <w:vAlign w:val="center"/>
          </w:tcPr>
          <w:p w14:paraId="43A5C5E9"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9A64A65" w14:textId="77777777" w:rsidR="006054AA" w:rsidRDefault="001F7667">
            <w:pPr>
              <w:pStyle w:val="P68B1DB1-Normal12"/>
              <w:rPr>
                <w:noProof/>
              </w:rPr>
            </w:pPr>
            <w:r>
              <w:rPr>
                <w:noProof/>
              </w:rPr>
              <w:t>Публичните служби по заетостта (ПСЗ) приключиха дейностите, предвидени в плана за укрепване</w:t>
            </w:r>
          </w:p>
        </w:tc>
      </w:tr>
      <w:tr w:rsidR="006054AA" w14:paraId="13F30A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58FF6A" w14:textId="77777777" w:rsidR="006054AA" w:rsidRDefault="001F7667">
            <w:pPr>
              <w:pStyle w:val="P68B1DB1-Normal12"/>
              <w:jc w:val="center"/>
              <w:rPr>
                <w:noProof/>
              </w:rPr>
            </w:pPr>
            <w:r>
              <w:rPr>
                <w:noProof/>
              </w:rPr>
              <w:t xml:space="preserve">M5C1—13 </w:t>
            </w:r>
          </w:p>
        </w:tc>
        <w:tc>
          <w:tcPr>
            <w:tcW w:w="3195" w:type="dxa"/>
            <w:tcBorders>
              <w:top w:val="nil"/>
              <w:left w:val="nil"/>
              <w:bottom w:val="single" w:sz="4" w:space="0" w:color="auto"/>
              <w:right w:val="single" w:sz="4" w:space="0" w:color="auto"/>
            </w:tcBorders>
            <w:shd w:val="clear" w:color="auto" w:fill="C6EFCE"/>
            <w:noWrap/>
            <w:vAlign w:val="center"/>
          </w:tcPr>
          <w:p w14:paraId="164B6904" w14:textId="77777777" w:rsidR="006054AA" w:rsidRDefault="001F7667">
            <w:pPr>
              <w:pStyle w:val="P68B1DB1-Normal12"/>
              <w:jc w:val="center"/>
              <w:rPr>
                <w:noProof/>
              </w:rPr>
            </w:pPr>
            <w:r>
              <w:rPr>
                <w:noProof/>
              </w:rPr>
              <w:t>Инвестиция 2 — Система за сертифициране на равенството между половете</w:t>
            </w:r>
          </w:p>
        </w:tc>
        <w:tc>
          <w:tcPr>
            <w:tcW w:w="1380" w:type="dxa"/>
            <w:tcBorders>
              <w:top w:val="nil"/>
              <w:left w:val="nil"/>
              <w:bottom w:val="single" w:sz="4" w:space="0" w:color="auto"/>
              <w:right w:val="single" w:sz="4" w:space="0" w:color="auto"/>
            </w:tcBorders>
            <w:shd w:val="clear" w:color="auto" w:fill="C6EFCE"/>
            <w:noWrap/>
            <w:vAlign w:val="center"/>
          </w:tcPr>
          <w:p w14:paraId="66087A52"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6E497AA5" w14:textId="77777777" w:rsidR="006054AA" w:rsidRDefault="001F7667">
            <w:pPr>
              <w:pStyle w:val="P68B1DB1-Normal12"/>
              <w:rPr>
                <w:noProof/>
              </w:rPr>
            </w:pPr>
            <w:r>
              <w:rPr>
                <w:noProof/>
              </w:rPr>
              <w:t>Дружествата са получили сертификат за равенство между половете</w:t>
            </w:r>
          </w:p>
        </w:tc>
      </w:tr>
      <w:tr w:rsidR="006054AA" w14:paraId="464676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E67C08" w14:textId="77777777" w:rsidR="006054AA" w:rsidRDefault="001F7667">
            <w:pPr>
              <w:pStyle w:val="P68B1DB1-Normal12"/>
              <w:jc w:val="center"/>
              <w:rPr>
                <w:noProof/>
              </w:rPr>
            </w:pPr>
            <w:r>
              <w:rPr>
                <w:noProof/>
              </w:rPr>
              <w:t>M5C1—14</w:t>
            </w:r>
          </w:p>
        </w:tc>
        <w:tc>
          <w:tcPr>
            <w:tcW w:w="3195" w:type="dxa"/>
            <w:tcBorders>
              <w:top w:val="nil"/>
              <w:left w:val="nil"/>
              <w:bottom w:val="single" w:sz="4" w:space="0" w:color="auto"/>
              <w:right w:val="single" w:sz="4" w:space="0" w:color="auto"/>
            </w:tcBorders>
            <w:shd w:val="clear" w:color="auto" w:fill="C6EFCE"/>
            <w:noWrap/>
            <w:vAlign w:val="center"/>
          </w:tcPr>
          <w:p w14:paraId="3E312D33" w14:textId="77777777" w:rsidR="006054AA" w:rsidRDefault="001F7667">
            <w:pPr>
              <w:pStyle w:val="P68B1DB1-Normal12"/>
              <w:jc w:val="center"/>
              <w:rPr>
                <w:noProof/>
              </w:rPr>
            </w:pPr>
            <w:r>
              <w:rPr>
                <w:noProof/>
              </w:rPr>
              <w:t>Инвестиция 2 — Система за сертифициране на равенството между половете</w:t>
            </w:r>
          </w:p>
        </w:tc>
        <w:tc>
          <w:tcPr>
            <w:tcW w:w="1380" w:type="dxa"/>
            <w:tcBorders>
              <w:top w:val="nil"/>
              <w:left w:val="nil"/>
              <w:bottom w:val="single" w:sz="4" w:space="0" w:color="auto"/>
              <w:right w:val="single" w:sz="4" w:space="0" w:color="auto"/>
            </w:tcBorders>
            <w:shd w:val="clear" w:color="auto" w:fill="C6EFCE"/>
            <w:noWrap/>
            <w:vAlign w:val="center"/>
          </w:tcPr>
          <w:p w14:paraId="7F9FE5C0"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343DE9FE" w14:textId="77777777" w:rsidR="006054AA" w:rsidRDefault="001F7667">
            <w:pPr>
              <w:pStyle w:val="P68B1DB1-Normal12"/>
              <w:rPr>
                <w:noProof/>
              </w:rPr>
            </w:pPr>
            <w:r>
              <w:rPr>
                <w:noProof/>
              </w:rPr>
              <w:t>Дружествата, получили подкрепа чрез техническата помощ, са получили сертификат за равенство между половете</w:t>
            </w:r>
          </w:p>
        </w:tc>
      </w:tr>
      <w:tr w:rsidR="006054AA" w14:paraId="3F111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9C71C" w14:textId="77777777" w:rsidR="006054AA" w:rsidRDefault="001F7667">
            <w:pPr>
              <w:pStyle w:val="P68B1DB1-Normal12"/>
              <w:jc w:val="center"/>
              <w:rPr>
                <w:noProof/>
              </w:rPr>
            </w:pPr>
            <w:r>
              <w:rPr>
                <w:noProof/>
              </w:rPr>
              <w:t>M5C1—16</w:t>
            </w:r>
          </w:p>
        </w:tc>
        <w:tc>
          <w:tcPr>
            <w:tcW w:w="3195" w:type="dxa"/>
            <w:tcBorders>
              <w:top w:val="nil"/>
              <w:left w:val="nil"/>
              <w:bottom w:val="single" w:sz="4" w:space="0" w:color="auto"/>
              <w:right w:val="single" w:sz="4" w:space="0" w:color="auto"/>
            </w:tcBorders>
            <w:shd w:val="clear" w:color="auto" w:fill="C6EFCE"/>
            <w:noWrap/>
            <w:vAlign w:val="center"/>
          </w:tcPr>
          <w:p w14:paraId="61684F11" w14:textId="77777777" w:rsidR="006054AA" w:rsidRDefault="001F7667">
            <w:pPr>
              <w:pStyle w:val="P68B1DB1-Normal12"/>
              <w:jc w:val="center"/>
              <w:rPr>
                <w:noProof/>
              </w:rPr>
            </w:pPr>
            <w:r>
              <w:rPr>
                <w:noProof/>
              </w:rPr>
              <w:t>Инвестиция 4 — Универсална публична служба</w:t>
            </w:r>
          </w:p>
        </w:tc>
        <w:tc>
          <w:tcPr>
            <w:tcW w:w="1380" w:type="dxa"/>
            <w:tcBorders>
              <w:top w:val="nil"/>
              <w:left w:val="nil"/>
              <w:bottom w:val="single" w:sz="4" w:space="0" w:color="auto"/>
              <w:right w:val="single" w:sz="4" w:space="0" w:color="auto"/>
            </w:tcBorders>
            <w:shd w:val="clear" w:color="auto" w:fill="C6EFCE"/>
            <w:noWrap/>
            <w:vAlign w:val="center"/>
          </w:tcPr>
          <w:p w14:paraId="79AE2D78"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2A133CD2" w14:textId="77777777" w:rsidR="006054AA" w:rsidRDefault="001F7667">
            <w:pPr>
              <w:pStyle w:val="P68B1DB1-Normal12"/>
              <w:rPr>
                <w:noProof/>
              </w:rPr>
            </w:pPr>
            <w:r>
              <w:rPr>
                <w:noProof/>
              </w:rPr>
              <w:t>Хората са участвали в програмата за универсална публична служба и са получили съответното сертифициране през четиригодишния период 2021—2024 г.</w:t>
            </w:r>
          </w:p>
        </w:tc>
      </w:tr>
      <w:tr w:rsidR="006054AA" w14:paraId="090E2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CF3FE8" w14:textId="77777777" w:rsidR="006054AA" w:rsidRDefault="001F7667">
            <w:pPr>
              <w:pStyle w:val="P68B1DB1-Normal12"/>
              <w:jc w:val="center"/>
              <w:rPr>
                <w:noProof/>
              </w:rPr>
            </w:pPr>
            <w:r>
              <w:rPr>
                <w:noProof/>
              </w:rPr>
              <w:t>M5C3—4</w:t>
            </w:r>
          </w:p>
        </w:tc>
        <w:tc>
          <w:tcPr>
            <w:tcW w:w="3195" w:type="dxa"/>
            <w:tcBorders>
              <w:top w:val="nil"/>
              <w:left w:val="nil"/>
              <w:bottom w:val="single" w:sz="4" w:space="0" w:color="auto"/>
              <w:right w:val="single" w:sz="4" w:space="0" w:color="auto"/>
            </w:tcBorders>
            <w:shd w:val="clear" w:color="auto" w:fill="C6EFCE"/>
            <w:noWrap/>
            <w:vAlign w:val="center"/>
          </w:tcPr>
          <w:p w14:paraId="05D36C98" w14:textId="77777777" w:rsidR="006054AA" w:rsidRDefault="001F7667">
            <w:pPr>
              <w:pStyle w:val="P68B1DB1-Normal12"/>
              <w:jc w:val="center"/>
              <w:rPr>
                <w:noProof/>
              </w:rPr>
            </w:pPr>
            <w:r>
              <w:rPr>
                <w:noProof/>
              </w:rPr>
              <w:t>Инвестиция 2: Териториална близост до здравни заведения</w:t>
            </w:r>
          </w:p>
        </w:tc>
        <w:tc>
          <w:tcPr>
            <w:tcW w:w="1380" w:type="dxa"/>
            <w:tcBorders>
              <w:top w:val="nil"/>
              <w:left w:val="nil"/>
              <w:bottom w:val="single" w:sz="4" w:space="0" w:color="auto"/>
              <w:right w:val="single" w:sz="4" w:space="0" w:color="auto"/>
            </w:tcBorders>
            <w:shd w:val="clear" w:color="auto" w:fill="C6EFCE"/>
            <w:noWrap/>
            <w:vAlign w:val="center"/>
          </w:tcPr>
          <w:p w14:paraId="1AF9B75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78FC7B2B" w14:textId="77777777" w:rsidR="006054AA" w:rsidRDefault="001F7667">
            <w:pPr>
              <w:pStyle w:val="P68B1DB1-Normal12"/>
              <w:rPr>
                <w:noProof/>
              </w:rPr>
            </w:pPr>
            <w:r>
              <w:rPr>
                <w:noProof/>
              </w:rPr>
              <w:t>Подпомагане на селски аптеки в общини, населени места или населени места с по-малко от 5 000 жители (втора партида)</w:t>
            </w:r>
          </w:p>
        </w:tc>
      </w:tr>
      <w:tr w:rsidR="006054AA" w14:paraId="0828AE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2DAF0C" w14:textId="77777777" w:rsidR="006054AA" w:rsidRDefault="001F7667">
            <w:pPr>
              <w:pStyle w:val="P68B1DB1-Normal12"/>
              <w:jc w:val="center"/>
              <w:rPr>
                <w:noProof/>
              </w:rPr>
            </w:pPr>
            <w:r>
              <w:rPr>
                <w:noProof/>
              </w:rPr>
              <w:t>M5C3—9</w:t>
            </w:r>
          </w:p>
        </w:tc>
        <w:tc>
          <w:tcPr>
            <w:tcW w:w="3195" w:type="dxa"/>
            <w:tcBorders>
              <w:top w:val="nil"/>
              <w:left w:val="nil"/>
              <w:bottom w:val="single" w:sz="4" w:space="0" w:color="auto"/>
              <w:right w:val="single" w:sz="4" w:space="0" w:color="auto"/>
            </w:tcBorders>
            <w:shd w:val="clear" w:color="auto" w:fill="C6EFCE"/>
            <w:noWrap/>
            <w:vAlign w:val="center"/>
          </w:tcPr>
          <w:p w14:paraId="39A16615" w14:textId="77777777" w:rsidR="006054AA" w:rsidRDefault="001F7667">
            <w:pPr>
              <w:pStyle w:val="P68B1DB1-Normal12"/>
              <w:jc w:val="center"/>
              <w:rPr>
                <w:noProof/>
              </w:rPr>
            </w:pPr>
            <w:r>
              <w:rPr>
                <w:noProof/>
              </w:rPr>
              <w:t>Инвестиция1.3: Структурирани социално-образователни интервенции за борба с образователната бедност в южната част на страната в подкрепа на третия сектор</w:t>
            </w:r>
          </w:p>
        </w:tc>
        <w:tc>
          <w:tcPr>
            <w:tcW w:w="1380" w:type="dxa"/>
            <w:tcBorders>
              <w:top w:val="nil"/>
              <w:left w:val="nil"/>
              <w:bottom w:val="single" w:sz="4" w:space="0" w:color="auto"/>
              <w:right w:val="single" w:sz="4" w:space="0" w:color="auto"/>
            </w:tcBorders>
            <w:shd w:val="clear" w:color="auto" w:fill="C6EFCE"/>
            <w:noWrap/>
            <w:vAlign w:val="center"/>
          </w:tcPr>
          <w:p w14:paraId="7FD5FDE1"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4F79A12A" w14:textId="77777777" w:rsidR="006054AA" w:rsidRDefault="001F7667">
            <w:pPr>
              <w:pStyle w:val="P68B1DB1-Normal12"/>
              <w:rPr>
                <w:noProof/>
              </w:rPr>
            </w:pPr>
            <w:r>
              <w:rPr>
                <w:noProof/>
              </w:rPr>
              <w:t>Образователна подкрепа за малолетни и непълнолетни лица (втора група)</w:t>
            </w:r>
          </w:p>
        </w:tc>
      </w:tr>
      <w:tr w:rsidR="006054AA" w14:paraId="6CB756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CDD483" w14:textId="77777777" w:rsidR="006054AA" w:rsidRDefault="001F7667">
            <w:pPr>
              <w:pStyle w:val="P68B1DB1-Normal12"/>
              <w:jc w:val="center"/>
              <w:rPr>
                <w:noProof/>
              </w:rPr>
            </w:pPr>
            <w:r>
              <w:rPr>
                <w:noProof/>
              </w:rPr>
              <w:t>M7—11</w:t>
            </w:r>
          </w:p>
        </w:tc>
        <w:tc>
          <w:tcPr>
            <w:tcW w:w="3195" w:type="dxa"/>
            <w:tcBorders>
              <w:top w:val="nil"/>
              <w:left w:val="nil"/>
              <w:bottom w:val="single" w:sz="4" w:space="0" w:color="auto"/>
              <w:right w:val="single" w:sz="4" w:space="0" w:color="auto"/>
            </w:tcBorders>
            <w:shd w:val="clear" w:color="auto" w:fill="C6EFCE"/>
            <w:noWrap/>
            <w:vAlign w:val="center"/>
          </w:tcPr>
          <w:p w14:paraId="425E6CB2" w14:textId="77777777" w:rsidR="006054AA" w:rsidRDefault="001F7667">
            <w:pPr>
              <w:pStyle w:val="P68B1DB1-Normal12"/>
              <w:rPr>
                <w:noProof/>
              </w:rPr>
            </w:pPr>
            <w:r>
              <w:rPr>
                <w:noProof/>
              </w:rPr>
              <w:t>Инвестиция 1: Мярка за разрастване: Укрепване на интелигентните мрежи</w:t>
            </w:r>
          </w:p>
        </w:tc>
        <w:tc>
          <w:tcPr>
            <w:tcW w:w="1380" w:type="dxa"/>
            <w:tcBorders>
              <w:top w:val="nil"/>
              <w:left w:val="nil"/>
              <w:bottom w:val="single" w:sz="4" w:space="0" w:color="auto"/>
              <w:right w:val="single" w:sz="4" w:space="0" w:color="auto"/>
            </w:tcBorders>
            <w:shd w:val="clear" w:color="auto" w:fill="C6EFCE"/>
            <w:noWrap/>
            <w:vAlign w:val="center"/>
          </w:tcPr>
          <w:p w14:paraId="3B7CD0F7"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3E696793" w14:textId="77777777" w:rsidR="006054AA" w:rsidRDefault="001F7667">
            <w:pPr>
              <w:pStyle w:val="P68B1DB1-Normal12"/>
              <w:rPr>
                <w:noProof/>
              </w:rPr>
            </w:pPr>
            <w:r>
              <w:rPr>
                <w:noProof/>
              </w:rPr>
              <w:t>Интелигентни коридори — електрификация на потреблението на енергия</w:t>
            </w:r>
          </w:p>
        </w:tc>
      </w:tr>
      <w:tr w:rsidR="006054AA" w14:paraId="3ECF9F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6D4741" w14:textId="77777777" w:rsidR="006054AA" w:rsidRDefault="001F7667">
            <w:pPr>
              <w:pStyle w:val="P68B1DB1-Normal12"/>
              <w:jc w:val="center"/>
              <w:rPr>
                <w:noProof/>
              </w:rPr>
            </w:pPr>
            <w:r>
              <w:rPr>
                <w:noProof/>
              </w:rPr>
              <w:t>M7—12</w:t>
            </w:r>
          </w:p>
        </w:tc>
        <w:tc>
          <w:tcPr>
            <w:tcW w:w="3195" w:type="dxa"/>
            <w:tcBorders>
              <w:top w:val="nil"/>
              <w:left w:val="nil"/>
              <w:bottom w:val="single" w:sz="4" w:space="0" w:color="auto"/>
              <w:right w:val="single" w:sz="4" w:space="0" w:color="auto"/>
            </w:tcBorders>
            <w:shd w:val="clear" w:color="auto" w:fill="C6EFCE"/>
            <w:noWrap/>
            <w:vAlign w:val="center"/>
          </w:tcPr>
          <w:p w14:paraId="0B535F4F" w14:textId="77777777" w:rsidR="006054AA" w:rsidRDefault="001F7667">
            <w:pPr>
              <w:pStyle w:val="P68B1DB1-Normal12"/>
              <w:rPr>
                <w:noProof/>
              </w:rPr>
            </w:pPr>
            <w:r>
              <w:rPr>
                <w:noProof/>
              </w:rPr>
              <w:t>Инвестиция 2: Мярка за разрастване: Интервенции за повишаване на устойчивостта на електроенергийната мрежа</w:t>
            </w:r>
          </w:p>
        </w:tc>
        <w:tc>
          <w:tcPr>
            <w:tcW w:w="1380" w:type="dxa"/>
            <w:tcBorders>
              <w:top w:val="nil"/>
              <w:left w:val="nil"/>
              <w:bottom w:val="single" w:sz="4" w:space="0" w:color="auto"/>
              <w:right w:val="single" w:sz="4" w:space="0" w:color="auto"/>
            </w:tcBorders>
            <w:shd w:val="clear" w:color="auto" w:fill="C6EFCE"/>
            <w:noWrap/>
            <w:vAlign w:val="center"/>
          </w:tcPr>
          <w:p w14:paraId="187C133F"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6AFB1E8B" w14:textId="77777777" w:rsidR="006054AA" w:rsidRDefault="001F7667">
            <w:pPr>
              <w:pStyle w:val="P68B1DB1-Normal12"/>
              <w:rPr>
                <w:noProof/>
              </w:rPr>
            </w:pPr>
            <w:r>
              <w:rPr>
                <w:noProof/>
              </w:rPr>
              <w:t>Повишаване на устойчивостта на мрежата на електроенергийната система</w:t>
            </w:r>
          </w:p>
        </w:tc>
      </w:tr>
      <w:tr w:rsidR="006054AA" w14:paraId="3CE58A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1060E" w14:textId="77777777" w:rsidR="006054AA" w:rsidRDefault="001F7667">
            <w:pPr>
              <w:pStyle w:val="P68B1DB1-Normal12"/>
              <w:jc w:val="center"/>
              <w:rPr>
                <w:noProof/>
              </w:rPr>
            </w:pPr>
            <w:r>
              <w:rPr>
                <w:noProof/>
              </w:rPr>
              <w:t>M7—13</w:t>
            </w:r>
          </w:p>
        </w:tc>
        <w:tc>
          <w:tcPr>
            <w:tcW w:w="3195" w:type="dxa"/>
            <w:tcBorders>
              <w:top w:val="nil"/>
              <w:left w:val="nil"/>
              <w:bottom w:val="single" w:sz="4" w:space="0" w:color="auto"/>
              <w:right w:val="single" w:sz="4" w:space="0" w:color="auto"/>
            </w:tcBorders>
            <w:shd w:val="clear" w:color="auto" w:fill="C6EFCE"/>
            <w:noWrap/>
            <w:vAlign w:val="center"/>
          </w:tcPr>
          <w:p w14:paraId="13F21012" w14:textId="77777777" w:rsidR="006054AA" w:rsidRDefault="001F7667">
            <w:pPr>
              <w:pStyle w:val="P68B1DB1-Normal12"/>
              <w:rPr>
                <w:noProof/>
              </w:rPr>
            </w:pPr>
            <w:r>
              <w:rPr>
                <w:noProof/>
              </w:rPr>
              <w:t>Инвестиция 3: Мярка за разрастване: Производство на водород в изоставени промишлени терени (водородни долини)</w:t>
            </w:r>
          </w:p>
        </w:tc>
        <w:tc>
          <w:tcPr>
            <w:tcW w:w="1380" w:type="dxa"/>
            <w:tcBorders>
              <w:top w:val="nil"/>
              <w:left w:val="nil"/>
              <w:bottom w:val="single" w:sz="4" w:space="0" w:color="auto"/>
              <w:right w:val="single" w:sz="4" w:space="0" w:color="auto"/>
            </w:tcBorders>
            <w:shd w:val="clear" w:color="auto" w:fill="C6EFCE"/>
            <w:noWrap/>
            <w:vAlign w:val="center"/>
          </w:tcPr>
          <w:p w14:paraId="485F32D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72F4E8F" w14:textId="77777777" w:rsidR="006054AA" w:rsidRDefault="001F7667">
            <w:pPr>
              <w:pStyle w:val="P68B1DB1-Normal12"/>
              <w:rPr>
                <w:noProof/>
              </w:rPr>
            </w:pPr>
            <w:r>
              <w:rPr>
                <w:noProof/>
              </w:rPr>
              <w:t>Приключване на проекта за производство на водород в промишлени райони</w:t>
            </w:r>
          </w:p>
        </w:tc>
      </w:tr>
      <w:tr w:rsidR="006054AA" w14:paraId="00D878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34129" w14:textId="77777777" w:rsidR="006054AA" w:rsidRDefault="001F7667">
            <w:pPr>
              <w:pStyle w:val="P68B1DB1-Normal12"/>
              <w:jc w:val="center"/>
              <w:rPr>
                <w:noProof/>
              </w:rPr>
            </w:pPr>
            <w:r>
              <w:rPr>
                <w:noProof/>
              </w:rPr>
              <w:t>M7—15</w:t>
            </w:r>
          </w:p>
        </w:tc>
        <w:tc>
          <w:tcPr>
            <w:tcW w:w="3195" w:type="dxa"/>
            <w:tcBorders>
              <w:top w:val="nil"/>
              <w:left w:val="nil"/>
              <w:bottom w:val="single" w:sz="4" w:space="0" w:color="auto"/>
              <w:right w:val="single" w:sz="4" w:space="0" w:color="auto"/>
            </w:tcBorders>
            <w:shd w:val="clear" w:color="auto" w:fill="C6EFCE"/>
            <w:noWrap/>
            <w:vAlign w:val="center"/>
          </w:tcPr>
          <w:p w14:paraId="10E7AE78" w14:textId="77777777" w:rsidR="006054AA" w:rsidRDefault="001F7667">
            <w:pPr>
              <w:pStyle w:val="P68B1DB1-Normal12"/>
              <w:rPr>
                <w:noProof/>
              </w:rPr>
            </w:pPr>
            <w:r>
              <w:rPr>
                <w:noProof/>
              </w:rPr>
              <w:t>Инвестиция 4: Връзка Тиренян</w:t>
            </w:r>
          </w:p>
        </w:tc>
        <w:tc>
          <w:tcPr>
            <w:tcW w:w="1380" w:type="dxa"/>
            <w:tcBorders>
              <w:top w:val="nil"/>
              <w:left w:val="nil"/>
              <w:bottom w:val="single" w:sz="4" w:space="0" w:color="auto"/>
              <w:right w:val="single" w:sz="4" w:space="0" w:color="auto"/>
            </w:tcBorders>
            <w:shd w:val="clear" w:color="auto" w:fill="C6EFCE"/>
            <w:noWrap/>
            <w:vAlign w:val="center"/>
          </w:tcPr>
          <w:p w14:paraId="231CECA4"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27AF0827" w14:textId="77777777" w:rsidR="006054AA" w:rsidRDefault="001F7667">
            <w:pPr>
              <w:pStyle w:val="P68B1DB1-Normal12"/>
              <w:rPr>
                <w:noProof/>
              </w:rPr>
            </w:pPr>
            <w:r>
              <w:rPr>
                <w:noProof/>
              </w:rPr>
              <w:t>514 km изграден кабел</w:t>
            </w:r>
          </w:p>
        </w:tc>
      </w:tr>
      <w:tr w:rsidR="006054AA" w14:paraId="4D68AD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A5696F" w14:textId="77777777" w:rsidR="006054AA" w:rsidRDefault="001F7667">
            <w:pPr>
              <w:pStyle w:val="P68B1DB1-Normal12"/>
              <w:jc w:val="center"/>
              <w:rPr>
                <w:noProof/>
              </w:rPr>
            </w:pPr>
            <w:r>
              <w:rPr>
                <w:noProof/>
              </w:rPr>
              <w:t>M7—17</w:t>
            </w:r>
          </w:p>
        </w:tc>
        <w:tc>
          <w:tcPr>
            <w:tcW w:w="3195" w:type="dxa"/>
            <w:tcBorders>
              <w:top w:val="nil"/>
              <w:left w:val="nil"/>
              <w:bottom w:val="single" w:sz="4" w:space="0" w:color="auto"/>
              <w:right w:val="single" w:sz="4" w:space="0" w:color="auto"/>
            </w:tcBorders>
            <w:shd w:val="clear" w:color="auto" w:fill="C6EFCE"/>
            <w:noWrap/>
            <w:vAlign w:val="center"/>
          </w:tcPr>
          <w:p w14:paraId="63CA88A9" w14:textId="77777777" w:rsidR="006054AA" w:rsidRDefault="001F7667">
            <w:pPr>
              <w:pStyle w:val="P68B1DB1-Normal12"/>
              <w:rPr>
                <w:noProof/>
              </w:rPr>
            </w:pPr>
            <w:r>
              <w:rPr>
                <w:noProof/>
              </w:rPr>
              <w:t>Инвестиция 5: SA.CO.I.3</w:t>
            </w:r>
          </w:p>
        </w:tc>
        <w:tc>
          <w:tcPr>
            <w:tcW w:w="1380" w:type="dxa"/>
            <w:tcBorders>
              <w:top w:val="nil"/>
              <w:left w:val="nil"/>
              <w:bottom w:val="single" w:sz="4" w:space="0" w:color="auto"/>
              <w:right w:val="single" w:sz="4" w:space="0" w:color="auto"/>
            </w:tcBorders>
            <w:shd w:val="clear" w:color="auto" w:fill="C6EFCE"/>
            <w:noWrap/>
            <w:vAlign w:val="center"/>
          </w:tcPr>
          <w:p w14:paraId="6BE9AFB8" w14:textId="77777777" w:rsidR="006054AA" w:rsidRDefault="001F7667">
            <w:pPr>
              <w:pStyle w:val="P68B1DB1-Normal12"/>
              <w:jc w:val="center"/>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7F0712C9" w14:textId="77777777" w:rsidR="006054AA" w:rsidRDefault="001F7667">
            <w:pPr>
              <w:pStyle w:val="P68B1DB1-Normal12"/>
              <w:rPr>
                <w:noProof/>
              </w:rPr>
            </w:pPr>
            <w:r>
              <w:rPr>
                <w:noProof/>
              </w:rPr>
              <w:t>Завършване на корпуса на преобразувателните станции в Сардиния (Codrongianos) и Тоскана (Suvereto)</w:t>
            </w:r>
          </w:p>
        </w:tc>
      </w:tr>
      <w:tr w:rsidR="006054AA" w14:paraId="3E43F4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D1BA36" w14:textId="77777777" w:rsidR="006054AA" w:rsidRDefault="001F7667">
            <w:pPr>
              <w:pStyle w:val="P68B1DB1-Normal12"/>
              <w:jc w:val="center"/>
              <w:rPr>
                <w:noProof/>
              </w:rPr>
            </w:pPr>
            <w:r>
              <w:rPr>
                <w:noProof/>
              </w:rPr>
              <w:t>M7—19</w:t>
            </w:r>
          </w:p>
        </w:tc>
        <w:tc>
          <w:tcPr>
            <w:tcW w:w="3195" w:type="dxa"/>
            <w:tcBorders>
              <w:top w:val="nil"/>
              <w:left w:val="nil"/>
              <w:bottom w:val="single" w:sz="4" w:space="0" w:color="auto"/>
              <w:right w:val="single" w:sz="4" w:space="0" w:color="auto"/>
            </w:tcBorders>
            <w:shd w:val="clear" w:color="auto" w:fill="C6EFCE"/>
            <w:noWrap/>
            <w:vAlign w:val="center"/>
          </w:tcPr>
          <w:p w14:paraId="5FE18960" w14:textId="77777777" w:rsidR="006054AA" w:rsidRDefault="001F7667">
            <w:pPr>
              <w:pStyle w:val="P68B1DB1-Normal12"/>
              <w:rPr>
                <w:noProof/>
              </w:rPr>
            </w:pPr>
            <w:r>
              <w:rPr>
                <w:noProof/>
              </w:rPr>
              <w:t>Инвестиция 6: Проекти за трансгранични електроенергийни междусистемни връзки между Италия и съседни държави</w:t>
            </w:r>
          </w:p>
        </w:tc>
        <w:tc>
          <w:tcPr>
            <w:tcW w:w="1380" w:type="dxa"/>
            <w:tcBorders>
              <w:top w:val="nil"/>
              <w:left w:val="nil"/>
              <w:bottom w:val="single" w:sz="4" w:space="0" w:color="auto"/>
              <w:right w:val="single" w:sz="4" w:space="0" w:color="auto"/>
            </w:tcBorders>
            <w:shd w:val="clear" w:color="auto" w:fill="C6EFCE"/>
            <w:noWrap/>
            <w:vAlign w:val="center"/>
          </w:tcPr>
          <w:p w14:paraId="6A6006F5"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0F7D21B" w14:textId="77777777" w:rsidR="006054AA" w:rsidRDefault="001F7667">
            <w:pPr>
              <w:pStyle w:val="P68B1DB1-Normal12"/>
              <w:rPr>
                <w:noProof/>
              </w:rPr>
            </w:pPr>
            <w:r>
              <w:rPr>
                <w:noProof/>
              </w:rPr>
              <w:t>Увеличаване на номиналния междусистемен капацитет между Италия и Австрия в резултат на завършването на междусистемния електропровод</w:t>
            </w:r>
          </w:p>
        </w:tc>
      </w:tr>
      <w:tr w:rsidR="006054AA" w14:paraId="5DBD0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172A5E" w14:textId="77777777" w:rsidR="006054AA" w:rsidRDefault="001F7667">
            <w:pPr>
              <w:pStyle w:val="P68B1DB1-Normal12"/>
              <w:jc w:val="center"/>
              <w:rPr>
                <w:noProof/>
              </w:rPr>
            </w:pPr>
            <w:r>
              <w:rPr>
                <w:noProof/>
              </w:rPr>
              <w:t>M7—22</w:t>
            </w:r>
          </w:p>
        </w:tc>
        <w:tc>
          <w:tcPr>
            <w:tcW w:w="3195" w:type="dxa"/>
            <w:tcBorders>
              <w:top w:val="nil"/>
              <w:left w:val="nil"/>
              <w:bottom w:val="single" w:sz="4" w:space="0" w:color="auto"/>
              <w:right w:val="single" w:sz="4" w:space="0" w:color="auto"/>
            </w:tcBorders>
            <w:shd w:val="clear" w:color="auto" w:fill="C6EFCE"/>
            <w:noWrap/>
            <w:vAlign w:val="center"/>
          </w:tcPr>
          <w:p w14:paraId="23C14565" w14:textId="77777777" w:rsidR="006054AA" w:rsidRDefault="001F7667">
            <w:pPr>
              <w:pStyle w:val="P68B1DB1-Normal12"/>
              <w:rPr>
                <w:noProof/>
              </w:rPr>
            </w:pPr>
            <w:r>
              <w:rPr>
                <w:noProof/>
              </w:rPr>
              <w:t>Инвестиция 7: Интелигентна национална преносна мрежа</w:t>
            </w:r>
          </w:p>
        </w:tc>
        <w:tc>
          <w:tcPr>
            <w:tcW w:w="1380" w:type="dxa"/>
            <w:tcBorders>
              <w:top w:val="nil"/>
              <w:left w:val="nil"/>
              <w:bottom w:val="single" w:sz="4" w:space="0" w:color="auto"/>
              <w:right w:val="single" w:sz="4" w:space="0" w:color="auto"/>
            </w:tcBorders>
            <w:shd w:val="clear" w:color="auto" w:fill="C6EFCE"/>
            <w:noWrap/>
            <w:vAlign w:val="center"/>
          </w:tcPr>
          <w:p w14:paraId="48900716"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586CB733" w14:textId="77777777" w:rsidR="006054AA" w:rsidRDefault="001F7667">
            <w:pPr>
              <w:pStyle w:val="P68B1DB1-Normal12"/>
              <w:rPr>
                <w:noProof/>
              </w:rPr>
            </w:pPr>
            <w:r>
              <w:rPr>
                <w:noProof/>
              </w:rPr>
              <w:t>Инсталиране на 5G оборудване или архитектура на ИКТ в гарите</w:t>
            </w:r>
          </w:p>
        </w:tc>
      </w:tr>
      <w:tr w:rsidR="006054AA" w14:paraId="16AA2A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04CDD2" w14:textId="77777777" w:rsidR="006054AA" w:rsidRDefault="001F7667">
            <w:pPr>
              <w:pStyle w:val="P68B1DB1-Normal12"/>
              <w:jc w:val="center"/>
              <w:rPr>
                <w:noProof/>
              </w:rPr>
            </w:pPr>
            <w:r>
              <w:rPr>
                <w:noProof/>
              </w:rPr>
              <w:t>M7—23</w:t>
            </w:r>
          </w:p>
        </w:tc>
        <w:tc>
          <w:tcPr>
            <w:tcW w:w="3195" w:type="dxa"/>
            <w:tcBorders>
              <w:top w:val="nil"/>
              <w:left w:val="nil"/>
              <w:bottom w:val="single" w:sz="4" w:space="0" w:color="auto"/>
              <w:right w:val="single" w:sz="4" w:space="0" w:color="auto"/>
            </w:tcBorders>
            <w:shd w:val="clear" w:color="auto" w:fill="C6EFCE"/>
            <w:noWrap/>
            <w:vAlign w:val="center"/>
          </w:tcPr>
          <w:p w14:paraId="4E58B8FF" w14:textId="77777777" w:rsidR="006054AA" w:rsidRDefault="001F7667">
            <w:pPr>
              <w:pStyle w:val="P68B1DB1-Normal12"/>
              <w:rPr>
                <w:noProof/>
              </w:rPr>
            </w:pPr>
            <w:r>
              <w:rPr>
                <w:noProof/>
              </w:rPr>
              <w:t>Инвестиция 7: Интелигентна национална преносна мрежа</w:t>
            </w:r>
          </w:p>
        </w:tc>
        <w:tc>
          <w:tcPr>
            <w:tcW w:w="1380" w:type="dxa"/>
            <w:tcBorders>
              <w:top w:val="nil"/>
              <w:left w:val="nil"/>
              <w:bottom w:val="single" w:sz="4" w:space="0" w:color="auto"/>
              <w:right w:val="single" w:sz="4" w:space="0" w:color="auto"/>
            </w:tcBorders>
            <w:shd w:val="clear" w:color="auto" w:fill="C6EFCE"/>
            <w:noWrap/>
            <w:vAlign w:val="center"/>
          </w:tcPr>
          <w:p w14:paraId="3CBDE1F5"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5B924D3E" w14:textId="77777777" w:rsidR="006054AA" w:rsidRDefault="001F7667">
            <w:pPr>
              <w:pStyle w:val="P68B1DB1-Normal12"/>
              <w:rPr>
                <w:noProof/>
              </w:rPr>
            </w:pPr>
            <w:r>
              <w:rPr>
                <w:noProof/>
              </w:rPr>
              <w:t>Нова система за управление и контрол на мрежата</w:t>
            </w:r>
          </w:p>
        </w:tc>
      </w:tr>
      <w:tr w:rsidR="006054AA" w14:paraId="34EE21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0D458" w14:textId="77777777" w:rsidR="006054AA" w:rsidRDefault="001F7667">
            <w:pPr>
              <w:pStyle w:val="P68B1DB1-Normal12"/>
              <w:jc w:val="center"/>
              <w:rPr>
                <w:noProof/>
              </w:rPr>
            </w:pPr>
            <w:r>
              <w:rPr>
                <w:noProof/>
              </w:rPr>
              <w:t>M7—24</w:t>
            </w:r>
          </w:p>
        </w:tc>
        <w:tc>
          <w:tcPr>
            <w:tcW w:w="3195" w:type="dxa"/>
            <w:tcBorders>
              <w:top w:val="nil"/>
              <w:left w:val="nil"/>
              <w:bottom w:val="single" w:sz="4" w:space="0" w:color="auto"/>
              <w:right w:val="single" w:sz="4" w:space="0" w:color="auto"/>
            </w:tcBorders>
            <w:shd w:val="clear" w:color="auto" w:fill="C6EFCE"/>
            <w:noWrap/>
            <w:vAlign w:val="center"/>
          </w:tcPr>
          <w:p w14:paraId="1B7EFF33" w14:textId="77777777" w:rsidR="006054AA" w:rsidRDefault="001F7667">
            <w:pPr>
              <w:pStyle w:val="P68B1DB1-Normal12"/>
              <w:rPr>
                <w:noProof/>
              </w:rPr>
            </w:pPr>
            <w:r>
              <w:rPr>
                <w:noProof/>
              </w:rPr>
              <w:t>Инвестиция 7: Интелигентна национална преносна мрежа</w:t>
            </w:r>
          </w:p>
        </w:tc>
        <w:tc>
          <w:tcPr>
            <w:tcW w:w="1380" w:type="dxa"/>
            <w:tcBorders>
              <w:top w:val="nil"/>
              <w:left w:val="nil"/>
              <w:bottom w:val="single" w:sz="4" w:space="0" w:color="auto"/>
              <w:right w:val="single" w:sz="4" w:space="0" w:color="auto"/>
            </w:tcBorders>
            <w:shd w:val="clear" w:color="auto" w:fill="C6EFCE"/>
            <w:noWrap/>
            <w:vAlign w:val="center"/>
          </w:tcPr>
          <w:p w14:paraId="72110916" w14:textId="77777777" w:rsidR="006054AA" w:rsidRDefault="001F7667">
            <w:pPr>
              <w:pStyle w:val="P68B1DB1-Normal12"/>
              <w:jc w:val="center"/>
              <w:rPr>
                <w:noProof/>
              </w:rPr>
            </w:pPr>
            <w:r>
              <w:rPr>
                <w:noProof/>
              </w:rPr>
              <w:t xml:space="preserve">Целеви </w:t>
            </w:r>
          </w:p>
        </w:tc>
        <w:tc>
          <w:tcPr>
            <w:tcW w:w="4035" w:type="dxa"/>
            <w:tcBorders>
              <w:top w:val="nil"/>
              <w:left w:val="nil"/>
              <w:bottom w:val="single" w:sz="4" w:space="0" w:color="auto"/>
              <w:right w:val="single" w:sz="4" w:space="0" w:color="auto"/>
            </w:tcBorders>
            <w:shd w:val="clear" w:color="auto" w:fill="C6EFCE"/>
            <w:noWrap/>
            <w:vAlign w:val="center"/>
          </w:tcPr>
          <w:p w14:paraId="12968EBA" w14:textId="77777777" w:rsidR="006054AA" w:rsidRDefault="001F7667">
            <w:pPr>
              <w:pStyle w:val="P68B1DB1-Normal12"/>
              <w:rPr>
                <w:noProof/>
              </w:rPr>
            </w:pPr>
            <w:r>
              <w:rPr>
                <w:noProof/>
              </w:rPr>
              <w:t>Промишлен интернет на нещата</w:t>
            </w:r>
          </w:p>
        </w:tc>
      </w:tr>
      <w:tr w:rsidR="006054AA" w14:paraId="4C9996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E907C" w14:textId="77777777" w:rsidR="006054AA" w:rsidRDefault="001F7667">
            <w:pPr>
              <w:pStyle w:val="P68B1DB1-Normal12"/>
              <w:jc w:val="center"/>
              <w:rPr>
                <w:noProof/>
              </w:rPr>
            </w:pPr>
            <w:r>
              <w:rPr>
                <w:noProof/>
              </w:rPr>
              <w:t>M7—27</w:t>
            </w:r>
          </w:p>
        </w:tc>
        <w:tc>
          <w:tcPr>
            <w:tcW w:w="3195" w:type="dxa"/>
            <w:tcBorders>
              <w:top w:val="nil"/>
              <w:left w:val="nil"/>
              <w:bottom w:val="single" w:sz="4" w:space="0" w:color="auto"/>
              <w:right w:val="single" w:sz="4" w:space="0" w:color="auto"/>
            </w:tcBorders>
            <w:shd w:val="clear" w:color="auto" w:fill="C6EFCE"/>
            <w:noWrap/>
            <w:vAlign w:val="center"/>
          </w:tcPr>
          <w:p w14:paraId="48799EAB" w14:textId="77777777" w:rsidR="006054AA" w:rsidRDefault="001F7667">
            <w:pPr>
              <w:pStyle w:val="P68B1DB1-Normal12"/>
              <w:rPr>
                <w:noProof/>
              </w:rPr>
            </w:pPr>
            <w:r>
              <w:rPr>
                <w:noProof/>
              </w:rPr>
              <w:t>Инвестиция 10: Устойчиви, кръгови и сигурни доставки на суровини от критично значение</w:t>
            </w:r>
          </w:p>
        </w:tc>
        <w:tc>
          <w:tcPr>
            <w:tcW w:w="1380" w:type="dxa"/>
            <w:tcBorders>
              <w:top w:val="nil"/>
              <w:left w:val="nil"/>
              <w:bottom w:val="single" w:sz="4" w:space="0" w:color="auto"/>
              <w:right w:val="single" w:sz="4" w:space="0" w:color="auto"/>
            </w:tcBorders>
            <w:shd w:val="clear" w:color="auto" w:fill="C6EFCE"/>
            <w:noWrap/>
            <w:vAlign w:val="center"/>
          </w:tcPr>
          <w:p w14:paraId="7CC8D3BE" w14:textId="77777777" w:rsidR="006054AA" w:rsidRDefault="001F7667">
            <w:pPr>
              <w:pStyle w:val="P68B1DB1-Normal12"/>
              <w:jc w:val="center"/>
              <w:rPr>
                <w:noProof/>
              </w:rPr>
            </w:pPr>
            <w:r>
              <w:rPr>
                <w:noProof/>
              </w:rPr>
              <w:t xml:space="preserve">Целеви </w:t>
            </w:r>
          </w:p>
        </w:tc>
        <w:tc>
          <w:tcPr>
            <w:tcW w:w="4035" w:type="dxa"/>
            <w:tcBorders>
              <w:top w:val="nil"/>
              <w:left w:val="nil"/>
              <w:bottom w:val="single" w:sz="4" w:space="0" w:color="auto"/>
              <w:right w:val="single" w:sz="4" w:space="0" w:color="auto"/>
            </w:tcBorders>
            <w:shd w:val="clear" w:color="auto" w:fill="C6EFCE"/>
            <w:noWrap/>
            <w:vAlign w:val="center"/>
          </w:tcPr>
          <w:p w14:paraId="3F70271F" w14:textId="77777777" w:rsidR="006054AA" w:rsidRDefault="001F7667">
            <w:pPr>
              <w:pStyle w:val="P68B1DB1-Normal12"/>
              <w:rPr>
                <w:noProof/>
              </w:rPr>
            </w:pPr>
            <w:r>
              <w:rPr>
                <w:noProof/>
              </w:rPr>
              <w:t>Приключване на проекти за научноизследователска и развойна дейност в областта на екопроектирането и градското минно дело за устойчиви, кръгови и сигурни доставки на суровини от изключителна важност</w:t>
            </w:r>
          </w:p>
        </w:tc>
      </w:tr>
      <w:tr w:rsidR="006054AA" w14:paraId="71F29F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F9A3A" w14:textId="77777777" w:rsidR="006054AA" w:rsidRDefault="001F7667">
            <w:pPr>
              <w:pStyle w:val="P68B1DB1-Normal12"/>
              <w:jc w:val="center"/>
              <w:rPr>
                <w:noProof/>
              </w:rPr>
            </w:pPr>
            <w:r>
              <w:rPr>
                <w:noProof/>
              </w:rPr>
              <w:t>M7—28</w:t>
            </w:r>
          </w:p>
        </w:tc>
        <w:tc>
          <w:tcPr>
            <w:tcW w:w="3195" w:type="dxa"/>
            <w:tcBorders>
              <w:top w:val="nil"/>
              <w:left w:val="nil"/>
              <w:bottom w:val="single" w:sz="4" w:space="0" w:color="auto"/>
              <w:right w:val="single" w:sz="4" w:space="0" w:color="auto"/>
            </w:tcBorders>
            <w:shd w:val="clear" w:color="auto" w:fill="C6EFCE"/>
            <w:noWrap/>
            <w:vAlign w:val="center"/>
          </w:tcPr>
          <w:p w14:paraId="120C6948" w14:textId="77777777" w:rsidR="006054AA" w:rsidRDefault="001F7667">
            <w:pPr>
              <w:pStyle w:val="P68B1DB1-Normal12"/>
              <w:rPr>
                <w:noProof/>
              </w:rPr>
            </w:pPr>
            <w:r>
              <w:rPr>
                <w:noProof/>
              </w:rPr>
              <w:t>Инвестиция 10: Устойчиви, кръгови и сигурни доставки на суровини от критично значение</w:t>
            </w:r>
          </w:p>
        </w:tc>
        <w:tc>
          <w:tcPr>
            <w:tcW w:w="1380" w:type="dxa"/>
            <w:tcBorders>
              <w:top w:val="nil"/>
              <w:left w:val="nil"/>
              <w:bottom w:val="single" w:sz="4" w:space="0" w:color="auto"/>
              <w:right w:val="single" w:sz="4" w:space="0" w:color="auto"/>
            </w:tcBorders>
            <w:shd w:val="clear" w:color="auto" w:fill="C6EFCE"/>
            <w:noWrap/>
            <w:vAlign w:val="center"/>
          </w:tcPr>
          <w:p w14:paraId="012FAA34"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1CA14577" w14:textId="77777777" w:rsidR="006054AA" w:rsidRDefault="001F7667">
            <w:pPr>
              <w:pStyle w:val="P68B1DB1-Normal12"/>
              <w:rPr>
                <w:noProof/>
              </w:rPr>
            </w:pPr>
            <w:r>
              <w:rPr>
                <w:noProof/>
              </w:rPr>
              <w:t>Оборудване на лаборатории, принадлежащи към технологичния център за градско минно дело и екодизайн</w:t>
            </w:r>
          </w:p>
        </w:tc>
      </w:tr>
      <w:tr w:rsidR="006054AA" w14:paraId="449B57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BA8C0" w14:textId="77777777" w:rsidR="006054AA" w:rsidRDefault="001F7667">
            <w:pPr>
              <w:pStyle w:val="P68B1DB1-Normal12"/>
              <w:jc w:val="center"/>
              <w:rPr>
                <w:noProof/>
              </w:rPr>
            </w:pPr>
            <w:r>
              <w:rPr>
                <w:noProof/>
              </w:rPr>
              <w:t>M7—29</w:t>
            </w:r>
          </w:p>
        </w:tc>
        <w:tc>
          <w:tcPr>
            <w:tcW w:w="3195" w:type="dxa"/>
            <w:tcBorders>
              <w:top w:val="nil"/>
              <w:left w:val="nil"/>
              <w:bottom w:val="single" w:sz="4" w:space="0" w:color="auto"/>
              <w:right w:val="single" w:sz="4" w:space="0" w:color="auto"/>
            </w:tcBorders>
            <w:shd w:val="clear" w:color="auto" w:fill="C6EFCE"/>
            <w:noWrap/>
            <w:vAlign w:val="center"/>
          </w:tcPr>
          <w:p w14:paraId="3715777C" w14:textId="77777777" w:rsidR="006054AA" w:rsidRDefault="001F7667">
            <w:pPr>
              <w:pStyle w:val="P68B1DB1-Normal12"/>
              <w:rPr>
                <w:noProof/>
              </w:rPr>
            </w:pPr>
            <w:r>
              <w:rPr>
                <w:noProof/>
              </w:rPr>
              <w:t>Инвестиция 9: Мярка за разрастване: Предоставяне на техническа помощ и укрепване на изграждането на капацитет за изпълнението на италианския план за възстановяване и устойчивост</w:t>
            </w:r>
          </w:p>
        </w:tc>
        <w:tc>
          <w:tcPr>
            <w:tcW w:w="1380" w:type="dxa"/>
            <w:tcBorders>
              <w:top w:val="nil"/>
              <w:left w:val="nil"/>
              <w:bottom w:val="single" w:sz="4" w:space="0" w:color="auto"/>
              <w:right w:val="single" w:sz="4" w:space="0" w:color="auto"/>
            </w:tcBorders>
            <w:shd w:val="clear" w:color="auto" w:fill="C6EFCE"/>
            <w:noWrap/>
            <w:vAlign w:val="center"/>
          </w:tcPr>
          <w:p w14:paraId="4D95B08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2A30FA1" w14:textId="77777777" w:rsidR="006054AA" w:rsidRDefault="001F7667">
            <w:pPr>
              <w:pStyle w:val="P68B1DB1-Normal12"/>
              <w:rPr>
                <w:noProof/>
              </w:rPr>
            </w:pPr>
            <w:r>
              <w:rPr>
                <w:noProof/>
              </w:rPr>
              <w:t>Образованието и обучението;</w:t>
            </w:r>
          </w:p>
        </w:tc>
      </w:tr>
      <w:tr w:rsidR="006054AA" w14:paraId="402136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3C716" w14:textId="77777777" w:rsidR="006054AA" w:rsidRDefault="001F7667">
            <w:pPr>
              <w:pStyle w:val="P68B1DB1-Normal12"/>
              <w:jc w:val="center"/>
              <w:rPr>
                <w:noProof/>
              </w:rPr>
            </w:pPr>
            <w:r>
              <w:rPr>
                <w:noProof/>
              </w:rPr>
              <w:t>M7—31</w:t>
            </w:r>
          </w:p>
        </w:tc>
        <w:tc>
          <w:tcPr>
            <w:tcW w:w="3195" w:type="dxa"/>
            <w:tcBorders>
              <w:top w:val="nil"/>
              <w:left w:val="nil"/>
              <w:bottom w:val="single" w:sz="4" w:space="0" w:color="auto"/>
              <w:right w:val="single" w:sz="4" w:space="0" w:color="auto"/>
            </w:tcBorders>
            <w:shd w:val="clear" w:color="auto" w:fill="C6EFCE"/>
            <w:noWrap/>
            <w:vAlign w:val="center"/>
          </w:tcPr>
          <w:p w14:paraId="72A94CDD" w14:textId="77777777" w:rsidR="006054AA" w:rsidRDefault="001F7667">
            <w:pPr>
              <w:pStyle w:val="P68B1DB1-Normal12"/>
              <w:rPr>
                <w:noProof/>
              </w:rPr>
            </w:pPr>
            <w:r>
              <w:rPr>
                <w:noProof/>
              </w:rPr>
              <w:t>Инвестиция 11:  Укрепване на регионалния железопътен парк от обществен транспорт с влакове с нулеви емисии и универсална услуга</w:t>
            </w:r>
          </w:p>
        </w:tc>
        <w:tc>
          <w:tcPr>
            <w:tcW w:w="1380" w:type="dxa"/>
            <w:tcBorders>
              <w:top w:val="nil"/>
              <w:left w:val="nil"/>
              <w:bottom w:val="single" w:sz="4" w:space="0" w:color="auto"/>
              <w:right w:val="single" w:sz="4" w:space="0" w:color="auto"/>
            </w:tcBorders>
            <w:shd w:val="clear" w:color="auto" w:fill="C6EFCE"/>
            <w:noWrap/>
            <w:vAlign w:val="center"/>
          </w:tcPr>
          <w:p w14:paraId="63F6AB20"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090FD9BF" w14:textId="77777777" w:rsidR="006054AA" w:rsidRDefault="001F7667">
            <w:pPr>
              <w:pStyle w:val="P68B1DB1-Normal12"/>
              <w:rPr>
                <w:noProof/>
              </w:rPr>
            </w:pPr>
            <w:r>
              <w:rPr>
                <w:noProof/>
              </w:rPr>
              <w:t xml:space="preserve">Брой влакове с нулеви емисии и брой на превозите за универсалната услуга </w:t>
            </w:r>
          </w:p>
        </w:tc>
      </w:tr>
      <w:tr w:rsidR="006054AA" w14:paraId="4ED8F3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282241" w14:textId="77777777" w:rsidR="006054AA" w:rsidRDefault="001F7667">
            <w:pPr>
              <w:pStyle w:val="P68B1DB1-Normal12"/>
              <w:jc w:val="center"/>
              <w:rPr>
                <w:noProof/>
              </w:rPr>
            </w:pPr>
            <w:r>
              <w:rPr>
                <w:noProof/>
              </w:rPr>
              <w:t>M7—34</w:t>
            </w:r>
          </w:p>
        </w:tc>
        <w:tc>
          <w:tcPr>
            <w:tcW w:w="3195" w:type="dxa"/>
            <w:tcBorders>
              <w:top w:val="nil"/>
              <w:left w:val="nil"/>
              <w:bottom w:val="single" w:sz="4" w:space="0" w:color="auto"/>
              <w:right w:val="single" w:sz="4" w:space="0" w:color="auto"/>
            </w:tcBorders>
            <w:shd w:val="clear" w:color="auto" w:fill="C6EFCE"/>
            <w:noWrap/>
            <w:vAlign w:val="center"/>
          </w:tcPr>
          <w:p w14:paraId="7FB70382" w14:textId="77777777" w:rsidR="006054AA" w:rsidRDefault="001F7667">
            <w:pPr>
              <w:pStyle w:val="P68B1DB1-Normal12"/>
              <w:rPr>
                <w:noProof/>
              </w:rPr>
            </w:pPr>
            <w:r>
              <w:rPr>
                <w:noProof/>
              </w:rPr>
              <w:t>Схема за отпускане на безвъзмездни средства за инвестиции 12 за развитие на международно и промишлено лидерство и лидерство в областта на научноизследователската и развойната дейност в електрическите автобуси</w:t>
            </w:r>
          </w:p>
        </w:tc>
        <w:tc>
          <w:tcPr>
            <w:tcW w:w="1380" w:type="dxa"/>
            <w:tcBorders>
              <w:top w:val="nil"/>
              <w:left w:val="nil"/>
              <w:bottom w:val="single" w:sz="4" w:space="0" w:color="auto"/>
              <w:right w:val="single" w:sz="4" w:space="0" w:color="auto"/>
            </w:tcBorders>
            <w:shd w:val="clear" w:color="auto" w:fill="C6EFCE"/>
            <w:noWrap/>
            <w:vAlign w:val="center"/>
          </w:tcPr>
          <w:p w14:paraId="2B0E81A6" w14:textId="77777777" w:rsidR="006054AA" w:rsidRDefault="001F7667">
            <w:pPr>
              <w:pStyle w:val="P68B1DB1-Normal12"/>
              <w:jc w:val="center"/>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669074AD" w14:textId="77777777" w:rsidR="006054AA" w:rsidRDefault="001F7667">
            <w:pPr>
              <w:pStyle w:val="P68B1DB1-Normal12"/>
              <w:rPr>
                <w:noProof/>
              </w:rPr>
            </w:pPr>
            <w:r>
              <w:rPr>
                <w:noProof/>
              </w:rPr>
              <w:t>Министерството е приключило инвестицията</w:t>
            </w:r>
          </w:p>
        </w:tc>
      </w:tr>
      <w:tr w:rsidR="006054AA" w14:paraId="03AF9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64437" w14:textId="77777777" w:rsidR="006054AA" w:rsidRDefault="001F7667">
            <w:pPr>
              <w:pStyle w:val="P68B1DB1-Normal12"/>
              <w:jc w:val="center"/>
              <w:rPr>
                <w:noProof/>
              </w:rPr>
            </w:pPr>
            <w:r>
              <w:rPr>
                <w:noProof/>
              </w:rPr>
              <w:t>M1C2—14ter</w:t>
            </w:r>
          </w:p>
        </w:tc>
        <w:tc>
          <w:tcPr>
            <w:tcW w:w="3195" w:type="dxa"/>
            <w:tcBorders>
              <w:top w:val="nil"/>
              <w:left w:val="nil"/>
              <w:bottom w:val="single" w:sz="4" w:space="0" w:color="auto"/>
              <w:right w:val="single" w:sz="4" w:space="0" w:color="auto"/>
            </w:tcBorders>
            <w:shd w:val="clear" w:color="auto" w:fill="C6EFCE"/>
            <w:noWrap/>
            <w:vAlign w:val="center"/>
          </w:tcPr>
          <w:p w14:paraId="2F73FA0D" w14:textId="77777777" w:rsidR="006054AA" w:rsidRDefault="001F7667">
            <w:pPr>
              <w:pStyle w:val="P68B1DB1-Normal12"/>
              <w:jc w:val="center"/>
              <w:rPr>
                <w:noProof/>
              </w:rPr>
            </w:pPr>
            <w:r>
              <w:rPr>
                <w:noProof/>
              </w:rPr>
              <w:t>Реформа 3: рационализиране и опростяване на стимулите за предприятията.</w:t>
            </w:r>
          </w:p>
        </w:tc>
        <w:tc>
          <w:tcPr>
            <w:tcW w:w="1380" w:type="dxa"/>
            <w:tcBorders>
              <w:top w:val="nil"/>
              <w:left w:val="nil"/>
              <w:bottom w:val="single" w:sz="4" w:space="0" w:color="auto"/>
              <w:right w:val="single" w:sz="4" w:space="0" w:color="auto"/>
            </w:tcBorders>
            <w:shd w:val="clear" w:color="auto" w:fill="C6EFCE"/>
            <w:noWrap/>
            <w:vAlign w:val="center"/>
          </w:tcPr>
          <w:p w14:paraId="0F4C992C" w14:textId="77777777" w:rsidR="006054AA" w:rsidRDefault="001F7667">
            <w:pPr>
              <w:pStyle w:val="P68B1DB1-Normal12"/>
              <w:jc w:val="center"/>
              <w:rPr>
                <w:noProof/>
              </w:rPr>
            </w:pPr>
            <w:r>
              <w:rPr>
                <w:noProof/>
              </w:rPr>
              <w:t xml:space="preserve">Ключов етап </w:t>
            </w:r>
          </w:p>
        </w:tc>
        <w:tc>
          <w:tcPr>
            <w:tcW w:w="4035" w:type="dxa"/>
            <w:tcBorders>
              <w:top w:val="nil"/>
              <w:left w:val="nil"/>
              <w:bottom w:val="single" w:sz="4" w:space="0" w:color="auto"/>
              <w:right w:val="single" w:sz="4" w:space="0" w:color="auto"/>
            </w:tcBorders>
            <w:shd w:val="clear" w:color="auto" w:fill="C6EFCE"/>
            <w:noWrap/>
            <w:vAlign w:val="center"/>
          </w:tcPr>
          <w:p w14:paraId="089CD54D" w14:textId="77777777" w:rsidR="006054AA" w:rsidRDefault="001F7667">
            <w:pPr>
              <w:pStyle w:val="P68B1DB1-Normal12"/>
              <w:rPr>
                <w:noProof/>
              </w:rPr>
            </w:pPr>
            <w:r>
              <w:rPr>
                <w:noProof/>
              </w:rPr>
              <w:t>Влизане в сила на първичното законодателство за рационализиране на стимулите за предприятия</w:t>
            </w:r>
          </w:p>
        </w:tc>
      </w:tr>
      <w:tr w:rsidR="006054AA" w14:paraId="7F31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C645D1" w14:textId="77777777" w:rsidR="006054AA" w:rsidRDefault="001F7667">
            <w:pPr>
              <w:pStyle w:val="P68B1DB1-Normal12"/>
              <w:jc w:val="center"/>
              <w:rPr>
                <w:noProof/>
              </w:rPr>
            </w:pPr>
            <w:r>
              <w:rPr>
                <w:noProof/>
              </w:rPr>
              <w:t>M4C1—15 ter</w:t>
            </w:r>
          </w:p>
        </w:tc>
        <w:tc>
          <w:tcPr>
            <w:tcW w:w="3195" w:type="dxa"/>
            <w:tcBorders>
              <w:top w:val="nil"/>
              <w:left w:val="nil"/>
              <w:bottom w:val="single" w:sz="4" w:space="0" w:color="auto"/>
              <w:right w:val="single" w:sz="4" w:space="0" w:color="auto"/>
            </w:tcBorders>
            <w:shd w:val="clear" w:color="auto" w:fill="C6EFCE"/>
            <w:noWrap/>
            <w:vAlign w:val="center"/>
          </w:tcPr>
          <w:p w14:paraId="2E711FB2" w14:textId="77777777" w:rsidR="006054AA" w:rsidRDefault="001F7667">
            <w:pPr>
              <w:pStyle w:val="P68B1DB1-Normal12"/>
              <w:jc w:val="center"/>
              <w:rPr>
                <w:noProof/>
              </w:rPr>
            </w:pPr>
            <w:r>
              <w:rPr>
                <w:noProof/>
              </w:rPr>
              <w:t>Реформа 2.1: Набиране на учители</w:t>
            </w:r>
          </w:p>
        </w:tc>
        <w:tc>
          <w:tcPr>
            <w:tcW w:w="1380" w:type="dxa"/>
            <w:tcBorders>
              <w:top w:val="nil"/>
              <w:left w:val="nil"/>
              <w:bottom w:val="single" w:sz="4" w:space="0" w:color="auto"/>
              <w:right w:val="single" w:sz="4" w:space="0" w:color="auto"/>
            </w:tcBorders>
            <w:shd w:val="clear" w:color="auto" w:fill="C6EFCE"/>
            <w:noWrap/>
            <w:vAlign w:val="center"/>
          </w:tcPr>
          <w:p w14:paraId="44D9AF0E" w14:textId="77777777" w:rsidR="006054AA" w:rsidRDefault="001F7667">
            <w:pPr>
              <w:pStyle w:val="P68B1DB1-Normal12"/>
              <w:jc w:val="center"/>
              <w:rPr>
                <w:noProof/>
              </w:rPr>
            </w:pPr>
            <w:r>
              <w:rPr>
                <w:noProof/>
              </w:rPr>
              <w:t>Целеви</w:t>
            </w:r>
          </w:p>
        </w:tc>
        <w:tc>
          <w:tcPr>
            <w:tcW w:w="4035" w:type="dxa"/>
            <w:tcBorders>
              <w:top w:val="nil"/>
              <w:left w:val="nil"/>
              <w:bottom w:val="single" w:sz="4" w:space="0" w:color="auto"/>
              <w:right w:val="single" w:sz="4" w:space="0" w:color="auto"/>
            </w:tcBorders>
            <w:shd w:val="clear" w:color="auto" w:fill="C6EFCE"/>
            <w:noWrap/>
            <w:vAlign w:val="center"/>
          </w:tcPr>
          <w:p w14:paraId="6E1D9030" w14:textId="77777777" w:rsidR="006054AA" w:rsidRDefault="001F7667">
            <w:pPr>
              <w:pStyle w:val="P68B1DB1-Normal12"/>
              <w:rPr>
                <w:noProof/>
              </w:rPr>
            </w:pPr>
            <w:r>
              <w:rPr>
                <w:noProof/>
              </w:rPr>
              <w:t>Кандидатите, успешно издържали публичния конкурс, за да станат учители след реформираната система за набиране на персонал.</w:t>
            </w:r>
          </w:p>
        </w:tc>
      </w:tr>
      <w:tr w:rsidR="006054AA" w14:paraId="41AEA91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580E" w14:textId="77777777" w:rsidR="006054AA" w:rsidRDefault="006054AA">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F92CCF4" w14:textId="77777777" w:rsidR="006054AA" w:rsidRDefault="006054AA">
            <w:pPr>
              <w:rPr>
                <w:noProof/>
                <w:color w:val="006100"/>
                <w:sz w:val="20"/>
              </w:rPr>
            </w:pPr>
          </w:p>
        </w:tc>
        <w:tc>
          <w:tcPr>
            <w:tcW w:w="1380" w:type="dxa"/>
            <w:tcBorders>
              <w:top w:val="single" w:sz="4" w:space="0" w:color="auto"/>
              <w:left w:val="nil"/>
              <w:bottom w:val="single" w:sz="4" w:space="0" w:color="auto"/>
              <w:right w:val="single" w:sz="4" w:space="0" w:color="auto"/>
            </w:tcBorders>
            <w:shd w:val="clear" w:color="auto" w:fill="C6EFCE"/>
            <w:noWrap/>
            <w:vAlign w:val="bottom"/>
          </w:tcPr>
          <w:p w14:paraId="4DCD8B80" w14:textId="77777777" w:rsidR="006054AA" w:rsidRDefault="001F7667">
            <w:pPr>
              <w:pStyle w:val="P68B1DB1-Normal12"/>
              <w:rPr>
                <w:noProof/>
              </w:rPr>
            </w:pPr>
            <w:r>
              <w:rPr>
                <w:noProof/>
              </w:rPr>
              <w:t>Размер на вноската</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616D85B0" w14:textId="7E36A48C" w:rsidR="006054AA" w:rsidRDefault="001F7667">
            <w:pPr>
              <w:pStyle w:val="P68B1DB1-Normal46"/>
              <w:rPr>
                <w:noProof/>
              </w:rPr>
            </w:pPr>
            <w:r>
              <w:rPr>
                <w:noProof/>
              </w:rPr>
              <w:t>12</w:t>
            </w:r>
            <w:r>
              <w:rPr>
                <w:noProof/>
              </w:rPr>
              <w:t> </w:t>
            </w:r>
            <w:r>
              <w:rPr>
                <w:noProof/>
              </w:rPr>
              <w:t>836</w:t>
            </w:r>
            <w:r>
              <w:rPr>
                <w:noProof/>
              </w:rPr>
              <w:t> </w:t>
            </w:r>
            <w:r>
              <w:rPr>
                <w:noProof/>
              </w:rPr>
              <w:t>600</w:t>
            </w:r>
            <w:r>
              <w:rPr>
                <w:noProof/>
              </w:rPr>
              <w:t> </w:t>
            </w:r>
            <w:r>
              <w:rPr>
                <w:noProof/>
              </w:rPr>
              <w:t>146</w:t>
            </w:r>
            <w:r>
              <w:rPr>
                <w:noProof/>
              </w:rPr>
              <w:t> </w:t>
            </w:r>
            <w:r>
              <w:rPr>
                <w:noProof/>
              </w:rPr>
              <w:t>EUR</w:t>
            </w:r>
          </w:p>
        </w:tc>
      </w:tr>
    </w:tbl>
    <w:p w14:paraId="2A4840BE" w14:textId="77777777" w:rsidR="006054AA" w:rsidRDefault="006054AA">
      <w:pPr>
        <w:spacing w:before="120" w:after="120"/>
        <w:jc w:val="both"/>
        <w:rPr>
          <w:rFonts w:eastAsia="Calibri"/>
          <w:noProof/>
        </w:rPr>
      </w:pPr>
    </w:p>
    <w:p w14:paraId="1CE5E1DD" w14:textId="2ACF9498" w:rsidR="006054AA" w:rsidRDefault="001F7667">
      <w:pPr>
        <w:pStyle w:val="P68B1DB1-NumPar143"/>
        <w:numPr>
          <w:ilvl w:val="0"/>
          <w:numId w:val="141"/>
        </w:numPr>
        <w:rPr>
          <w:noProof/>
        </w:rPr>
      </w:pPr>
      <w:r>
        <w:rPr>
          <w:noProof/>
        </w:rPr>
        <w:t>Подкрепа под формата на заем</w:t>
      </w:r>
    </w:p>
    <w:p w14:paraId="09EC44B6" w14:textId="78BB40FD" w:rsidR="006054AA" w:rsidRDefault="001F7667">
      <w:pPr>
        <w:pStyle w:val="Text1"/>
        <w:rPr>
          <w:noProof/>
        </w:rPr>
      </w:pPr>
      <w:r>
        <w:rPr>
          <w:noProof/>
        </w:rPr>
        <w:t>Вноските, посочени в член 3, параграф 2, се организират по следния начин:</w:t>
      </w:r>
    </w:p>
    <w:p w14:paraId="29023A3B" w14:textId="78A037B0" w:rsidR="006054AA" w:rsidRDefault="001F7667">
      <w:pPr>
        <w:pStyle w:val="P68B1DB1-Normal44"/>
        <w:numPr>
          <w:ilvl w:val="1"/>
          <w:numId w:val="6"/>
        </w:numPr>
        <w:spacing w:before="120" w:after="120"/>
        <w:jc w:val="both"/>
        <w:rPr>
          <w:noProof/>
        </w:rPr>
      </w:pPr>
      <w:r>
        <w:rPr>
          <w:noProof/>
        </w:rPr>
        <w:t>Първа вноска (подкрепа под формата на заем):</w:t>
      </w:r>
    </w:p>
    <w:tbl>
      <w:tblPr>
        <w:tblW w:w="10038" w:type="dxa"/>
        <w:tblInd w:w="113" w:type="dxa"/>
        <w:tblLook w:val="04A0" w:firstRow="1" w:lastRow="0" w:firstColumn="1" w:lastColumn="0" w:noHBand="0" w:noVBand="1"/>
      </w:tblPr>
      <w:tblGrid>
        <w:gridCol w:w="1413"/>
        <w:gridCol w:w="3195"/>
        <w:gridCol w:w="1455"/>
        <w:gridCol w:w="3975"/>
      </w:tblGrid>
      <w:tr w:rsidR="006054AA" w14:paraId="5526EC6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12D14A" w14:textId="77777777" w:rsidR="006054AA" w:rsidRDefault="001F7667">
            <w:pPr>
              <w:pStyle w:val="P68B1DB1-Normal45"/>
              <w:jc w:val="center"/>
              <w:rPr>
                <w:noProof/>
              </w:rPr>
            </w:pPr>
            <w:r>
              <w:rPr>
                <w:noProof/>
              </w:rPr>
              <w:t>Пореден номер</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F3C1B2" w14:textId="77777777" w:rsidR="006054AA" w:rsidRDefault="001F7667">
            <w:pPr>
              <w:pStyle w:val="P68B1DB1-Normal45"/>
              <w:jc w:val="center"/>
              <w:rPr>
                <w:noProof/>
              </w:rPr>
            </w:pPr>
            <w:r>
              <w:rPr>
                <w:noProof/>
              </w:rPr>
              <w:t>Свързана мярка (реформа или инвестиции)</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5AC440" w14:textId="77777777" w:rsidR="006054AA" w:rsidRDefault="001F7667">
            <w:pPr>
              <w:pStyle w:val="P68B1DB1-Normal45"/>
              <w:jc w:val="center"/>
              <w:rPr>
                <w:noProof/>
              </w:rPr>
            </w:pPr>
            <w:r>
              <w:rPr>
                <w:noProof/>
              </w:rPr>
              <w:t>Ключов етап/Цел</w:t>
            </w:r>
          </w:p>
        </w:tc>
        <w:tc>
          <w:tcPr>
            <w:tcW w:w="39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6278506" w14:textId="77777777" w:rsidR="006054AA" w:rsidRDefault="001F7667">
            <w:pPr>
              <w:pStyle w:val="P68B1DB1-Normal45"/>
              <w:jc w:val="center"/>
              <w:rPr>
                <w:noProof/>
              </w:rPr>
            </w:pPr>
            <w:r>
              <w:rPr>
                <w:noProof/>
              </w:rPr>
              <w:t>Име</w:t>
            </w:r>
          </w:p>
        </w:tc>
      </w:tr>
      <w:tr w:rsidR="006054AA" w14:paraId="6E16958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471DBA" w14:textId="77777777" w:rsidR="006054AA" w:rsidRDefault="006054AA">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04C5644" w14:textId="77777777" w:rsidR="006054AA" w:rsidRDefault="006054AA">
            <w:pPr>
              <w:rPr>
                <w:b/>
                <w:noProof/>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7B96458B" w14:textId="77777777" w:rsidR="006054AA" w:rsidRDefault="006054AA">
            <w:pPr>
              <w:rPr>
                <w:b/>
                <w:noProof/>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4EF6D357" w14:textId="77777777" w:rsidR="006054AA" w:rsidRDefault="006054AA">
            <w:pPr>
              <w:rPr>
                <w:b/>
                <w:noProof/>
              </w:rPr>
            </w:pPr>
          </w:p>
        </w:tc>
      </w:tr>
      <w:tr w:rsidR="006054AA" w14:paraId="315F912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375F1" w14:textId="77777777" w:rsidR="006054AA" w:rsidRDefault="001F7667">
            <w:pPr>
              <w:pStyle w:val="P68B1DB1-Normal12"/>
              <w:rPr>
                <w:noProof/>
              </w:rPr>
            </w:pPr>
            <w:r>
              <w:rPr>
                <w:noProof/>
              </w:rPr>
              <w:t>M4C2—10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F80A25A" w14:textId="77777777" w:rsidR="006054AA" w:rsidRDefault="001F7667">
            <w:pPr>
              <w:pStyle w:val="P68B1DB1-Normal12"/>
              <w:rPr>
                <w:noProof/>
              </w:rPr>
            </w:pPr>
            <w:r>
              <w:rPr>
                <w:noProof/>
              </w:rPr>
              <w:t>Инвестиция 2.1: ВПОИ</w:t>
            </w:r>
          </w:p>
        </w:tc>
        <w:tc>
          <w:tcPr>
            <w:tcW w:w="1455" w:type="dxa"/>
            <w:tcBorders>
              <w:top w:val="single" w:sz="4" w:space="0" w:color="auto"/>
              <w:left w:val="nil"/>
              <w:bottom w:val="single" w:sz="4" w:space="0" w:color="auto"/>
              <w:right w:val="single" w:sz="4" w:space="0" w:color="auto"/>
            </w:tcBorders>
            <w:shd w:val="clear" w:color="auto" w:fill="C6EFCE"/>
            <w:noWrap/>
            <w:vAlign w:val="center"/>
          </w:tcPr>
          <w:p w14:paraId="74E11DA6" w14:textId="77777777" w:rsidR="006054AA" w:rsidRDefault="001F7667">
            <w:pPr>
              <w:pStyle w:val="P68B1DB1-Normal12"/>
              <w:rPr>
                <w:noProof/>
              </w:rPr>
            </w:pPr>
            <w:r>
              <w:rPr>
                <w:noProof/>
              </w:rPr>
              <w:t>Ключов етап</w:t>
            </w:r>
          </w:p>
        </w:tc>
        <w:tc>
          <w:tcPr>
            <w:tcW w:w="3975" w:type="dxa"/>
            <w:tcBorders>
              <w:top w:val="single" w:sz="4" w:space="0" w:color="auto"/>
              <w:left w:val="nil"/>
              <w:bottom w:val="single" w:sz="4" w:space="0" w:color="auto"/>
              <w:right w:val="single" w:sz="4" w:space="0" w:color="auto"/>
            </w:tcBorders>
            <w:shd w:val="clear" w:color="auto" w:fill="C6EFCE"/>
            <w:noWrap/>
            <w:vAlign w:val="center"/>
          </w:tcPr>
          <w:p w14:paraId="7B3B6A07" w14:textId="77777777" w:rsidR="006054AA" w:rsidRDefault="001F7667">
            <w:pPr>
              <w:pStyle w:val="P68B1DB1-Normal12"/>
              <w:jc w:val="center"/>
              <w:rPr>
                <w:noProof/>
              </w:rPr>
            </w:pPr>
            <w:r>
              <w:rPr>
                <w:noProof/>
              </w:rPr>
              <w:t>Отправяне на покана за изразяване на интерес за идентифициране на националните проекти, включително проекти за микроелектронни ВПОИ</w:t>
            </w:r>
          </w:p>
        </w:tc>
      </w:tr>
      <w:tr w:rsidR="006054AA" w14:paraId="57E294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5002FF" w14:textId="77777777" w:rsidR="006054AA" w:rsidRDefault="001F7667">
            <w:pPr>
              <w:pStyle w:val="P68B1DB1-Normal12"/>
              <w:rPr>
                <w:noProof/>
              </w:rPr>
            </w:pPr>
            <w:r>
              <w:rPr>
                <w:noProof/>
              </w:rPr>
              <w:t>M1C2—26</w:t>
            </w:r>
          </w:p>
        </w:tc>
        <w:tc>
          <w:tcPr>
            <w:tcW w:w="3195" w:type="dxa"/>
            <w:tcBorders>
              <w:top w:val="nil"/>
              <w:left w:val="nil"/>
              <w:bottom w:val="single" w:sz="4" w:space="0" w:color="auto"/>
              <w:right w:val="single" w:sz="4" w:space="0" w:color="auto"/>
            </w:tcBorders>
            <w:shd w:val="clear" w:color="auto" w:fill="C6EFCE"/>
            <w:noWrap/>
            <w:vAlign w:val="center"/>
          </w:tcPr>
          <w:p w14:paraId="2A8FC036" w14:textId="77777777" w:rsidR="006054AA" w:rsidRDefault="001F7667">
            <w:pPr>
              <w:pStyle w:val="P68B1DB1-Normal12"/>
              <w:rPr>
                <w:noProof/>
              </w:rPr>
            </w:pPr>
            <w:r>
              <w:rPr>
                <w:noProof/>
              </w:rPr>
              <w:t>Инвестиция 5.1: Рефинансиране и преустройство на фонд 394/81, управляван от SIMEST</w:t>
            </w:r>
          </w:p>
        </w:tc>
        <w:tc>
          <w:tcPr>
            <w:tcW w:w="1455" w:type="dxa"/>
            <w:tcBorders>
              <w:top w:val="nil"/>
              <w:left w:val="nil"/>
              <w:bottom w:val="single" w:sz="4" w:space="0" w:color="auto"/>
              <w:right w:val="single" w:sz="4" w:space="0" w:color="auto"/>
            </w:tcBorders>
            <w:shd w:val="clear" w:color="auto" w:fill="C6EFCE"/>
            <w:noWrap/>
            <w:vAlign w:val="center"/>
          </w:tcPr>
          <w:p w14:paraId="67CDADB5"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588DEDA4" w14:textId="77777777" w:rsidR="006054AA" w:rsidRDefault="001F7667">
            <w:pPr>
              <w:pStyle w:val="P68B1DB1-Normal12"/>
              <w:jc w:val="center"/>
              <w:rPr>
                <w:noProof/>
              </w:rPr>
            </w:pPr>
            <w:r>
              <w:rPr>
                <w:noProof/>
              </w:rPr>
              <w:t>Влизане в сила на рефинансирането на фонд 394/81 и приемане на инвестиционната политика</w:t>
            </w:r>
          </w:p>
        </w:tc>
      </w:tr>
      <w:tr w:rsidR="006054AA" w14:paraId="260310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5C70C0" w14:textId="77777777" w:rsidR="006054AA" w:rsidRDefault="001F7667">
            <w:pPr>
              <w:pStyle w:val="P68B1DB1-Normal12"/>
              <w:rPr>
                <w:noProof/>
              </w:rPr>
            </w:pPr>
            <w:r>
              <w:rPr>
                <w:noProof/>
              </w:rPr>
              <w:t>M2C1—14</w:t>
            </w:r>
          </w:p>
        </w:tc>
        <w:tc>
          <w:tcPr>
            <w:tcW w:w="3195" w:type="dxa"/>
            <w:tcBorders>
              <w:top w:val="nil"/>
              <w:left w:val="nil"/>
              <w:bottom w:val="single" w:sz="4" w:space="0" w:color="auto"/>
              <w:right w:val="single" w:sz="4" w:space="0" w:color="auto"/>
            </w:tcBorders>
            <w:shd w:val="clear" w:color="auto" w:fill="C6EFCE"/>
            <w:noWrap/>
            <w:vAlign w:val="center"/>
          </w:tcPr>
          <w:p w14:paraId="375E31C5" w14:textId="77777777" w:rsidR="006054AA" w:rsidRDefault="001F7667">
            <w:pPr>
              <w:pStyle w:val="P68B1DB1-Normal12"/>
              <w:rPr>
                <w:noProof/>
              </w:rPr>
            </w:pPr>
            <w:r>
              <w:rPr>
                <w:noProof/>
              </w:rPr>
              <w:t>Инвестиция 1.1 — Въвеждане на нови инсталации за управление на отпадъците и модернизация на съществуващи инсталации; Инвестиция 1.2 — водещи проекти в областта на кръговата икономика</w:t>
            </w:r>
          </w:p>
        </w:tc>
        <w:tc>
          <w:tcPr>
            <w:tcW w:w="1455" w:type="dxa"/>
            <w:tcBorders>
              <w:top w:val="nil"/>
              <w:left w:val="nil"/>
              <w:bottom w:val="single" w:sz="4" w:space="0" w:color="auto"/>
              <w:right w:val="single" w:sz="4" w:space="0" w:color="auto"/>
            </w:tcBorders>
            <w:shd w:val="clear" w:color="auto" w:fill="C6EFCE"/>
            <w:noWrap/>
            <w:vAlign w:val="center"/>
          </w:tcPr>
          <w:p w14:paraId="33A81900"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52D3E4F3" w14:textId="77777777" w:rsidR="006054AA" w:rsidRDefault="001F7667">
            <w:pPr>
              <w:pStyle w:val="P68B1DB1-Normal12"/>
              <w:jc w:val="center"/>
              <w:rPr>
                <w:noProof/>
              </w:rPr>
            </w:pPr>
            <w:r>
              <w:rPr>
                <w:noProof/>
              </w:rPr>
              <w:t>Влизане в сила на министерското постановление.</w:t>
            </w:r>
          </w:p>
        </w:tc>
      </w:tr>
      <w:tr w:rsidR="006054AA" w14:paraId="6793F6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AA351D" w14:textId="77777777" w:rsidR="006054AA" w:rsidRDefault="001F7667">
            <w:pPr>
              <w:pStyle w:val="P68B1DB1-Normal12"/>
              <w:rPr>
                <w:noProof/>
              </w:rPr>
            </w:pPr>
            <w:r>
              <w:rPr>
                <w:noProof/>
              </w:rPr>
              <w:t>M2C4—8</w:t>
            </w:r>
          </w:p>
        </w:tc>
        <w:tc>
          <w:tcPr>
            <w:tcW w:w="3195" w:type="dxa"/>
            <w:tcBorders>
              <w:top w:val="nil"/>
              <w:left w:val="nil"/>
              <w:bottom w:val="single" w:sz="4" w:space="0" w:color="auto"/>
              <w:right w:val="single" w:sz="4" w:space="0" w:color="auto"/>
            </w:tcBorders>
            <w:shd w:val="clear" w:color="auto" w:fill="C6EFCE"/>
            <w:noWrap/>
            <w:vAlign w:val="center"/>
          </w:tcPr>
          <w:p w14:paraId="42C48309" w14:textId="77777777" w:rsidR="006054AA" w:rsidRDefault="001F7667">
            <w:pPr>
              <w:pStyle w:val="P68B1DB1-Normal12"/>
              <w:rPr>
                <w:noProof/>
              </w:rPr>
            </w:pPr>
            <w:r>
              <w:rPr>
                <w:noProof/>
              </w:rPr>
              <w:t>Инвестиция 1.1. Въвеждане на усъвършенствана и интегрирана система за мониторинг и прогнозиране</w:t>
            </w:r>
          </w:p>
        </w:tc>
        <w:tc>
          <w:tcPr>
            <w:tcW w:w="1455" w:type="dxa"/>
            <w:tcBorders>
              <w:top w:val="nil"/>
              <w:left w:val="nil"/>
              <w:bottom w:val="single" w:sz="4" w:space="0" w:color="auto"/>
              <w:right w:val="single" w:sz="4" w:space="0" w:color="auto"/>
            </w:tcBorders>
            <w:shd w:val="clear" w:color="auto" w:fill="C6EFCE"/>
            <w:noWrap/>
            <w:vAlign w:val="center"/>
          </w:tcPr>
          <w:p w14:paraId="07E3C085"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475D7666" w14:textId="77777777" w:rsidR="006054AA" w:rsidRDefault="001F7667">
            <w:pPr>
              <w:pStyle w:val="P68B1DB1-Normal12"/>
              <w:jc w:val="center"/>
              <w:rPr>
                <w:noProof/>
              </w:rPr>
            </w:pPr>
            <w:r>
              <w:rPr>
                <w:noProof/>
              </w:rPr>
              <w:t xml:space="preserve">Оперативен план за усъвършенствана и интегрирана система за наблюдение и прогнозиране с цел идентифициране на хидроложките рискове </w:t>
            </w:r>
          </w:p>
        </w:tc>
      </w:tr>
      <w:tr w:rsidR="006054AA" w14:paraId="4D27EF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71F432" w14:textId="77777777" w:rsidR="006054AA" w:rsidRDefault="001F7667">
            <w:pPr>
              <w:pStyle w:val="P68B1DB1-Normal12"/>
              <w:rPr>
                <w:noProof/>
              </w:rPr>
            </w:pPr>
            <w:r>
              <w:rPr>
                <w:noProof/>
              </w:rPr>
              <w:t>M5C1—17</w:t>
            </w:r>
          </w:p>
        </w:tc>
        <w:tc>
          <w:tcPr>
            <w:tcW w:w="3195" w:type="dxa"/>
            <w:tcBorders>
              <w:top w:val="nil"/>
              <w:left w:val="nil"/>
              <w:bottom w:val="single" w:sz="4" w:space="0" w:color="auto"/>
              <w:right w:val="single" w:sz="4" w:space="0" w:color="auto"/>
            </w:tcBorders>
            <w:shd w:val="clear" w:color="auto" w:fill="C6EFCE"/>
            <w:noWrap/>
            <w:vAlign w:val="center"/>
          </w:tcPr>
          <w:p w14:paraId="58B1E453" w14:textId="77777777" w:rsidR="006054AA" w:rsidRDefault="001F7667">
            <w:pPr>
              <w:pStyle w:val="P68B1DB1-Normal12"/>
              <w:rPr>
                <w:noProof/>
              </w:rPr>
            </w:pPr>
            <w:r>
              <w:rPr>
                <w:noProof/>
              </w:rPr>
              <w:t>Инвестиция 5 — Създаване на женски предприятия</w:t>
            </w:r>
          </w:p>
        </w:tc>
        <w:tc>
          <w:tcPr>
            <w:tcW w:w="1455" w:type="dxa"/>
            <w:tcBorders>
              <w:top w:val="nil"/>
              <w:left w:val="nil"/>
              <w:bottom w:val="single" w:sz="4" w:space="0" w:color="auto"/>
              <w:right w:val="single" w:sz="4" w:space="0" w:color="auto"/>
            </w:tcBorders>
            <w:shd w:val="clear" w:color="auto" w:fill="C6EFCE"/>
            <w:noWrap/>
            <w:vAlign w:val="center"/>
          </w:tcPr>
          <w:p w14:paraId="3B912CE7"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4B747136" w14:textId="77777777" w:rsidR="006054AA" w:rsidRDefault="001F7667">
            <w:pPr>
              <w:pStyle w:val="P68B1DB1-Normal12"/>
              <w:jc w:val="center"/>
              <w:rPr>
                <w:noProof/>
              </w:rPr>
            </w:pPr>
            <w:r>
              <w:rPr>
                <w:noProof/>
              </w:rPr>
              <w:t>Приет е Фондът за подкрепа на предприемачеството сред жените</w:t>
            </w:r>
          </w:p>
        </w:tc>
      </w:tr>
      <w:tr w:rsidR="006054AA" w14:paraId="0B487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1D99EA" w14:textId="77777777" w:rsidR="006054AA" w:rsidRDefault="001F7667">
            <w:pPr>
              <w:pStyle w:val="P68B1DB1-Normal12"/>
              <w:rPr>
                <w:noProof/>
              </w:rPr>
            </w:pPr>
            <w:r>
              <w:rPr>
                <w:noProof/>
              </w:rPr>
              <w:t>M1C2—27</w:t>
            </w:r>
          </w:p>
        </w:tc>
        <w:tc>
          <w:tcPr>
            <w:tcW w:w="3195" w:type="dxa"/>
            <w:tcBorders>
              <w:top w:val="nil"/>
              <w:left w:val="nil"/>
              <w:bottom w:val="single" w:sz="4" w:space="0" w:color="auto"/>
              <w:right w:val="single" w:sz="4" w:space="0" w:color="auto"/>
            </w:tcBorders>
            <w:shd w:val="clear" w:color="auto" w:fill="C6EFCE"/>
            <w:noWrap/>
            <w:vAlign w:val="center"/>
          </w:tcPr>
          <w:p w14:paraId="5AA6677E" w14:textId="77777777" w:rsidR="006054AA" w:rsidRDefault="001F7667">
            <w:pPr>
              <w:pStyle w:val="P68B1DB1-Normal12"/>
              <w:rPr>
                <w:noProof/>
              </w:rPr>
            </w:pPr>
            <w:r>
              <w:rPr>
                <w:noProof/>
              </w:rPr>
              <w:t>Инвестиция 5.1: Рефинансиране и преустройство на фонд 394/81, управляван от SIMEST</w:t>
            </w:r>
          </w:p>
        </w:tc>
        <w:tc>
          <w:tcPr>
            <w:tcW w:w="1455" w:type="dxa"/>
            <w:tcBorders>
              <w:top w:val="nil"/>
              <w:left w:val="nil"/>
              <w:bottom w:val="single" w:sz="4" w:space="0" w:color="auto"/>
              <w:right w:val="single" w:sz="4" w:space="0" w:color="auto"/>
            </w:tcBorders>
            <w:shd w:val="clear" w:color="auto" w:fill="C6EFCE"/>
            <w:noWrap/>
            <w:vAlign w:val="center"/>
          </w:tcPr>
          <w:p w14:paraId="3CDD4389" w14:textId="77777777" w:rsidR="006054AA" w:rsidRDefault="001F7667">
            <w:pPr>
              <w:pStyle w:val="P68B1DB1-Normal12"/>
              <w:rPr>
                <w:noProof/>
              </w:rPr>
            </w:pPr>
            <w:r>
              <w:rPr>
                <w:noProof/>
              </w:rPr>
              <w:t>Целеви</w:t>
            </w:r>
          </w:p>
        </w:tc>
        <w:tc>
          <w:tcPr>
            <w:tcW w:w="3975" w:type="dxa"/>
            <w:tcBorders>
              <w:top w:val="nil"/>
              <w:left w:val="nil"/>
              <w:bottom w:val="single" w:sz="4" w:space="0" w:color="auto"/>
              <w:right w:val="single" w:sz="4" w:space="0" w:color="auto"/>
            </w:tcBorders>
            <w:shd w:val="clear" w:color="auto" w:fill="C6EFCE"/>
            <w:noWrap/>
            <w:vAlign w:val="center"/>
          </w:tcPr>
          <w:p w14:paraId="0F74B4CA" w14:textId="77777777" w:rsidR="006054AA" w:rsidRDefault="001F7667">
            <w:pPr>
              <w:pStyle w:val="P68B1DB1-Normal12"/>
              <w:jc w:val="center"/>
              <w:rPr>
                <w:noProof/>
              </w:rPr>
            </w:pPr>
            <w:r>
              <w:rPr>
                <w:noProof/>
              </w:rPr>
              <w:t>МСП, които са получили подкрепа от фонд 394/81</w:t>
            </w:r>
          </w:p>
        </w:tc>
      </w:tr>
      <w:tr w:rsidR="006054AA" w14:paraId="2667F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2192EE" w14:textId="77777777" w:rsidR="006054AA" w:rsidRDefault="001F7667">
            <w:pPr>
              <w:pStyle w:val="P68B1DB1-Normal12"/>
              <w:rPr>
                <w:noProof/>
              </w:rPr>
            </w:pPr>
            <w:r>
              <w:rPr>
                <w:noProof/>
              </w:rPr>
              <w:t>M1C3—22</w:t>
            </w:r>
          </w:p>
        </w:tc>
        <w:tc>
          <w:tcPr>
            <w:tcW w:w="3195" w:type="dxa"/>
            <w:tcBorders>
              <w:top w:val="nil"/>
              <w:left w:val="nil"/>
              <w:bottom w:val="single" w:sz="4" w:space="0" w:color="auto"/>
              <w:right w:val="single" w:sz="4" w:space="0" w:color="auto"/>
            </w:tcBorders>
            <w:shd w:val="clear" w:color="auto" w:fill="C6EFCE"/>
            <w:noWrap/>
            <w:vAlign w:val="center"/>
          </w:tcPr>
          <w:p w14:paraId="240EBC4F" w14:textId="77777777" w:rsidR="006054AA" w:rsidRDefault="001F7667">
            <w:pPr>
              <w:pStyle w:val="P68B1DB1-Normal12"/>
              <w:rPr>
                <w:noProof/>
              </w:rPr>
            </w:pPr>
            <w:r>
              <w:rPr>
                <w:noProof/>
              </w:rPr>
              <w:t xml:space="preserve">Фонд „Инвестиция 4.2“ за конкурентоспособност на туристическите предприятия </w:t>
            </w:r>
          </w:p>
        </w:tc>
        <w:tc>
          <w:tcPr>
            <w:tcW w:w="1455" w:type="dxa"/>
            <w:tcBorders>
              <w:top w:val="nil"/>
              <w:left w:val="nil"/>
              <w:bottom w:val="single" w:sz="4" w:space="0" w:color="auto"/>
              <w:right w:val="single" w:sz="4" w:space="0" w:color="auto"/>
            </w:tcBorders>
            <w:shd w:val="clear" w:color="auto" w:fill="C6EFCE"/>
            <w:noWrap/>
            <w:vAlign w:val="center"/>
          </w:tcPr>
          <w:p w14:paraId="645AE250"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0DA8F912" w14:textId="77777777" w:rsidR="006054AA" w:rsidRDefault="001F7667">
            <w:pPr>
              <w:pStyle w:val="P68B1DB1-Normal12"/>
              <w:jc w:val="center"/>
              <w:rPr>
                <w:noProof/>
              </w:rPr>
            </w:pPr>
            <w:r>
              <w:rPr>
                <w:noProof/>
              </w:rPr>
              <w:t xml:space="preserve">Инвестиционна политика за: тематичен фонд на Европейската инвестиционна банка;  </w:t>
            </w:r>
          </w:p>
        </w:tc>
      </w:tr>
      <w:tr w:rsidR="006054AA" w14:paraId="572D79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A85353" w14:textId="77777777" w:rsidR="006054AA" w:rsidRDefault="001F7667">
            <w:pPr>
              <w:pStyle w:val="P68B1DB1-Normal12"/>
              <w:rPr>
                <w:noProof/>
              </w:rPr>
            </w:pPr>
            <w:r>
              <w:rPr>
                <w:noProof/>
              </w:rPr>
              <w:t>M1C3—23</w:t>
            </w:r>
          </w:p>
        </w:tc>
        <w:tc>
          <w:tcPr>
            <w:tcW w:w="3195" w:type="dxa"/>
            <w:tcBorders>
              <w:top w:val="nil"/>
              <w:left w:val="nil"/>
              <w:bottom w:val="single" w:sz="4" w:space="0" w:color="auto"/>
              <w:right w:val="single" w:sz="4" w:space="0" w:color="auto"/>
            </w:tcBorders>
            <w:shd w:val="clear" w:color="auto" w:fill="C6EFCE"/>
            <w:noWrap/>
            <w:vAlign w:val="center"/>
          </w:tcPr>
          <w:p w14:paraId="60918E36" w14:textId="77777777" w:rsidR="006054AA" w:rsidRDefault="001F7667">
            <w:pPr>
              <w:pStyle w:val="P68B1DB1-Normal12"/>
              <w:rPr>
                <w:noProof/>
              </w:rPr>
            </w:pPr>
            <w:r>
              <w:rPr>
                <w:noProof/>
              </w:rPr>
              <w:t xml:space="preserve">Инвестиция 4.2:  Фондове за конкурентоспособността на туристическите предприятия </w:t>
            </w:r>
          </w:p>
        </w:tc>
        <w:tc>
          <w:tcPr>
            <w:tcW w:w="1455" w:type="dxa"/>
            <w:tcBorders>
              <w:top w:val="nil"/>
              <w:left w:val="nil"/>
              <w:bottom w:val="single" w:sz="4" w:space="0" w:color="auto"/>
              <w:right w:val="single" w:sz="4" w:space="0" w:color="auto"/>
            </w:tcBorders>
            <w:shd w:val="clear" w:color="auto" w:fill="C6EFCE"/>
            <w:noWrap/>
            <w:vAlign w:val="center"/>
          </w:tcPr>
          <w:p w14:paraId="4B099F95"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4B3BFB88" w14:textId="77777777" w:rsidR="006054AA" w:rsidRDefault="001F7667">
            <w:pPr>
              <w:pStyle w:val="P68B1DB1-Normal12"/>
              <w:jc w:val="center"/>
              <w:rPr>
                <w:noProof/>
              </w:rPr>
            </w:pPr>
            <w:r>
              <w:rPr>
                <w:noProof/>
              </w:rPr>
              <w:t xml:space="preserve">Инвестиционна политика за Националния фонд за туризъм, </w:t>
            </w:r>
          </w:p>
        </w:tc>
      </w:tr>
      <w:tr w:rsidR="006054AA" w14:paraId="53BC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C2A2E" w14:textId="77777777" w:rsidR="006054AA" w:rsidRDefault="001F7667">
            <w:pPr>
              <w:pStyle w:val="P68B1DB1-Normal12"/>
              <w:rPr>
                <w:noProof/>
              </w:rPr>
            </w:pPr>
            <w:r>
              <w:rPr>
                <w:noProof/>
              </w:rPr>
              <w:t>M1C3—24</w:t>
            </w:r>
          </w:p>
        </w:tc>
        <w:tc>
          <w:tcPr>
            <w:tcW w:w="3195" w:type="dxa"/>
            <w:tcBorders>
              <w:top w:val="nil"/>
              <w:left w:val="nil"/>
              <w:bottom w:val="single" w:sz="4" w:space="0" w:color="auto"/>
              <w:right w:val="single" w:sz="4" w:space="0" w:color="auto"/>
            </w:tcBorders>
            <w:shd w:val="clear" w:color="auto" w:fill="C6EFCE"/>
            <w:noWrap/>
            <w:vAlign w:val="center"/>
          </w:tcPr>
          <w:p w14:paraId="300ADD09" w14:textId="77777777" w:rsidR="006054AA" w:rsidRDefault="001F7667">
            <w:pPr>
              <w:pStyle w:val="P68B1DB1-Normal12"/>
              <w:rPr>
                <w:noProof/>
              </w:rPr>
            </w:pPr>
            <w:r>
              <w:rPr>
                <w:noProof/>
              </w:rPr>
              <w:t xml:space="preserve">Фонд „Инвестиция 4.2“ за конкурентоспособността на туристическите предприятия </w:t>
            </w:r>
          </w:p>
        </w:tc>
        <w:tc>
          <w:tcPr>
            <w:tcW w:w="1455" w:type="dxa"/>
            <w:tcBorders>
              <w:top w:val="nil"/>
              <w:left w:val="nil"/>
              <w:bottom w:val="single" w:sz="4" w:space="0" w:color="auto"/>
              <w:right w:val="single" w:sz="4" w:space="0" w:color="auto"/>
            </w:tcBorders>
            <w:shd w:val="clear" w:color="auto" w:fill="C6EFCE"/>
            <w:noWrap/>
            <w:vAlign w:val="center"/>
          </w:tcPr>
          <w:p w14:paraId="2BCE7032"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29B30469" w14:textId="77777777" w:rsidR="006054AA" w:rsidRDefault="001F7667">
            <w:pPr>
              <w:pStyle w:val="P68B1DB1-Normal12"/>
              <w:jc w:val="center"/>
              <w:rPr>
                <w:noProof/>
              </w:rPr>
            </w:pPr>
            <w:r>
              <w:rPr>
                <w:noProof/>
              </w:rPr>
              <w:t>Инвестиционна политика за: Гаранционен фонд за МСП,</w:t>
            </w:r>
          </w:p>
        </w:tc>
      </w:tr>
      <w:tr w:rsidR="006054AA" w14:paraId="157098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D9B7E9" w14:textId="77777777" w:rsidR="006054AA" w:rsidRDefault="001F7667">
            <w:pPr>
              <w:pStyle w:val="P68B1DB1-Normal12"/>
              <w:rPr>
                <w:noProof/>
              </w:rPr>
            </w:pPr>
            <w:r>
              <w:rPr>
                <w:noProof/>
              </w:rPr>
              <w:t>M1C3—25</w:t>
            </w:r>
          </w:p>
        </w:tc>
        <w:tc>
          <w:tcPr>
            <w:tcW w:w="3195" w:type="dxa"/>
            <w:tcBorders>
              <w:top w:val="nil"/>
              <w:left w:val="nil"/>
              <w:bottom w:val="single" w:sz="4" w:space="0" w:color="auto"/>
              <w:right w:val="single" w:sz="4" w:space="0" w:color="auto"/>
            </w:tcBorders>
            <w:shd w:val="clear" w:color="auto" w:fill="C6EFCE"/>
            <w:noWrap/>
            <w:vAlign w:val="center"/>
          </w:tcPr>
          <w:p w14:paraId="0B7121E4" w14:textId="77777777" w:rsidR="006054AA" w:rsidRDefault="001F7667">
            <w:pPr>
              <w:pStyle w:val="P68B1DB1-Normal12"/>
              <w:rPr>
                <w:noProof/>
              </w:rPr>
            </w:pPr>
            <w:r>
              <w:rPr>
                <w:noProof/>
              </w:rPr>
              <w:t xml:space="preserve">Инвестиция 4.2:  Фондове за конкурентоспособността на туристическите предприятия </w:t>
            </w:r>
          </w:p>
        </w:tc>
        <w:tc>
          <w:tcPr>
            <w:tcW w:w="1455" w:type="dxa"/>
            <w:tcBorders>
              <w:top w:val="nil"/>
              <w:left w:val="nil"/>
              <w:bottom w:val="single" w:sz="4" w:space="0" w:color="auto"/>
              <w:right w:val="single" w:sz="4" w:space="0" w:color="auto"/>
            </w:tcBorders>
            <w:shd w:val="clear" w:color="auto" w:fill="C6EFCE"/>
            <w:noWrap/>
            <w:vAlign w:val="center"/>
          </w:tcPr>
          <w:p w14:paraId="0E2DDCCE"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107C8E6D" w14:textId="77777777" w:rsidR="006054AA" w:rsidRDefault="001F7667">
            <w:pPr>
              <w:pStyle w:val="P68B1DB1-Normal12"/>
              <w:jc w:val="center"/>
              <w:rPr>
                <w:noProof/>
              </w:rPr>
            </w:pPr>
            <w:r>
              <w:rPr>
                <w:noProof/>
              </w:rPr>
              <w:t xml:space="preserve">Инвестиционна политика за Fondo Rotativo </w:t>
            </w:r>
          </w:p>
        </w:tc>
      </w:tr>
      <w:tr w:rsidR="006054AA" w14:paraId="2C99BF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B82E" w14:textId="77777777" w:rsidR="006054AA" w:rsidRDefault="001F7667">
            <w:pPr>
              <w:pStyle w:val="P68B1DB1-Normal12"/>
              <w:rPr>
                <w:noProof/>
              </w:rPr>
            </w:pPr>
            <w:r>
              <w:rPr>
                <w:noProof/>
              </w:rPr>
              <w:t>M1C3—26</w:t>
            </w:r>
          </w:p>
        </w:tc>
        <w:tc>
          <w:tcPr>
            <w:tcW w:w="3195" w:type="dxa"/>
            <w:tcBorders>
              <w:top w:val="nil"/>
              <w:left w:val="nil"/>
              <w:bottom w:val="single" w:sz="4" w:space="0" w:color="auto"/>
              <w:right w:val="single" w:sz="4" w:space="0" w:color="auto"/>
            </w:tcBorders>
            <w:shd w:val="clear" w:color="auto" w:fill="C6EFCE"/>
            <w:noWrap/>
            <w:vAlign w:val="center"/>
          </w:tcPr>
          <w:p w14:paraId="0C518EC3" w14:textId="77777777" w:rsidR="006054AA" w:rsidRDefault="001F7667">
            <w:pPr>
              <w:pStyle w:val="P68B1DB1-Normal12"/>
              <w:rPr>
                <w:noProof/>
              </w:rPr>
            </w:pPr>
            <w:r>
              <w:rPr>
                <w:noProof/>
              </w:rPr>
              <w:t xml:space="preserve">Инвестиция 4.2:  Фондове за конкурентоспособността на туристическите предприятия </w:t>
            </w:r>
          </w:p>
        </w:tc>
        <w:tc>
          <w:tcPr>
            <w:tcW w:w="1455" w:type="dxa"/>
            <w:tcBorders>
              <w:top w:val="nil"/>
              <w:left w:val="nil"/>
              <w:bottom w:val="single" w:sz="4" w:space="0" w:color="auto"/>
              <w:right w:val="single" w:sz="4" w:space="0" w:color="auto"/>
            </w:tcBorders>
            <w:shd w:val="clear" w:color="auto" w:fill="C6EFCE"/>
            <w:noWrap/>
            <w:vAlign w:val="center"/>
          </w:tcPr>
          <w:p w14:paraId="2FDE7E58"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05A1D5F5" w14:textId="77777777" w:rsidR="006054AA" w:rsidRDefault="001F7667">
            <w:pPr>
              <w:pStyle w:val="P68B1DB1-Normal12"/>
              <w:jc w:val="center"/>
              <w:rPr>
                <w:noProof/>
              </w:rPr>
            </w:pPr>
            <w:r>
              <w:rPr>
                <w:noProof/>
              </w:rPr>
              <w:t>Влизане в сила на постановлението за прилагане на данъчния кредит за преустройство на съоръженията за настаняване.</w:t>
            </w:r>
          </w:p>
        </w:tc>
      </w:tr>
      <w:tr w:rsidR="006054AA" w14:paraId="08A910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4B7470" w14:textId="77777777" w:rsidR="006054AA" w:rsidRDefault="001F7667">
            <w:pPr>
              <w:pStyle w:val="P68B1DB1-Normal12"/>
              <w:rPr>
                <w:noProof/>
              </w:rPr>
            </w:pPr>
            <w:r>
              <w:rPr>
                <w:noProof/>
              </w:rPr>
              <w:t>M2C4—7</w:t>
            </w:r>
          </w:p>
        </w:tc>
        <w:tc>
          <w:tcPr>
            <w:tcW w:w="3195" w:type="dxa"/>
            <w:tcBorders>
              <w:top w:val="nil"/>
              <w:left w:val="nil"/>
              <w:bottom w:val="single" w:sz="4" w:space="0" w:color="auto"/>
              <w:right w:val="single" w:sz="4" w:space="0" w:color="auto"/>
            </w:tcBorders>
            <w:shd w:val="clear" w:color="auto" w:fill="C6EFCE"/>
            <w:noWrap/>
            <w:vAlign w:val="center"/>
          </w:tcPr>
          <w:p w14:paraId="66BEB345" w14:textId="77777777" w:rsidR="006054AA" w:rsidRDefault="001F7667">
            <w:pPr>
              <w:pStyle w:val="P68B1DB1-Normal12"/>
              <w:rPr>
                <w:noProof/>
              </w:rPr>
            </w:pPr>
            <w:r>
              <w:rPr>
                <w:noProof/>
              </w:rPr>
              <w:t>Реформа 3.1: Приемане на национални програми за контрол на замърсяването на въздуха</w:t>
            </w:r>
          </w:p>
        </w:tc>
        <w:tc>
          <w:tcPr>
            <w:tcW w:w="1455" w:type="dxa"/>
            <w:tcBorders>
              <w:top w:val="nil"/>
              <w:left w:val="nil"/>
              <w:bottom w:val="single" w:sz="4" w:space="0" w:color="auto"/>
              <w:right w:val="single" w:sz="4" w:space="0" w:color="auto"/>
            </w:tcBorders>
            <w:shd w:val="clear" w:color="auto" w:fill="C6EFCE"/>
            <w:noWrap/>
            <w:vAlign w:val="center"/>
          </w:tcPr>
          <w:p w14:paraId="3CF03BF4"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6738C9F8" w14:textId="77777777" w:rsidR="006054AA" w:rsidRDefault="001F7667">
            <w:pPr>
              <w:pStyle w:val="P68B1DB1-Normal12"/>
              <w:jc w:val="center"/>
              <w:rPr>
                <w:noProof/>
              </w:rPr>
            </w:pPr>
            <w:r>
              <w:rPr>
                <w:noProof/>
              </w:rPr>
              <w:t>Влизане в сила на национална програма за контрол на замърсяването на въздуха</w:t>
            </w:r>
          </w:p>
        </w:tc>
      </w:tr>
      <w:tr w:rsidR="006054AA" w14:paraId="6C33D5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C7E14" w14:textId="77777777" w:rsidR="006054AA" w:rsidRDefault="001F7667">
            <w:pPr>
              <w:pStyle w:val="P68B1DB1-Normal12"/>
              <w:rPr>
                <w:noProof/>
              </w:rPr>
            </w:pPr>
            <w:r>
              <w:rPr>
                <w:noProof/>
              </w:rPr>
              <w:t>M2C4—12</w:t>
            </w:r>
          </w:p>
        </w:tc>
        <w:tc>
          <w:tcPr>
            <w:tcW w:w="3195" w:type="dxa"/>
            <w:tcBorders>
              <w:top w:val="nil"/>
              <w:left w:val="nil"/>
              <w:bottom w:val="single" w:sz="4" w:space="0" w:color="auto"/>
              <w:right w:val="single" w:sz="4" w:space="0" w:color="auto"/>
            </w:tcBorders>
            <w:shd w:val="clear" w:color="auto" w:fill="C6EFCE"/>
            <w:noWrap/>
            <w:vAlign w:val="center"/>
          </w:tcPr>
          <w:p w14:paraId="1DDDB908" w14:textId="77777777" w:rsidR="006054AA" w:rsidRDefault="001F7667">
            <w:pPr>
              <w:pStyle w:val="P68B1DB1-Normal12"/>
              <w:rPr>
                <w:noProof/>
              </w:rPr>
            </w:pPr>
            <w:r>
              <w:rPr>
                <w:noProof/>
              </w:rPr>
              <w:t>Инвестиция 2.1.б. Мерки за намаляване на риска от наводнения и хидрогеоложки рискове</w:t>
            </w:r>
          </w:p>
        </w:tc>
        <w:tc>
          <w:tcPr>
            <w:tcW w:w="1455" w:type="dxa"/>
            <w:tcBorders>
              <w:top w:val="nil"/>
              <w:left w:val="nil"/>
              <w:bottom w:val="single" w:sz="4" w:space="0" w:color="auto"/>
              <w:right w:val="single" w:sz="4" w:space="0" w:color="auto"/>
            </w:tcBorders>
            <w:shd w:val="clear" w:color="auto" w:fill="C6EFCE"/>
            <w:noWrap/>
            <w:vAlign w:val="center"/>
          </w:tcPr>
          <w:p w14:paraId="5E1033BB"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2E9D863E" w14:textId="77777777" w:rsidR="006054AA" w:rsidRDefault="001F7667">
            <w:pPr>
              <w:pStyle w:val="P68B1DB1-Normal12"/>
              <w:jc w:val="center"/>
              <w:rPr>
                <w:noProof/>
              </w:rPr>
            </w:pPr>
            <w:r>
              <w:rPr>
                <w:noProof/>
              </w:rPr>
              <w:t>Влизане в сила на преразгледаната правна рамка за интервенции срещу рискове от наводнения и хидрогеоложки рискове</w:t>
            </w:r>
          </w:p>
        </w:tc>
      </w:tr>
      <w:tr w:rsidR="006054AA" w14:paraId="3AE882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A266A" w14:textId="77777777" w:rsidR="006054AA" w:rsidRDefault="001F7667">
            <w:pPr>
              <w:pStyle w:val="P68B1DB1-Normal12"/>
              <w:rPr>
                <w:noProof/>
              </w:rPr>
            </w:pPr>
            <w:r>
              <w:rPr>
                <w:noProof/>
              </w:rPr>
              <w:t>M2C4—18</w:t>
            </w:r>
          </w:p>
        </w:tc>
        <w:tc>
          <w:tcPr>
            <w:tcW w:w="3195" w:type="dxa"/>
            <w:tcBorders>
              <w:top w:val="nil"/>
              <w:left w:val="nil"/>
              <w:bottom w:val="single" w:sz="4" w:space="0" w:color="auto"/>
              <w:right w:val="single" w:sz="4" w:space="0" w:color="auto"/>
            </w:tcBorders>
            <w:shd w:val="clear" w:color="auto" w:fill="C6EFCE"/>
            <w:noWrap/>
            <w:vAlign w:val="center"/>
          </w:tcPr>
          <w:p w14:paraId="1DF082B5" w14:textId="77777777" w:rsidR="006054AA" w:rsidRDefault="001F7667">
            <w:pPr>
              <w:pStyle w:val="P68B1DB1-Normal12"/>
              <w:rPr>
                <w:noProof/>
              </w:rPr>
            </w:pPr>
            <w:r>
              <w:rPr>
                <w:noProof/>
              </w:rPr>
              <w:t>Инвестиции. 3.1: Опазване и подобряване на градските и крайградските гори</w:t>
            </w:r>
          </w:p>
        </w:tc>
        <w:tc>
          <w:tcPr>
            <w:tcW w:w="1455" w:type="dxa"/>
            <w:tcBorders>
              <w:top w:val="nil"/>
              <w:left w:val="nil"/>
              <w:bottom w:val="single" w:sz="4" w:space="0" w:color="auto"/>
              <w:right w:val="single" w:sz="4" w:space="0" w:color="auto"/>
            </w:tcBorders>
            <w:shd w:val="clear" w:color="auto" w:fill="C6EFCE"/>
            <w:noWrap/>
            <w:vAlign w:val="center"/>
          </w:tcPr>
          <w:p w14:paraId="2ED31732"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732DB0E7" w14:textId="77777777" w:rsidR="006054AA" w:rsidRDefault="001F7667">
            <w:pPr>
              <w:pStyle w:val="P68B1DB1-Normal12"/>
              <w:jc w:val="center"/>
              <w:rPr>
                <w:noProof/>
              </w:rPr>
            </w:pPr>
            <w:r>
              <w:rPr>
                <w:noProof/>
              </w:rPr>
              <w:t xml:space="preserve">Влизане в сила на преразгледаните правни промени за защита и валоризация на градските и крайградските зелени площи </w:t>
            </w:r>
          </w:p>
        </w:tc>
      </w:tr>
      <w:tr w:rsidR="006054AA" w14:paraId="6F3BFD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940E0" w14:textId="77777777" w:rsidR="006054AA" w:rsidRDefault="001F7667">
            <w:pPr>
              <w:pStyle w:val="P68B1DB1-Normal12"/>
              <w:rPr>
                <w:noProof/>
              </w:rPr>
            </w:pPr>
            <w:r>
              <w:rPr>
                <w:noProof/>
              </w:rPr>
              <w:t>M3C1—1</w:t>
            </w:r>
          </w:p>
        </w:tc>
        <w:tc>
          <w:tcPr>
            <w:tcW w:w="3195" w:type="dxa"/>
            <w:tcBorders>
              <w:top w:val="nil"/>
              <w:left w:val="nil"/>
              <w:bottom w:val="single" w:sz="4" w:space="0" w:color="auto"/>
              <w:right w:val="single" w:sz="4" w:space="0" w:color="auto"/>
            </w:tcBorders>
            <w:shd w:val="clear" w:color="auto" w:fill="C6EFCE"/>
            <w:noWrap/>
            <w:vAlign w:val="center"/>
          </w:tcPr>
          <w:p w14:paraId="036A7CB0" w14:textId="77777777" w:rsidR="006054AA" w:rsidRDefault="001F7667">
            <w:pPr>
              <w:pStyle w:val="P68B1DB1-Normal12"/>
              <w:rPr>
                <w:noProof/>
              </w:rPr>
            </w:pPr>
            <w:r>
              <w:rPr>
                <w:noProof/>
              </w:rPr>
              <w:t>Реформа 1.1 — Ускоряване на процеса на одобряване на договора между ПФИ и ИПИ</w:t>
            </w:r>
          </w:p>
        </w:tc>
        <w:tc>
          <w:tcPr>
            <w:tcW w:w="1455" w:type="dxa"/>
            <w:tcBorders>
              <w:top w:val="nil"/>
              <w:left w:val="nil"/>
              <w:bottom w:val="single" w:sz="4" w:space="0" w:color="auto"/>
              <w:right w:val="single" w:sz="4" w:space="0" w:color="auto"/>
            </w:tcBorders>
            <w:shd w:val="clear" w:color="auto" w:fill="C6EFCE"/>
            <w:noWrap/>
            <w:vAlign w:val="center"/>
          </w:tcPr>
          <w:p w14:paraId="273E1EF7"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1536B7F5" w14:textId="77777777" w:rsidR="006054AA" w:rsidRDefault="001F7667">
            <w:pPr>
              <w:pStyle w:val="P68B1DB1-Normal12"/>
              <w:jc w:val="center"/>
              <w:rPr>
                <w:noProof/>
              </w:rPr>
            </w:pPr>
            <w:r>
              <w:rPr>
                <w:noProof/>
              </w:rPr>
              <w:t>Влизане в сила на законодателно изменение относно процеса на одобрение на Contratti di Programma (CdP)</w:t>
            </w:r>
          </w:p>
        </w:tc>
      </w:tr>
      <w:tr w:rsidR="006054AA" w14:paraId="1F3B73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82C774" w14:textId="77777777" w:rsidR="006054AA" w:rsidRDefault="001F7667">
            <w:pPr>
              <w:pStyle w:val="P68B1DB1-Normal12"/>
              <w:rPr>
                <w:noProof/>
              </w:rPr>
            </w:pPr>
            <w:r>
              <w:rPr>
                <w:noProof/>
              </w:rPr>
              <w:t>M3C1—2</w:t>
            </w:r>
          </w:p>
        </w:tc>
        <w:tc>
          <w:tcPr>
            <w:tcW w:w="3195" w:type="dxa"/>
            <w:tcBorders>
              <w:top w:val="nil"/>
              <w:left w:val="nil"/>
              <w:bottom w:val="single" w:sz="4" w:space="0" w:color="auto"/>
              <w:right w:val="single" w:sz="4" w:space="0" w:color="auto"/>
            </w:tcBorders>
            <w:shd w:val="clear" w:color="auto" w:fill="C6EFCE"/>
            <w:noWrap/>
            <w:vAlign w:val="center"/>
          </w:tcPr>
          <w:p w14:paraId="132A8E2D" w14:textId="77777777" w:rsidR="006054AA" w:rsidRDefault="001F7667">
            <w:pPr>
              <w:pStyle w:val="P68B1DB1-Normal12"/>
              <w:rPr>
                <w:noProof/>
              </w:rPr>
            </w:pPr>
            <w:r>
              <w:rPr>
                <w:noProof/>
              </w:rPr>
              <w:t>Реформа 1.2 — Ускоряване на процеса на издаване на разрешения за проекти</w:t>
            </w:r>
          </w:p>
        </w:tc>
        <w:tc>
          <w:tcPr>
            <w:tcW w:w="1455" w:type="dxa"/>
            <w:tcBorders>
              <w:top w:val="nil"/>
              <w:left w:val="nil"/>
              <w:bottom w:val="single" w:sz="4" w:space="0" w:color="auto"/>
              <w:right w:val="single" w:sz="4" w:space="0" w:color="auto"/>
            </w:tcBorders>
            <w:shd w:val="clear" w:color="auto" w:fill="C6EFCE"/>
            <w:noWrap/>
            <w:vAlign w:val="center"/>
          </w:tcPr>
          <w:p w14:paraId="629D1083"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3E8F6C53" w14:textId="77777777" w:rsidR="006054AA" w:rsidRDefault="001F7667">
            <w:pPr>
              <w:pStyle w:val="P68B1DB1-Normal12"/>
              <w:jc w:val="center"/>
              <w:rPr>
                <w:noProof/>
              </w:rPr>
            </w:pPr>
            <w:r>
              <w:rPr>
                <w:noProof/>
              </w:rPr>
              <w:t>Влизане в сила на регулаторна промяна, с която срокът за разрешаване на проектите се намалява от 11 на шест месеца</w:t>
            </w:r>
          </w:p>
        </w:tc>
      </w:tr>
      <w:tr w:rsidR="006054AA" w14:paraId="1DDC09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D8923E" w14:textId="77777777" w:rsidR="006054AA" w:rsidRDefault="001F7667">
            <w:pPr>
              <w:pStyle w:val="P68B1DB1-Normal12"/>
              <w:rPr>
                <w:noProof/>
              </w:rPr>
            </w:pPr>
            <w:r>
              <w:rPr>
                <w:noProof/>
              </w:rPr>
              <w:t>M3C1—21</w:t>
            </w:r>
          </w:p>
        </w:tc>
        <w:tc>
          <w:tcPr>
            <w:tcW w:w="3195" w:type="dxa"/>
            <w:tcBorders>
              <w:top w:val="nil"/>
              <w:left w:val="nil"/>
              <w:bottom w:val="single" w:sz="4" w:space="0" w:color="auto"/>
              <w:right w:val="single" w:sz="4" w:space="0" w:color="auto"/>
            </w:tcBorders>
            <w:shd w:val="clear" w:color="auto" w:fill="C6EFCE"/>
            <w:noWrap/>
            <w:vAlign w:val="center"/>
          </w:tcPr>
          <w:p w14:paraId="7D6F2DC2" w14:textId="77777777" w:rsidR="006054AA" w:rsidRDefault="001F7667">
            <w:pPr>
              <w:pStyle w:val="P68B1DB1-Normal12"/>
              <w:rPr>
                <w:noProof/>
              </w:rPr>
            </w:pPr>
            <w:r>
              <w:rPr>
                <w:noProof/>
              </w:rPr>
              <w:t>Реформа 2.1 — Прилагане на неотдавнашния „Указ за опростяване „(преобразуван в Закон № 120 от 11 септември 2020 г.) чрез издаване на указ относно приемането на „Насоки за класифициране и управление на рисковете, оценка на сигурността и наблюдение на съществуващите мостове“</w:t>
            </w:r>
          </w:p>
        </w:tc>
        <w:tc>
          <w:tcPr>
            <w:tcW w:w="1455" w:type="dxa"/>
            <w:tcBorders>
              <w:top w:val="nil"/>
              <w:left w:val="nil"/>
              <w:bottom w:val="single" w:sz="4" w:space="0" w:color="auto"/>
              <w:right w:val="single" w:sz="4" w:space="0" w:color="auto"/>
            </w:tcBorders>
            <w:shd w:val="clear" w:color="auto" w:fill="C6EFCE"/>
            <w:noWrap/>
            <w:vAlign w:val="center"/>
          </w:tcPr>
          <w:p w14:paraId="2D3B787E"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5D8A4DEB" w14:textId="77777777" w:rsidR="006054AA" w:rsidRDefault="001F7667">
            <w:pPr>
              <w:pStyle w:val="P68B1DB1-Normal12"/>
              <w:jc w:val="center"/>
              <w:rPr>
                <w:noProof/>
              </w:rPr>
            </w:pPr>
            <w:r>
              <w:rPr>
                <w:noProof/>
              </w:rPr>
              <w:t>Влизане в сила на „Насоки за класифициране и управление на рисковете, оценка на сигурността и наблюдение на съществуващите мостове“</w:t>
            </w:r>
          </w:p>
        </w:tc>
      </w:tr>
      <w:tr w:rsidR="006054AA" w14:paraId="34ACB6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6AC75" w14:textId="77777777" w:rsidR="006054AA" w:rsidRDefault="001F7667">
            <w:pPr>
              <w:pStyle w:val="P68B1DB1-Normal12"/>
              <w:rPr>
                <w:noProof/>
              </w:rPr>
            </w:pPr>
            <w:r>
              <w:rPr>
                <w:noProof/>
              </w:rPr>
              <w:t>M3C1—22</w:t>
            </w:r>
          </w:p>
        </w:tc>
        <w:tc>
          <w:tcPr>
            <w:tcW w:w="3195" w:type="dxa"/>
            <w:tcBorders>
              <w:top w:val="nil"/>
              <w:left w:val="nil"/>
              <w:bottom w:val="single" w:sz="4" w:space="0" w:color="auto"/>
              <w:right w:val="single" w:sz="4" w:space="0" w:color="auto"/>
            </w:tcBorders>
            <w:shd w:val="clear" w:color="auto" w:fill="C6EFCE"/>
            <w:noWrap/>
            <w:vAlign w:val="center"/>
          </w:tcPr>
          <w:p w14:paraId="06F2B643" w14:textId="77777777" w:rsidR="006054AA" w:rsidRDefault="001F7667">
            <w:pPr>
              <w:pStyle w:val="P68B1DB1-Normal12"/>
              <w:rPr>
                <w:noProof/>
              </w:rPr>
            </w:pPr>
            <w:r>
              <w:rPr>
                <w:noProof/>
              </w:rPr>
              <w:t>Реформа 2.2 — Прехвърляне на собствеността на мостовете и виадуктите от пътищата, класирани на по-ниско ниво, към тези от по-високо ниво</w:t>
            </w:r>
          </w:p>
        </w:tc>
        <w:tc>
          <w:tcPr>
            <w:tcW w:w="1455" w:type="dxa"/>
            <w:tcBorders>
              <w:top w:val="nil"/>
              <w:left w:val="nil"/>
              <w:bottom w:val="single" w:sz="4" w:space="0" w:color="auto"/>
              <w:right w:val="single" w:sz="4" w:space="0" w:color="auto"/>
            </w:tcBorders>
            <w:shd w:val="clear" w:color="auto" w:fill="C6EFCE"/>
            <w:noWrap/>
            <w:vAlign w:val="center"/>
          </w:tcPr>
          <w:p w14:paraId="2846CCD5"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3F2CCC77" w14:textId="77777777" w:rsidR="006054AA" w:rsidRDefault="001F7667">
            <w:pPr>
              <w:pStyle w:val="P68B1DB1-Normal12"/>
              <w:jc w:val="center"/>
              <w:rPr>
                <w:noProof/>
              </w:rPr>
            </w:pPr>
            <w:r>
              <w:rPr>
                <w:noProof/>
              </w:rPr>
              <w:t>Прехвърляне на собствеността върху мостовете, виадуктите и надмините от пътищата, класирани на по-ниско ниво, към тези от по-високо ниво (магистрали и главни национални пътища)</w:t>
            </w:r>
          </w:p>
        </w:tc>
      </w:tr>
      <w:tr w:rsidR="006054AA" w14:paraId="42D69B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F2621" w14:textId="77777777" w:rsidR="006054AA" w:rsidRDefault="001F7667">
            <w:pPr>
              <w:pStyle w:val="P68B1DB1-Normal12"/>
              <w:rPr>
                <w:noProof/>
              </w:rPr>
            </w:pPr>
            <w:r>
              <w:rPr>
                <w:noProof/>
              </w:rPr>
              <w:t>M4C1—27</w:t>
            </w:r>
          </w:p>
        </w:tc>
        <w:tc>
          <w:tcPr>
            <w:tcW w:w="3195" w:type="dxa"/>
            <w:tcBorders>
              <w:top w:val="nil"/>
              <w:left w:val="nil"/>
              <w:bottom w:val="single" w:sz="4" w:space="0" w:color="auto"/>
              <w:right w:val="single" w:sz="4" w:space="0" w:color="auto"/>
            </w:tcBorders>
            <w:shd w:val="clear" w:color="auto" w:fill="C6EFCE"/>
            <w:noWrap/>
            <w:vAlign w:val="center"/>
          </w:tcPr>
          <w:p w14:paraId="51969987" w14:textId="77777777" w:rsidR="006054AA" w:rsidRDefault="001F7667">
            <w:pPr>
              <w:pStyle w:val="P68B1DB1-Normal12"/>
              <w:rPr>
                <w:noProof/>
              </w:rPr>
            </w:pPr>
            <w:r>
              <w:rPr>
                <w:noProof/>
              </w:rPr>
              <w:t>Реформа 1.7: Реформа на регулирането на студентското жилищно настаняване и инвестиции в студентски жилища</w:t>
            </w:r>
          </w:p>
        </w:tc>
        <w:tc>
          <w:tcPr>
            <w:tcW w:w="1455" w:type="dxa"/>
            <w:tcBorders>
              <w:top w:val="nil"/>
              <w:left w:val="nil"/>
              <w:bottom w:val="single" w:sz="4" w:space="0" w:color="auto"/>
              <w:right w:val="single" w:sz="4" w:space="0" w:color="auto"/>
            </w:tcBorders>
            <w:shd w:val="clear" w:color="auto" w:fill="C6EFCE"/>
            <w:noWrap/>
            <w:vAlign w:val="center"/>
          </w:tcPr>
          <w:p w14:paraId="198CAC35"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44B730C4" w14:textId="77777777" w:rsidR="006054AA" w:rsidRDefault="001F7667">
            <w:pPr>
              <w:pStyle w:val="P68B1DB1-Normal12"/>
              <w:jc w:val="center"/>
              <w:rPr>
                <w:noProof/>
              </w:rPr>
            </w:pPr>
            <w:r>
              <w:rPr>
                <w:noProof/>
              </w:rPr>
              <w:t>Влизане в сила на законодателство за изменение на действащите правила за студентските жилища.</w:t>
            </w:r>
          </w:p>
        </w:tc>
      </w:tr>
      <w:tr w:rsidR="006054AA" w14:paraId="14CCCB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8D34D" w14:textId="77777777" w:rsidR="006054AA" w:rsidRDefault="001F7667">
            <w:pPr>
              <w:pStyle w:val="P68B1DB1-Normal12"/>
              <w:rPr>
                <w:noProof/>
              </w:rPr>
            </w:pPr>
            <w:r>
              <w:rPr>
                <w:noProof/>
              </w:rPr>
              <w:t>M5C3—10</w:t>
            </w:r>
          </w:p>
        </w:tc>
        <w:tc>
          <w:tcPr>
            <w:tcW w:w="3195" w:type="dxa"/>
            <w:tcBorders>
              <w:top w:val="nil"/>
              <w:left w:val="nil"/>
              <w:bottom w:val="single" w:sz="4" w:space="0" w:color="auto"/>
              <w:right w:val="single" w:sz="4" w:space="0" w:color="auto"/>
            </w:tcBorders>
            <w:shd w:val="clear" w:color="auto" w:fill="C6EFCE"/>
            <w:noWrap/>
            <w:vAlign w:val="center"/>
          </w:tcPr>
          <w:p w14:paraId="3F3F02A5" w14:textId="77777777" w:rsidR="006054AA" w:rsidRDefault="001F7667">
            <w:pPr>
              <w:pStyle w:val="P68B1DB1-Normal12"/>
              <w:rPr>
                <w:noProof/>
              </w:rPr>
            </w:pPr>
            <w:r>
              <w:rPr>
                <w:noProof/>
              </w:rPr>
              <w:t>Реформи1: Опростяване на процедурите и укрепване на комисаря в специалните икономически зони</w:t>
            </w:r>
          </w:p>
        </w:tc>
        <w:tc>
          <w:tcPr>
            <w:tcW w:w="1455" w:type="dxa"/>
            <w:tcBorders>
              <w:top w:val="nil"/>
              <w:left w:val="nil"/>
              <w:bottom w:val="single" w:sz="4" w:space="0" w:color="auto"/>
              <w:right w:val="single" w:sz="4" w:space="0" w:color="auto"/>
            </w:tcBorders>
            <w:shd w:val="clear" w:color="auto" w:fill="C6EFCE"/>
            <w:noWrap/>
            <w:vAlign w:val="center"/>
          </w:tcPr>
          <w:p w14:paraId="6F554D54"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3684841B" w14:textId="77777777" w:rsidR="006054AA" w:rsidRDefault="001F7667">
            <w:pPr>
              <w:pStyle w:val="P68B1DB1-Normal12"/>
              <w:jc w:val="center"/>
              <w:rPr>
                <w:noProof/>
              </w:rPr>
            </w:pPr>
            <w:r>
              <w:rPr>
                <w:noProof/>
              </w:rPr>
              <w:t>Влизане в сила на регламента за опростяване на процедурите и засилване на ролята на комисаря в специалните икономически зони</w:t>
            </w:r>
          </w:p>
        </w:tc>
      </w:tr>
      <w:tr w:rsidR="006054AA" w14:paraId="78923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A1F4B" w14:textId="77777777" w:rsidR="006054AA" w:rsidRDefault="001F7667">
            <w:pPr>
              <w:pStyle w:val="P68B1DB1-Normal12"/>
              <w:rPr>
                <w:noProof/>
              </w:rPr>
            </w:pPr>
            <w:r>
              <w:rPr>
                <w:noProof/>
              </w:rPr>
              <w:t>M5C3—11</w:t>
            </w:r>
          </w:p>
        </w:tc>
        <w:tc>
          <w:tcPr>
            <w:tcW w:w="3195" w:type="dxa"/>
            <w:tcBorders>
              <w:top w:val="nil"/>
              <w:left w:val="nil"/>
              <w:bottom w:val="single" w:sz="4" w:space="0" w:color="auto"/>
              <w:right w:val="single" w:sz="4" w:space="0" w:color="auto"/>
            </w:tcBorders>
            <w:shd w:val="clear" w:color="auto" w:fill="C6EFCE"/>
            <w:noWrap/>
            <w:vAlign w:val="center"/>
          </w:tcPr>
          <w:p w14:paraId="0C7F3AC5" w14:textId="77777777" w:rsidR="006054AA" w:rsidRDefault="001F7667">
            <w:pPr>
              <w:pStyle w:val="P68B1DB1-Normal12"/>
              <w:rPr>
                <w:noProof/>
              </w:rPr>
            </w:pPr>
            <w:r>
              <w:rPr>
                <w:noProof/>
              </w:rPr>
              <w:t xml:space="preserve">Инвестиция 1.4: Инфраструктурни инвестиции за специалната икономическа зона </w:t>
            </w:r>
          </w:p>
        </w:tc>
        <w:tc>
          <w:tcPr>
            <w:tcW w:w="1455" w:type="dxa"/>
            <w:tcBorders>
              <w:top w:val="nil"/>
              <w:left w:val="nil"/>
              <w:bottom w:val="single" w:sz="4" w:space="0" w:color="auto"/>
              <w:right w:val="single" w:sz="4" w:space="0" w:color="auto"/>
            </w:tcBorders>
            <w:shd w:val="clear" w:color="auto" w:fill="C6EFCE"/>
            <w:noWrap/>
            <w:vAlign w:val="center"/>
          </w:tcPr>
          <w:p w14:paraId="07FE45BA" w14:textId="77777777" w:rsidR="006054AA" w:rsidRDefault="001F7667">
            <w:pPr>
              <w:pStyle w:val="P68B1DB1-Normal12"/>
              <w:rPr>
                <w:noProof/>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40C59FDA" w14:textId="77777777" w:rsidR="006054AA" w:rsidRDefault="001F7667">
            <w:pPr>
              <w:pStyle w:val="P68B1DB1-Normal12"/>
              <w:jc w:val="center"/>
              <w:rPr>
                <w:noProof/>
              </w:rPr>
            </w:pPr>
            <w:r>
              <w:rPr>
                <w:noProof/>
              </w:rPr>
              <w:t>Влизане в сила на наредби на Министерството за одобряване на оперативните планове за всичките осем специални икономически зони</w:t>
            </w:r>
          </w:p>
        </w:tc>
      </w:tr>
      <w:tr w:rsidR="006054AA" w14:paraId="75681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AC0C6C" w14:textId="77777777" w:rsidR="006054AA" w:rsidRDefault="001F7667">
            <w:pPr>
              <w:pStyle w:val="P68B1DB1-Normal12"/>
              <w:rPr>
                <w:noProof/>
              </w:rPr>
            </w:pPr>
            <w:r>
              <w:rPr>
                <w:noProof/>
              </w:rPr>
              <w:t>M6C2—4</w:t>
            </w:r>
          </w:p>
        </w:tc>
        <w:tc>
          <w:tcPr>
            <w:tcW w:w="3195" w:type="dxa"/>
            <w:tcBorders>
              <w:top w:val="nil"/>
              <w:left w:val="nil"/>
              <w:bottom w:val="single" w:sz="4" w:space="0" w:color="auto"/>
              <w:right w:val="single" w:sz="4" w:space="0" w:color="auto"/>
            </w:tcBorders>
            <w:shd w:val="clear" w:color="auto" w:fill="C6EFCE"/>
            <w:noWrap/>
            <w:vAlign w:val="center"/>
          </w:tcPr>
          <w:p w14:paraId="0F65448F" w14:textId="77777777" w:rsidR="006054AA" w:rsidRDefault="001F7667">
            <w:pPr>
              <w:pStyle w:val="P68B1DB1-Normal48"/>
              <w:rPr>
                <w:noProof/>
                <w:color w:val="006100"/>
              </w:rPr>
            </w:pPr>
            <w:r>
              <w:rPr>
                <w:noProof/>
              </w:rPr>
              <w:t>Инвестиция 1.1: Цифрова актуализация на технологичното оборудване на болниците</w:t>
            </w:r>
          </w:p>
        </w:tc>
        <w:tc>
          <w:tcPr>
            <w:tcW w:w="1455" w:type="dxa"/>
            <w:tcBorders>
              <w:top w:val="nil"/>
              <w:left w:val="nil"/>
              <w:bottom w:val="single" w:sz="4" w:space="0" w:color="auto"/>
              <w:right w:val="single" w:sz="4" w:space="0" w:color="auto"/>
            </w:tcBorders>
            <w:shd w:val="clear" w:color="auto" w:fill="C6EFCE"/>
            <w:noWrap/>
            <w:vAlign w:val="center"/>
          </w:tcPr>
          <w:p w14:paraId="3B03D3B4" w14:textId="77777777" w:rsidR="006054AA" w:rsidRDefault="001F7667">
            <w:pPr>
              <w:pStyle w:val="P68B1DB1-Normal48"/>
              <w:rPr>
                <w:noProof/>
                <w:color w:val="006100"/>
              </w:rPr>
            </w:pPr>
            <w:r>
              <w:rPr>
                <w:noProof/>
              </w:rPr>
              <w:t>Ключов етап</w:t>
            </w:r>
          </w:p>
        </w:tc>
        <w:tc>
          <w:tcPr>
            <w:tcW w:w="3975" w:type="dxa"/>
            <w:tcBorders>
              <w:top w:val="nil"/>
              <w:left w:val="nil"/>
              <w:bottom w:val="single" w:sz="4" w:space="0" w:color="auto"/>
              <w:right w:val="single" w:sz="4" w:space="0" w:color="auto"/>
            </w:tcBorders>
            <w:shd w:val="clear" w:color="auto" w:fill="C6EFCE"/>
            <w:noWrap/>
            <w:vAlign w:val="center"/>
          </w:tcPr>
          <w:p w14:paraId="1CDD6B3F" w14:textId="77777777" w:rsidR="006054AA" w:rsidRDefault="001F7667">
            <w:pPr>
              <w:pStyle w:val="P68B1DB1-Normal48"/>
              <w:jc w:val="center"/>
              <w:rPr>
                <w:noProof/>
              </w:rPr>
            </w:pPr>
            <w:r>
              <w:rPr>
                <w:noProof/>
              </w:rPr>
              <w:t>План за реорганизация, одобрен от Министерството на здравеопазването/италианските региони</w:t>
            </w:r>
          </w:p>
        </w:tc>
      </w:tr>
      <w:tr w:rsidR="006054AA" w14:paraId="5081195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F95A11" w14:textId="77777777" w:rsidR="006054AA" w:rsidRDefault="006054AA">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5D010E46" w14:textId="77777777" w:rsidR="006054AA" w:rsidRDefault="006054AA">
            <w:pPr>
              <w:rPr>
                <w:noProof/>
                <w:color w:val="006100"/>
                <w:sz w:val="20"/>
              </w:rPr>
            </w:pPr>
          </w:p>
        </w:tc>
        <w:tc>
          <w:tcPr>
            <w:tcW w:w="1455" w:type="dxa"/>
            <w:tcBorders>
              <w:top w:val="single" w:sz="4" w:space="0" w:color="auto"/>
              <w:left w:val="nil"/>
              <w:bottom w:val="single" w:sz="4" w:space="0" w:color="auto"/>
              <w:right w:val="single" w:sz="4" w:space="0" w:color="auto"/>
            </w:tcBorders>
            <w:shd w:val="clear" w:color="auto" w:fill="C6EFCE"/>
            <w:noWrap/>
            <w:vAlign w:val="bottom"/>
          </w:tcPr>
          <w:p w14:paraId="0C8D73F1" w14:textId="77777777" w:rsidR="006054AA" w:rsidRDefault="001F7667">
            <w:pPr>
              <w:pStyle w:val="P68B1DB1-Normal12"/>
              <w:rPr>
                <w:noProof/>
              </w:rPr>
            </w:pPr>
            <w:r>
              <w:rPr>
                <w:noProof/>
              </w:rPr>
              <w:t>Размер на вноската</w:t>
            </w:r>
          </w:p>
        </w:tc>
        <w:tc>
          <w:tcPr>
            <w:tcW w:w="3975" w:type="dxa"/>
            <w:tcBorders>
              <w:top w:val="single" w:sz="4" w:space="0" w:color="auto"/>
              <w:left w:val="nil"/>
              <w:bottom w:val="single" w:sz="4" w:space="0" w:color="auto"/>
              <w:right w:val="single" w:sz="4" w:space="0" w:color="auto"/>
            </w:tcBorders>
            <w:shd w:val="clear" w:color="auto" w:fill="C6EFCE"/>
            <w:noWrap/>
            <w:vAlign w:val="bottom"/>
          </w:tcPr>
          <w:p w14:paraId="29A5963B" w14:textId="5BF24E3C" w:rsidR="006054AA" w:rsidRDefault="001F7667">
            <w:pPr>
              <w:pStyle w:val="P68B1DB1-Normal46"/>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5580BDCD" w14:textId="7C565BD2" w:rsidR="006054AA" w:rsidRDefault="001F7667">
      <w:pPr>
        <w:pStyle w:val="P68B1DB1-Normal44"/>
        <w:numPr>
          <w:ilvl w:val="1"/>
          <w:numId w:val="6"/>
        </w:numPr>
        <w:spacing w:before="120" w:after="120"/>
        <w:jc w:val="both"/>
        <w:rPr>
          <w:noProof/>
        </w:rPr>
      </w:pPr>
      <w:r>
        <w:rPr>
          <w:noProof/>
        </w:rPr>
        <w:t>Втора вноска (подкрепа под формата на заем):</w:t>
      </w:r>
    </w:p>
    <w:tbl>
      <w:tblPr>
        <w:tblW w:w="10096" w:type="dxa"/>
        <w:tblInd w:w="113" w:type="dxa"/>
        <w:tblLook w:val="04A0" w:firstRow="1" w:lastRow="0" w:firstColumn="1" w:lastColumn="0" w:noHBand="0" w:noVBand="1"/>
      </w:tblPr>
      <w:tblGrid>
        <w:gridCol w:w="1413"/>
        <w:gridCol w:w="3195"/>
        <w:gridCol w:w="1453"/>
        <w:gridCol w:w="4035"/>
      </w:tblGrid>
      <w:tr w:rsidR="006054AA" w14:paraId="2B67401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82C480" w14:textId="77777777" w:rsidR="006054AA" w:rsidRDefault="001F7667">
            <w:pPr>
              <w:pStyle w:val="P68B1DB1-Normal45"/>
              <w:jc w:val="center"/>
              <w:rPr>
                <w:noProof/>
              </w:rPr>
            </w:pPr>
            <w:r>
              <w:rPr>
                <w:noProof/>
              </w:rPr>
              <w:t>Пореден номер</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B941D0" w14:textId="77777777" w:rsidR="006054AA" w:rsidRDefault="001F7667">
            <w:pPr>
              <w:pStyle w:val="P68B1DB1-Normal45"/>
              <w:jc w:val="center"/>
              <w:rPr>
                <w:noProof/>
              </w:rPr>
            </w:pPr>
            <w:r>
              <w:rPr>
                <w:noProof/>
              </w:rPr>
              <w:t>Свързана мярка (реформа или инвестиции)</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1E7DD6" w14:textId="77777777" w:rsidR="006054AA" w:rsidRDefault="001F7667">
            <w:pPr>
              <w:pStyle w:val="P68B1DB1-Normal45"/>
              <w:jc w:val="center"/>
              <w:rPr>
                <w:noProof/>
              </w:rPr>
            </w:pPr>
            <w:r>
              <w:rPr>
                <w:noProof/>
              </w:rPr>
              <w:t>Ключов етап/Цел</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CE5A33" w14:textId="77777777" w:rsidR="006054AA" w:rsidRDefault="001F7667">
            <w:pPr>
              <w:pStyle w:val="P68B1DB1-Normal45"/>
              <w:jc w:val="center"/>
              <w:rPr>
                <w:noProof/>
              </w:rPr>
            </w:pPr>
            <w:r>
              <w:rPr>
                <w:noProof/>
              </w:rPr>
              <w:t>Име</w:t>
            </w:r>
          </w:p>
        </w:tc>
      </w:tr>
      <w:tr w:rsidR="006054AA" w14:paraId="7BD35D9E"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12FCBD" w14:textId="77777777" w:rsidR="006054AA" w:rsidRDefault="006054AA">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7A76A996" w14:textId="77777777" w:rsidR="006054AA" w:rsidRDefault="006054AA">
            <w:pPr>
              <w:rPr>
                <w:b/>
                <w:noProof/>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3554D1E9" w14:textId="77777777" w:rsidR="006054AA" w:rsidRDefault="006054AA">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12059936" w14:textId="77777777" w:rsidR="006054AA" w:rsidRDefault="006054AA">
            <w:pPr>
              <w:rPr>
                <w:b/>
                <w:noProof/>
              </w:rPr>
            </w:pPr>
          </w:p>
        </w:tc>
      </w:tr>
      <w:tr w:rsidR="006054AA" w14:paraId="3F51A56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B6EA8" w14:textId="77777777" w:rsidR="006054AA" w:rsidRDefault="001F7667">
            <w:pPr>
              <w:pStyle w:val="P68B1DB1-Normal12"/>
              <w:rPr>
                <w:noProof/>
              </w:rPr>
            </w:pPr>
            <w:r>
              <w:rPr>
                <w:noProof/>
              </w:rPr>
              <w:t>M1C2—28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911167" w14:textId="77777777" w:rsidR="006054AA" w:rsidRDefault="001F7667">
            <w:pPr>
              <w:pStyle w:val="P68B1DB1-Normal12"/>
              <w:rPr>
                <w:noProof/>
              </w:rPr>
            </w:pPr>
            <w:r>
              <w:rPr>
                <w:noProof/>
              </w:rPr>
              <w:t>Инвестиция 5.2: Конкурентоспособност и устойчивост на веригите на доставки</w:t>
            </w:r>
          </w:p>
        </w:tc>
        <w:tc>
          <w:tcPr>
            <w:tcW w:w="1453" w:type="dxa"/>
            <w:tcBorders>
              <w:top w:val="single" w:sz="4" w:space="0" w:color="auto"/>
              <w:left w:val="nil"/>
              <w:bottom w:val="single" w:sz="4" w:space="0" w:color="auto"/>
              <w:right w:val="single" w:sz="4" w:space="0" w:color="auto"/>
            </w:tcBorders>
            <w:shd w:val="clear" w:color="auto" w:fill="C6EFCE"/>
            <w:noWrap/>
            <w:vAlign w:val="center"/>
          </w:tcPr>
          <w:p w14:paraId="4B556553" w14:textId="77777777" w:rsidR="006054AA" w:rsidRDefault="001F7667">
            <w:pPr>
              <w:pStyle w:val="P68B1DB1-Normal12"/>
              <w:rPr>
                <w:noProof/>
              </w:rPr>
            </w:pPr>
            <w:r>
              <w:rPr>
                <w:noProof/>
              </w:rPr>
              <w:t>Ключов етап</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261CF0E1" w14:textId="77777777" w:rsidR="006054AA" w:rsidRDefault="001F7667">
            <w:pPr>
              <w:pStyle w:val="P68B1DB1-Normal12"/>
              <w:jc w:val="center"/>
              <w:rPr>
                <w:noProof/>
              </w:rPr>
            </w:pPr>
            <w:r>
              <w:rPr>
                <w:noProof/>
              </w:rPr>
              <w:t>Влизане в сила на постановление, включващо инвестиционната политика на договорите за развитие</w:t>
            </w:r>
          </w:p>
        </w:tc>
      </w:tr>
      <w:tr w:rsidR="006054AA" w14:paraId="569A96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434D11" w14:textId="77777777" w:rsidR="006054AA" w:rsidRDefault="001F7667">
            <w:pPr>
              <w:pStyle w:val="P68B1DB1-Normal12"/>
              <w:rPr>
                <w:noProof/>
              </w:rPr>
            </w:pPr>
            <w:r>
              <w:rPr>
                <w:noProof/>
              </w:rPr>
              <w:t>M2C4—27</w:t>
            </w:r>
          </w:p>
        </w:tc>
        <w:tc>
          <w:tcPr>
            <w:tcW w:w="3195" w:type="dxa"/>
            <w:tcBorders>
              <w:top w:val="nil"/>
              <w:left w:val="nil"/>
              <w:bottom w:val="single" w:sz="4" w:space="0" w:color="auto"/>
              <w:right w:val="single" w:sz="4" w:space="0" w:color="auto"/>
            </w:tcBorders>
            <w:shd w:val="clear" w:color="auto" w:fill="C6EFCE"/>
            <w:noWrap/>
            <w:vAlign w:val="center"/>
          </w:tcPr>
          <w:p w14:paraId="42F04730" w14:textId="77777777" w:rsidR="006054AA" w:rsidRDefault="001F7667">
            <w:pPr>
              <w:pStyle w:val="P68B1DB1-Normal12"/>
              <w:rPr>
                <w:noProof/>
              </w:rPr>
            </w:pPr>
            <w:r>
              <w:rPr>
                <w:noProof/>
              </w:rPr>
              <w:t>Реформа 4.1. Опростяване на законодателството и укрепване на управлението за осъществяване на инвестиции във водоснабдителната инфраструктура</w:t>
            </w:r>
          </w:p>
        </w:tc>
        <w:tc>
          <w:tcPr>
            <w:tcW w:w="1453" w:type="dxa"/>
            <w:tcBorders>
              <w:top w:val="nil"/>
              <w:left w:val="nil"/>
              <w:bottom w:val="single" w:sz="4" w:space="0" w:color="auto"/>
              <w:right w:val="single" w:sz="4" w:space="0" w:color="auto"/>
            </w:tcBorders>
            <w:shd w:val="clear" w:color="auto" w:fill="C6EFCE"/>
            <w:noWrap/>
            <w:vAlign w:val="center"/>
          </w:tcPr>
          <w:p w14:paraId="16E7D741"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573991C8" w14:textId="77777777" w:rsidR="006054AA" w:rsidRDefault="001F7667">
            <w:pPr>
              <w:pStyle w:val="P68B1DB1-Normal12"/>
              <w:jc w:val="center"/>
              <w:rPr>
                <w:noProof/>
              </w:rPr>
            </w:pPr>
            <w:r>
              <w:rPr>
                <w:noProof/>
              </w:rPr>
              <w:t xml:space="preserve">Влизане в сила на опростяването на законодателството за интервенции в първичната водна инфраструктура за сигурността на водоснабдяването </w:t>
            </w:r>
          </w:p>
        </w:tc>
      </w:tr>
      <w:tr w:rsidR="006054AA" w14:paraId="186072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0F5A0" w14:textId="77777777" w:rsidR="006054AA" w:rsidRDefault="001F7667">
            <w:pPr>
              <w:pStyle w:val="P68B1DB1-Normal12"/>
              <w:rPr>
                <w:noProof/>
              </w:rPr>
            </w:pPr>
            <w:r>
              <w:rPr>
                <w:noProof/>
              </w:rPr>
              <w:t>M5C2—11</w:t>
            </w:r>
          </w:p>
        </w:tc>
        <w:tc>
          <w:tcPr>
            <w:tcW w:w="3195" w:type="dxa"/>
            <w:tcBorders>
              <w:top w:val="nil"/>
              <w:left w:val="nil"/>
              <w:bottom w:val="single" w:sz="4" w:space="0" w:color="auto"/>
              <w:right w:val="single" w:sz="4" w:space="0" w:color="auto"/>
            </w:tcBorders>
            <w:shd w:val="clear" w:color="auto" w:fill="C6EFCE"/>
            <w:noWrap/>
            <w:vAlign w:val="center"/>
          </w:tcPr>
          <w:p w14:paraId="055BBF77" w14:textId="77777777" w:rsidR="006054AA" w:rsidRDefault="001F7667">
            <w:pPr>
              <w:pStyle w:val="P68B1DB1-Normal12"/>
              <w:rPr>
                <w:noProof/>
              </w:rPr>
            </w:pPr>
            <w:r>
              <w:rPr>
                <w:noProof/>
              </w:rPr>
              <w:t>Инвестиция 4 — Инвестиции в проекти за обновяване на градската среда, насочени към намаляване на ситуациите на маргинализация и социално влошаване</w:t>
            </w:r>
          </w:p>
        </w:tc>
        <w:tc>
          <w:tcPr>
            <w:tcW w:w="1453" w:type="dxa"/>
            <w:tcBorders>
              <w:top w:val="nil"/>
              <w:left w:val="nil"/>
              <w:bottom w:val="single" w:sz="4" w:space="0" w:color="auto"/>
              <w:right w:val="single" w:sz="4" w:space="0" w:color="auto"/>
            </w:tcBorders>
            <w:shd w:val="clear" w:color="auto" w:fill="C6EFCE"/>
            <w:noWrap/>
            <w:vAlign w:val="center"/>
          </w:tcPr>
          <w:p w14:paraId="2BCCDE85"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6D81672F" w14:textId="77777777" w:rsidR="006054AA" w:rsidRDefault="001F7667">
            <w:pPr>
              <w:pStyle w:val="P68B1DB1-Normal12"/>
              <w:jc w:val="center"/>
              <w:rPr>
                <w:noProof/>
              </w:rPr>
            </w:pPr>
            <w:r>
              <w:rPr>
                <w:noProof/>
              </w:rPr>
              <w:t>Възлагане на всички обществени поръчки за инвестиции в обновяването на градската среда с цел намаляване на ситуациите на маргинализация и социално влошаване, като проектите са в съответствие с целите на МВУ, включително принципа за ненанасяне на значителни вреди</w:t>
            </w:r>
          </w:p>
        </w:tc>
      </w:tr>
      <w:tr w:rsidR="006054AA" w14:paraId="71D65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0B1A86" w14:textId="77777777" w:rsidR="006054AA" w:rsidRDefault="001F7667">
            <w:pPr>
              <w:pStyle w:val="P68B1DB1-Normal12"/>
              <w:rPr>
                <w:noProof/>
              </w:rPr>
            </w:pPr>
            <w:r>
              <w:rPr>
                <w:noProof/>
              </w:rPr>
              <w:t>M5C2—15</w:t>
            </w:r>
          </w:p>
        </w:tc>
        <w:tc>
          <w:tcPr>
            <w:tcW w:w="3195" w:type="dxa"/>
            <w:tcBorders>
              <w:top w:val="nil"/>
              <w:left w:val="nil"/>
              <w:bottom w:val="single" w:sz="4" w:space="0" w:color="auto"/>
              <w:right w:val="single" w:sz="4" w:space="0" w:color="auto"/>
            </w:tcBorders>
            <w:shd w:val="clear" w:color="auto" w:fill="C6EFCE"/>
            <w:noWrap/>
            <w:vAlign w:val="center"/>
          </w:tcPr>
          <w:p w14:paraId="10055F66" w14:textId="77777777" w:rsidR="006054AA" w:rsidRDefault="001F7667">
            <w:pPr>
              <w:pStyle w:val="P68B1DB1-Normal12"/>
              <w:rPr>
                <w:noProof/>
              </w:rPr>
            </w:pPr>
            <w:r>
              <w:rPr>
                <w:noProof/>
              </w:rPr>
              <w:t>Инвестиция 5 — Интегрирани градоустройствени планове — Преодоляване на незаконните селища за борба с трудовата експлоатация в селското стопанство</w:t>
            </w:r>
          </w:p>
        </w:tc>
        <w:tc>
          <w:tcPr>
            <w:tcW w:w="1453" w:type="dxa"/>
            <w:tcBorders>
              <w:top w:val="nil"/>
              <w:left w:val="nil"/>
              <w:bottom w:val="single" w:sz="4" w:space="0" w:color="auto"/>
              <w:right w:val="single" w:sz="4" w:space="0" w:color="auto"/>
            </w:tcBorders>
            <w:shd w:val="clear" w:color="auto" w:fill="C6EFCE"/>
            <w:noWrap/>
            <w:vAlign w:val="center"/>
          </w:tcPr>
          <w:p w14:paraId="392981EE"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086A51F2" w14:textId="77777777" w:rsidR="006054AA" w:rsidRDefault="001F7667">
            <w:pPr>
              <w:pStyle w:val="P68B1DB1-Normal12"/>
              <w:jc w:val="center"/>
              <w:rPr>
                <w:noProof/>
              </w:rPr>
            </w:pPr>
            <w:r>
              <w:rPr>
                <w:noProof/>
              </w:rPr>
              <w:t>Влизането в сила на министерското постановление, с което се определя картографирането на незаконните селища, се приема от „Tavolo di contrasto allo sfruttamento lavorativo in agricoltura“, а министерското постановление за разпределяне на ресурсите се приема</w:t>
            </w:r>
          </w:p>
        </w:tc>
      </w:tr>
      <w:tr w:rsidR="006054AA" w14:paraId="46A839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40FFBF" w14:textId="77777777" w:rsidR="006054AA" w:rsidRDefault="001F7667">
            <w:pPr>
              <w:pStyle w:val="P68B1DB1-Normal12"/>
              <w:rPr>
                <w:noProof/>
              </w:rPr>
            </w:pPr>
            <w:r>
              <w:rPr>
                <w:noProof/>
              </w:rPr>
              <w:t>M5C2—19</w:t>
            </w:r>
          </w:p>
        </w:tc>
        <w:tc>
          <w:tcPr>
            <w:tcW w:w="3195" w:type="dxa"/>
            <w:tcBorders>
              <w:top w:val="nil"/>
              <w:left w:val="nil"/>
              <w:bottom w:val="single" w:sz="4" w:space="0" w:color="auto"/>
              <w:right w:val="single" w:sz="4" w:space="0" w:color="auto"/>
            </w:tcBorders>
            <w:shd w:val="clear" w:color="auto" w:fill="C6EFCE"/>
            <w:noWrap/>
            <w:vAlign w:val="center"/>
          </w:tcPr>
          <w:p w14:paraId="46A01089" w14:textId="77777777" w:rsidR="006054AA" w:rsidRDefault="001F7667">
            <w:pPr>
              <w:pStyle w:val="P68B1DB1-Normal12"/>
              <w:rPr>
                <w:noProof/>
              </w:rPr>
            </w:pPr>
            <w:r>
              <w:rPr>
                <w:noProof/>
              </w:rPr>
              <w:t>Инвестиция 6 — Програма за иновации за качество на жилищата</w:t>
            </w:r>
          </w:p>
        </w:tc>
        <w:tc>
          <w:tcPr>
            <w:tcW w:w="1453" w:type="dxa"/>
            <w:tcBorders>
              <w:top w:val="nil"/>
              <w:left w:val="nil"/>
              <w:bottom w:val="single" w:sz="4" w:space="0" w:color="auto"/>
              <w:right w:val="single" w:sz="4" w:space="0" w:color="auto"/>
            </w:tcBorders>
            <w:shd w:val="clear" w:color="auto" w:fill="C6EFCE"/>
            <w:noWrap/>
            <w:vAlign w:val="center"/>
          </w:tcPr>
          <w:p w14:paraId="05A742EC"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7CBF0177" w14:textId="77777777" w:rsidR="006054AA" w:rsidRDefault="001F7667">
            <w:pPr>
              <w:pStyle w:val="P68B1DB1-Normal12"/>
              <w:jc w:val="center"/>
              <w:rPr>
                <w:noProof/>
              </w:rPr>
            </w:pPr>
            <w:r>
              <w:rPr>
                <w:noProof/>
              </w:rPr>
              <w:t>Региони и автономни провинции (включително общини и/или метрополни градове, разположени на тези територии) са подписали споразуменията за преустройство и увеличаване на социалните жилища</w:t>
            </w:r>
          </w:p>
        </w:tc>
      </w:tr>
      <w:tr w:rsidR="006054AA" w14:paraId="6E1B6C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A3727D" w14:textId="77777777" w:rsidR="006054AA" w:rsidRDefault="001F7667">
            <w:pPr>
              <w:pStyle w:val="P68B1DB1-Normal12"/>
              <w:rPr>
                <w:noProof/>
              </w:rPr>
            </w:pPr>
            <w:r>
              <w:rPr>
                <w:noProof/>
              </w:rPr>
              <w:t>M1C2—16</w:t>
            </w:r>
          </w:p>
        </w:tc>
        <w:tc>
          <w:tcPr>
            <w:tcW w:w="3195" w:type="dxa"/>
            <w:tcBorders>
              <w:top w:val="nil"/>
              <w:left w:val="nil"/>
              <w:bottom w:val="single" w:sz="4" w:space="0" w:color="auto"/>
              <w:right w:val="single" w:sz="4" w:space="0" w:color="auto"/>
            </w:tcBorders>
            <w:shd w:val="clear" w:color="auto" w:fill="C6EFCE"/>
            <w:noWrap/>
            <w:vAlign w:val="center"/>
          </w:tcPr>
          <w:p w14:paraId="1F6BE94C" w14:textId="77777777" w:rsidR="006054AA" w:rsidRDefault="001F7667">
            <w:pPr>
              <w:pStyle w:val="P68B1DB1-Normal12"/>
              <w:rPr>
                <w:noProof/>
              </w:rPr>
            </w:pPr>
            <w:r>
              <w:rPr>
                <w:noProof/>
              </w:rPr>
              <w:t>Инвестиция 3: Бързи интернет връзки (свръхшироколентов достъп и 5G)</w:t>
            </w:r>
          </w:p>
        </w:tc>
        <w:tc>
          <w:tcPr>
            <w:tcW w:w="1453" w:type="dxa"/>
            <w:tcBorders>
              <w:top w:val="nil"/>
              <w:left w:val="nil"/>
              <w:bottom w:val="single" w:sz="4" w:space="0" w:color="auto"/>
              <w:right w:val="single" w:sz="4" w:space="0" w:color="auto"/>
            </w:tcBorders>
            <w:shd w:val="clear" w:color="auto" w:fill="C6EFCE"/>
            <w:noWrap/>
            <w:vAlign w:val="center"/>
          </w:tcPr>
          <w:p w14:paraId="09E1D1D1"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373B0429" w14:textId="77777777" w:rsidR="006054AA" w:rsidRDefault="001F7667">
            <w:pPr>
              <w:pStyle w:val="P68B1DB1-Normal12"/>
              <w:jc w:val="center"/>
              <w:rPr>
                <w:noProof/>
              </w:rPr>
            </w:pPr>
            <w:r>
              <w:rPr>
                <w:noProof/>
              </w:rPr>
              <w:t>Възлагане на всички обществени поръчки за проекти за по-бързо свързване</w:t>
            </w:r>
          </w:p>
        </w:tc>
      </w:tr>
      <w:tr w:rsidR="006054AA" w14:paraId="71D9E9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BF2D5" w14:textId="77777777" w:rsidR="006054AA" w:rsidRDefault="001F7667">
            <w:pPr>
              <w:pStyle w:val="P68B1DB1-Normal12"/>
              <w:rPr>
                <w:noProof/>
              </w:rPr>
            </w:pPr>
            <w:r>
              <w:rPr>
                <w:noProof/>
              </w:rPr>
              <w:t>M1C3—12</w:t>
            </w:r>
          </w:p>
        </w:tc>
        <w:tc>
          <w:tcPr>
            <w:tcW w:w="3195" w:type="dxa"/>
            <w:tcBorders>
              <w:top w:val="nil"/>
              <w:left w:val="nil"/>
              <w:bottom w:val="single" w:sz="4" w:space="0" w:color="auto"/>
              <w:right w:val="single" w:sz="4" w:space="0" w:color="auto"/>
            </w:tcBorders>
            <w:shd w:val="clear" w:color="auto" w:fill="C6EFCE"/>
            <w:noWrap/>
            <w:vAlign w:val="center"/>
          </w:tcPr>
          <w:p w14:paraId="243FAFD2" w14:textId="77777777" w:rsidR="006054AA" w:rsidRDefault="001F7667">
            <w:pPr>
              <w:pStyle w:val="P68B1DB1-Normal12"/>
              <w:rPr>
                <w:noProof/>
              </w:rPr>
            </w:pPr>
            <w:r>
              <w:rPr>
                <w:noProof/>
              </w:rPr>
              <w:t>Инвестиция 2.1 — привлекателност на малък исторически град</w:t>
            </w:r>
          </w:p>
        </w:tc>
        <w:tc>
          <w:tcPr>
            <w:tcW w:w="1453" w:type="dxa"/>
            <w:tcBorders>
              <w:top w:val="nil"/>
              <w:left w:val="nil"/>
              <w:bottom w:val="single" w:sz="4" w:space="0" w:color="auto"/>
              <w:right w:val="single" w:sz="4" w:space="0" w:color="auto"/>
            </w:tcBorders>
            <w:shd w:val="clear" w:color="auto" w:fill="C6EFCE"/>
            <w:noWrap/>
            <w:vAlign w:val="center"/>
          </w:tcPr>
          <w:p w14:paraId="3A48C7FB"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152CC6F9" w14:textId="77777777" w:rsidR="006054AA" w:rsidRDefault="001F7667">
            <w:pPr>
              <w:pStyle w:val="P68B1DB1-Normal12"/>
              <w:jc w:val="center"/>
              <w:rPr>
                <w:noProof/>
              </w:rPr>
            </w:pPr>
            <w:r>
              <w:rPr>
                <w:noProof/>
              </w:rPr>
              <w:t xml:space="preserve">Влизане в сила на постановлението на Министерството на културата за предоставяне на средства на общините за привлекателността на малките исторически градове  </w:t>
            </w:r>
          </w:p>
        </w:tc>
      </w:tr>
      <w:tr w:rsidR="006054AA" w14:paraId="6E9AB5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D89E5E" w14:textId="77777777" w:rsidR="006054AA" w:rsidRDefault="001F7667">
            <w:pPr>
              <w:pStyle w:val="P68B1DB1-Normal12"/>
              <w:rPr>
                <w:noProof/>
              </w:rPr>
            </w:pPr>
            <w:r>
              <w:rPr>
                <w:noProof/>
              </w:rPr>
              <w:t>M1C3—13</w:t>
            </w:r>
          </w:p>
        </w:tc>
        <w:tc>
          <w:tcPr>
            <w:tcW w:w="3195" w:type="dxa"/>
            <w:tcBorders>
              <w:top w:val="nil"/>
              <w:left w:val="nil"/>
              <w:bottom w:val="single" w:sz="4" w:space="0" w:color="auto"/>
              <w:right w:val="single" w:sz="4" w:space="0" w:color="auto"/>
            </w:tcBorders>
            <w:shd w:val="clear" w:color="auto" w:fill="C6EFCE"/>
            <w:noWrap/>
            <w:vAlign w:val="center"/>
          </w:tcPr>
          <w:p w14:paraId="4440632D" w14:textId="77777777" w:rsidR="006054AA" w:rsidRDefault="001F7667">
            <w:pPr>
              <w:pStyle w:val="P68B1DB1-Normal12"/>
              <w:rPr>
                <w:noProof/>
              </w:rPr>
            </w:pPr>
            <w:r>
              <w:rPr>
                <w:noProof/>
              </w:rPr>
              <w:t>Инвестиция 2.2 — Опазване и подобряване на структурата и ландшафта на селските райони</w:t>
            </w:r>
          </w:p>
        </w:tc>
        <w:tc>
          <w:tcPr>
            <w:tcW w:w="1453" w:type="dxa"/>
            <w:tcBorders>
              <w:top w:val="nil"/>
              <w:left w:val="nil"/>
              <w:bottom w:val="single" w:sz="4" w:space="0" w:color="auto"/>
              <w:right w:val="single" w:sz="4" w:space="0" w:color="auto"/>
            </w:tcBorders>
            <w:shd w:val="clear" w:color="auto" w:fill="C6EFCE"/>
            <w:noWrap/>
            <w:vAlign w:val="center"/>
          </w:tcPr>
          <w:p w14:paraId="752985D1"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54FFA646" w14:textId="77777777" w:rsidR="006054AA" w:rsidRDefault="001F7667">
            <w:pPr>
              <w:pStyle w:val="P68B1DB1-Normal12"/>
              <w:jc w:val="center"/>
              <w:rPr>
                <w:noProof/>
              </w:rPr>
            </w:pPr>
            <w:r>
              <w:rPr>
                <w:noProof/>
              </w:rPr>
              <w:t xml:space="preserve">Влизане в сила на постановлението на Министерството на културата за разпределението на ресурсите: за опазване и подобряване на структурата и ландшафта на селските райони </w:t>
            </w:r>
          </w:p>
        </w:tc>
      </w:tr>
      <w:tr w:rsidR="006054AA" w14:paraId="33478F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2A3E10" w14:textId="77777777" w:rsidR="006054AA" w:rsidRDefault="001F7667">
            <w:pPr>
              <w:pStyle w:val="P68B1DB1-Normal12"/>
              <w:rPr>
                <w:noProof/>
              </w:rPr>
            </w:pPr>
            <w:r>
              <w:rPr>
                <w:noProof/>
              </w:rPr>
              <w:t>M1C3—14</w:t>
            </w:r>
          </w:p>
        </w:tc>
        <w:tc>
          <w:tcPr>
            <w:tcW w:w="3195" w:type="dxa"/>
            <w:tcBorders>
              <w:top w:val="nil"/>
              <w:left w:val="nil"/>
              <w:bottom w:val="single" w:sz="4" w:space="0" w:color="auto"/>
              <w:right w:val="single" w:sz="4" w:space="0" w:color="auto"/>
            </w:tcBorders>
            <w:shd w:val="clear" w:color="auto" w:fill="C6EFCE"/>
            <w:noWrap/>
            <w:vAlign w:val="center"/>
          </w:tcPr>
          <w:p w14:paraId="2F9BC5A7" w14:textId="77777777" w:rsidR="006054AA" w:rsidRDefault="001F7667">
            <w:pPr>
              <w:pStyle w:val="P68B1DB1-Normal12"/>
              <w:rPr>
                <w:noProof/>
              </w:rPr>
            </w:pPr>
            <w:r>
              <w:rPr>
                <w:noProof/>
              </w:rPr>
              <w:t>Инвестиция 2.3 — Програми за подобряване на идентичността на местата, парковете и историческите градини</w:t>
            </w:r>
          </w:p>
        </w:tc>
        <w:tc>
          <w:tcPr>
            <w:tcW w:w="1453" w:type="dxa"/>
            <w:tcBorders>
              <w:top w:val="nil"/>
              <w:left w:val="nil"/>
              <w:bottom w:val="single" w:sz="4" w:space="0" w:color="auto"/>
              <w:right w:val="single" w:sz="4" w:space="0" w:color="auto"/>
            </w:tcBorders>
            <w:shd w:val="clear" w:color="auto" w:fill="C6EFCE"/>
            <w:noWrap/>
            <w:vAlign w:val="center"/>
          </w:tcPr>
          <w:p w14:paraId="05FA6958"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72A807FE" w14:textId="77777777" w:rsidR="006054AA" w:rsidRDefault="001F7667">
            <w:pPr>
              <w:pStyle w:val="P68B1DB1-Normal12"/>
              <w:jc w:val="center"/>
              <w:rPr>
                <w:noProof/>
              </w:rPr>
            </w:pPr>
            <w:r>
              <w:rPr>
                <w:noProof/>
              </w:rPr>
              <w:t xml:space="preserve">Влизане в сила на постановлението на Министерството на културата за разпределението на ресурсите: за проекти за подобряване на идентичността на местата, парковете и историческите градини </w:t>
            </w:r>
          </w:p>
        </w:tc>
      </w:tr>
      <w:tr w:rsidR="006054AA" w14:paraId="3DD5FA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66DD09" w14:textId="77777777" w:rsidR="006054AA" w:rsidRDefault="001F7667">
            <w:pPr>
              <w:pStyle w:val="P68B1DB1-Normal12"/>
              <w:rPr>
                <w:noProof/>
              </w:rPr>
            </w:pPr>
            <w:r>
              <w:rPr>
                <w:noProof/>
              </w:rPr>
              <w:t>M1C3—15</w:t>
            </w:r>
          </w:p>
        </w:tc>
        <w:tc>
          <w:tcPr>
            <w:tcW w:w="3195" w:type="dxa"/>
            <w:tcBorders>
              <w:top w:val="nil"/>
              <w:left w:val="nil"/>
              <w:bottom w:val="single" w:sz="4" w:space="0" w:color="auto"/>
              <w:right w:val="single" w:sz="4" w:space="0" w:color="auto"/>
            </w:tcBorders>
            <w:shd w:val="clear" w:color="auto" w:fill="C6EFCE"/>
            <w:noWrap/>
            <w:vAlign w:val="center"/>
          </w:tcPr>
          <w:p w14:paraId="143A949D" w14:textId="77777777" w:rsidR="006054AA" w:rsidRDefault="001F7667">
            <w:pPr>
              <w:pStyle w:val="P68B1DB1-Normal12"/>
              <w:rPr>
                <w:noProof/>
              </w:rPr>
            </w:pPr>
            <w:r>
              <w:rPr>
                <w:noProof/>
              </w:rPr>
              <w:t>Инвестиция 2.4 — Зеизмична безопасност на местата за богослужение, реставрация на културното наследство и приюти за произведения на изкуството</w:t>
            </w:r>
          </w:p>
        </w:tc>
        <w:tc>
          <w:tcPr>
            <w:tcW w:w="1453" w:type="dxa"/>
            <w:tcBorders>
              <w:top w:val="nil"/>
              <w:left w:val="nil"/>
              <w:bottom w:val="single" w:sz="4" w:space="0" w:color="auto"/>
              <w:right w:val="single" w:sz="4" w:space="0" w:color="auto"/>
            </w:tcBorders>
            <w:shd w:val="clear" w:color="auto" w:fill="C6EFCE"/>
            <w:noWrap/>
            <w:vAlign w:val="center"/>
          </w:tcPr>
          <w:p w14:paraId="2664058E"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6635ED1A" w14:textId="77777777" w:rsidR="006054AA" w:rsidRDefault="001F7667">
            <w:pPr>
              <w:pStyle w:val="P68B1DB1-Normal12"/>
              <w:jc w:val="center"/>
              <w:rPr>
                <w:noProof/>
              </w:rPr>
            </w:pPr>
            <w:r>
              <w:rPr>
                <w:noProof/>
              </w:rPr>
              <w:t xml:space="preserve">Влизане в сила на постановлението на Министерството на културата за разпределението на ресурсите: за сеизмична безопасност вместо богослужение и възстановяване на културното наследство (Fondo Edifici di Culto) </w:t>
            </w:r>
          </w:p>
        </w:tc>
      </w:tr>
      <w:tr w:rsidR="006054AA" w14:paraId="27EFF9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5FF38" w14:textId="77777777" w:rsidR="006054AA" w:rsidRDefault="001F7667">
            <w:pPr>
              <w:pStyle w:val="P68B1DB1-Normal12"/>
              <w:rPr>
                <w:noProof/>
              </w:rPr>
            </w:pPr>
            <w:r>
              <w:rPr>
                <w:noProof/>
              </w:rPr>
              <w:t>M1C3—35</w:t>
            </w:r>
          </w:p>
        </w:tc>
        <w:tc>
          <w:tcPr>
            <w:tcW w:w="3195" w:type="dxa"/>
            <w:tcBorders>
              <w:top w:val="nil"/>
              <w:left w:val="nil"/>
              <w:bottom w:val="single" w:sz="4" w:space="0" w:color="auto"/>
              <w:right w:val="single" w:sz="4" w:space="0" w:color="auto"/>
            </w:tcBorders>
            <w:shd w:val="clear" w:color="auto" w:fill="C6EFCE"/>
            <w:noWrap/>
            <w:vAlign w:val="center"/>
          </w:tcPr>
          <w:p w14:paraId="7C4CE154" w14:textId="77777777" w:rsidR="006054AA" w:rsidRDefault="001F7667">
            <w:pPr>
              <w:pStyle w:val="P68B1DB1-Normal12"/>
              <w:rPr>
                <w:noProof/>
              </w:rPr>
            </w:pPr>
            <w:r>
              <w:rPr>
                <w:noProof/>
              </w:rPr>
              <w:t>— Инвестиции — 4.3 Caput Mundi-Next Generation EU за големи туристически прояви</w:t>
            </w:r>
          </w:p>
        </w:tc>
        <w:tc>
          <w:tcPr>
            <w:tcW w:w="1453" w:type="dxa"/>
            <w:tcBorders>
              <w:top w:val="nil"/>
              <w:left w:val="nil"/>
              <w:bottom w:val="single" w:sz="4" w:space="0" w:color="auto"/>
              <w:right w:val="single" w:sz="4" w:space="0" w:color="auto"/>
            </w:tcBorders>
            <w:shd w:val="clear" w:color="auto" w:fill="C6EFCE"/>
            <w:noWrap/>
            <w:vAlign w:val="center"/>
          </w:tcPr>
          <w:p w14:paraId="2C6D597D"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7A0EE18E" w14:textId="77777777" w:rsidR="006054AA" w:rsidRDefault="001F7667">
            <w:pPr>
              <w:pStyle w:val="P68B1DB1-Normal12"/>
              <w:jc w:val="center"/>
              <w:rPr>
                <w:noProof/>
              </w:rPr>
            </w:pPr>
            <w:r>
              <w:rPr>
                <w:noProof/>
              </w:rPr>
              <w:t>Подписване на всяко споразумение за шест проекта между Министерство на туризма и бенефициери/изпълнителни органи</w:t>
            </w:r>
          </w:p>
        </w:tc>
      </w:tr>
      <w:tr w:rsidR="006054AA" w14:paraId="30B965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53BDF5" w14:textId="77777777" w:rsidR="006054AA" w:rsidRDefault="001F7667">
            <w:pPr>
              <w:pStyle w:val="P68B1DB1-Normal12"/>
              <w:rPr>
                <w:noProof/>
              </w:rPr>
            </w:pPr>
            <w:r>
              <w:rPr>
                <w:noProof/>
              </w:rPr>
              <w:t>M2C1—13</w:t>
            </w:r>
          </w:p>
        </w:tc>
        <w:tc>
          <w:tcPr>
            <w:tcW w:w="3195" w:type="dxa"/>
            <w:tcBorders>
              <w:top w:val="nil"/>
              <w:left w:val="nil"/>
              <w:bottom w:val="single" w:sz="4" w:space="0" w:color="auto"/>
              <w:right w:val="single" w:sz="4" w:space="0" w:color="auto"/>
            </w:tcBorders>
            <w:shd w:val="clear" w:color="auto" w:fill="C6EFCE"/>
            <w:noWrap/>
            <w:vAlign w:val="center"/>
          </w:tcPr>
          <w:p w14:paraId="73AB3711" w14:textId="77777777" w:rsidR="006054AA" w:rsidRDefault="001F7667">
            <w:pPr>
              <w:pStyle w:val="P68B1DB1-Normal12"/>
              <w:rPr>
                <w:noProof/>
              </w:rPr>
            </w:pPr>
            <w:r>
              <w:rPr>
                <w:noProof/>
              </w:rPr>
              <w:t>Реформа 1.2 — Национална програма за управление на отпадъците</w:t>
            </w:r>
          </w:p>
        </w:tc>
        <w:tc>
          <w:tcPr>
            <w:tcW w:w="1453" w:type="dxa"/>
            <w:tcBorders>
              <w:top w:val="nil"/>
              <w:left w:val="nil"/>
              <w:bottom w:val="single" w:sz="4" w:space="0" w:color="auto"/>
              <w:right w:val="single" w:sz="4" w:space="0" w:color="auto"/>
            </w:tcBorders>
            <w:shd w:val="clear" w:color="auto" w:fill="C6EFCE"/>
            <w:noWrap/>
            <w:vAlign w:val="center"/>
          </w:tcPr>
          <w:p w14:paraId="0A6C89EE"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00F42198" w14:textId="77777777" w:rsidR="006054AA" w:rsidRDefault="001F7667">
            <w:pPr>
              <w:pStyle w:val="P68B1DB1-Normal12"/>
              <w:jc w:val="center"/>
              <w:rPr>
                <w:noProof/>
              </w:rPr>
            </w:pPr>
            <w:r>
              <w:rPr>
                <w:noProof/>
              </w:rPr>
              <w:t>Влизане в сила на Министерския указ за Националната програма за управление на отпадъците</w:t>
            </w:r>
          </w:p>
        </w:tc>
      </w:tr>
      <w:tr w:rsidR="006054AA" w14:paraId="6266D1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6BB948" w14:textId="77777777" w:rsidR="006054AA" w:rsidRDefault="001F7667">
            <w:pPr>
              <w:pStyle w:val="P68B1DB1-Normal12"/>
              <w:rPr>
                <w:noProof/>
              </w:rPr>
            </w:pPr>
            <w:r>
              <w:rPr>
                <w:noProof/>
              </w:rPr>
              <w:t>M2C2—52</w:t>
            </w:r>
          </w:p>
        </w:tc>
        <w:tc>
          <w:tcPr>
            <w:tcW w:w="3195" w:type="dxa"/>
            <w:tcBorders>
              <w:top w:val="nil"/>
              <w:left w:val="nil"/>
              <w:bottom w:val="single" w:sz="4" w:space="0" w:color="auto"/>
              <w:right w:val="single" w:sz="4" w:space="0" w:color="auto"/>
            </w:tcBorders>
            <w:shd w:val="clear" w:color="auto" w:fill="C6EFCE"/>
            <w:noWrap/>
            <w:vAlign w:val="center"/>
          </w:tcPr>
          <w:p w14:paraId="66AFD223" w14:textId="77777777" w:rsidR="006054AA" w:rsidRDefault="001F7667">
            <w:pPr>
              <w:pStyle w:val="P68B1DB1-Normal12"/>
              <w:rPr>
                <w:noProof/>
              </w:rPr>
            </w:pPr>
            <w:r>
              <w:rPr>
                <w:noProof/>
              </w:rPr>
              <w:t>Инвестиция 5.2 Водород</w:t>
            </w:r>
          </w:p>
        </w:tc>
        <w:tc>
          <w:tcPr>
            <w:tcW w:w="1453" w:type="dxa"/>
            <w:tcBorders>
              <w:top w:val="nil"/>
              <w:left w:val="nil"/>
              <w:bottom w:val="single" w:sz="4" w:space="0" w:color="auto"/>
              <w:right w:val="single" w:sz="4" w:space="0" w:color="auto"/>
            </w:tcBorders>
            <w:shd w:val="clear" w:color="auto" w:fill="C6EFCE"/>
            <w:noWrap/>
            <w:vAlign w:val="center"/>
          </w:tcPr>
          <w:p w14:paraId="021D7C1C"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402EE728" w14:textId="77777777" w:rsidR="006054AA" w:rsidRDefault="001F7667">
            <w:pPr>
              <w:pStyle w:val="P68B1DB1-Normal12"/>
              <w:jc w:val="center"/>
              <w:rPr>
                <w:noProof/>
              </w:rPr>
            </w:pPr>
            <w:r>
              <w:rPr>
                <w:noProof/>
              </w:rPr>
              <w:t>Производство на електролизьори</w:t>
            </w:r>
          </w:p>
        </w:tc>
      </w:tr>
      <w:tr w:rsidR="006054AA" w14:paraId="0B8C7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700486" w14:textId="77777777" w:rsidR="006054AA" w:rsidRDefault="001F7667">
            <w:pPr>
              <w:pStyle w:val="P68B1DB1-Normal12"/>
              <w:rPr>
                <w:noProof/>
              </w:rPr>
            </w:pPr>
            <w:r>
              <w:rPr>
                <w:noProof/>
              </w:rPr>
              <w:t>M4C2—11</w:t>
            </w:r>
          </w:p>
        </w:tc>
        <w:tc>
          <w:tcPr>
            <w:tcW w:w="3195" w:type="dxa"/>
            <w:tcBorders>
              <w:top w:val="nil"/>
              <w:left w:val="nil"/>
              <w:bottom w:val="single" w:sz="4" w:space="0" w:color="auto"/>
              <w:right w:val="single" w:sz="4" w:space="0" w:color="auto"/>
            </w:tcBorders>
            <w:shd w:val="clear" w:color="auto" w:fill="C6EFCE"/>
            <w:noWrap/>
            <w:vAlign w:val="center"/>
          </w:tcPr>
          <w:p w14:paraId="6D6A3FC0" w14:textId="77777777" w:rsidR="006054AA" w:rsidRDefault="001F7667">
            <w:pPr>
              <w:pStyle w:val="P68B1DB1-Normal12"/>
              <w:rPr>
                <w:noProof/>
              </w:rPr>
            </w:pPr>
            <w:r>
              <w:rPr>
                <w:noProof/>
              </w:rPr>
              <w:t xml:space="preserve">Инвестиция 2.1: ВПОИ </w:t>
            </w:r>
          </w:p>
        </w:tc>
        <w:tc>
          <w:tcPr>
            <w:tcW w:w="1453" w:type="dxa"/>
            <w:tcBorders>
              <w:top w:val="nil"/>
              <w:left w:val="nil"/>
              <w:bottom w:val="single" w:sz="4" w:space="0" w:color="auto"/>
              <w:right w:val="single" w:sz="4" w:space="0" w:color="auto"/>
            </w:tcBorders>
            <w:shd w:val="clear" w:color="auto" w:fill="C6EFCE"/>
            <w:noWrap/>
            <w:vAlign w:val="center"/>
          </w:tcPr>
          <w:p w14:paraId="201C95FF" w14:textId="77777777" w:rsidR="006054AA" w:rsidRDefault="001F7667">
            <w:pPr>
              <w:pStyle w:val="P68B1DB1-Normal12"/>
              <w:rPr>
                <w:noProof/>
              </w:rPr>
            </w:pPr>
            <w:r>
              <w:rPr>
                <w:noProof/>
              </w:rPr>
              <w:t xml:space="preserve">Ключов етап </w:t>
            </w:r>
          </w:p>
        </w:tc>
        <w:tc>
          <w:tcPr>
            <w:tcW w:w="4035" w:type="dxa"/>
            <w:tcBorders>
              <w:top w:val="nil"/>
              <w:left w:val="nil"/>
              <w:bottom w:val="single" w:sz="4" w:space="0" w:color="auto"/>
              <w:right w:val="single" w:sz="4" w:space="0" w:color="auto"/>
            </w:tcBorders>
            <w:shd w:val="clear" w:color="auto" w:fill="C6EFCE"/>
            <w:noWrap/>
            <w:vAlign w:val="center"/>
          </w:tcPr>
          <w:p w14:paraId="03B32B30" w14:textId="77777777" w:rsidR="006054AA" w:rsidRDefault="001F7667">
            <w:pPr>
              <w:pStyle w:val="P68B1DB1-Normal12"/>
              <w:jc w:val="center"/>
              <w:rPr>
                <w:noProof/>
              </w:rPr>
            </w:pPr>
            <w:r>
              <w:rPr>
                <w:noProof/>
              </w:rPr>
              <w:t>Влизане в сила на национален правен акт за разпределяне на необходимото финансиране за предоставяне на подкрепа на участниците в проектите.</w:t>
            </w:r>
          </w:p>
        </w:tc>
      </w:tr>
      <w:tr w:rsidR="006054AA" w14:paraId="2A18F0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F8B8D9" w14:textId="77777777" w:rsidR="006054AA" w:rsidRDefault="001F7667">
            <w:pPr>
              <w:pStyle w:val="P68B1DB1-Normal12"/>
              <w:rPr>
                <w:noProof/>
              </w:rPr>
            </w:pPr>
            <w:r>
              <w:rPr>
                <w:noProof/>
              </w:rPr>
              <w:t>M4C2—17</w:t>
            </w:r>
          </w:p>
        </w:tc>
        <w:tc>
          <w:tcPr>
            <w:tcW w:w="3195" w:type="dxa"/>
            <w:tcBorders>
              <w:top w:val="nil"/>
              <w:left w:val="nil"/>
              <w:bottom w:val="single" w:sz="4" w:space="0" w:color="auto"/>
              <w:right w:val="single" w:sz="4" w:space="0" w:color="auto"/>
            </w:tcBorders>
            <w:shd w:val="clear" w:color="auto" w:fill="C6EFCE"/>
            <w:noWrap/>
            <w:vAlign w:val="center"/>
          </w:tcPr>
          <w:p w14:paraId="51D831F3" w14:textId="77777777" w:rsidR="006054AA" w:rsidRDefault="001F7667">
            <w:pPr>
              <w:pStyle w:val="P68B1DB1-Normal12"/>
              <w:rPr>
                <w:noProof/>
              </w:rPr>
            </w:pPr>
            <w:r>
              <w:rPr>
                <w:noProof/>
              </w:rPr>
              <w:t>Инвестиция 3.1: Фонд за изграждане на интегрирана система от инфраструктури за научни изследвания и иновации; Инвестиция</w:t>
            </w:r>
          </w:p>
        </w:tc>
        <w:tc>
          <w:tcPr>
            <w:tcW w:w="1453" w:type="dxa"/>
            <w:tcBorders>
              <w:top w:val="nil"/>
              <w:left w:val="nil"/>
              <w:bottom w:val="single" w:sz="4" w:space="0" w:color="auto"/>
              <w:right w:val="single" w:sz="4" w:space="0" w:color="auto"/>
            </w:tcBorders>
            <w:shd w:val="clear" w:color="auto" w:fill="C6EFCE"/>
            <w:noWrap/>
            <w:vAlign w:val="center"/>
          </w:tcPr>
          <w:p w14:paraId="6E011E4D"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3BF466CF" w14:textId="77777777" w:rsidR="006054AA" w:rsidRDefault="001F7667">
            <w:pPr>
              <w:pStyle w:val="P68B1DB1-Normal12"/>
              <w:jc w:val="center"/>
              <w:rPr>
                <w:noProof/>
              </w:rPr>
            </w:pPr>
            <w:r>
              <w:rPr>
                <w:noProof/>
              </w:rPr>
              <w:t>Възлагане на договори за проекти, отнасящи се до: интегрирана система от инфраструктури за научни изследвания и иновации</w:t>
            </w:r>
          </w:p>
        </w:tc>
      </w:tr>
      <w:tr w:rsidR="006054AA" w14:paraId="3CE23F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8E49E" w14:textId="77777777" w:rsidR="006054AA" w:rsidRDefault="001F7667">
            <w:pPr>
              <w:pStyle w:val="P68B1DB1-Normal12"/>
              <w:rPr>
                <w:noProof/>
              </w:rPr>
            </w:pPr>
            <w:r>
              <w:rPr>
                <w:noProof/>
              </w:rPr>
              <w:t>M4C2—18</w:t>
            </w:r>
          </w:p>
        </w:tc>
        <w:tc>
          <w:tcPr>
            <w:tcW w:w="3195" w:type="dxa"/>
            <w:tcBorders>
              <w:top w:val="nil"/>
              <w:left w:val="nil"/>
              <w:bottom w:val="single" w:sz="4" w:space="0" w:color="auto"/>
              <w:right w:val="single" w:sz="4" w:space="0" w:color="auto"/>
            </w:tcBorders>
            <w:shd w:val="clear" w:color="auto" w:fill="C6EFCE"/>
            <w:noWrap/>
            <w:vAlign w:val="center"/>
          </w:tcPr>
          <w:p w14:paraId="4AF73EEA" w14:textId="77777777" w:rsidR="006054AA" w:rsidRDefault="001F7667">
            <w:pPr>
              <w:pStyle w:val="P68B1DB1-Normal12"/>
              <w:rPr>
                <w:noProof/>
              </w:rPr>
            </w:pPr>
            <w:r>
              <w:rPr>
                <w:noProof/>
              </w:rPr>
              <w:t>Invesment1.5: Създаване и укрепване на „екосистеми за иновации за устойчивост „, изграждане на „териториални лидери на научноизследователската и развойната дейност“</w:t>
            </w:r>
          </w:p>
        </w:tc>
        <w:tc>
          <w:tcPr>
            <w:tcW w:w="1453" w:type="dxa"/>
            <w:tcBorders>
              <w:top w:val="nil"/>
              <w:left w:val="nil"/>
              <w:bottom w:val="single" w:sz="4" w:space="0" w:color="auto"/>
              <w:right w:val="single" w:sz="4" w:space="0" w:color="auto"/>
            </w:tcBorders>
            <w:shd w:val="clear" w:color="auto" w:fill="C6EFCE"/>
            <w:noWrap/>
            <w:vAlign w:val="center"/>
          </w:tcPr>
          <w:p w14:paraId="0A3575B9"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3FF1DE19" w14:textId="77777777" w:rsidR="006054AA" w:rsidRDefault="001F7667">
            <w:pPr>
              <w:pStyle w:val="P68B1DB1-Normal12"/>
              <w:jc w:val="center"/>
              <w:rPr>
                <w:noProof/>
              </w:rPr>
            </w:pPr>
            <w:r>
              <w:rPr>
                <w:noProof/>
              </w:rPr>
              <w:t>Възлагане на договори за проекти, свързани с иновационни екосистеми;</w:t>
            </w:r>
          </w:p>
        </w:tc>
      </w:tr>
      <w:tr w:rsidR="006054AA" w14:paraId="6AA04E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9D5505" w14:textId="77777777" w:rsidR="006054AA" w:rsidRDefault="001F7667">
            <w:pPr>
              <w:pStyle w:val="P68B1DB1-Normal12"/>
              <w:rPr>
                <w:noProof/>
              </w:rPr>
            </w:pPr>
            <w:r>
              <w:rPr>
                <w:noProof/>
              </w:rPr>
              <w:t>M4C2—19</w:t>
            </w:r>
          </w:p>
        </w:tc>
        <w:tc>
          <w:tcPr>
            <w:tcW w:w="3195" w:type="dxa"/>
            <w:tcBorders>
              <w:top w:val="nil"/>
              <w:left w:val="nil"/>
              <w:bottom w:val="single" w:sz="4" w:space="0" w:color="auto"/>
              <w:right w:val="single" w:sz="4" w:space="0" w:color="auto"/>
            </w:tcBorders>
            <w:shd w:val="clear" w:color="auto" w:fill="C6EFCE"/>
            <w:noWrap/>
            <w:vAlign w:val="center"/>
          </w:tcPr>
          <w:p w14:paraId="04D36DD9" w14:textId="77777777" w:rsidR="006054AA" w:rsidRDefault="001F7667">
            <w:pPr>
              <w:pStyle w:val="P68B1DB1-Normal12"/>
              <w:rPr>
                <w:noProof/>
              </w:rPr>
            </w:pPr>
            <w:r>
              <w:rPr>
                <w:noProof/>
              </w:rPr>
              <w:t>Инвестиция 1.4: Укрепване на научноизследователските структури и подкрепа за създаването на „национални лидери в областта на НИРД“ по отношение на някои главни базови технологии</w:t>
            </w:r>
          </w:p>
        </w:tc>
        <w:tc>
          <w:tcPr>
            <w:tcW w:w="1453" w:type="dxa"/>
            <w:tcBorders>
              <w:top w:val="nil"/>
              <w:left w:val="nil"/>
              <w:bottom w:val="single" w:sz="4" w:space="0" w:color="auto"/>
              <w:right w:val="single" w:sz="4" w:space="0" w:color="auto"/>
            </w:tcBorders>
            <w:shd w:val="clear" w:color="auto" w:fill="C6EFCE"/>
            <w:noWrap/>
            <w:vAlign w:val="center"/>
          </w:tcPr>
          <w:p w14:paraId="3E29C6D1"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63BD277A" w14:textId="77777777" w:rsidR="006054AA" w:rsidRDefault="001F7667">
            <w:pPr>
              <w:pStyle w:val="P68B1DB1-Normal12"/>
              <w:jc w:val="center"/>
              <w:rPr>
                <w:noProof/>
              </w:rPr>
            </w:pPr>
            <w:r>
              <w:rPr>
                <w:noProof/>
              </w:rPr>
              <w:t>Възлагане на договори за проекти, свързани с национални ръководители на НИРД в областта на главните базови технологии</w:t>
            </w:r>
          </w:p>
        </w:tc>
      </w:tr>
      <w:tr w:rsidR="006054AA" w14:paraId="1CE328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E52DC2" w14:textId="77777777" w:rsidR="006054AA" w:rsidRDefault="001F7667">
            <w:pPr>
              <w:pStyle w:val="P68B1DB1-Normal12"/>
              <w:rPr>
                <w:noProof/>
              </w:rPr>
            </w:pPr>
            <w:r>
              <w:rPr>
                <w:noProof/>
              </w:rPr>
              <w:t>M4C2—20</w:t>
            </w:r>
          </w:p>
        </w:tc>
        <w:tc>
          <w:tcPr>
            <w:tcW w:w="3195" w:type="dxa"/>
            <w:tcBorders>
              <w:top w:val="nil"/>
              <w:left w:val="nil"/>
              <w:bottom w:val="single" w:sz="4" w:space="0" w:color="auto"/>
              <w:right w:val="single" w:sz="4" w:space="0" w:color="auto"/>
            </w:tcBorders>
            <w:shd w:val="clear" w:color="auto" w:fill="C6EFCE"/>
            <w:noWrap/>
            <w:vAlign w:val="center"/>
          </w:tcPr>
          <w:p w14:paraId="4D193189" w14:textId="77777777" w:rsidR="006054AA" w:rsidRDefault="001F7667">
            <w:pPr>
              <w:pStyle w:val="P68B1DB1-Normal12"/>
              <w:rPr>
                <w:noProof/>
              </w:rPr>
            </w:pPr>
            <w:r>
              <w:rPr>
                <w:noProof/>
              </w:rPr>
              <w:t>Инвестиция 3.2: Финансиране на стартиращи предприятия</w:t>
            </w:r>
          </w:p>
        </w:tc>
        <w:tc>
          <w:tcPr>
            <w:tcW w:w="1453" w:type="dxa"/>
            <w:tcBorders>
              <w:top w:val="nil"/>
              <w:left w:val="nil"/>
              <w:bottom w:val="single" w:sz="4" w:space="0" w:color="auto"/>
              <w:right w:val="single" w:sz="4" w:space="0" w:color="auto"/>
            </w:tcBorders>
            <w:shd w:val="clear" w:color="auto" w:fill="C6EFCE"/>
            <w:noWrap/>
            <w:vAlign w:val="center"/>
          </w:tcPr>
          <w:p w14:paraId="5A8E283D"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1AAA9357" w14:textId="77777777" w:rsidR="006054AA" w:rsidRDefault="001F7667">
            <w:pPr>
              <w:pStyle w:val="P68B1DB1-Normal12"/>
              <w:jc w:val="center"/>
              <w:rPr>
                <w:noProof/>
              </w:rPr>
            </w:pPr>
            <w:r>
              <w:rPr>
                <w:noProof/>
              </w:rPr>
              <w:t>Споразумението между правителството на информационните технологии и партньора по изпълнението Cassa Depositi e Prestiti (CDP) за създаване на подписания финансов инструмент</w:t>
            </w:r>
          </w:p>
        </w:tc>
      </w:tr>
      <w:tr w:rsidR="006054AA" w14:paraId="05C7B9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9B6369" w14:textId="77777777" w:rsidR="006054AA" w:rsidRDefault="001F7667">
            <w:pPr>
              <w:pStyle w:val="P68B1DB1-Normal12"/>
              <w:rPr>
                <w:noProof/>
              </w:rPr>
            </w:pPr>
            <w:r>
              <w:rPr>
                <w:noProof/>
              </w:rPr>
              <w:t>M6C1—1</w:t>
            </w:r>
          </w:p>
        </w:tc>
        <w:tc>
          <w:tcPr>
            <w:tcW w:w="3195" w:type="dxa"/>
            <w:tcBorders>
              <w:top w:val="nil"/>
              <w:left w:val="nil"/>
              <w:bottom w:val="single" w:sz="4" w:space="0" w:color="auto"/>
              <w:right w:val="single" w:sz="4" w:space="0" w:color="auto"/>
            </w:tcBorders>
            <w:shd w:val="clear" w:color="auto" w:fill="C6EFCE"/>
            <w:noWrap/>
            <w:vAlign w:val="center"/>
          </w:tcPr>
          <w:p w14:paraId="51419DB1" w14:textId="77777777" w:rsidR="006054AA" w:rsidRDefault="001F7667">
            <w:pPr>
              <w:pStyle w:val="P68B1DB1-Normal12"/>
              <w:rPr>
                <w:noProof/>
              </w:rPr>
            </w:pPr>
            <w:r>
              <w:rPr>
                <w:noProof/>
              </w:rPr>
              <w:t>Реформа 1:  Определяне на нов организационен модел за Териториалната мрежа за здравно подпомагане</w:t>
            </w:r>
          </w:p>
        </w:tc>
        <w:tc>
          <w:tcPr>
            <w:tcW w:w="1453" w:type="dxa"/>
            <w:tcBorders>
              <w:top w:val="nil"/>
              <w:left w:val="nil"/>
              <w:bottom w:val="single" w:sz="4" w:space="0" w:color="auto"/>
              <w:right w:val="single" w:sz="4" w:space="0" w:color="auto"/>
            </w:tcBorders>
            <w:shd w:val="clear" w:color="auto" w:fill="C6EFCE"/>
            <w:noWrap/>
            <w:vAlign w:val="center"/>
          </w:tcPr>
          <w:p w14:paraId="5D4B7461"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32BC885A" w14:textId="77777777" w:rsidR="006054AA" w:rsidRDefault="001F7667">
            <w:pPr>
              <w:pStyle w:val="P68B1DB1-Normal12"/>
              <w:jc w:val="center"/>
              <w:rPr>
                <w:noProof/>
              </w:rPr>
            </w:pPr>
            <w:r>
              <w:rPr>
                <w:noProof/>
              </w:rPr>
              <w:t>Влизане в сила на вторичното законодателство (министерско постановление), предвиждащо реформа на организацията на здравеопазването.</w:t>
            </w:r>
          </w:p>
        </w:tc>
      </w:tr>
      <w:tr w:rsidR="006054AA" w14:paraId="17C13B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D67B8" w14:textId="77777777" w:rsidR="006054AA" w:rsidRDefault="001F7667">
            <w:pPr>
              <w:pStyle w:val="P68B1DB1-Normal12"/>
              <w:rPr>
                <w:noProof/>
              </w:rPr>
            </w:pPr>
            <w:r>
              <w:rPr>
                <w:noProof/>
              </w:rPr>
              <w:t>M6C1—2</w:t>
            </w:r>
          </w:p>
        </w:tc>
        <w:tc>
          <w:tcPr>
            <w:tcW w:w="3195" w:type="dxa"/>
            <w:tcBorders>
              <w:top w:val="nil"/>
              <w:left w:val="nil"/>
              <w:bottom w:val="single" w:sz="4" w:space="0" w:color="auto"/>
              <w:right w:val="single" w:sz="4" w:space="0" w:color="auto"/>
            </w:tcBorders>
            <w:shd w:val="clear" w:color="auto" w:fill="C6EFCE"/>
            <w:noWrap/>
            <w:vAlign w:val="center"/>
          </w:tcPr>
          <w:p w14:paraId="1AF0D271" w14:textId="77777777" w:rsidR="006054AA" w:rsidRDefault="001F7667">
            <w:pPr>
              <w:pStyle w:val="P68B1DB1-Normal12"/>
              <w:rPr>
                <w:noProof/>
              </w:rPr>
            </w:pPr>
            <w:r>
              <w:rPr>
                <w:noProof/>
              </w:rPr>
              <w:t>Инвестиция 1.1: Общински здравни домове за подобряване на териториалното здравно подпомагане</w:t>
            </w:r>
          </w:p>
        </w:tc>
        <w:tc>
          <w:tcPr>
            <w:tcW w:w="1453" w:type="dxa"/>
            <w:tcBorders>
              <w:top w:val="nil"/>
              <w:left w:val="nil"/>
              <w:bottom w:val="single" w:sz="4" w:space="0" w:color="auto"/>
              <w:right w:val="single" w:sz="4" w:space="0" w:color="auto"/>
            </w:tcBorders>
            <w:shd w:val="clear" w:color="auto" w:fill="C6EFCE"/>
            <w:noWrap/>
            <w:vAlign w:val="center"/>
          </w:tcPr>
          <w:p w14:paraId="23C5EF4D"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7B7A23ED" w14:textId="77777777" w:rsidR="006054AA" w:rsidRDefault="001F7667">
            <w:pPr>
              <w:pStyle w:val="P68B1DB1-Normal12"/>
              <w:jc w:val="center"/>
              <w:rPr>
                <w:noProof/>
              </w:rPr>
            </w:pPr>
            <w:r>
              <w:rPr>
                <w:noProof/>
              </w:rPr>
              <w:t xml:space="preserve">Одобряване на договор за институционално развитие </w:t>
            </w:r>
          </w:p>
        </w:tc>
      </w:tr>
      <w:tr w:rsidR="006054AA" w14:paraId="02BCBE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20E9E3" w14:textId="77777777" w:rsidR="006054AA" w:rsidRDefault="001F7667">
            <w:pPr>
              <w:pStyle w:val="P68B1DB1-Normal12"/>
              <w:rPr>
                <w:noProof/>
              </w:rPr>
            </w:pPr>
            <w:r>
              <w:rPr>
                <w:noProof/>
              </w:rPr>
              <w:t>M6C1—4</w:t>
            </w:r>
          </w:p>
        </w:tc>
        <w:tc>
          <w:tcPr>
            <w:tcW w:w="3195" w:type="dxa"/>
            <w:tcBorders>
              <w:top w:val="nil"/>
              <w:left w:val="nil"/>
              <w:bottom w:val="single" w:sz="4" w:space="0" w:color="auto"/>
              <w:right w:val="single" w:sz="4" w:space="0" w:color="auto"/>
            </w:tcBorders>
            <w:shd w:val="clear" w:color="auto" w:fill="C6EFCE"/>
            <w:noWrap/>
            <w:vAlign w:val="center"/>
          </w:tcPr>
          <w:p w14:paraId="68B99A4E" w14:textId="77777777" w:rsidR="006054AA" w:rsidRDefault="001F7667">
            <w:pPr>
              <w:pStyle w:val="P68B1DB1-Normal12"/>
              <w:rPr>
                <w:noProof/>
              </w:rPr>
            </w:pPr>
            <w:r>
              <w:rPr>
                <w:noProof/>
              </w:rPr>
              <w:t>Инвестиция 1.2: Дом като първо място за полагане на грижи и телемедицина</w:t>
            </w:r>
          </w:p>
        </w:tc>
        <w:tc>
          <w:tcPr>
            <w:tcW w:w="1453" w:type="dxa"/>
            <w:tcBorders>
              <w:top w:val="nil"/>
              <w:left w:val="nil"/>
              <w:bottom w:val="single" w:sz="4" w:space="0" w:color="auto"/>
              <w:right w:val="single" w:sz="4" w:space="0" w:color="auto"/>
            </w:tcBorders>
            <w:shd w:val="clear" w:color="auto" w:fill="C6EFCE"/>
            <w:noWrap/>
            <w:vAlign w:val="center"/>
          </w:tcPr>
          <w:p w14:paraId="33619175"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4115F74B" w14:textId="77777777" w:rsidR="006054AA" w:rsidRDefault="001F7667">
            <w:pPr>
              <w:pStyle w:val="P68B1DB1-Normal12"/>
              <w:jc w:val="center"/>
              <w:rPr>
                <w:noProof/>
              </w:rPr>
            </w:pPr>
            <w:r>
              <w:rPr>
                <w:noProof/>
              </w:rPr>
              <w:t>Одобряване на насоките, съдържащи цифровия модел за въвеждане на домашни грижи</w:t>
            </w:r>
          </w:p>
        </w:tc>
      </w:tr>
      <w:tr w:rsidR="006054AA" w14:paraId="7598F2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7CA11" w14:textId="77777777" w:rsidR="006054AA" w:rsidRDefault="001F7667">
            <w:pPr>
              <w:pStyle w:val="P68B1DB1-Normal12"/>
              <w:rPr>
                <w:noProof/>
              </w:rPr>
            </w:pPr>
            <w:r>
              <w:rPr>
                <w:noProof/>
              </w:rPr>
              <w:t>M6C1—5</w:t>
            </w:r>
          </w:p>
        </w:tc>
        <w:tc>
          <w:tcPr>
            <w:tcW w:w="3195" w:type="dxa"/>
            <w:tcBorders>
              <w:top w:val="nil"/>
              <w:left w:val="nil"/>
              <w:bottom w:val="single" w:sz="4" w:space="0" w:color="auto"/>
              <w:right w:val="single" w:sz="4" w:space="0" w:color="auto"/>
            </w:tcBorders>
            <w:shd w:val="clear" w:color="auto" w:fill="C6EFCE"/>
            <w:noWrap/>
            <w:vAlign w:val="center"/>
          </w:tcPr>
          <w:p w14:paraId="7A6FB73B" w14:textId="77777777" w:rsidR="006054AA" w:rsidRDefault="001F7667">
            <w:pPr>
              <w:pStyle w:val="P68B1DB1-Normal12"/>
              <w:rPr>
                <w:noProof/>
              </w:rPr>
            </w:pPr>
            <w:r>
              <w:rPr>
                <w:noProof/>
              </w:rPr>
              <w:t>Инвестиция 1.2: Дом като първо място за полагане на грижи и телемедицина</w:t>
            </w:r>
          </w:p>
        </w:tc>
        <w:tc>
          <w:tcPr>
            <w:tcW w:w="1453" w:type="dxa"/>
            <w:tcBorders>
              <w:top w:val="nil"/>
              <w:left w:val="nil"/>
              <w:bottom w:val="single" w:sz="4" w:space="0" w:color="auto"/>
              <w:right w:val="single" w:sz="4" w:space="0" w:color="auto"/>
            </w:tcBorders>
            <w:shd w:val="clear" w:color="auto" w:fill="C6EFCE"/>
            <w:noWrap/>
            <w:vAlign w:val="center"/>
          </w:tcPr>
          <w:p w14:paraId="2AD54719"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53155CE1" w14:textId="77777777" w:rsidR="006054AA" w:rsidRDefault="001F7667">
            <w:pPr>
              <w:pStyle w:val="P68B1DB1-Normal12"/>
              <w:jc w:val="center"/>
              <w:rPr>
                <w:noProof/>
              </w:rPr>
            </w:pPr>
            <w:r>
              <w:rPr>
                <w:noProof/>
              </w:rPr>
              <w:t xml:space="preserve">Договор за институционално развитие, одобрен от Министерството на здравеопазването и регионите </w:t>
            </w:r>
          </w:p>
        </w:tc>
      </w:tr>
      <w:tr w:rsidR="006054AA" w14:paraId="75634B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E5B74" w14:textId="77777777" w:rsidR="006054AA" w:rsidRDefault="001F7667">
            <w:pPr>
              <w:pStyle w:val="P68B1DB1-Normal12"/>
              <w:rPr>
                <w:noProof/>
              </w:rPr>
            </w:pPr>
            <w:r>
              <w:rPr>
                <w:noProof/>
              </w:rPr>
              <w:t>M6C1—10</w:t>
            </w:r>
          </w:p>
        </w:tc>
        <w:tc>
          <w:tcPr>
            <w:tcW w:w="3195" w:type="dxa"/>
            <w:tcBorders>
              <w:top w:val="nil"/>
              <w:left w:val="nil"/>
              <w:bottom w:val="single" w:sz="4" w:space="0" w:color="auto"/>
              <w:right w:val="single" w:sz="4" w:space="0" w:color="auto"/>
            </w:tcBorders>
            <w:shd w:val="clear" w:color="auto" w:fill="C6EFCE"/>
            <w:noWrap/>
            <w:vAlign w:val="center"/>
          </w:tcPr>
          <w:p w14:paraId="61271C39" w14:textId="77777777" w:rsidR="006054AA" w:rsidRDefault="001F7667">
            <w:pPr>
              <w:pStyle w:val="P68B1DB1-Normal12"/>
              <w:rPr>
                <w:noProof/>
              </w:rPr>
            </w:pPr>
            <w:r>
              <w:rPr>
                <w:noProof/>
              </w:rPr>
              <w:t>Инвестиция 1.3: Укрепване на междинното здравно обслужване и неговите заведения (общински болници)</w:t>
            </w:r>
          </w:p>
        </w:tc>
        <w:tc>
          <w:tcPr>
            <w:tcW w:w="1453" w:type="dxa"/>
            <w:tcBorders>
              <w:top w:val="nil"/>
              <w:left w:val="nil"/>
              <w:bottom w:val="single" w:sz="4" w:space="0" w:color="auto"/>
              <w:right w:val="single" w:sz="4" w:space="0" w:color="auto"/>
            </w:tcBorders>
            <w:shd w:val="clear" w:color="auto" w:fill="C6EFCE"/>
            <w:noWrap/>
            <w:vAlign w:val="center"/>
          </w:tcPr>
          <w:p w14:paraId="3472A18E" w14:textId="77777777" w:rsidR="006054AA" w:rsidRDefault="001F7667">
            <w:pPr>
              <w:pStyle w:val="P68B1DB1-Normal12"/>
              <w:rPr>
                <w:noProof/>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2CAC9F2D" w14:textId="77777777" w:rsidR="006054AA" w:rsidRDefault="001F7667">
            <w:pPr>
              <w:pStyle w:val="P68B1DB1-Normal12"/>
              <w:jc w:val="center"/>
              <w:rPr>
                <w:noProof/>
              </w:rPr>
            </w:pPr>
            <w:r>
              <w:rPr>
                <w:noProof/>
              </w:rPr>
              <w:t>Одобряване на договор за институционално развитие (Contratto Istituzionale di Sviluppo)</w:t>
            </w:r>
          </w:p>
        </w:tc>
      </w:tr>
      <w:tr w:rsidR="006054AA" w14:paraId="346A4C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668C5C" w14:textId="77777777" w:rsidR="006054AA" w:rsidRDefault="001F7667">
            <w:pPr>
              <w:pStyle w:val="P68B1DB1-Normal12"/>
              <w:rPr>
                <w:noProof/>
              </w:rPr>
            </w:pPr>
            <w:r>
              <w:rPr>
                <w:noProof/>
              </w:rPr>
              <w:t>M6C2—5</w:t>
            </w:r>
          </w:p>
        </w:tc>
        <w:tc>
          <w:tcPr>
            <w:tcW w:w="3195" w:type="dxa"/>
            <w:tcBorders>
              <w:top w:val="nil"/>
              <w:left w:val="nil"/>
              <w:bottom w:val="single" w:sz="4" w:space="0" w:color="auto"/>
              <w:right w:val="single" w:sz="4" w:space="0" w:color="auto"/>
            </w:tcBorders>
            <w:shd w:val="clear" w:color="auto" w:fill="C6EFCE"/>
            <w:noWrap/>
            <w:vAlign w:val="center"/>
          </w:tcPr>
          <w:p w14:paraId="62239DD4" w14:textId="77777777" w:rsidR="006054AA" w:rsidRDefault="001F7667">
            <w:pPr>
              <w:pStyle w:val="P68B1DB1-Normal48"/>
              <w:rPr>
                <w:noProof/>
                <w:color w:val="006100"/>
              </w:rPr>
            </w:pPr>
            <w:r>
              <w:rPr>
                <w:noProof/>
              </w:rPr>
              <w:t>Инвестиция 1.1: Цифрова актуализация на технологичното оборудване на болниците</w:t>
            </w:r>
          </w:p>
        </w:tc>
        <w:tc>
          <w:tcPr>
            <w:tcW w:w="1453" w:type="dxa"/>
            <w:tcBorders>
              <w:top w:val="nil"/>
              <w:left w:val="nil"/>
              <w:bottom w:val="single" w:sz="4" w:space="0" w:color="auto"/>
              <w:right w:val="single" w:sz="4" w:space="0" w:color="auto"/>
            </w:tcBorders>
            <w:shd w:val="clear" w:color="auto" w:fill="C6EFCE"/>
            <w:noWrap/>
            <w:vAlign w:val="center"/>
          </w:tcPr>
          <w:p w14:paraId="0B6ACA53" w14:textId="77777777" w:rsidR="006054AA" w:rsidRDefault="001F7667">
            <w:pPr>
              <w:pStyle w:val="P68B1DB1-Normal48"/>
              <w:rPr>
                <w:noProof/>
                <w:color w:val="006100"/>
              </w:rPr>
            </w:pPr>
            <w:r>
              <w:rPr>
                <w:noProof/>
              </w:rPr>
              <w:t>Ключов етап</w:t>
            </w:r>
          </w:p>
        </w:tc>
        <w:tc>
          <w:tcPr>
            <w:tcW w:w="4035" w:type="dxa"/>
            <w:tcBorders>
              <w:top w:val="nil"/>
              <w:left w:val="nil"/>
              <w:bottom w:val="single" w:sz="4" w:space="0" w:color="auto"/>
              <w:right w:val="single" w:sz="4" w:space="0" w:color="auto"/>
            </w:tcBorders>
            <w:shd w:val="clear" w:color="auto" w:fill="C6EFCE"/>
            <w:noWrap/>
            <w:vAlign w:val="center"/>
          </w:tcPr>
          <w:p w14:paraId="1AE092BE" w14:textId="77777777" w:rsidR="006054AA" w:rsidRDefault="001F7667">
            <w:pPr>
              <w:pStyle w:val="P68B1DB1-Normal48"/>
              <w:jc w:val="center"/>
              <w:rPr>
                <w:noProof/>
              </w:rPr>
            </w:pPr>
            <w:r>
              <w:rPr>
                <w:noProof/>
              </w:rPr>
              <w:t>Одобряване на договора за институционално развитие</w:t>
            </w:r>
          </w:p>
        </w:tc>
      </w:tr>
      <w:tr w:rsidR="006054AA" w14:paraId="026DA9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06B826" w14:textId="77777777" w:rsidR="006054AA" w:rsidRDefault="006054AA">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5D3733B" w14:textId="77777777" w:rsidR="006054AA" w:rsidRDefault="006054AA">
            <w:pPr>
              <w:rPr>
                <w:noProof/>
                <w:color w:val="006100"/>
                <w:sz w:val="20"/>
              </w:rPr>
            </w:pPr>
          </w:p>
        </w:tc>
        <w:tc>
          <w:tcPr>
            <w:tcW w:w="1453" w:type="dxa"/>
            <w:tcBorders>
              <w:top w:val="single" w:sz="4" w:space="0" w:color="auto"/>
              <w:left w:val="nil"/>
              <w:bottom w:val="single" w:sz="4" w:space="0" w:color="auto"/>
              <w:right w:val="single" w:sz="4" w:space="0" w:color="auto"/>
            </w:tcBorders>
            <w:shd w:val="clear" w:color="auto" w:fill="C6EFCE"/>
            <w:noWrap/>
            <w:vAlign w:val="bottom"/>
          </w:tcPr>
          <w:p w14:paraId="0BF867CB" w14:textId="77777777" w:rsidR="006054AA" w:rsidRDefault="001F7667">
            <w:pPr>
              <w:pStyle w:val="P68B1DB1-Normal12"/>
              <w:rPr>
                <w:noProof/>
              </w:rPr>
            </w:pPr>
            <w:r>
              <w:rPr>
                <w:noProof/>
              </w:rPr>
              <w:t>Размер на вноската</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53B2838D" w14:textId="41722945" w:rsidR="006054AA" w:rsidRDefault="001F7667">
            <w:pPr>
              <w:pStyle w:val="P68B1DB1-Normal46"/>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25473B18" w14:textId="77777777" w:rsidR="006054AA" w:rsidRDefault="006054AA">
      <w:pPr>
        <w:spacing w:before="120" w:after="120"/>
        <w:jc w:val="both"/>
        <w:rPr>
          <w:rFonts w:eastAsia="Calibri"/>
          <w:noProof/>
        </w:rPr>
      </w:pPr>
    </w:p>
    <w:p w14:paraId="78BB3320" w14:textId="35DB9781" w:rsidR="006054AA" w:rsidRDefault="006054AA">
      <w:pPr>
        <w:spacing w:after="200" w:line="276" w:lineRule="auto"/>
        <w:rPr>
          <w:rFonts w:eastAsia="Calibri"/>
          <w:noProof/>
        </w:rPr>
      </w:pPr>
    </w:p>
    <w:p w14:paraId="5ED46D17" w14:textId="40A5438B" w:rsidR="006054AA" w:rsidRDefault="001F7667">
      <w:pPr>
        <w:pStyle w:val="P68B1DB1-Normal44"/>
        <w:spacing w:after="200" w:line="276" w:lineRule="auto"/>
        <w:rPr>
          <w:noProof/>
        </w:rPr>
      </w:pPr>
      <w:r>
        <w:rPr>
          <w:noProof/>
        </w:rPr>
        <w:br w:type="page"/>
      </w:r>
    </w:p>
    <w:p w14:paraId="46FE4F8B" w14:textId="45E25ECC" w:rsidR="006054AA" w:rsidRDefault="001F7667">
      <w:pPr>
        <w:pStyle w:val="P68B1DB1-Normal44"/>
        <w:numPr>
          <w:ilvl w:val="1"/>
          <w:numId w:val="6"/>
        </w:numPr>
        <w:spacing w:before="120" w:after="120"/>
        <w:jc w:val="both"/>
        <w:rPr>
          <w:noProof/>
        </w:rPr>
      </w:pPr>
      <w:r>
        <w:rPr>
          <w:noProof/>
        </w:rPr>
        <w:t>Трета вноска (подкрепа под формата на заем):</w:t>
      </w:r>
    </w:p>
    <w:tbl>
      <w:tblPr>
        <w:tblW w:w="101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50"/>
        <w:gridCol w:w="1485"/>
        <w:gridCol w:w="4065"/>
      </w:tblGrid>
      <w:tr w:rsidR="006054AA" w14:paraId="065BB83B" w14:textId="77777777">
        <w:trPr>
          <w:trHeight w:val="906"/>
        </w:trPr>
        <w:tc>
          <w:tcPr>
            <w:tcW w:w="1413" w:type="dxa"/>
            <w:vMerge w:val="restart"/>
            <w:shd w:val="clear" w:color="auto" w:fill="BDD7EE"/>
            <w:vAlign w:val="center"/>
            <w:hideMark/>
          </w:tcPr>
          <w:p w14:paraId="27886142" w14:textId="77777777" w:rsidR="006054AA" w:rsidRDefault="001F7667">
            <w:pPr>
              <w:pStyle w:val="P68B1DB1-Normal45"/>
              <w:jc w:val="center"/>
              <w:rPr>
                <w:noProof/>
              </w:rPr>
            </w:pPr>
            <w:r>
              <w:rPr>
                <w:noProof/>
              </w:rPr>
              <w:t>Пореден номер</w:t>
            </w:r>
          </w:p>
        </w:tc>
        <w:tc>
          <w:tcPr>
            <w:tcW w:w="3150" w:type="dxa"/>
            <w:vMerge w:val="restart"/>
            <w:shd w:val="clear" w:color="auto" w:fill="BDD7EE"/>
            <w:vAlign w:val="center"/>
            <w:hideMark/>
          </w:tcPr>
          <w:p w14:paraId="3607EE74" w14:textId="77777777" w:rsidR="006054AA" w:rsidRDefault="001F7667">
            <w:pPr>
              <w:pStyle w:val="P68B1DB1-Normal45"/>
              <w:jc w:val="center"/>
              <w:rPr>
                <w:noProof/>
              </w:rPr>
            </w:pPr>
            <w:r>
              <w:rPr>
                <w:noProof/>
              </w:rPr>
              <w:t>Свързана мярка (реформа или инвестиции)</w:t>
            </w:r>
          </w:p>
        </w:tc>
        <w:tc>
          <w:tcPr>
            <w:tcW w:w="1485" w:type="dxa"/>
            <w:vMerge w:val="restart"/>
            <w:shd w:val="clear" w:color="auto" w:fill="BDD7EE"/>
            <w:vAlign w:val="center"/>
            <w:hideMark/>
          </w:tcPr>
          <w:p w14:paraId="6953AAEF" w14:textId="77777777" w:rsidR="006054AA" w:rsidRDefault="001F7667">
            <w:pPr>
              <w:pStyle w:val="P68B1DB1-Normal45"/>
              <w:jc w:val="center"/>
              <w:rPr>
                <w:noProof/>
              </w:rPr>
            </w:pPr>
            <w:r>
              <w:rPr>
                <w:noProof/>
              </w:rPr>
              <w:t>Ключов етап/Цел</w:t>
            </w:r>
          </w:p>
        </w:tc>
        <w:tc>
          <w:tcPr>
            <w:tcW w:w="4065" w:type="dxa"/>
            <w:vMerge w:val="restart"/>
            <w:shd w:val="clear" w:color="auto" w:fill="BDD7EE"/>
            <w:vAlign w:val="center"/>
            <w:hideMark/>
          </w:tcPr>
          <w:p w14:paraId="49D18803" w14:textId="77777777" w:rsidR="006054AA" w:rsidRDefault="001F7667">
            <w:pPr>
              <w:pStyle w:val="P68B1DB1-Normal45"/>
              <w:jc w:val="center"/>
              <w:rPr>
                <w:noProof/>
              </w:rPr>
            </w:pPr>
            <w:r>
              <w:rPr>
                <w:noProof/>
              </w:rPr>
              <w:t>Име</w:t>
            </w:r>
          </w:p>
        </w:tc>
      </w:tr>
      <w:tr w:rsidR="006054AA" w14:paraId="7278BD4C" w14:textId="77777777">
        <w:trPr>
          <w:trHeight w:val="517"/>
        </w:trPr>
        <w:tc>
          <w:tcPr>
            <w:tcW w:w="1413" w:type="dxa"/>
            <w:vMerge/>
            <w:vAlign w:val="center"/>
            <w:hideMark/>
          </w:tcPr>
          <w:p w14:paraId="07B75A72" w14:textId="77777777" w:rsidR="006054AA" w:rsidRDefault="006054AA">
            <w:pPr>
              <w:rPr>
                <w:b/>
                <w:noProof/>
              </w:rPr>
            </w:pPr>
          </w:p>
        </w:tc>
        <w:tc>
          <w:tcPr>
            <w:tcW w:w="3150" w:type="dxa"/>
            <w:vMerge/>
            <w:vAlign w:val="center"/>
            <w:hideMark/>
          </w:tcPr>
          <w:p w14:paraId="201584EF" w14:textId="77777777" w:rsidR="006054AA" w:rsidRDefault="006054AA">
            <w:pPr>
              <w:rPr>
                <w:b/>
                <w:noProof/>
              </w:rPr>
            </w:pPr>
          </w:p>
        </w:tc>
        <w:tc>
          <w:tcPr>
            <w:tcW w:w="1485" w:type="dxa"/>
            <w:vMerge/>
            <w:vAlign w:val="center"/>
            <w:hideMark/>
          </w:tcPr>
          <w:p w14:paraId="74997D2B" w14:textId="77777777" w:rsidR="006054AA" w:rsidRDefault="006054AA">
            <w:pPr>
              <w:rPr>
                <w:b/>
                <w:noProof/>
              </w:rPr>
            </w:pPr>
          </w:p>
        </w:tc>
        <w:tc>
          <w:tcPr>
            <w:tcW w:w="4065" w:type="dxa"/>
            <w:vMerge/>
            <w:vAlign w:val="center"/>
            <w:hideMark/>
          </w:tcPr>
          <w:p w14:paraId="3F63CB3D" w14:textId="77777777" w:rsidR="006054AA" w:rsidRDefault="006054AA">
            <w:pPr>
              <w:rPr>
                <w:b/>
                <w:noProof/>
              </w:rPr>
            </w:pPr>
          </w:p>
        </w:tc>
      </w:tr>
      <w:tr w:rsidR="006054AA" w14:paraId="20209A0A" w14:textId="77777777">
        <w:trPr>
          <w:trHeight w:val="302"/>
        </w:trPr>
        <w:tc>
          <w:tcPr>
            <w:tcW w:w="1413" w:type="dxa"/>
            <w:shd w:val="clear" w:color="auto" w:fill="C6EFCE"/>
            <w:noWrap/>
            <w:vAlign w:val="center"/>
          </w:tcPr>
          <w:p w14:paraId="1D02FA28" w14:textId="77777777" w:rsidR="006054AA" w:rsidRDefault="001F7667">
            <w:pPr>
              <w:pStyle w:val="P68B1DB1-Normal12"/>
              <w:rPr>
                <w:noProof/>
              </w:rPr>
            </w:pPr>
            <w:r>
              <w:rPr>
                <w:noProof/>
              </w:rPr>
              <w:t>M2C1—18</w:t>
            </w:r>
          </w:p>
        </w:tc>
        <w:tc>
          <w:tcPr>
            <w:tcW w:w="3150" w:type="dxa"/>
            <w:shd w:val="clear" w:color="auto" w:fill="C6EFCE"/>
            <w:noWrap/>
            <w:vAlign w:val="center"/>
          </w:tcPr>
          <w:p w14:paraId="16439997" w14:textId="77777777" w:rsidR="006054AA" w:rsidRDefault="001F7667">
            <w:pPr>
              <w:pStyle w:val="P68B1DB1-Normal12"/>
              <w:rPr>
                <w:noProof/>
              </w:rPr>
            </w:pPr>
            <w:r>
              <w:rPr>
                <w:noProof/>
              </w:rPr>
              <w:t>Инвестиция 3.1: Зелени острови</w:t>
            </w:r>
          </w:p>
        </w:tc>
        <w:tc>
          <w:tcPr>
            <w:tcW w:w="1485" w:type="dxa"/>
            <w:shd w:val="clear" w:color="auto" w:fill="C6EFCE"/>
            <w:noWrap/>
            <w:vAlign w:val="center"/>
          </w:tcPr>
          <w:p w14:paraId="3A67ED27"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4001CCF5" w14:textId="77777777" w:rsidR="006054AA" w:rsidRDefault="001F7667">
            <w:pPr>
              <w:pStyle w:val="P68B1DB1-Normal12"/>
              <w:jc w:val="center"/>
              <w:rPr>
                <w:noProof/>
              </w:rPr>
            </w:pPr>
            <w:r>
              <w:rPr>
                <w:noProof/>
              </w:rPr>
              <w:t>Влизане в сила на постановлението на директора</w:t>
            </w:r>
          </w:p>
        </w:tc>
      </w:tr>
      <w:tr w:rsidR="006054AA" w14:paraId="7116FF74" w14:textId="77777777">
        <w:trPr>
          <w:trHeight w:val="302"/>
        </w:trPr>
        <w:tc>
          <w:tcPr>
            <w:tcW w:w="1413" w:type="dxa"/>
            <w:shd w:val="clear" w:color="auto" w:fill="C6EFCE"/>
            <w:noWrap/>
            <w:vAlign w:val="center"/>
          </w:tcPr>
          <w:p w14:paraId="1DC22C9B" w14:textId="77777777" w:rsidR="006054AA" w:rsidRDefault="001F7667">
            <w:pPr>
              <w:pStyle w:val="P68B1DB1-Normal12"/>
              <w:rPr>
                <w:noProof/>
              </w:rPr>
            </w:pPr>
            <w:r>
              <w:rPr>
                <w:noProof/>
              </w:rPr>
              <w:t>M2C1—20</w:t>
            </w:r>
          </w:p>
        </w:tc>
        <w:tc>
          <w:tcPr>
            <w:tcW w:w="3150" w:type="dxa"/>
            <w:shd w:val="clear" w:color="auto" w:fill="C6EFCE"/>
            <w:noWrap/>
            <w:vAlign w:val="center"/>
          </w:tcPr>
          <w:p w14:paraId="3D35E7E9" w14:textId="77777777" w:rsidR="006054AA" w:rsidRDefault="001F7667">
            <w:pPr>
              <w:pStyle w:val="P68B1DB1-Normal12"/>
              <w:rPr>
                <w:noProof/>
              </w:rPr>
            </w:pPr>
            <w:r>
              <w:rPr>
                <w:noProof/>
              </w:rPr>
              <w:t>Инвестиция 3.2: Зелени общности</w:t>
            </w:r>
          </w:p>
        </w:tc>
        <w:tc>
          <w:tcPr>
            <w:tcW w:w="1485" w:type="dxa"/>
            <w:shd w:val="clear" w:color="auto" w:fill="C6EFCE"/>
            <w:noWrap/>
            <w:vAlign w:val="center"/>
          </w:tcPr>
          <w:p w14:paraId="580EB8EC"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47D9296C" w14:textId="77777777" w:rsidR="006054AA" w:rsidRDefault="001F7667">
            <w:pPr>
              <w:pStyle w:val="P68B1DB1-Normal12"/>
              <w:jc w:val="center"/>
              <w:rPr>
                <w:noProof/>
              </w:rPr>
            </w:pPr>
            <w:r>
              <w:rPr>
                <w:noProof/>
              </w:rPr>
              <w:t>Възлагане на (всички) обществени поръчки за подбор на зелени общности</w:t>
            </w:r>
          </w:p>
        </w:tc>
      </w:tr>
      <w:tr w:rsidR="006054AA" w14:paraId="2DA15309" w14:textId="77777777">
        <w:trPr>
          <w:trHeight w:val="302"/>
        </w:trPr>
        <w:tc>
          <w:tcPr>
            <w:tcW w:w="1413" w:type="dxa"/>
            <w:shd w:val="clear" w:color="auto" w:fill="C6EFCE"/>
            <w:noWrap/>
            <w:vAlign w:val="center"/>
          </w:tcPr>
          <w:p w14:paraId="1A530293" w14:textId="77777777" w:rsidR="006054AA" w:rsidRDefault="001F7667">
            <w:pPr>
              <w:pStyle w:val="P68B1DB1-Normal12"/>
              <w:rPr>
                <w:noProof/>
              </w:rPr>
            </w:pPr>
            <w:r>
              <w:rPr>
                <w:noProof/>
              </w:rPr>
              <w:t>M5C2—17</w:t>
            </w:r>
          </w:p>
        </w:tc>
        <w:tc>
          <w:tcPr>
            <w:tcW w:w="3150" w:type="dxa"/>
            <w:shd w:val="clear" w:color="auto" w:fill="C6EFCE"/>
            <w:noWrap/>
            <w:vAlign w:val="center"/>
          </w:tcPr>
          <w:p w14:paraId="7D967792" w14:textId="77777777" w:rsidR="006054AA" w:rsidRDefault="001F7667">
            <w:pPr>
              <w:pStyle w:val="P68B1DB1-Normal12"/>
              <w:rPr>
                <w:noProof/>
              </w:rPr>
            </w:pPr>
            <w:r>
              <w:rPr>
                <w:noProof/>
              </w:rPr>
              <w:t>Инвестиция 5 — Интегрирани планове за градско развитие — Фонд на ЕИБ</w:t>
            </w:r>
          </w:p>
        </w:tc>
        <w:tc>
          <w:tcPr>
            <w:tcW w:w="1485" w:type="dxa"/>
            <w:shd w:val="clear" w:color="auto" w:fill="C6EFCE"/>
            <w:noWrap/>
            <w:vAlign w:val="center"/>
          </w:tcPr>
          <w:p w14:paraId="107628C2"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200652C0" w14:textId="77777777" w:rsidR="006054AA" w:rsidRDefault="001F7667">
            <w:pPr>
              <w:pStyle w:val="P68B1DB1-Normal12"/>
              <w:jc w:val="center"/>
              <w:rPr>
                <w:noProof/>
              </w:rPr>
            </w:pPr>
            <w:r>
              <w:rPr>
                <w:noProof/>
              </w:rPr>
              <w:t>Инвестиционната стратегия на Фонда се одобрява от Министерството на финансите (МОФ)</w:t>
            </w:r>
          </w:p>
        </w:tc>
      </w:tr>
      <w:tr w:rsidR="006054AA" w14:paraId="20BAEEF6" w14:textId="77777777">
        <w:trPr>
          <w:trHeight w:val="302"/>
        </w:trPr>
        <w:tc>
          <w:tcPr>
            <w:tcW w:w="1413" w:type="dxa"/>
            <w:shd w:val="clear" w:color="auto" w:fill="C6EFCE"/>
            <w:noWrap/>
            <w:vAlign w:val="center"/>
          </w:tcPr>
          <w:p w14:paraId="20FB5E75" w14:textId="77777777" w:rsidR="006054AA" w:rsidRDefault="001F7667">
            <w:pPr>
              <w:pStyle w:val="P68B1DB1-Normal12"/>
              <w:rPr>
                <w:noProof/>
              </w:rPr>
            </w:pPr>
            <w:r>
              <w:rPr>
                <w:noProof/>
              </w:rPr>
              <w:t>M1C1—123</w:t>
            </w:r>
          </w:p>
        </w:tc>
        <w:tc>
          <w:tcPr>
            <w:tcW w:w="3150" w:type="dxa"/>
            <w:shd w:val="clear" w:color="auto" w:fill="C6EFCE"/>
            <w:noWrap/>
            <w:vAlign w:val="center"/>
          </w:tcPr>
          <w:p w14:paraId="66636E57" w14:textId="77777777" w:rsidR="006054AA" w:rsidRDefault="001F7667">
            <w:pPr>
              <w:pStyle w:val="P68B1DB1-Normal12"/>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1485" w:type="dxa"/>
            <w:shd w:val="clear" w:color="auto" w:fill="C6EFCE"/>
            <w:noWrap/>
            <w:vAlign w:val="center"/>
          </w:tcPr>
          <w:p w14:paraId="0F8CF685" w14:textId="77777777" w:rsidR="006054AA" w:rsidRDefault="001F7667">
            <w:pPr>
              <w:pStyle w:val="P68B1DB1-Normal12"/>
              <w:rPr>
                <w:noProof/>
              </w:rPr>
            </w:pPr>
            <w:r>
              <w:rPr>
                <w:noProof/>
              </w:rPr>
              <w:t>Целеви</w:t>
            </w:r>
          </w:p>
        </w:tc>
        <w:tc>
          <w:tcPr>
            <w:tcW w:w="4065" w:type="dxa"/>
            <w:shd w:val="clear" w:color="auto" w:fill="C6EFCE"/>
            <w:noWrap/>
            <w:vAlign w:val="center"/>
          </w:tcPr>
          <w:p w14:paraId="2DDA09E9" w14:textId="77777777" w:rsidR="006054AA" w:rsidRDefault="001F7667">
            <w:pPr>
              <w:pStyle w:val="P68B1DB1-Normal12"/>
              <w:jc w:val="center"/>
              <w:rPr>
                <w:noProof/>
              </w:rPr>
            </w:pPr>
            <w:r>
              <w:rPr>
                <w:noProof/>
              </w:rPr>
              <w:t>INPS — Услуги/съдържание T1 „Едно кликнете върху дизайна“</w:t>
            </w:r>
          </w:p>
        </w:tc>
      </w:tr>
      <w:tr w:rsidR="006054AA" w14:paraId="565A47EC" w14:textId="77777777">
        <w:trPr>
          <w:trHeight w:val="302"/>
        </w:trPr>
        <w:tc>
          <w:tcPr>
            <w:tcW w:w="1413" w:type="dxa"/>
            <w:shd w:val="clear" w:color="auto" w:fill="C6EFCE"/>
            <w:noWrap/>
            <w:vAlign w:val="center"/>
          </w:tcPr>
          <w:p w14:paraId="3E6E1980" w14:textId="77777777" w:rsidR="006054AA" w:rsidRDefault="001F7667">
            <w:pPr>
              <w:pStyle w:val="P68B1DB1-Normal12"/>
              <w:rPr>
                <w:noProof/>
              </w:rPr>
            </w:pPr>
            <w:r>
              <w:rPr>
                <w:noProof/>
              </w:rPr>
              <w:t>M1C1—124</w:t>
            </w:r>
          </w:p>
        </w:tc>
        <w:tc>
          <w:tcPr>
            <w:tcW w:w="3150" w:type="dxa"/>
            <w:shd w:val="clear" w:color="auto" w:fill="C6EFCE"/>
            <w:noWrap/>
            <w:vAlign w:val="center"/>
          </w:tcPr>
          <w:p w14:paraId="20D51DF1" w14:textId="77777777" w:rsidR="006054AA" w:rsidRDefault="001F7667">
            <w:pPr>
              <w:pStyle w:val="P68B1DB1-Normal12"/>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1485" w:type="dxa"/>
            <w:shd w:val="clear" w:color="auto" w:fill="C6EFCE"/>
            <w:noWrap/>
            <w:vAlign w:val="center"/>
          </w:tcPr>
          <w:p w14:paraId="2AEA633F" w14:textId="77777777" w:rsidR="006054AA" w:rsidRDefault="001F7667">
            <w:pPr>
              <w:pStyle w:val="P68B1DB1-Normal12"/>
              <w:rPr>
                <w:noProof/>
              </w:rPr>
            </w:pPr>
            <w:r>
              <w:rPr>
                <w:noProof/>
              </w:rPr>
              <w:t>Целеви</w:t>
            </w:r>
          </w:p>
        </w:tc>
        <w:tc>
          <w:tcPr>
            <w:tcW w:w="4065" w:type="dxa"/>
            <w:shd w:val="clear" w:color="auto" w:fill="C6EFCE"/>
            <w:noWrap/>
            <w:vAlign w:val="center"/>
          </w:tcPr>
          <w:p w14:paraId="7CEE204E" w14:textId="77777777" w:rsidR="006054AA" w:rsidRDefault="001F7667">
            <w:pPr>
              <w:pStyle w:val="P68B1DB1-Normal12"/>
              <w:jc w:val="center"/>
              <w:rPr>
                <w:noProof/>
              </w:rPr>
            </w:pPr>
            <w:r>
              <w:rPr>
                <w:noProof/>
              </w:rPr>
              <w:t>INPS — Работници с подобрени умения в областта на информационните и комуникационните технологии (ИКТ) T1</w:t>
            </w:r>
          </w:p>
        </w:tc>
      </w:tr>
      <w:tr w:rsidR="006054AA" w14:paraId="63F9CE85" w14:textId="77777777">
        <w:trPr>
          <w:trHeight w:val="302"/>
        </w:trPr>
        <w:tc>
          <w:tcPr>
            <w:tcW w:w="1413" w:type="dxa"/>
            <w:shd w:val="clear" w:color="auto" w:fill="C6EFCE"/>
            <w:noWrap/>
            <w:vAlign w:val="center"/>
          </w:tcPr>
          <w:p w14:paraId="6085FEAD" w14:textId="77777777" w:rsidR="006054AA" w:rsidRDefault="001F7667">
            <w:pPr>
              <w:pStyle w:val="P68B1DB1-Normal12"/>
              <w:rPr>
                <w:noProof/>
              </w:rPr>
            </w:pPr>
            <w:r>
              <w:rPr>
                <w:noProof/>
              </w:rPr>
              <w:t>M1C3—30</w:t>
            </w:r>
          </w:p>
        </w:tc>
        <w:tc>
          <w:tcPr>
            <w:tcW w:w="3150" w:type="dxa"/>
            <w:shd w:val="clear" w:color="auto" w:fill="C6EFCE"/>
            <w:noWrap/>
            <w:vAlign w:val="center"/>
          </w:tcPr>
          <w:p w14:paraId="0F8819CD" w14:textId="77777777" w:rsidR="006054AA" w:rsidRDefault="001F7667">
            <w:pPr>
              <w:pStyle w:val="P68B1DB1-Normal12"/>
              <w:rPr>
                <w:noProof/>
              </w:rPr>
            </w:pPr>
            <w:r>
              <w:rPr>
                <w:noProof/>
              </w:rPr>
              <w:t>Инвестиция 4.2:  Фондове за конкурентоспособността на туристическите предприятия</w:t>
            </w:r>
          </w:p>
        </w:tc>
        <w:tc>
          <w:tcPr>
            <w:tcW w:w="1485" w:type="dxa"/>
            <w:shd w:val="clear" w:color="auto" w:fill="C6EFCE"/>
            <w:noWrap/>
            <w:vAlign w:val="center"/>
          </w:tcPr>
          <w:p w14:paraId="735296F9" w14:textId="77777777" w:rsidR="006054AA" w:rsidRDefault="001F7667">
            <w:pPr>
              <w:pStyle w:val="P68B1DB1-Normal12"/>
              <w:rPr>
                <w:noProof/>
              </w:rPr>
            </w:pPr>
            <w:r>
              <w:rPr>
                <w:noProof/>
              </w:rPr>
              <w:t>Целеви</w:t>
            </w:r>
          </w:p>
        </w:tc>
        <w:tc>
          <w:tcPr>
            <w:tcW w:w="4065" w:type="dxa"/>
            <w:shd w:val="clear" w:color="auto" w:fill="C6EFCE"/>
            <w:noWrap/>
            <w:vAlign w:val="center"/>
          </w:tcPr>
          <w:p w14:paraId="4276D5ED" w14:textId="77777777" w:rsidR="006054AA" w:rsidRDefault="001F7667">
            <w:pPr>
              <w:pStyle w:val="P68B1DB1-Normal12"/>
              <w:jc w:val="center"/>
              <w:rPr>
                <w:noProof/>
              </w:rPr>
            </w:pPr>
            <w:r>
              <w:rPr>
                <w:noProof/>
              </w:rPr>
              <w:t>Тематични фондове на Европейската инвестиционна банка: Изплащане на Фонда на обща стойност 350 000 000 EUR.</w:t>
            </w:r>
          </w:p>
        </w:tc>
      </w:tr>
      <w:tr w:rsidR="006054AA" w14:paraId="5FBB01D0" w14:textId="77777777">
        <w:trPr>
          <w:trHeight w:val="302"/>
        </w:trPr>
        <w:tc>
          <w:tcPr>
            <w:tcW w:w="1413" w:type="dxa"/>
            <w:shd w:val="clear" w:color="auto" w:fill="C6EFCE"/>
            <w:noWrap/>
            <w:vAlign w:val="center"/>
          </w:tcPr>
          <w:p w14:paraId="0174B3F7" w14:textId="77777777" w:rsidR="006054AA" w:rsidRDefault="001F7667">
            <w:pPr>
              <w:pStyle w:val="P68B1DB1-Normal12"/>
              <w:rPr>
                <w:noProof/>
              </w:rPr>
            </w:pPr>
            <w:r>
              <w:rPr>
                <w:noProof/>
              </w:rPr>
              <w:t>M1C3—31</w:t>
            </w:r>
          </w:p>
        </w:tc>
        <w:tc>
          <w:tcPr>
            <w:tcW w:w="3150" w:type="dxa"/>
            <w:shd w:val="clear" w:color="auto" w:fill="C6EFCE"/>
            <w:noWrap/>
            <w:vAlign w:val="center"/>
          </w:tcPr>
          <w:p w14:paraId="7528B091" w14:textId="77777777" w:rsidR="006054AA" w:rsidRDefault="001F7667">
            <w:pPr>
              <w:pStyle w:val="P68B1DB1-Normal12"/>
              <w:rPr>
                <w:noProof/>
              </w:rPr>
            </w:pPr>
            <w:r>
              <w:rPr>
                <w:noProof/>
              </w:rPr>
              <w:t>Инвестиция 4.2:  Фондове за конкурентоспособността на туристическите предприятия</w:t>
            </w:r>
          </w:p>
        </w:tc>
        <w:tc>
          <w:tcPr>
            <w:tcW w:w="1485" w:type="dxa"/>
            <w:shd w:val="clear" w:color="auto" w:fill="C6EFCE"/>
            <w:noWrap/>
            <w:vAlign w:val="center"/>
          </w:tcPr>
          <w:p w14:paraId="350AA077" w14:textId="77777777" w:rsidR="006054AA" w:rsidRDefault="001F7667">
            <w:pPr>
              <w:pStyle w:val="P68B1DB1-Normal12"/>
              <w:rPr>
                <w:noProof/>
              </w:rPr>
            </w:pPr>
            <w:r>
              <w:rPr>
                <w:noProof/>
              </w:rPr>
              <w:t>Целеви</w:t>
            </w:r>
          </w:p>
        </w:tc>
        <w:tc>
          <w:tcPr>
            <w:tcW w:w="4065" w:type="dxa"/>
            <w:shd w:val="clear" w:color="auto" w:fill="C6EFCE"/>
            <w:noWrap/>
            <w:vAlign w:val="center"/>
          </w:tcPr>
          <w:p w14:paraId="73BAC8EC" w14:textId="77777777" w:rsidR="006054AA" w:rsidRDefault="001F7667">
            <w:pPr>
              <w:pStyle w:val="P68B1DB1-Normal12"/>
              <w:jc w:val="center"/>
              <w:rPr>
                <w:noProof/>
              </w:rPr>
            </w:pPr>
            <w:r>
              <w:rPr>
                <w:noProof/>
              </w:rPr>
              <w:t>Национален фонд за туризъм: Изплащане на Фонда на обща стойност 1 500 000 EUR 00 за капиталова подкрепа.</w:t>
            </w:r>
          </w:p>
        </w:tc>
      </w:tr>
      <w:tr w:rsidR="006054AA" w14:paraId="41073435" w14:textId="77777777">
        <w:trPr>
          <w:trHeight w:val="302"/>
        </w:trPr>
        <w:tc>
          <w:tcPr>
            <w:tcW w:w="1413" w:type="dxa"/>
            <w:shd w:val="clear" w:color="auto" w:fill="C6EFCE"/>
            <w:noWrap/>
            <w:vAlign w:val="center"/>
          </w:tcPr>
          <w:p w14:paraId="244180F9" w14:textId="77777777" w:rsidR="006054AA" w:rsidRDefault="001F7667">
            <w:pPr>
              <w:pStyle w:val="P68B1DB1-Normal12"/>
              <w:rPr>
                <w:noProof/>
              </w:rPr>
            </w:pPr>
            <w:r>
              <w:rPr>
                <w:noProof/>
              </w:rPr>
              <w:t>M2C3—9</w:t>
            </w:r>
          </w:p>
        </w:tc>
        <w:tc>
          <w:tcPr>
            <w:tcW w:w="3150" w:type="dxa"/>
            <w:shd w:val="clear" w:color="auto" w:fill="C6EFCE"/>
            <w:noWrap/>
            <w:vAlign w:val="center"/>
          </w:tcPr>
          <w:p w14:paraId="7FFDA652" w14:textId="77777777" w:rsidR="006054AA" w:rsidRDefault="001F7667">
            <w:pPr>
              <w:pStyle w:val="P68B1DB1-Normal12"/>
              <w:rPr>
                <w:noProof/>
              </w:rPr>
            </w:pPr>
            <w:r>
              <w:rPr>
                <w:noProof/>
              </w:rPr>
              <w:t>Инвестиция 3.1: Насърчаване на ефективното централно отопление</w:t>
            </w:r>
          </w:p>
        </w:tc>
        <w:tc>
          <w:tcPr>
            <w:tcW w:w="1485" w:type="dxa"/>
            <w:shd w:val="clear" w:color="auto" w:fill="C6EFCE"/>
            <w:noWrap/>
            <w:vAlign w:val="center"/>
          </w:tcPr>
          <w:p w14:paraId="40E29E23"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50D9726A" w14:textId="77777777" w:rsidR="006054AA" w:rsidRDefault="001F7667">
            <w:pPr>
              <w:pStyle w:val="P68B1DB1-Normal12"/>
              <w:jc w:val="center"/>
              <w:rPr>
                <w:noProof/>
              </w:rPr>
            </w:pPr>
            <w:r>
              <w:rPr>
                <w:noProof/>
              </w:rPr>
              <w:t xml:space="preserve">Договорите за подобряване на отоплителните мрежи се възлагат от Министерството на екологичния преход след процедура за възлагане на обществена поръчка </w:t>
            </w:r>
          </w:p>
        </w:tc>
      </w:tr>
      <w:tr w:rsidR="006054AA" w14:paraId="4C882B17" w14:textId="77777777">
        <w:trPr>
          <w:trHeight w:val="302"/>
        </w:trPr>
        <w:tc>
          <w:tcPr>
            <w:tcW w:w="1413" w:type="dxa"/>
            <w:shd w:val="clear" w:color="auto" w:fill="C6EFCE"/>
            <w:noWrap/>
            <w:vAlign w:val="center"/>
          </w:tcPr>
          <w:p w14:paraId="4C6ABE14" w14:textId="77777777" w:rsidR="006054AA" w:rsidRDefault="001F7667">
            <w:pPr>
              <w:pStyle w:val="P68B1DB1-Normal12"/>
              <w:rPr>
                <w:noProof/>
              </w:rPr>
            </w:pPr>
            <w:r>
              <w:rPr>
                <w:noProof/>
              </w:rPr>
              <w:t>M2C4—19</w:t>
            </w:r>
          </w:p>
        </w:tc>
        <w:tc>
          <w:tcPr>
            <w:tcW w:w="3150" w:type="dxa"/>
            <w:shd w:val="clear" w:color="auto" w:fill="C6EFCE"/>
            <w:noWrap/>
            <w:vAlign w:val="center"/>
          </w:tcPr>
          <w:p w14:paraId="360AE387" w14:textId="77777777" w:rsidR="006054AA" w:rsidRDefault="001F7667">
            <w:pPr>
              <w:pStyle w:val="P68B1DB1-Normal12"/>
              <w:rPr>
                <w:noProof/>
              </w:rPr>
            </w:pPr>
            <w:r>
              <w:rPr>
                <w:noProof/>
              </w:rPr>
              <w:t>Инвестиции. 3.1: Опазване и подобряване на градските и крайградските гори</w:t>
            </w:r>
          </w:p>
        </w:tc>
        <w:tc>
          <w:tcPr>
            <w:tcW w:w="1485" w:type="dxa"/>
            <w:shd w:val="clear" w:color="auto" w:fill="C6EFCE"/>
            <w:noWrap/>
            <w:vAlign w:val="center"/>
          </w:tcPr>
          <w:p w14:paraId="5AC778D9" w14:textId="77777777" w:rsidR="006054AA" w:rsidRDefault="001F7667">
            <w:pPr>
              <w:pStyle w:val="P68B1DB1-Normal12"/>
              <w:rPr>
                <w:noProof/>
              </w:rPr>
            </w:pPr>
            <w:r>
              <w:rPr>
                <w:noProof/>
              </w:rPr>
              <w:t>Целеви</w:t>
            </w:r>
          </w:p>
        </w:tc>
        <w:tc>
          <w:tcPr>
            <w:tcW w:w="4065" w:type="dxa"/>
            <w:shd w:val="clear" w:color="auto" w:fill="C6EFCE"/>
            <w:noWrap/>
            <w:vAlign w:val="center"/>
          </w:tcPr>
          <w:p w14:paraId="31740FA0" w14:textId="77777777" w:rsidR="006054AA" w:rsidRDefault="001F7667">
            <w:pPr>
              <w:pStyle w:val="P68B1DB1-Normal12"/>
              <w:jc w:val="center"/>
              <w:rPr>
                <w:noProof/>
              </w:rPr>
            </w:pPr>
            <w:r>
              <w:rPr>
                <w:noProof/>
              </w:rPr>
              <w:t>Растителни дървета за защита и валоризация на градски и крайградски зелени площи T1</w:t>
            </w:r>
          </w:p>
        </w:tc>
      </w:tr>
      <w:tr w:rsidR="006054AA" w14:paraId="09EBD27B" w14:textId="77777777">
        <w:trPr>
          <w:trHeight w:val="302"/>
        </w:trPr>
        <w:tc>
          <w:tcPr>
            <w:tcW w:w="1413" w:type="dxa"/>
            <w:shd w:val="clear" w:color="auto" w:fill="C6EFCE"/>
            <w:noWrap/>
            <w:vAlign w:val="center"/>
          </w:tcPr>
          <w:p w14:paraId="1EE9F384" w14:textId="77777777" w:rsidR="006054AA" w:rsidRDefault="001F7667">
            <w:pPr>
              <w:pStyle w:val="P68B1DB1-Normal12"/>
              <w:rPr>
                <w:noProof/>
              </w:rPr>
            </w:pPr>
            <w:r>
              <w:rPr>
                <w:noProof/>
              </w:rPr>
              <w:t>M2C4—24</w:t>
            </w:r>
          </w:p>
        </w:tc>
        <w:tc>
          <w:tcPr>
            <w:tcW w:w="3150" w:type="dxa"/>
            <w:shd w:val="clear" w:color="auto" w:fill="C6EFCE"/>
            <w:noWrap/>
            <w:vAlign w:val="center"/>
          </w:tcPr>
          <w:p w14:paraId="102FC07C" w14:textId="77777777" w:rsidR="006054AA" w:rsidRDefault="001F7667">
            <w:pPr>
              <w:pStyle w:val="P68B1DB1-Normal12"/>
              <w:rPr>
                <w:noProof/>
              </w:rPr>
            </w:pPr>
            <w:r>
              <w:rPr>
                <w:noProof/>
              </w:rPr>
              <w:t>Инвестиция 3.4. Саниране на „почви сираци“</w:t>
            </w:r>
          </w:p>
        </w:tc>
        <w:tc>
          <w:tcPr>
            <w:tcW w:w="1485" w:type="dxa"/>
            <w:shd w:val="clear" w:color="auto" w:fill="C6EFCE"/>
            <w:noWrap/>
            <w:vAlign w:val="center"/>
          </w:tcPr>
          <w:p w14:paraId="12F80B00"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50CAAA15" w14:textId="77777777" w:rsidR="006054AA" w:rsidRDefault="001F7667">
            <w:pPr>
              <w:pStyle w:val="P68B1DB1-Normal12"/>
              <w:jc w:val="center"/>
              <w:rPr>
                <w:noProof/>
              </w:rPr>
            </w:pPr>
            <w:r>
              <w:rPr>
                <w:noProof/>
              </w:rPr>
              <w:t>Правна рамка за саниране на обекти сираци</w:t>
            </w:r>
          </w:p>
        </w:tc>
      </w:tr>
      <w:tr w:rsidR="006054AA" w14:paraId="58EF84DC" w14:textId="77777777">
        <w:trPr>
          <w:trHeight w:val="302"/>
        </w:trPr>
        <w:tc>
          <w:tcPr>
            <w:tcW w:w="1413" w:type="dxa"/>
            <w:shd w:val="clear" w:color="auto" w:fill="C6EFCE"/>
            <w:noWrap/>
            <w:vAlign w:val="center"/>
          </w:tcPr>
          <w:p w14:paraId="36F66CE9" w14:textId="77777777" w:rsidR="006054AA" w:rsidRDefault="001F7667">
            <w:pPr>
              <w:pStyle w:val="P68B1DB1-Normal12"/>
              <w:rPr>
                <w:noProof/>
              </w:rPr>
            </w:pPr>
            <w:r>
              <w:rPr>
                <w:noProof/>
              </w:rPr>
              <w:t>M3C1—3</w:t>
            </w:r>
          </w:p>
        </w:tc>
        <w:tc>
          <w:tcPr>
            <w:tcW w:w="3150" w:type="dxa"/>
            <w:shd w:val="clear" w:color="auto" w:fill="C6EFCE"/>
            <w:noWrap/>
            <w:vAlign w:val="center"/>
          </w:tcPr>
          <w:p w14:paraId="26BCF146" w14:textId="77777777" w:rsidR="006054AA" w:rsidRDefault="001F7667">
            <w:pPr>
              <w:pStyle w:val="P68B1DB1-Normal12"/>
              <w:rPr>
                <w:noProof/>
              </w:rPr>
            </w:pPr>
            <w:r>
              <w:rPr>
                <w:noProof/>
              </w:rPr>
              <w:t>Инвестиция 1.1 — Високоскоростни железопътни връзки на юг за пътници и товари</w:t>
            </w:r>
          </w:p>
        </w:tc>
        <w:tc>
          <w:tcPr>
            <w:tcW w:w="1485" w:type="dxa"/>
            <w:shd w:val="clear" w:color="auto" w:fill="C6EFCE"/>
            <w:noWrap/>
            <w:vAlign w:val="center"/>
          </w:tcPr>
          <w:p w14:paraId="3980E0F9"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2043826E" w14:textId="77777777" w:rsidR="006054AA" w:rsidRDefault="001F7667">
            <w:pPr>
              <w:pStyle w:val="P68B1DB1-Normal12"/>
              <w:jc w:val="center"/>
              <w:rPr>
                <w:noProof/>
              </w:rPr>
            </w:pPr>
            <w:r>
              <w:rPr>
                <w:noProof/>
              </w:rPr>
              <w:t>Възлагане на поръчката (ите) за изграждане на високоскоростна железопътна линия по линиите Наполи-Бари и Палермо-Катания</w:t>
            </w:r>
          </w:p>
        </w:tc>
      </w:tr>
      <w:tr w:rsidR="006054AA" w14:paraId="0F0BC34A" w14:textId="77777777">
        <w:trPr>
          <w:trHeight w:val="302"/>
        </w:trPr>
        <w:tc>
          <w:tcPr>
            <w:tcW w:w="1413" w:type="dxa"/>
            <w:shd w:val="clear" w:color="auto" w:fill="C6EFCE"/>
            <w:noWrap/>
            <w:vAlign w:val="center"/>
          </w:tcPr>
          <w:p w14:paraId="77C8D006" w14:textId="77777777" w:rsidR="006054AA" w:rsidRDefault="001F7667">
            <w:pPr>
              <w:pStyle w:val="P68B1DB1-Normal12"/>
              <w:rPr>
                <w:noProof/>
              </w:rPr>
            </w:pPr>
            <w:r>
              <w:rPr>
                <w:noProof/>
              </w:rPr>
              <w:t>M3C1—12</w:t>
            </w:r>
          </w:p>
        </w:tc>
        <w:tc>
          <w:tcPr>
            <w:tcW w:w="3150" w:type="dxa"/>
            <w:shd w:val="clear" w:color="auto" w:fill="C6EFCE"/>
            <w:noWrap/>
            <w:vAlign w:val="center"/>
          </w:tcPr>
          <w:p w14:paraId="6DE169CB" w14:textId="77777777" w:rsidR="006054AA" w:rsidRDefault="001F7667">
            <w:pPr>
              <w:pStyle w:val="P68B1DB1-Normal12"/>
              <w:rPr>
                <w:noProof/>
              </w:rPr>
            </w:pPr>
            <w:r>
              <w:rPr>
                <w:noProof/>
              </w:rPr>
              <w:t>Инвестиция 1.4 — Въвеждане на Европейската система за управление на железопътния транспорт (ERTMS)</w:t>
            </w:r>
          </w:p>
        </w:tc>
        <w:tc>
          <w:tcPr>
            <w:tcW w:w="1485" w:type="dxa"/>
            <w:shd w:val="clear" w:color="auto" w:fill="C6EFCE"/>
            <w:noWrap/>
            <w:vAlign w:val="center"/>
          </w:tcPr>
          <w:p w14:paraId="7BA47512"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6F2C3C21" w14:textId="77777777" w:rsidR="006054AA" w:rsidRDefault="001F7667">
            <w:pPr>
              <w:pStyle w:val="P68B1DB1-Normal12"/>
              <w:jc w:val="center"/>
              <w:rPr>
                <w:noProof/>
              </w:rPr>
            </w:pPr>
            <w:r>
              <w:rPr>
                <w:noProof/>
              </w:rPr>
              <w:t>Възлагане на договори за Европейската система за управление на железопътния транспорт</w:t>
            </w:r>
          </w:p>
        </w:tc>
      </w:tr>
      <w:tr w:rsidR="006054AA" w14:paraId="6302813E" w14:textId="77777777">
        <w:trPr>
          <w:trHeight w:val="302"/>
        </w:trPr>
        <w:tc>
          <w:tcPr>
            <w:tcW w:w="1413" w:type="dxa"/>
            <w:shd w:val="clear" w:color="auto" w:fill="C6EFCE"/>
            <w:noWrap/>
            <w:vAlign w:val="center"/>
          </w:tcPr>
          <w:p w14:paraId="514FA6C1" w14:textId="77777777" w:rsidR="006054AA" w:rsidRDefault="001F7667">
            <w:pPr>
              <w:pStyle w:val="P68B1DB1-Normal12"/>
              <w:rPr>
                <w:noProof/>
              </w:rPr>
            </w:pPr>
            <w:r>
              <w:rPr>
                <w:noProof/>
              </w:rPr>
              <w:t>M3C2—8</w:t>
            </w:r>
          </w:p>
        </w:tc>
        <w:tc>
          <w:tcPr>
            <w:tcW w:w="3150" w:type="dxa"/>
            <w:shd w:val="clear" w:color="auto" w:fill="C6EFCE"/>
            <w:noWrap/>
            <w:vAlign w:val="center"/>
          </w:tcPr>
          <w:p w14:paraId="77BD0EC7" w14:textId="77777777" w:rsidR="006054AA" w:rsidRDefault="001F7667">
            <w:pPr>
              <w:pStyle w:val="P68B1DB1-Normal12"/>
              <w:rPr>
                <w:noProof/>
              </w:rPr>
            </w:pPr>
            <w:r>
              <w:rPr>
                <w:noProof/>
              </w:rPr>
              <w:t>Инвестиция 1.1: Зелени пристанища: интервенции в областта на енергията от възобновяеми източници и енергийната ефективност в пристанищата</w:t>
            </w:r>
          </w:p>
        </w:tc>
        <w:tc>
          <w:tcPr>
            <w:tcW w:w="1485" w:type="dxa"/>
            <w:shd w:val="clear" w:color="auto" w:fill="C6EFCE"/>
            <w:noWrap/>
            <w:vAlign w:val="center"/>
          </w:tcPr>
          <w:p w14:paraId="2AECF23D" w14:textId="77777777" w:rsidR="006054AA" w:rsidRDefault="001F7667">
            <w:pPr>
              <w:pStyle w:val="P68B1DB1-Normal12"/>
              <w:rPr>
                <w:noProof/>
              </w:rPr>
            </w:pPr>
            <w:r>
              <w:rPr>
                <w:noProof/>
              </w:rPr>
              <w:t>Целеви</w:t>
            </w:r>
          </w:p>
        </w:tc>
        <w:tc>
          <w:tcPr>
            <w:tcW w:w="4065" w:type="dxa"/>
            <w:shd w:val="clear" w:color="auto" w:fill="C6EFCE"/>
            <w:noWrap/>
            <w:vAlign w:val="center"/>
          </w:tcPr>
          <w:p w14:paraId="5F15D112" w14:textId="77777777" w:rsidR="006054AA" w:rsidRDefault="001F7667">
            <w:pPr>
              <w:pStyle w:val="P68B1DB1-Normal12"/>
              <w:jc w:val="center"/>
              <w:rPr>
                <w:noProof/>
              </w:rPr>
            </w:pPr>
            <w:r>
              <w:rPr>
                <w:noProof/>
              </w:rPr>
              <w:t>Зелени пристанища: възлагане на строителни работи</w:t>
            </w:r>
          </w:p>
        </w:tc>
      </w:tr>
      <w:tr w:rsidR="006054AA" w14:paraId="0735D4C4" w14:textId="77777777">
        <w:trPr>
          <w:trHeight w:val="302"/>
        </w:trPr>
        <w:tc>
          <w:tcPr>
            <w:tcW w:w="1413" w:type="dxa"/>
            <w:shd w:val="clear" w:color="auto" w:fill="C6EFCE"/>
            <w:noWrap/>
            <w:vAlign w:val="center"/>
          </w:tcPr>
          <w:p w14:paraId="72252254" w14:textId="77777777" w:rsidR="006054AA" w:rsidRDefault="001F7667">
            <w:pPr>
              <w:pStyle w:val="P68B1DB1-Normal12"/>
              <w:rPr>
                <w:noProof/>
              </w:rPr>
            </w:pPr>
            <w:r>
              <w:rPr>
                <w:noProof/>
              </w:rPr>
              <w:t>M4C1—29</w:t>
            </w:r>
          </w:p>
        </w:tc>
        <w:tc>
          <w:tcPr>
            <w:tcW w:w="3150" w:type="dxa"/>
            <w:shd w:val="clear" w:color="auto" w:fill="C6EFCE"/>
            <w:noWrap/>
            <w:vAlign w:val="center"/>
          </w:tcPr>
          <w:p w14:paraId="15A2E58E" w14:textId="77777777" w:rsidR="006054AA" w:rsidRDefault="001F7667">
            <w:pPr>
              <w:pStyle w:val="P68B1DB1-Normal12"/>
              <w:rPr>
                <w:noProof/>
              </w:rPr>
            </w:pPr>
            <w:r>
              <w:rPr>
                <w:noProof/>
              </w:rPr>
              <w:t xml:space="preserve">Реформа 1.7: Реформа на регулирането на студентското жилищно настаняване и инвестиции в студентски жилища </w:t>
            </w:r>
          </w:p>
        </w:tc>
        <w:tc>
          <w:tcPr>
            <w:tcW w:w="1485" w:type="dxa"/>
            <w:shd w:val="clear" w:color="auto" w:fill="C6EFCE"/>
            <w:noWrap/>
            <w:vAlign w:val="center"/>
          </w:tcPr>
          <w:p w14:paraId="254D47F0"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20CD8361" w14:textId="77777777" w:rsidR="006054AA" w:rsidRDefault="001F7667">
            <w:pPr>
              <w:pStyle w:val="P68B1DB1-Normal12"/>
              <w:jc w:val="center"/>
              <w:rPr>
                <w:noProof/>
              </w:rPr>
            </w:pPr>
            <w:r>
              <w:rPr>
                <w:noProof/>
              </w:rPr>
              <w:t xml:space="preserve">Влизане в сила на реформата на законодателството в областта на жилищното настаняване на студентите.    </w:t>
            </w:r>
          </w:p>
        </w:tc>
      </w:tr>
      <w:tr w:rsidR="006054AA" w14:paraId="64A5021C" w14:textId="77777777">
        <w:trPr>
          <w:trHeight w:val="302"/>
        </w:trPr>
        <w:tc>
          <w:tcPr>
            <w:tcW w:w="1413" w:type="dxa"/>
            <w:shd w:val="clear" w:color="auto" w:fill="C6EFCE"/>
            <w:noWrap/>
            <w:vAlign w:val="center"/>
          </w:tcPr>
          <w:p w14:paraId="37302358" w14:textId="77777777" w:rsidR="006054AA" w:rsidRDefault="001F7667">
            <w:pPr>
              <w:pStyle w:val="P68B1DB1-Normal12"/>
              <w:rPr>
                <w:noProof/>
              </w:rPr>
            </w:pPr>
            <w:r>
              <w:rPr>
                <w:noProof/>
              </w:rPr>
              <w:t>M5C2—13</w:t>
            </w:r>
          </w:p>
        </w:tc>
        <w:tc>
          <w:tcPr>
            <w:tcW w:w="3150" w:type="dxa"/>
            <w:shd w:val="clear" w:color="auto" w:fill="C6EFCE"/>
            <w:noWrap/>
            <w:vAlign w:val="center"/>
          </w:tcPr>
          <w:p w14:paraId="4CC8AD07" w14:textId="77777777" w:rsidR="006054AA" w:rsidRDefault="001F7667">
            <w:pPr>
              <w:pStyle w:val="P68B1DB1-Normal12"/>
              <w:rPr>
                <w:noProof/>
              </w:rPr>
            </w:pPr>
            <w:r>
              <w:rPr>
                <w:noProof/>
              </w:rPr>
              <w:t>Инвестиция 5 — Интегрирани градоустройствени планове — общи проекти</w:t>
            </w:r>
          </w:p>
        </w:tc>
        <w:tc>
          <w:tcPr>
            <w:tcW w:w="1485" w:type="dxa"/>
            <w:shd w:val="clear" w:color="auto" w:fill="C6EFCE"/>
            <w:noWrap/>
            <w:vAlign w:val="center"/>
          </w:tcPr>
          <w:p w14:paraId="49A2B903" w14:textId="77777777" w:rsidR="006054AA" w:rsidRDefault="001F7667">
            <w:pPr>
              <w:pStyle w:val="P68B1DB1-Normal12"/>
              <w:rPr>
                <w:noProof/>
              </w:rPr>
            </w:pPr>
            <w:r>
              <w:rPr>
                <w:noProof/>
              </w:rPr>
              <w:t>Ключов етап</w:t>
            </w:r>
          </w:p>
        </w:tc>
        <w:tc>
          <w:tcPr>
            <w:tcW w:w="4065" w:type="dxa"/>
            <w:shd w:val="clear" w:color="auto" w:fill="C6EFCE"/>
            <w:noWrap/>
            <w:vAlign w:val="center"/>
          </w:tcPr>
          <w:p w14:paraId="02A08F45" w14:textId="77777777" w:rsidR="006054AA" w:rsidRDefault="001F7667">
            <w:pPr>
              <w:pStyle w:val="P68B1DB1-Normal12"/>
              <w:jc w:val="center"/>
              <w:rPr>
                <w:noProof/>
              </w:rPr>
            </w:pPr>
            <w:r>
              <w:rPr>
                <w:noProof/>
              </w:rPr>
              <w:t>Влизане в сила на инвестиционния план за проекти за обновяване на градската среда в метрополните области</w:t>
            </w:r>
          </w:p>
        </w:tc>
      </w:tr>
      <w:tr w:rsidR="006054AA" w14:paraId="08A8E24F" w14:textId="77777777">
        <w:trPr>
          <w:trHeight w:val="302"/>
        </w:trPr>
        <w:tc>
          <w:tcPr>
            <w:tcW w:w="1413" w:type="dxa"/>
            <w:shd w:val="clear" w:color="auto" w:fill="C6EFCE"/>
            <w:noWrap/>
            <w:vAlign w:val="center"/>
          </w:tcPr>
          <w:p w14:paraId="294EE748" w14:textId="77777777" w:rsidR="006054AA" w:rsidRDefault="001F7667">
            <w:pPr>
              <w:pStyle w:val="P68B1DB1-Normal12"/>
              <w:rPr>
                <w:noProof/>
              </w:rPr>
            </w:pPr>
            <w:r>
              <w:rPr>
                <w:noProof/>
              </w:rPr>
              <w:t>M6C2—7</w:t>
            </w:r>
          </w:p>
        </w:tc>
        <w:tc>
          <w:tcPr>
            <w:tcW w:w="3150" w:type="dxa"/>
            <w:shd w:val="clear" w:color="auto" w:fill="C6EFCE"/>
            <w:noWrap/>
            <w:vAlign w:val="center"/>
          </w:tcPr>
          <w:p w14:paraId="530B9058" w14:textId="77777777" w:rsidR="006054AA" w:rsidRDefault="001F7667">
            <w:pPr>
              <w:pStyle w:val="P68B1DB1-Normal48"/>
              <w:rPr>
                <w:noProof/>
                <w:color w:val="006100"/>
              </w:rPr>
            </w:pPr>
            <w:r>
              <w:rPr>
                <w:noProof/>
              </w:rPr>
              <w:t>Инвестиция 1.1: Цифрова актуализация на технологичното оборудване на болниците</w:t>
            </w:r>
          </w:p>
        </w:tc>
        <w:tc>
          <w:tcPr>
            <w:tcW w:w="1485" w:type="dxa"/>
            <w:shd w:val="clear" w:color="auto" w:fill="C6EFCE"/>
            <w:noWrap/>
            <w:vAlign w:val="center"/>
          </w:tcPr>
          <w:p w14:paraId="7DAD5BFA" w14:textId="77777777" w:rsidR="006054AA" w:rsidRDefault="001F7667">
            <w:pPr>
              <w:pStyle w:val="P68B1DB1-Normal48"/>
              <w:rPr>
                <w:noProof/>
                <w:color w:val="006100"/>
              </w:rPr>
            </w:pPr>
            <w:r>
              <w:rPr>
                <w:noProof/>
              </w:rPr>
              <w:t>Ключов етап</w:t>
            </w:r>
          </w:p>
        </w:tc>
        <w:tc>
          <w:tcPr>
            <w:tcW w:w="4065" w:type="dxa"/>
            <w:shd w:val="clear" w:color="auto" w:fill="C6EFCE"/>
            <w:noWrap/>
            <w:vAlign w:val="center"/>
          </w:tcPr>
          <w:p w14:paraId="7EAE881E" w14:textId="77777777" w:rsidR="006054AA" w:rsidRDefault="001F7667">
            <w:pPr>
              <w:pStyle w:val="P68B1DB1-Normal48"/>
              <w:jc w:val="center"/>
              <w:rPr>
                <w:noProof/>
              </w:rPr>
            </w:pPr>
            <w:r>
              <w:rPr>
                <w:noProof/>
              </w:rPr>
              <w:t>Възлагане на всички обществени поръчки</w:t>
            </w:r>
          </w:p>
        </w:tc>
      </w:tr>
      <w:tr w:rsidR="006054AA" w14:paraId="062D1D70" w14:textId="77777777">
        <w:trPr>
          <w:trHeight w:val="302"/>
        </w:trPr>
        <w:tc>
          <w:tcPr>
            <w:tcW w:w="1413" w:type="dxa"/>
            <w:shd w:val="clear" w:color="auto" w:fill="C6EFCE"/>
            <w:noWrap/>
            <w:vAlign w:val="bottom"/>
          </w:tcPr>
          <w:p w14:paraId="51FEAA78" w14:textId="77777777" w:rsidR="006054AA" w:rsidRDefault="006054AA">
            <w:pPr>
              <w:jc w:val="center"/>
              <w:rPr>
                <w:noProof/>
                <w:color w:val="006100"/>
                <w:sz w:val="20"/>
              </w:rPr>
            </w:pPr>
          </w:p>
        </w:tc>
        <w:tc>
          <w:tcPr>
            <w:tcW w:w="3150" w:type="dxa"/>
            <w:shd w:val="clear" w:color="auto" w:fill="C6EFCE"/>
            <w:noWrap/>
            <w:vAlign w:val="bottom"/>
          </w:tcPr>
          <w:p w14:paraId="31DE9928" w14:textId="77777777" w:rsidR="006054AA" w:rsidRDefault="006054AA">
            <w:pPr>
              <w:rPr>
                <w:noProof/>
                <w:color w:val="006100"/>
                <w:sz w:val="20"/>
              </w:rPr>
            </w:pPr>
          </w:p>
        </w:tc>
        <w:tc>
          <w:tcPr>
            <w:tcW w:w="1485" w:type="dxa"/>
            <w:shd w:val="clear" w:color="auto" w:fill="C6EFCE"/>
            <w:noWrap/>
            <w:vAlign w:val="bottom"/>
          </w:tcPr>
          <w:p w14:paraId="43A66C06" w14:textId="77777777" w:rsidR="006054AA" w:rsidRDefault="001F7667">
            <w:pPr>
              <w:pStyle w:val="P68B1DB1-Normal12"/>
              <w:rPr>
                <w:noProof/>
              </w:rPr>
            </w:pPr>
            <w:r>
              <w:rPr>
                <w:noProof/>
              </w:rPr>
              <w:t>Размер на вноската</w:t>
            </w:r>
          </w:p>
        </w:tc>
        <w:tc>
          <w:tcPr>
            <w:tcW w:w="4065" w:type="dxa"/>
            <w:shd w:val="clear" w:color="auto" w:fill="C6EFCE"/>
            <w:noWrap/>
            <w:vAlign w:val="bottom"/>
          </w:tcPr>
          <w:p w14:paraId="628AE982" w14:textId="6B67E6C7" w:rsidR="006054AA" w:rsidRDefault="001F7667">
            <w:pPr>
              <w:pStyle w:val="P68B1DB1-Normal46"/>
              <w:rPr>
                <w:noProof/>
              </w:rPr>
            </w:pPr>
            <w:r>
              <w:rPr>
                <w:noProof/>
              </w:rPr>
              <w:t>9</w:t>
            </w:r>
            <w:r>
              <w:rPr>
                <w:noProof/>
              </w:rPr>
              <w:t> </w:t>
            </w:r>
            <w:r>
              <w:rPr>
                <w:noProof/>
              </w:rPr>
              <w:t>825</w:t>
            </w:r>
            <w:r>
              <w:rPr>
                <w:noProof/>
              </w:rPr>
              <w:t> </w:t>
            </w:r>
            <w:r>
              <w:rPr>
                <w:noProof/>
              </w:rPr>
              <w:t>328</w:t>
            </w:r>
            <w:r>
              <w:rPr>
                <w:noProof/>
              </w:rPr>
              <w:t> </w:t>
            </w:r>
            <w:r>
              <w:rPr>
                <w:noProof/>
              </w:rPr>
              <w:t>389</w:t>
            </w:r>
            <w:r>
              <w:rPr>
                <w:noProof/>
              </w:rPr>
              <w:t> </w:t>
            </w:r>
            <w:r>
              <w:rPr>
                <w:noProof/>
              </w:rPr>
              <w:t>EUR</w:t>
            </w:r>
          </w:p>
        </w:tc>
      </w:tr>
    </w:tbl>
    <w:p w14:paraId="4CE29C51" w14:textId="77777777" w:rsidR="006054AA" w:rsidRDefault="001F7667">
      <w:pPr>
        <w:pStyle w:val="P68B1DB1-Normal44"/>
        <w:spacing w:after="200" w:line="276" w:lineRule="auto"/>
        <w:rPr>
          <w:noProof/>
        </w:rPr>
      </w:pPr>
      <w:r>
        <w:rPr>
          <w:noProof/>
        </w:rPr>
        <w:br w:type="page"/>
      </w:r>
    </w:p>
    <w:p w14:paraId="253E5AD1" w14:textId="1478D9BA" w:rsidR="006054AA" w:rsidRDefault="001F7667">
      <w:pPr>
        <w:pStyle w:val="P68B1DB1-Normal44"/>
        <w:numPr>
          <w:ilvl w:val="1"/>
          <w:numId w:val="6"/>
        </w:numPr>
        <w:spacing w:before="120" w:after="120"/>
        <w:jc w:val="both"/>
        <w:rPr>
          <w:noProof/>
        </w:rPr>
      </w:pPr>
      <w:r>
        <w:rPr>
          <w:noProof/>
        </w:rPr>
        <w:t>Четвърта вноска (подкрепа под формата на заем):</w:t>
      </w:r>
    </w:p>
    <w:tbl>
      <w:tblPr>
        <w:tblW w:w="101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65"/>
        <w:gridCol w:w="1468"/>
        <w:gridCol w:w="4095"/>
      </w:tblGrid>
      <w:tr w:rsidR="006054AA" w14:paraId="2C8A1A66" w14:textId="77777777">
        <w:trPr>
          <w:trHeight w:val="906"/>
          <w:tblHeader/>
        </w:trPr>
        <w:tc>
          <w:tcPr>
            <w:tcW w:w="1413" w:type="dxa"/>
            <w:vMerge w:val="restart"/>
            <w:shd w:val="clear" w:color="auto" w:fill="BDD7EE"/>
            <w:vAlign w:val="center"/>
            <w:hideMark/>
          </w:tcPr>
          <w:p w14:paraId="1652294F" w14:textId="77777777" w:rsidR="006054AA" w:rsidRDefault="001F7667">
            <w:pPr>
              <w:pStyle w:val="P68B1DB1-Normal45"/>
              <w:jc w:val="center"/>
              <w:rPr>
                <w:noProof/>
              </w:rPr>
            </w:pPr>
            <w:r>
              <w:rPr>
                <w:noProof/>
              </w:rPr>
              <w:t>Пореден номер</w:t>
            </w:r>
          </w:p>
        </w:tc>
        <w:tc>
          <w:tcPr>
            <w:tcW w:w="3165" w:type="dxa"/>
            <w:vMerge w:val="restart"/>
            <w:shd w:val="clear" w:color="auto" w:fill="BDD7EE"/>
            <w:vAlign w:val="center"/>
            <w:hideMark/>
          </w:tcPr>
          <w:p w14:paraId="69076A27" w14:textId="77777777" w:rsidR="006054AA" w:rsidRDefault="001F7667">
            <w:pPr>
              <w:pStyle w:val="P68B1DB1-Normal45"/>
              <w:jc w:val="center"/>
              <w:rPr>
                <w:noProof/>
              </w:rPr>
            </w:pPr>
            <w:r>
              <w:rPr>
                <w:noProof/>
              </w:rPr>
              <w:t>Свързана мярка (реформа или инвестиции)</w:t>
            </w:r>
          </w:p>
        </w:tc>
        <w:tc>
          <w:tcPr>
            <w:tcW w:w="1468" w:type="dxa"/>
            <w:vMerge w:val="restart"/>
            <w:shd w:val="clear" w:color="auto" w:fill="BDD7EE"/>
            <w:vAlign w:val="center"/>
            <w:hideMark/>
          </w:tcPr>
          <w:p w14:paraId="5C805A0D" w14:textId="77777777" w:rsidR="006054AA" w:rsidRDefault="001F7667">
            <w:pPr>
              <w:pStyle w:val="P68B1DB1-Normal45"/>
              <w:jc w:val="center"/>
              <w:rPr>
                <w:noProof/>
              </w:rPr>
            </w:pPr>
            <w:r>
              <w:rPr>
                <w:noProof/>
              </w:rPr>
              <w:t>Ключов етап/Цел</w:t>
            </w:r>
          </w:p>
        </w:tc>
        <w:tc>
          <w:tcPr>
            <w:tcW w:w="4095" w:type="dxa"/>
            <w:vMerge w:val="restart"/>
            <w:shd w:val="clear" w:color="auto" w:fill="BDD7EE"/>
            <w:vAlign w:val="center"/>
            <w:hideMark/>
          </w:tcPr>
          <w:p w14:paraId="430B88C1" w14:textId="77777777" w:rsidR="006054AA" w:rsidRDefault="001F7667">
            <w:pPr>
              <w:pStyle w:val="P68B1DB1-Normal45"/>
              <w:jc w:val="center"/>
              <w:rPr>
                <w:noProof/>
              </w:rPr>
            </w:pPr>
            <w:r>
              <w:rPr>
                <w:noProof/>
              </w:rPr>
              <w:t>Име</w:t>
            </w:r>
          </w:p>
        </w:tc>
      </w:tr>
      <w:tr w:rsidR="006054AA" w14:paraId="72A0592F" w14:textId="77777777">
        <w:trPr>
          <w:trHeight w:val="517"/>
        </w:trPr>
        <w:tc>
          <w:tcPr>
            <w:tcW w:w="1413" w:type="dxa"/>
            <w:vMerge/>
            <w:vAlign w:val="center"/>
            <w:hideMark/>
          </w:tcPr>
          <w:p w14:paraId="49237D11" w14:textId="77777777" w:rsidR="006054AA" w:rsidRDefault="006054AA">
            <w:pPr>
              <w:rPr>
                <w:b/>
                <w:noProof/>
              </w:rPr>
            </w:pPr>
          </w:p>
        </w:tc>
        <w:tc>
          <w:tcPr>
            <w:tcW w:w="3165" w:type="dxa"/>
            <w:vMerge/>
            <w:vAlign w:val="center"/>
            <w:hideMark/>
          </w:tcPr>
          <w:p w14:paraId="7181CFFC" w14:textId="77777777" w:rsidR="006054AA" w:rsidRDefault="006054AA">
            <w:pPr>
              <w:rPr>
                <w:b/>
                <w:noProof/>
              </w:rPr>
            </w:pPr>
          </w:p>
        </w:tc>
        <w:tc>
          <w:tcPr>
            <w:tcW w:w="1468" w:type="dxa"/>
            <w:vMerge/>
            <w:vAlign w:val="center"/>
            <w:hideMark/>
          </w:tcPr>
          <w:p w14:paraId="1C14FC72" w14:textId="77777777" w:rsidR="006054AA" w:rsidRDefault="006054AA">
            <w:pPr>
              <w:rPr>
                <w:b/>
                <w:noProof/>
              </w:rPr>
            </w:pPr>
          </w:p>
        </w:tc>
        <w:tc>
          <w:tcPr>
            <w:tcW w:w="4095" w:type="dxa"/>
            <w:vMerge/>
            <w:vAlign w:val="center"/>
            <w:hideMark/>
          </w:tcPr>
          <w:p w14:paraId="6C256BAA" w14:textId="77777777" w:rsidR="006054AA" w:rsidRDefault="006054AA">
            <w:pPr>
              <w:rPr>
                <w:b/>
                <w:noProof/>
              </w:rPr>
            </w:pPr>
          </w:p>
        </w:tc>
      </w:tr>
      <w:tr w:rsidR="006054AA" w14:paraId="1417C069" w14:textId="77777777">
        <w:trPr>
          <w:trHeight w:val="302"/>
        </w:trPr>
        <w:tc>
          <w:tcPr>
            <w:tcW w:w="1413" w:type="dxa"/>
            <w:shd w:val="clear" w:color="auto" w:fill="C6EFCE"/>
            <w:noWrap/>
            <w:vAlign w:val="center"/>
          </w:tcPr>
          <w:p w14:paraId="0C8A46CE" w14:textId="77777777" w:rsidR="006054AA" w:rsidRDefault="001F7667">
            <w:pPr>
              <w:pStyle w:val="P68B1DB1-Normal12"/>
              <w:rPr>
                <w:noProof/>
              </w:rPr>
            </w:pPr>
            <w:r>
              <w:rPr>
                <w:noProof/>
              </w:rPr>
              <w:t>M1C1—125</w:t>
            </w:r>
          </w:p>
        </w:tc>
        <w:tc>
          <w:tcPr>
            <w:tcW w:w="3165" w:type="dxa"/>
            <w:shd w:val="clear" w:color="auto" w:fill="C6EFCE"/>
            <w:noWrap/>
            <w:vAlign w:val="center"/>
          </w:tcPr>
          <w:p w14:paraId="2FCB0183" w14:textId="77777777" w:rsidR="006054AA" w:rsidRDefault="001F7667">
            <w:pPr>
              <w:pStyle w:val="P68B1DB1-Normal12"/>
              <w:rPr>
                <w:noProof/>
              </w:rPr>
            </w:pPr>
            <w:r>
              <w:rPr>
                <w:noProof/>
              </w:rPr>
              <w:t>Инвестиция 1.2 — Улесняване на изчисленията в облак за местните БКП</w:t>
            </w:r>
          </w:p>
        </w:tc>
        <w:tc>
          <w:tcPr>
            <w:tcW w:w="1468" w:type="dxa"/>
            <w:shd w:val="clear" w:color="auto" w:fill="C6EFCE"/>
            <w:noWrap/>
            <w:vAlign w:val="center"/>
          </w:tcPr>
          <w:p w14:paraId="1A05CCAB"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6B8979EF" w14:textId="77777777" w:rsidR="006054AA" w:rsidRDefault="001F7667">
            <w:pPr>
              <w:pStyle w:val="P68B1DB1-Normal12"/>
              <w:jc w:val="center"/>
              <w:rPr>
                <w:noProof/>
              </w:rPr>
            </w:pPr>
            <w:r>
              <w:rPr>
                <w:noProof/>
              </w:rPr>
              <w:t>Възлагане на (всички) публични покани за представяне на предложения за услуги в облак за участие в търгове на местната публична администрация</w:t>
            </w:r>
          </w:p>
        </w:tc>
      </w:tr>
      <w:tr w:rsidR="006054AA" w14:paraId="7324A748" w14:textId="77777777">
        <w:trPr>
          <w:trHeight w:val="302"/>
        </w:trPr>
        <w:tc>
          <w:tcPr>
            <w:tcW w:w="1413" w:type="dxa"/>
            <w:shd w:val="clear" w:color="auto" w:fill="C6EFCE"/>
            <w:noWrap/>
            <w:vAlign w:val="center"/>
          </w:tcPr>
          <w:p w14:paraId="6E3D35E9" w14:textId="77777777" w:rsidR="006054AA" w:rsidRDefault="001F7667">
            <w:pPr>
              <w:pStyle w:val="P68B1DB1-Normal12"/>
              <w:rPr>
                <w:noProof/>
              </w:rPr>
            </w:pPr>
            <w:r>
              <w:rPr>
                <w:noProof/>
              </w:rPr>
              <w:t>M1C2—22</w:t>
            </w:r>
          </w:p>
        </w:tc>
        <w:tc>
          <w:tcPr>
            <w:tcW w:w="3165" w:type="dxa"/>
            <w:shd w:val="clear" w:color="auto" w:fill="C6EFCE"/>
            <w:noWrap/>
            <w:vAlign w:val="center"/>
          </w:tcPr>
          <w:p w14:paraId="3D4A2D92" w14:textId="77777777" w:rsidR="006054AA" w:rsidRDefault="001F7667">
            <w:pPr>
              <w:pStyle w:val="P68B1DB1-Normal12"/>
              <w:rPr>
                <w:noProof/>
              </w:rPr>
            </w:pPr>
            <w:r>
              <w:rPr>
                <w:noProof/>
              </w:rPr>
              <w:t>Инвестиция 4: Сателитни технологии и космическа икономика</w:t>
            </w:r>
          </w:p>
        </w:tc>
        <w:tc>
          <w:tcPr>
            <w:tcW w:w="1468" w:type="dxa"/>
            <w:shd w:val="clear" w:color="auto" w:fill="C6EFCE"/>
            <w:noWrap/>
            <w:vAlign w:val="center"/>
          </w:tcPr>
          <w:p w14:paraId="61C312AD"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13B0727B" w14:textId="77777777" w:rsidR="006054AA" w:rsidRDefault="001F7667">
            <w:pPr>
              <w:pStyle w:val="P68B1DB1-Normal12"/>
              <w:jc w:val="center"/>
              <w:rPr>
                <w:noProof/>
              </w:rPr>
            </w:pPr>
            <w:r>
              <w:rPr>
                <w:noProof/>
              </w:rPr>
              <w:t>Възлагане на всички обществени поръчки за спътникови технологии и космически проекти</w:t>
            </w:r>
          </w:p>
        </w:tc>
      </w:tr>
      <w:tr w:rsidR="006054AA" w14:paraId="5A986F18" w14:textId="77777777">
        <w:trPr>
          <w:trHeight w:val="302"/>
        </w:trPr>
        <w:tc>
          <w:tcPr>
            <w:tcW w:w="1413" w:type="dxa"/>
            <w:shd w:val="clear" w:color="auto" w:fill="C6EFCE"/>
            <w:noWrap/>
            <w:vAlign w:val="center"/>
          </w:tcPr>
          <w:p w14:paraId="603263C0" w14:textId="77777777" w:rsidR="006054AA" w:rsidRDefault="001F7667">
            <w:pPr>
              <w:pStyle w:val="P68B1DB1-Normal12"/>
              <w:rPr>
                <w:noProof/>
              </w:rPr>
            </w:pPr>
            <w:r>
              <w:rPr>
                <w:noProof/>
              </w:rPr>
              <w:t>M2C2—48</w:t>
            </w:r>
          </w:p>
        </w:tc>
        <w:tc>
          <w:tcPr>
            <w:tcW w:w="3165" w:type="dxa"/>
            <w:shd w:val="clear" w:color="auto" w:fill="C6EFCE"/>
            <w:noWrap/>
            <w:vAlign w:val="center"/>
          </w:tcPr>
          <w:p w14:paraId="08299A7D" w14:textId="77777777" w:rsidR="006054AA" w:rsidRDefault="001F7667">
            <w:pPr>
              <w:pStyle w:val="P68B1DB1-Normal12"/>
              <w:rPr>
                <w:noProof/>
              </w:rPr>
            </w:pPr>
            <w:r>
              <w:rPr>
                <w:noProof/>
              </w:rPr>
              <w:t>Инвестиция 3.1 Производство на водород в изоставени промишлени терени (водородни долини)</w:t>
            </w:r>
          </w:p>
        </w:tc>
        <w:tc>
          <w:tcPr>
            <w:tcW w:w="1468" w:type="dxa"/>
            <w:shd w:val="clear" w:color="auto" w:fill="C6EFCE"/>
            <w:noWrap/>
            <w:vAlign w:val="center"/>
          </w:tcPr>
          <w:p w14:paraId="3F1869CE"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269FC6C0" w14:textId="77777777" w:rsidR="006054AA" w:rsidRDefault="001F7667">
            <w:pPr>
              <w:pStyle w:val="P68B1DB1-Normal12"/>
              <w:jc w:val="center"/>
              <w:rPr>
                <w:noProof/>
              </w:rPr>
            </w:pPr>
            <w:r>
              <w:rPr>
                <w:noProof/>
              </w:rPr>
              <w:t>Възлагане на всички обществени поръчки за проекти за производство на водород в центрове на изоставени промишлени зони</w:t>
            </w:r>
          </w:p>
        </w:tc>
      </w:tr>
      <w:tr w:rsidR="006054AA" w14:paraId="3D9F8EE0" w14:textId="77777777">
        <w:trPr>
          <w:trHeight w:val="302"/>
        </w:trPr>
        <w:tc>
          <w:tcPr>
            <w:tcW w:w="1413" w:type="dxa"/>
            <w:shd w:val="clear" w:color="auto" w:fill="C6EFCE"/>
            <w:noWrap/>
            <w:vAlign w:val="center"/>
          </w:tcPr>
          <w:p w14:paraId="24EAC02A" w14:textId="77777777" w:rsidR="006054AA" w:rsidRDefault="001F7667">
            <w:pPr>
              <w:pStyle w:val="P68B1DB1-Normal12"/>
              <w:rPr>
                <w:noProof/>
              </w:rPr>
            </w:pPr>
            <w:r>
              <w:rPr>
                <w:noProof/>
              </w:rPr>
              <w:t>M2C2—50</w:t>
            </w:r>
          </w:p>
        </w:tc>
        <w:tc>
          <w:tcPr>
            <w:tcW w:w="3165" w:type="dxa"/>
            <w:shd w:val="clear" w:color="auto" w:fill="C6EFCE"/>
            <w:noWrap/>
            <w:vAlign w:val="center"/>
          </w:tcPr>
          <w:p w14:paraId="5CDAD9EE" w14:textId="77777777" w:rsidR="006054AA" w:rsidRDefault="001F7667">
            <w:pPr>
              <w:pStyle w:val="P68B1DB1-Normal12"/>
              <w:rPr>
                <w:noProof/>
              </w:rPr>
            </w:pPr>
            <w:r>
              <w:rPr>
                <w:noProof/>
              </w:rPr>
              <w:t>Инвестиция 3.2 — Използване на водород в трудна за намаляване на емисиите промишленост</w:t>
            </w:r>
          </w:p>
        </w:tc>
        <w:tc>
          <w:tcPr>
            <w:tcW w:w="1468" w:type="dxa"/>
            <w:shd w:val="clear" w:color="auto" w:fill="C6EFCE"/>
            <w:noWrap/>
            <w:vAlign w:val="center"/>
          </w:tcPr>
          <w:p w14:paraId="52E77506"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148140CC" w14:textId="77777777" w:rsidR="006054AA" w:rsidRDefault="001F7667">
            <w:pPr>
              <w:pStyle w:val="P68B1DB1-Normal12"/>
              <w:jc w:val="center"/>
              <w:rPr>
                <w:noProof/>
              </w:rPr>
            </w:pPr>
            <w:r>
              <w:rPr>
                <w:noProof/>
              </w:rPr>
              <w:t>Споразумение за насърчаване на прехода от метан към зелен водород</w:t>
            </w:r>
          </w:p>
        </w:tc>
      </w:tr>
      <w:tr w:rsidR="006054AA" w14:paraId="03A13CBD" w14:textId="77777777">
        <w:trPr>
          <w:trHeight w:val="302"/>
        </w:trPr>
        <w:tc>
          <w:tcPr>
            <w:tcW w:w="1413" w:type="dxa"/>
            <w:shd w:val="clear" w:color="auto" w:fill="C6EFCE"/>
            <w:noWrap/>
            <w:vAlign w:val="center"/>
          </w:tcPr>
          <w:p w14:paraId="2D390D21" w14:textId="77777777" w:rsidR="006054AA" w:rsidRDefault="001F7667">
            <w:pPr>
              <w:pStyle w:val="P68B1DB1-Normal12"/>
              <w:rPr>
                <w:noProof/>
              </w:rPr>
            </w:pPr>
            <w:r>
              <w:rPr>
                <w:noProof/>
              </w:rPr>
              <w:t>M5C2—21</w:t>
            </w:r>
          </w:p>
        </w:tc>
        <w:tc>
          <w:tcPr>
            <w:tcW w:w="3165" w:type="dxa"/>
            <w:shd w:val="clear" w:color="auto" w:fill="C6EFCE"/>
            <w:noWrap/>
            <w:vAlign w:val="center"/>
          </w:tcPr>
          <w:p w14:paraId="00B97818" w14:textId="77777777" w:rsidR="006054AA" w:rsidRDefault="001F7667">
            <w:pPr>
              <w:pStyle w:val="P68B1DB1-Normal12"/>
              <w:rPr>
                <w:noProof/>
              </w:rPr>
            </w:pPr>
            <w:r>
              <w:rPr>
                <w:noProof/>
              </w:rPr>
              <w:t>Инвестиция 7 — Проектът „Спорт и социално приобщаване“</w:t>
            </w:r>
          </w:p>
        </w:tc>
        <w:tc>
          <w:tcPr>
            <w:tcW w:w="1468" w:type="dxa"/>
            <w:shd w:val="clear" w:color="auto" w:fill="C6EFCE"/>
            <w:noWrap/>
            <w:vAlign w:val="center"/>
          </w:tcPr>
          <w:p w14:paraId="6640E0AC"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61F809EA" w14:textId="77777777" w:rsidR="006054AA" w:rsidRDefault="001F7667">
            <w:pPr>
              <w:pStyle w:val="P68B1DB1-Normal12"/>
              <w:jc w:val="center"/>
              <w:rPr>
                <w:noProof/>
              </w:rPr>
            </w:pPr>
            <w:r>
              <w:rPr>
                <w:noProof/>
              </w:rPr>
              <w:t>Възлагане на всички обществени поръчки за проекти в областта на спорта и социалното приобщаване след публична покана за представяне на предложения</w:t>
            </w:r>
          </w:p>
        </w:tc>
      </w:tr>
      <w:tr w:rsidR="006054AA" w14:paraId="5BEB90CE" w14:textId="77777777">
        <w:trPr>
          <w:trHeight w:val="302"/>
        </w:trPr>
        <w:tc>
          <w:tcPr>
            <w:tcW w:w="1413" w:type="dxa"/>
            <w:shd w:val="clear" w:color="auto" w:fill="C6EFCE"/>
            <w:noWrap/>
            <w:vAlign w:val="center"/>
          </w:tcPr>
          <w:p w14:paraId="5BA3D342" w14:textId="77777777" w:rsidR="006054AA" w:rsidRDefault="001F7667">
            <w:pPr>
              <w:pStyle w:val="P68B1DB1-Normal12"/>
              <w:rPr>
                <w:noProof/>
              </w:rPr>
            </w:pPr>
            <w:r>
              <w:rPr>
                <w:noProof/>
              </w:rPr>
              <w:t>M1C3—20</w:t>
            </w:r>
          </w:p>
        </w:tc>
        <w:tc>
          <w:tcPr>
            <w:tcW w:w="3165" w:type="dxa"/>
            <w:shd w:val="clear" w:color="auto" w:fill="C6EFCE"/>
            <w:noWrap/>
            <w:vAlign w:val="center"/>
          </w:tcPr>
          <w:p w14:paraId="36EC7873" w14:textId="77777777" w:rsidR="006054AA" w:rsidRDefault="001F7667">
            <w:pPr>
              <w:pStyle w:val="P68B1DB1-Normal12"/>
              <w:rPr>
                <w:noProof/>
              </w:rPr>
            </w:pPr>
            <w:r>
              <w:rPr>
                <w:noProof/>
              </w:rPr>
              <w:t>Инвестиции — 3.2 Развитие на филмовата индустрия (проект Cinecittà)</w:t>
            </w:r>
          </w:p>
        </w:tc>
        <w:tc>
          <w:tcPr>
            <w:tcW w:w="1468" w:type="dxa"/>
            <w:shd w:val="clear" w:color="auto" w:fill="C6EFCE"/>
            <w:noWrap/>
            <w:vAlign w:val="center"/>
          </w:tcPr>
          <w:p w14:paraId="28D595B7"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24DD6154" w14:textId="77777777" w:rsidR="006054AA" w:rsidRDefault="001F7667">
            <w:pPr>
              <w:pStyle w:val="P68B1DB1-Normal12"/>
              <w:jc w:val="center"/>
              <w:rPr>
                <w:noProof/>
              </w:rPr>
            </w:pPr>
            <w:r>
              <w:rPr>
                <w:noProof/>
              </w:rPr>
              <w:t>Подписване на договорите между изпълнителя Cinecittà SPA и дружествата във връзка с изграждането на девет студиа</w:t>
            </w:r>
          </w:p>
        </w:tc>
      </w:tr>
      <w:tr w:rsidR="006054AA" w14:paraId="388592D8" w14:textId="77777777">
        <w:trPr>
          <w:trHeight w:val="302"/>
        </w:trPr>
        <w:tc>
          <w:tcPr>
            <w:tcW w:w="1413" w:type="dxa"/>
            <w:shd w:val="clear" w:color="auto" w:fill="C6EFCE"/>
            <w:noWrap/>
            <w:vAlign w:val="center"/>
          </w:tcPr>
          <w:p w14:paraId="771F1F00" w14:textId="77777777" w:rsidR="006054AA" w:rsidRDefault="001F7667">
            <w:pPr>
              <w:pStyle w:val="P68B1DB1-Normal12"/>
              <w:rPr>
                <w:noProof/>
              </w:rPr>
            </w:pPr>
            <w:r>
              <w:rPr>
                <w:noProof/>
              </w:rPr>
              <w:t>M2C4—21</w:t>
            </w:r>
          </w:p>
        </w:tc>
        <w:tc>
          <w:tcPr>
            <w:tcW w:w="3165" w:type="dxa"/>
            <w:shd w:val="clear" w:color="auto" w:fill="C6EFCE"/>
            <w:noWrap/>
            <w:vAlign w:val="center"/>
          </w:tcPr>
          <w:p w14:paraId="7FF53FFA" w14:textId="77777777" w:rsidR="006054AA" w:rsidRDefault="001F7667">
            <w:pPr>
              <w:pStyle w:val="P68B1DB1-Normal12"/>
              <w:rPr>
                <w:noProof/>
              </w:rPr>
            </w:pPr>
            <w:r>
              <w:rPr>
                <w:noProof/>
              </w:rPr>
              <w:t>Инвестиция 3.3 — Възстановяване на натурализацията на района на По</w:t>
            </w:r>
          </w:p>
        </w:tc>
        <w:tc>
          <w:tcPr>
            <w:tcW w:w="1468" w:type="dxa"/>
            <w:shd w:val="clear" w:color="auto" w:fill="C6EFCE"/>
            <w:noWrap/>
            <w:vAlign w:val="center"/>
          </w:tcPr>
          <w:p w14:paraId="7EA4591F"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01FBEB7C" w14:textId="77777777" w:rsidR="006054AA" w:rsidRDefault="001F7667">
            <w:pPr>
              <w:pStyle w:val="P68B1DB1-Normal12"/>
              <w:jc w:val="center"/>
              <w:rPr>
                <w:noProof/>
              </w:rPr>
            </w:pPr>
            <w:r>
              <w:rPr>
                <w:noProof/>
              </w:rPr>
              <w:t xml:space="preserve">Преразглеждане на правната рамка за интервенции за повторно натурализиране на района на По </w:t>
            </w:r>
          </w:p>
        </w:tc>
      </w:tr>
      <w:tr w:rsidR="006054AA" w14:paraId="21768022" w14:textId="77777777">
        <w:trPr>
          <w:trHeight w:val="302"/>
        </w:trPr>
        <w:tc>
          <w:tcPr>
            <w:tcW w:w="1413" w:type="dxa"/>
            <w:shd w:val="clear" w:color="auto" w:fill="C6EFCE"/>
            <w:noWrap/>
            <w:vAlign w:val="center"/>
          </w:tcPr>
          <w:p w14:paraId="775F350B" w14:textId="77777777" w:rsidR="006054AA" w:rsidRDefault="001F7667">
            <w:pPr>
              <w:pStyle w:val="P68B1DB1-Normal12"/>
              <w:rPr>
                <w:noProof/>
              </w:rPr>
            </w:pPr>
            <w:r>
              <w:rPr>
                <w:noProof/>
              </w:rPr>
              <w:t>M4C1—28</w:t>
            </w:r>
          </w:p>
        </w:tc>
        <w:tc>
          <w:tcPr>
            <w:tcW w:w="3165" w:type="dxa"/>
            <w:shd w:val="clear" w:color="auto" w:fill="C6EFCE"/>
            <w:noWrap/>
            <w:vAlign w:val="center"/>
          </w:tcPr>
          <w:p w14:paraId="1A82F044" w14:textId="77777777" w:rsidR="006054AA" w:rsidRDefault="001F7667">
            <w:pPr>
              <w:pStyle w:val="P68B1DB1-Normal12"/>
              <w:rPr>
                <w:noProof/>
              </w:rPr>
            </w:pPr>
            <w:r>
              <w:rPr>
                <w:noProof/>
              </w:rPr>
              <w:t>Реформа 1.7: Реформа на регулирането на студентското жилищно настаняване и инвестиции в студентски жилища</w:t>
            </w:r>
          </w:p>
        </w:tc>
        <w:tc>
          <w:tcPr>
            <w:tcW w:w="1468" w:type="dxa"/>
            <w:shd w:val="clear" w:color="auto" w:fill="C6EFCE"/>
            <w:noWrap/>
            <w:vAlign w:val="center"/>
          </w:tcPr>
          <w:p w14:paraId="2C48318D"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68A1C7AF" w14:textId="77777777" w:rsidR="006054AA" w:rsidRDefault="001F7667">
            <w:pPr>
              <w:pStyle w:val="P68B1DB1-Normal12"/>
              <w:jc w:val="center"/>
              <w:rPr>
                <w:noProof/>
              </w:rPr>
            </w:pPr>
            <w:r>
              <w:rPr>
                <w:noProof/>
              </w:rPr>
              <w:t xml:space="preserve"> Възлагане на първоначални договори за създаване на допълнителни спални помещения (легла)</w:t>
            </w:r>
          </w:p>
        </w:tc>
      </w:tr>
      <w:tr w:rsidR="006054AA" w14:paraId="1F14D10A" w14:textId="77777777">
        <w:trPr>
          <w:trHeight w:val="302"/>
        </w:trPr>
        <w:tc>
          <w:tcPr>
            <w:tcW w:w="1413" w:type="dxa"/>
            <w:shd w:val="clear" w:color="auto" w:fill="C6EFCE"/>
            <w:noWrap/>
            <w:vAlign w:val="center"/>
          </w:tcPr>
          <w:p w14:paraId="5A1E5FFB" w14:textId="77777777" w:rsidR="006054AA" w:rsidRDefault="001F7667">
            <w:pPr>
              <w:pStyle w:val="P68B1DB1-Normal12"/>
              <w:rPr>
                <w:noProof/>
              </w:rPr>
            </w:pPr>
            <w:r>
              <w:rPr>
                <w:noProof/>
              </w:rPr>
              <w:t>M4C2—12</w:t>
            </w:r>
          </w:p>
        </w:tc>
        <w:tc>
          <w:tcPr>
            <w:tcW w:w="3165" w:type="dxa"/>
            <w:shd w:val="clear" w:color="auto" w:fill="C6EFCE"/>
            <w:noWrap/>
            <w:vAlign w:val="center"/>
          </w:tcPr>
          <w:p w14:paraId="5A5512E6" w14:textId="77777777" w:rsidR="006054AA" w:rsidRDefault="001F7667">
            <w:pPr>
              <w:pStyle w:val="P68B1DB1-Normal12"/>
              <w:rPr>
                <w:noProof/>
              </w:rPr>
            </w:pPr>
            <w:r>
              <w:rPr>
                <w:noProof/>
              </w:rPr>
              <w:t>Инвестиция 2.1: ВПОИ</w:t>
            </w:r>
          </w:p>
        </w:tc>
        <w:tc>
          <w:tcPr>
            <w:tcW w:w="1468" w:type="dxa"/>
            <w:shd w:val="clear" w:color="auto" w:fill="C6EFCE"/>
            <w:noWrap/>
            <w:vAlign w:val="center"/>
          </w:tcPr>
          <w:p w14:paraId="0CC2DEEB" w14:textId="77777777" w:rsidR="006054AA" w:rsidRDefault="001F7667">
            <w:pPr>
              <w:pStyle w:val="P68B1DB1-Normal12"/>
              <w:rPr>
                <w:noProof/>
              </w:rPr>
            </w:pPr>
            <w:r>
              <w:rPr>
                <w:noProof/>
              </w:rPr>
              <w:t>Ключов етап</w:t>
            </w:r>
          </w:p>
        </w:tc>
        <w:tc>
          <w:tcPr>
            <w:tcW w:w="4095" w:type="dxa"/>
            <w:shd w:val="clear" w:color="auto" w:fill="C6EFCE"/>
            <w:noWrap/>
            <w:vAlign w:val="center"/>
          </w:tcPr>
          <w:p w14:paraId="2AEE9D49" w14:textId="77777777" w:rsidR="006054AA" w:rsidRDefault="001F7667">
            <w:pPr>
              <w:pStyle w:val="P68B1DB1-Normal12"/>
              <w:jc w:val="center"/>
              <w:rPr>
                <w:noProof/>
              </w:rPr>
            </w:pPr>
            <w:r>
              <w:rPr>
                <w:noProof/>
              </w:rPr>
              <w:t>Списъкът на участниците в проекти по ВПОИ е финализиран до 30/06/2023 г.</w:t>
            </w:r>
          </w:p>
        </w:tc>
      </w:tr>
      <w:tr w:rsidR="006054AA" w14:paraId="0B8DEADD" w14:textId="77777777">
        <w:trPr>
          <w:trHeight w:val="302"/>
        </w:trPr>
        <w:tc>
          <w:tcPr>
            <w:tcW w:w="1413" w:type="dxa"/>
            <w:shd w:val="clear" w:color="auto" w:fill="C6EFCE"/>
            <w:noWrap/>
            <w:vAlign w:val="center"/>
          </w:tcPr>
          <w:p w14:paraId="7CA42619" w14:textId="77777777" w:rsidR="006054AA" w:rsidRDefault="001F7667">
            <w:pPr>
              <w:pStyle w:val="P68B1DB1-Normal12"/>
              <w:rPr>
                <w:noProof/>
              </w:rPr>
            </w:pPr>
            <w:r>
              <w:rPr>
                <w:noProof/>
              </w:rPr>
              <w:t>M4C2—16</w:t>
            </w:r>
          </w:p>
        </w:tc>
        <w:tc>
          <w:tcPr>
            <w:tcW w:w="3165" w:type="dxa"/>
            <w:shd w:val="clear" w:color="auto" w:fill="C6EFCE"/>
            <w:noWrap/>
            <w:vAlign w:val="center"/>
          </w:tcPr>
          <w:p w14:paraId="4056997F" w14:textId="77777777" w:rsidR="006054AA" w:rsidRDefault="001F7667">
            <w:pPr>
              <w:pStyle w:val="P68B1DB1-Normal12"/>
              <w:rPr>
                <w:noProof/>
              </w:rPr>
            </w:pPr>
            <w:r>
              <w:rPr>
                <w:noProof/>
              </w:rPr>
              <w:t>Инвестиция 3.1: Фонд за изграждане на интегрирана система от инфраструктури за научни изследвания и иновации</w:t>
            </w:r>
          </w:p>
        </w:tc>
        <w:tc>
          <w:tcPr>
            <w:tcW w:w="1468" w:type="dxa"/>
            <w:shd w:val="clear" w:color="auto" w:fill="C6EFCE"/>
            <w:noWrap/>
            <w:vAlign w:val="center"/>
          </w:tcPr>
          <w:p w14:paraId="554B8643" w14:textId="77777777" w:rsidR="006054AA" w:rsidRDefault="001F7667">
            <w:pPr>
              <w:pStyle w:val="P68B1DB1-Normal12"/>
              <w:rPr>
                <w:noProof/>
              </w:rPr>
            </w:pPr>
            <w:r>
              <w:rPr>
                <w:noProof/>
              </w:rPr>
              <w:t>Целеви</w:t>
            </w:r>
          </w:p>
        </w:tc>
        <w:tc>
          <w:tcPr>
            <w:tcW w:w="4095" w:type="dxa"/>
            <w:shd w:val="clear" w:color="auto" w:fill="C6EFCE"/>
            <w:noWrap/>
            <w:vAlign w:val="center"/>
          </w:tcPr>
          <w:p w14:paraId="4D6A8C1C" w14:textId="77777777" w:rsidR="006054AA" w:rsidRDefault="001F7667">
            <w:pPr>
              <w:pStyle w:val="P68B1DB1-Normal12"/>
              <w:jc w:val="center"/>
              <w:rPr>
                <w:noProof/>
              </w:rPr>
            </w:pPr>
            <w:r>
              <w:rPr>
                <w:noProof/>
              </w:rPr>
              <w:t>Брой финансирани инфраструктури</w:t>
            </w:r>
          </w:p>
        </w:tc>
      </w:tr>
      <w:tr w:rsidR="006054AA" w14:paraId="7A55E239" w14:textId="77777777">
        <w:trPr>
          <w:trHeight w:val="302"/>
        </w:trPr>
        <w:tc>
          <w:tcPr>
            <w:tcW w:w="1413" w:type="dxa"/>
            <w:shd w:val="clear" w:color="auto" w:fill="C6EFCE"/>
            <w:noWrap/>
            <w:vAlign w:val="center"/>
          </w:tcPr>
          <w:p w14:paraId="5E77C7D9" w14:textId="77777777" w:rsidR="006054AA" w:rsidRDefault="001F7667">
            <w:pPr>
              <w:pStyle w:val="P68B1DB1-Normal12"/>
              <w:rPr>
                <w:noProof/>
              </w:rPr>
            </w:pPr>
            <w:r>
              <w:rPr>
                <w:noProof/>
              </w:rPr>
              <w:t>M5C1—18</w:t>
            </w:r>
          </w:p>
        </w:tc>
        <w:tc>
          <w:tcPr>
            <w:tcW w:w="3165" w:type="dxa"/>
            <w:shd w:val="clear" w:color="auto" w:fill="C6EFCE"/>
            <w:noWrap/>
            <w:vAlign w:val="center"/>
          </w:tcPr>
          <w:p w14:paraId="343AA613" w14:textId="77777777" w:rsidR="006054AA" w:rsidRDefault="001F7667">
            <w:pPr>
              <w:pStyle w:val="P68B1DB1-Normal12"/>
              <w:rPr>
                <w:noProof/>
              </w:rPr>
            </w:pPr>
            <w:r>
              <w:rPr>
                <w:noProof/>
              </w:rPr>
              <w:t>Инвестиция 5 — Създаване на женски предприятия</w:t>
            </w:r>
          </w:p>
        </w:tc>
        <w:tc>
          <w:tcPr>
            <w:tcW w:w="1468" w:type="dxa"/>
            <w:shd w:val="clear" w:color="auto" w:fill="C6EFCE"/>
            <w:noWrap/>
            <w:vAlign w:val="center"/>
          </w:tcPr>
          <w:p w14:paraId="4902035D" w14:textId="77777777" w:rsidR="006054AA" w:rsidRDefault="001F7667">
            <w:pPr>
              <w:pStyle w:val="P68B1DB1-Normal12"/>
              <w:rPr>
                <w:noProof/>
              </w:rPr>
            </w:pPr>
            <w:r>
              <w:rPr>
                <w:noProof/>
              </w:rPr>
              <w:t>Целеви</w:t>
            </w:r>
          </w:p>
        </w:tc>
        <w:tc>
          <w:tcPr>
            <w:tcW w:w="4095" w:type="dxa"/>
            <w:shd w:val="clear" w:color="auto" w:fill="C6EFCE"/>
            <w:noWrap/>
            <w:vAlign w:val="center"/>
          </w:tcPr>
          <w:p w14:paraId="6D47E62B" w14:textId="77777777" w:rsidR="006054AA" w:rsidRDefault="001F7667">
            <w:pPr>
              <w:pStyle w:val="P68B1DB1-Normal12"/>
              <w:jc w:val="center"/>
              <w:rPr>
                <w:noProof/>
              </w:rPr>
            </w:pPr>
            <w:r>
              <w:rPr>
                <w:noProof/>
              </w:rPr>
              <w:t xml:space="preserve">Поето задължение за финансова подкрепа за предприятията </w:t>
            </w:r>
          </w:p>
        </w:tc>
      </w:tr>
      <w:tr w:rsidR="006054AA" w14:paraId="08C5D382" w14:textId="77777777">
        <w:trPr>
          <w:trHeight w:val="302"/>
        </w:trPr>
        <w:tc>
          <w:tcPr>
            <w:tcW w:w="1413" w:type="dxa"/>
            <w:shd w:val="clear" w:color="auto" w:fill="C6EFCE"/>
            <w:noWrap/>
            <w:vAlign w:val="center"/>
          </w:tcPr>
          <w:p w14:paraId="4BD4A668" w14:textId="77777777" w:rsidR="006054AA" w:rsidRDefault="001F7667">
            <w:pPr>
              <w:pStyle w:val="P68B1DB1-Normal12"/>
              <w:rPr>
                <w:noProof/>
              </w:rPr>
            </w:pPr>
            <w:r>
              <w:rPr>
                <w:noProof/>
              </w:rPr>
              <w:t>M6C2—14</w:t>
            </w:r>
          </w:p>
        </w:tc>
        <w:tc>
          <w:tcPr>
            <w:tcW w:w="3165" w:type="dxa"/>
            <w:shd w:val="clear" w:color="auto" w:fill="C6EFCE"/>
            <w:noWrap/>
            <w:vAlign w:val="center"/>
          </w:tcPr>
          <w:p w14:paraId="3800CDCE" w14:textId="77777777" w:rsidR="006054AA" w:rsidRDefault="001F7667">
            <w:pPr>
              <w:pStyle w:val="P68B1DB1-Normal48"/>
              <w:rPr>
                <w:noProof/>
                <w:color w:val="006100"/>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tc>
        <w:tc>
          <w:tcPr>
            <w:tcW w:w="1468" w:type="dxa"/>
            <w:shd w:val="clear" w:color="auto" w:fill="C6EFCE"/>
            <w:noWrap/>
            <w:vAlign w:val="center"/>
          </w:tcPr>
          <w:p w14:paraId="11E43281" w14:textId="77777777" w:rsidR="006054AA" w:rsidRDefault="001F7667">
            <w:pPr>
              <w:pStyle w:val="P68B1DB1-Normal48"/>
              <w:rPr>
                <w:noProof/>
                <w:color w:val="006100"/>
              </w:rPr>
            </w:pPr>
            <w:r>
              <w:rPr>
                <w:noProof/>
              </w:rPr>
              <w:t>Целеви</w:t>
            </w:r>
          </w:p>
        </w:tc>
        <w:tc>
          <w:tcPr>
            <w:tcW w:w="4095" w:type="dxa"/>
            <w:shd w:val="clear" w:color="auto" w:fill="C6EFCE"/>
            <w:noWrap/>
            <w:vAlign w:val="center"/>
          </w:tcPr>
          <w:p w14:paraId="7A722A18" w14:textId="77777777" w:rsidR="006054AA" w:rsidRDefault="001F7667">
            <w:pPr>
              <w:pStyle w:val="P68B1DB1-Normal48"/>
              <w:jc w:val="center"/>
              <w:rPr>
                <w:noProof/>
              </w:rPr>
            </w:pPr>
            <w:r>
              <w:rPr>
                <w:noProof/>
              </w:rPr>
              <w:t>Отпускат се стипендии за специфично обучение по обща медицина.</w:t>
            </w:r>
          </w:p>
        </w:tc>
      </w:tr>
      <w:tr w:rsidR="006054AA" w14:paraId="022911C1" w14:textId="77777777">
        <w:trPr>
          <w:trHeight w:val="302"/>
        </w:trPr>
        <w:tc>
          <w:tcPr>
            <w:tcW w:w="1413" w:type="dxa"/>
            <w:shd w:val="clear" w:color="auto" w:fill="C6EFCE"/>
            <w:noWrap/>
            <w:vAlign w:val="bottom"/>
          </w:tcPr>
          <w:p w14:paraId="284FCE36" w14:textId="77777777" w:rsidR="006054AA" w:rsidRDefault="006054AA">
            <w:pPr>
              <w:jc w:val="center"/>
              <w:rPr>
                <w:noProof/>
                <w:color w:val="006100"/>
                <w:sz w:val="20"/>
              </w:rPr>
            </w:pPr>
          </w:p>
        </w:tc>
        <w:tc>
          <w:tcPr>
            <w:tcW w:w="3165" w:type="dxa"/>
            <w:shd w:val="clear" w:color="auto" w:fill="C6EFCE"/>
            <w:noWrap/>
            <w:vAlign w:val="bottom"/>
          </w:tcPr>
          <w:p w14:paraId="18A6B8FF" w14:textId="77777777" w:rsidR="006054AA" w:rsidRDefault="006054AA">
            <w:pPr>
              <w:rPr>
                <w:noProof/>
                <w:color w:val="006100"/>
                <w:sz w:val="20"/>
              </w:rPr>
            </w:pPr>
          </w:p>
        </w:tc>
        <w:tc>
          <w:tcPr>
            <w:tcW w:w="1468" w:type="dxa"/>
            <w:shd w:val="clear" w:color="auto" w:fill="C6EFCE"/>
            <w:noWrap/>
            <w:vAlign w:val="bottom"/>
          </w:tcPr>
          <w:p w14:paraId="4F13DE23" w14:textId="77777777" w:rsidR="006054AA" w:rsidRDefault="001F7667">
            <w:pPr>
              <w:pStyle w:val="P68B1DB1-Normal12"/>
              <w:rPr>
                <w:noProof/>
              </w:rPr>
            </w:pPr>
            <w:r>
              <w:rPr>
                <w:noProof/>
              </w:rPr>
              <w:t>Размер на вноската</w:t>
            </w:r>
          </w:p>
        </w:tc>
        <w:tc>
          <w:tcPr>
            <w:tcW w:w="4095" w:type="dxa"/>
            <w:shd w:val="clear" w:color="auto" w:fill="C6EFCE"/>
            <w:noWrap/>
            <w:vAlign w:val="bottom"/>
          </w:tcPr>
          <w:p w14:paraId="483DB3D7" w14:textId="0C0D46A6" w:rsidR="006054AA" w:rsidRDefault="001F7667">
            <w:pPr>
              <w:pStyle w:val="P68B1DB1-Normal12"/>
              <w:rPr>
                <w:noProof/>
              </w:rPr>
            </w:pPr>
            <w:r>
              <w:rPr>
                <w:noProof/>
              </w:rPr>
              <w:t>16 611 453 220 EUR</w:t>
            </w:r>
          </w:p>
        </w:tc>
      </w:tr>
    </w:tbl>
    <w:p w14:paraId="642EDD2A" w14:textId="02C61903" w:rsidR="006054AA" w:rsidRDefault="001F7667">
      <w:pPr>
        <w:pStyle w:val="P68B1DB1-Normal44"/>
        <w:numPr>
          <w:ilvl w:val="1"/>
          <w:numId w:val="6"/>
        </w:numPr>
        <w:spacing w:before="120" w:after="120"/>
        <w:jc w:val="both"/>
        <w:rPr>
          <w:noProof/>
        </w:rPr>
      </w:pPr>
      <w:r>
        <w:rPr>
          <w:noProof/>
        </w:rPr>
        <w:t>Пета вноска (подкрепа под формата на заем):</w:t>
      </w:r>
    </w:p>
    <w:tbl>
      <w:tblPr>
        <w:tblW w:w="10139" w:type="dxa"/>
        <w:tblInd w:w="113" w:type="dxa"/>
        <w:tblLook w:val="04A0" w:firstRow="1" w:lastRow="0" w:firstColumn="1" w:lastColumn="0" w:noHBand="0" w:noVBand="1"/>
      </w:tblPr>
      <w:tblGrid>
        <w:gridCol w:w="1413"/>
        <w:gridCol w:w="3195"/>
        <w:gridCol w:w="1438"/>
        <w:gridCol w:w="4093"/>
      </w:tblGrid>
      <w:tr w:rsidR="006054AA" w14:paraId="40D5A37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5F6DF5" w14:textId="77777777" w:rsidR="006054AA" w:rsidRDefault="001F7667">
            <w:pPr>
              <w:pStyle w:val="P68B1DB1-Normal45"/>
              <w:jc w:val="center"/>
              <w:rPr>
                <w:noProof/>
              </w:rPr>
            </w:pPr>
            <w:r>
              <w:rPr>
                <w:noProof/>
              </w:rPr>
              <w:t>Пореден номер</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0A207A" w14:textId="77777777" w:rsidR="006054AA" w:rsidRDefault="001F7667">
            <w:pPr>
              <w:pStyle w:val="P68B1DB1-Normal45"/>
              <w:jc w:val="center"/>
              <w:rPr>
                <w:noProof/>
              </w:rPr>
            </w:pPr>
            <w:r>
              <w:rPr>
                <w:noProof/>
              </w:rPr>
              <w:t>Свързана мярка (реформа или инвестиции)</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8CC54E" w14:textId="77777777" w:rsidR="006054AA" w:rsidRDefault="001F7667">
            <w:pPr>
              <w:pStyle w:val="P68B1DB1-Normal45"/>
              <w:jc w:val="center"/>
              <w:rPr>
                <w:noProof/>
              </w:rPr>
            </w:pPr>
            <w:r>
              <w:rPr>
                <w:noProof/>
              </w:rPr>
              <w:t>Ключов етап/Цел</w:t>
            </w:r>
          </w:p>
        </w:tc>
        <w:tc>
          <w:tcPr>
            <w:tcW w:w="4093" w:type="dxa"/>
            <w:vMerge w:val="restart"/>
            <w:tcBorders>
              <w:top w:val="single" w:sz="4" w:space="0" w:color="auto"/>
              <w:left w:val="nil"/>
              <w:bottom w:val="single" w:sz="4" w:space="0" w:color="auto"/>
              <w:right w:val="single" w:sz="4" w:space="0" w:color="auto"/>
            </w:tcBorders>
            <w:shd w:val="clear" w:color="auto" w:fill="BDD7EE"/>
            <w:vAlign w:val="center"/>
            <w:hideMark/>
          </w:tcPr>
          <w:p w14:paraId="437A2B23" w14:textId="77777777" w:rsidR="006054AA" w:rsidRDefault="001F7667">
            <w:pPr>
              <w:pStyle w:val="P68B1DB1-Normal45"/>
              <w:jc w:val="center"/>
              <w:rPr>
                <w:noProof/>
              </w:rPr>
            </w:pPr>
            <w:r>
              <w:rPr>
                <w:noProof/>
              </w:rPr>
              <w:t>Име</w:t>
            </w:r>
          </w:p>
        </w:tc>
      </w:tr>
      <w:tr w:rsidR="006054AA" w14:paraId="5B79208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EED36EA" w14:textId="77777777" w:rsidR="006054AA" w:rsidRDefault="006054AA">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D60A6AB" w14:textId="77777777" w:rsidR="006054AA" w:rsidRDefault="006054AA">
            <w:pPr>
              <w:rPr>
                <w:b/>
                <w:noProof/>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0FE6CB09" w14:textId="77777777" w:rsidR="006054AA" w:rsidRDefault="006054AA">
            <w:pPr>
              <w:rPr>
                <w:b/>
                <w:noProof/>
              </w:rPr>
            </w:pPr>
          </w:p>
        </w:tc>
        <w:tc>
          <w:tcPr>
            <w:tcW w:w="4093" w:type="dxa"/>
            <w:vMerge/>
            <w:tcBorders>
              <w:top w:val="single" w:sz="4" w:space="0" w:color="auto"/>
              <w:left w:val="single" w:sz="4" w:space="0" w:color="auto"/>
              <w:bottom w:val="single" w:sz="4" w:space="0" w:color="auto"/>
              <w:right w:val="single" w:sz="4" w:space="0" w:color="auto"/>
            </w:tcBorders>
            <w:vAlign w:val="center"/>
            <w:hideMark/>
          </w:tcPr>
          <w:p w14:paraId="2407D4BD" w14:textId="77777777" w:rsidR="006054AA" w:rsidRDefault="006054AA">
            <w:pPr>
              <w:rPr>
                <w:b/>
                <w:noProof/>
              </w:rPr>
            </w:pPr>
          </w:p>
        </w:tc>
      </w:tr>
      <w:tr w:rsidR="006054AA" w14:paraId="4616306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2BB8" w14:textId="77777777" w:rsidR="006054AA" w:rsidRDefault="001F7667">
            <w:pPr>
              <w:pStyle w:val="P68B1DB1-Normal12"/>
              <w:jc w:val="center"/>
              <w:rPr>
                <w:noProof/>
              </w:rPr>
            </w:pPr>
            <w:r>
              <w:rPr>
                <w:noProof/>
              </w:rPr>
              <w:t>M2C3—5</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B406AA" w14:textId="77777777" w:rsidR="006054AA" w:rsidRDefault="001F7667">
            <w:pPr>
              <w:pStyle w:val="P68B1DB1-Normal12"/>
              <w:jc w:val="center"/>
              <w:rPr>
                <w:noProof/>
              </w:rPr>
            </w:pPr>
            <w:r>
              <w:rPr>
                <w:noProof/>
              </w:rPr>
              <w:t xml:space="preserve">Инвестиция 1.1: Изграждане на нови училища чрез подмяна на сгради </w:t>
            </w:r>
          </w:p>
        </w:tc>
        <w:tc>
          <w:tcPr>
            <w:tcW w:w="1438" w:type="dxa"/>
            <w:tcBorders>
              <w:top w:val="single" w:sz="4" w:space="0" w:color="auto"/>
              <w:left w:val="nil"/>
              <w:bottom w:val="single" w:sz="4" w:space="0" w:color="auto"/>
              <w:right w:val="single" w:sz="4" w:space="0" w:color="auto"/>
            </w:tcBorders>
            <w:shd w:val="clear" w:color="auto" w:fill="C6EFCE"/>
            <w:noWrap/>
            <w:vAlign w:val="center"/>
          </w:tcPr>
          <w:p w14:paraId="087072EA" w14:textId="77777777" w:rsidR="006054AA" w:rsidRDefault="001F7667">
            <w:pPr>
              <w:pStyle w:val="P68B1DB1-Normal12"/>
              <w:jc w:val="center"/>
              <w:rPr>
                <w:noProof/>
              </w:rPr>
            </w:pPr>
            <w:r>
              <w:rPr>
                <w:noProof/>
              </w:rPr>
              <w:t>Ключов етап</w:t>
            </w:r>
          </w:p>
        </w:tc>
        <w:tc>
          <w:tcPr>
            <w:tcW w:w="4093" w:type="dxa"/>
            <w:tcBorders>
              <w:top w:val="single" w:sz="4" w:space="0" w:color="auto"/>
              <w:left w:val="nil"/>
              <w:bottom w:val="single" w:sz="4" w:space="0" w:color="auto"/>
              <w:right w:val="single" w:sz="4" w:space="0" w:color="auto"/>
            </w:tcBorders>
            <w:shd w:val="clear" w:color="auto" w:fill="C6EFCE"/>
            <w:noWrap/>
            <w:vAlign w:val="center"/>
          </w:tcPr>
          <w:p w14:paraId="5CF5359A" w14:textId="77777777" w:rsidR="006054AA" w:rsidRDefault="001F7667">
            <w:pPr>
              <w:pStyle w:val="P68B1DB1-Normal12"/>
              <w:jc w:val="center"/>
              <w:rPr>
                <w:noProof/>
              </w:rPr>
            </w:pPr>
            <w:r>
              <w:rPr>
                <w:noProof/>
              </w:rPr>
              <w:t xml:space="preserve">Възлагане на всички обществени поръчки за изграждане на нови училища чрез подмяна на сгради с цел подобряване на енергията в училищните сгради след процедура за възлагане на обществена поръчка </w:t>
            </w:r>
          </w:p>
        </w:tc>
      </w:tr>
      <w:tr w:rsidR="006054AA" w14:paraId="18A8A1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CE3D8" w14:textId="77777777" w:rsidR="006054AA" w:rsidRDefault="001F7667">
            <w:pPr>
              <w:pStyle w:val="P68B1DB1-Normal12"/>
              <w:jc w:val="center"/>
              <w:rPr>
                <w:noProof/>
              </w:rPr>
            </w:pPr>
            <w:r>
              <w:rPr>
                <w:noProof/>
              </w:rPr>
              <w:t>M2C4—28</w:t>
            </w:r>
          </w:p>
        </w:tc>
        <w:tc>
          <w:tcPr>
            <w:tcW w:w="3195" w:type="dxa"/>
            <w:tcBorders>
              <w:top w:val="nil"/>
              <w:left w:val="nil"/>
              <w:bottom w:val="single" w:sz="4" w:space="0" w:color="auto"/>
              <w:right w:val="single" w:sz="4" w:space="0" w:color="auto"/>
            </w:tcBorders>
            <w:shd w:val="clear" w:color="auto" w:fill="C6EFCE"/>
            <w:noWrap/>
            <w:vAlign w:val="center"/>
          </w:tcPr>
          <w:p w14:paraId="0CCDC74A" w14:textId="77777777" w:rsidR="006054AA" w:rsidRDefault="001F7667">
            <w:pPr>
              <w:pStyle w:val="P68B1DB1-Normal12"/>
              <w:jc w:val="center"/>
              <w:rPr>
                <w:noProof/>
              </w:rPr>
            </w:pPr>
            <w:r>
              <w:rPr>
                <w:noProof/>
              </w:rPr>
              <w:t>Инвестиция 4.1. Инвестиции в първични водни инфраструктури за сигурността на водоснабдяването</w:t>
            </w:r>
          </w:p>
        </w:tc>
        <w:tc>
          <w:tcPr>
            <w:tcW w:w="1438" w:type="dxa"/>
            <w:tcBorders>
              <w:top w:val="nil"/>
              <w:left w:val="nil"/>
              <w:bottom w:val="single" w:sz="4" w:space="0" w:color="auto"/>
              <w:right w:val="single" w:sz="4" w:space="0" w:color="auto"/>
            </w:tcBorders>
            <w:shd w:val="clear" w:color="auto" w:fill="C6EFCE"/>
            <w:noWrap/>
            <w:vAlign w:val="center"/>
          </w:tcPr>
          <w:p w14:paraId="4D6311FC"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6CB5E1E9" w14:textId="77777777" w:rsidR="006054AA" w:rsidRDefault="001F7667">
            <w:pPr>
              <w:pStyle w:val="P68B1DB1-Normal12"/>
              <w:jc w:val="center"/>
              <w:rPr>
                <w:noProof/>
              </w:rPr>
            </w:pPr>
            <w:r>
              <w:rPr>
                <w:noProof/>
              </w:rPr>
              <w:t xml:space="preserve">Възлагане на (всички) обществени поръчки за инвестиции в първична водна инфраструктура и за сигурност на водоснабдяването </w:t>
            </w:r>
          </w:p>
        </w:tc>
      </w:tr>
      <w:tr w:rsidR="006054AA" w14:paraId="7EE9CC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366D46" w14:textId="77777777" w:rsidR="006054AA" w:rsidRDefault="001F7667">
            <w:pPr>
              <w:pStyle w:val="P68B1DB1-Normal12"/>
              <w:jc w:val="center"/>
              <w:rPr>
                <w:noProof/>
              </w:rPr>
            </w:pPr>
            <w:r>
              <w:rPr>
                <w:noProof/>
              </w:rPr>
              <w:t>M2C4—30</w:t>
            </w:r>
          </w:p>
        </w:tc>
        <w:tc>
          <w:tcPr>
            <w:tcW w:w="3195" w:type="dxa"/>
            <w:tcBorders>
              <w:top w:val="nil"/>
              <w:left w:val="nil"/>
              <w:bottom w:val="single" w:sz="4" w:space="0" w:color="auto"/>
              <w:right w:val="single" w:sz="4" w:space="0" w:color="auto"/>
            </w:tcBorders>
            <w:shd w:val="clear" w:color="auto" w:fill="C6EFCE"/>
            <w:noWrap/>
            <w:vAlign w:val="center"/>
          </w:tcPr>
          <w:p w14:paraId="7B0AE733" w14:textId="77777777" w:rsidR="006054AA" w:rsidRDefault="001F7667">
            <w:pPr>
              <w:pStyle w:val="P68B1DB1-Normal12"/>
              <w:jc w:val="center"/>
              <w:rPr>
                <w:noProof/>
              </w:rPr>
            </w:pPr>
            <w:r>
              <w:rPr>
                <w:noProof/>
              </w:rPr>
              <w:t>Инвестиция 4.2. Намаляване на загубите във водоразпределителните мрежи, включително цифровизация и мониторинг на мрежите</w:t>
            </w:r>
          </w:p>
        </w:tc>
        <w:tc>
          <w:tcPr>
            <w:tcW w:w="1438" w:type="dxa"/>
            <w:tcBorders>
              <w:top w:val="nil"/>
              <w:left w:val="nil"/>
              <w:bottom w:val="single" w:sz="4" w:space="0" w:color="auto"/>
              <w:right w:val="single" w:sz="4" w:space="0" w:color="auto"/>
            </w:tcBorders>
            <w:shd w:val="clear" w:color="auto" w:fill="C6EFCE"/>
            <w:noWrap/>
            <w:vAlign w:val="center"/>
          </w:tcPr>
          <w:p w14:paraId="6C548862"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0201175C" w14:textId="77777777" w:rsidR="006054AA" w:rsidRDefault="001F7667">
            <w:pPr>
              <w:pStyle w:val="P68B1DB1-Normal12"/>
              <w:jc w:val="center"/>
              <w:rPr>
                <w:noProof/>
              </w:rPr>
            </w:pPr>
            <w:r>
              <w:rPr>
                <w:noProof/>
              </w:rPr>
              <w:t>Възлагане на всички обществени поръчки за интервенции във водоснабдителните мрежи, включително цифровизация и мониторинг на мрежите</w:t>
            </w:r>
          </w:p>
        </w:tc>
      </w:tr>
      <w:tr w:rsidR="006054AA" w14:paraId="2505FB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51B825" w14:textId="77777777" w:rsidR="006054AA" w:rsidRDefault="001F7667">
            <w:pPr>
              <w:pStyle w:val="P68B1DB1-Normal12"/>
              <w:jc w:val="center"/>
              <w:rPr>
                <w:noProof/>
              </w:rPr>
            </w:pPr>
            <w:r>
              <w:rPr>
                <w:noProof/>
              </w:rPr>
              <w:t>M1C1—14</w:t>
            </w:r>
          </w:p>
        </w:tc>
        <w:tc>
          <w:tcPr>
            <w:tcW w:w="3195" w:type="dxa"/>
            <w:tcBorders>
              <w:top w:val="nil"/>
              <w:left w:val="nil"/>
              <w:bottom w:val="single" w:sz="4" w:space="0" w:color="auto"/>
              <w:right w:val="single" w:sz="4" w:space="0" w:color="auto"/>
            </w:tcBorders>
            <w:shd w:val="clear" w:color="auto" w:fill="C6EFCE"/>
            <w:noWrap/>
            <w:vAlign w:val="center"/>
          </w:tcPr>
          <w:p w14:paraId="5C124260" w14:textId="77777777" w:rsidR="006054AA" w:rsidRDefault="001F7667">
            <w:pPr>
              <w:pStyle w:val="P68B1DB1-Normal12"/>
              <w:jc w:val="center"/>
              <w:rPr>
                <w:noProof/>
              </w:rPr>
            </w:pPr>
            <w:r>
              <w:rPr>
                <w:noProof/>
              </w:rPr>
              <w:t>Инвестиция 1.6.5: Цифровизация на Държавния съвет</w:t>
            </w:r>
          </w:p>
        </w:tc>
        <w:tc>
          <w:tcPr>
            <w:tcW w:w="1438" w:type="dxa"/>
            <w:tcBorders>
              <w:top w:val="nil"/>
              <w:left w:val="nil"/>
              <w:bottom w:val="single" w:sz="4" w:space="0" w:color="auto"/>
              <w:right w:val="single" w:sz="4" w:space="0" w:color="auto"/>
            </w:tcBorders>
            <w:shd w:val="clear" w:color="auto" w:fill="C6EFCE"/>
            <w:noWrap/>
            <w:vAlign w:val="center"/>
          </w:tcPr>
          <w:p w14:paraId="43893C09"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02D0F2F9" w14:textId="77777777" w:rsidR="006054AA" w:rsidRDefault="001F7667">
            <w:pPr>
              <w:pStyle w:val="P68B1DB1-Normal12"/>
              <w:jc w:val="center"/>
              <w:rPr>
                <w:noProof/>
              </w:rPr>
            </w:pPr>
            <w:r>
              <w:rPr>
                <w:noProof/>
              </w:rPr>
              <w:t>Държавен съвет — Документи на Съда, които са на разположение за анализ в хранилище за данни T1</w:t>
            </w:r>
          </w:p>
        </w:tc>
      </w:tr>
      <w:tr w:rsidR="006054AA" w14:paraId="1AB7B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998392" w14:textId="77777777" w:rsidR="006054AA" w:rsidRDefault="001F7667">
            <w:pPr>
              <w:pStyle w:val="P68B1DB1-Normal12"/>
              <w:jc w:val="center"/>
              <w:rPr>
                <w:noProof/>
              </w:rPr>
            </w:pPr>
            <w:r>
              <w:rPr>
                <w:noProof/>
              </w:rPr>
              <w:t>M1C1—16</w:t>
            </w:r>
          </w:p>
        </w:tc>
        <w:tc>
          <w:tcPr>
            <w:tcW w:w="3195" w:type="dxa"/>
            <w:tcBorders>
              <w:top w:val="nil"/>
              <w:left w:val="nil"/>
              <w:bottom w:val="single" w:sz="4" w:space="0" w:color="auto"/>
              <w:right w:val="single" w:sz="4" w:space="0" w:color="auto"/>
            </w:tcBorders>
            <w:shd w:val="clear" w:color="auto" w:fill="C6EFCE"/>
            <w:noWrap/>
            <w:vAlign w:val="center"/>
          </w:tcPr>
          <w:p w14:paraId="29596D4E" w14:textId="77777777" w:rsidR="006054AA" w:rsidRDefault="001F7667">
            <w:pPr>
              <w:pStyle w:val="P68B1DB1-Normal12"/>
              <w:jc w:val="center"/>
              <w:rPr>
                <w:noProof/>
              </w:rPr>
            </w:pPr>
            <w:r>
              <w:rPr>
                <w:noProof/>
              </w:rPr>
              <w:t>Инвестиция 1.6.5: Цифровизация на Държавния съвет</w:t>
            </w:r>
          </w:p>
        </w:tc>
        <w:tc>
          <w:tcPr>
            <w:tcW w:w="1438" w:type="dxa"/>
            <w:tcBorders>
              <w:top w:val="nil"/>
              <w:left w:val="nil"/>
              <w:bottom w:val="single" w:sz="4" w:space="0" w:color="auto"/>
              <w:right w:val="single" w:sz="4" w:space="0" w:color="auto"/>
            </w:tcBorders>
            <w:shd w:val="clear" w:color="auto" w:fill="C6EFCE"/>
            <w:noWrap/>
            <w:vAlign w:val="center"/>
          </w:tcPr>
          <w:p w14:paraId="66C30726"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62F63763" w14:textId="77777777" w:rsidR="006054AA" w:rsidRDefault="001F7667">
            <w:pPr>
              <w:pStyle w:val="P68B1DB1-Normal12"/>
              <w:jc w:val="center"/>
              <w:rPr>
                <w:noProof/>
              </w:rPr>
            </w:pPr>
            <w:r>
              <w:rPr>
                <w:noProof/>
              </w:rPr>
              <w:t>Държавен съвет — Документи на Съда, които са на разположение за анализ в хранилище за данни T2</w:t>
            </w:r>
          </w:p>
        </w:tc>
      </w:tr>
      <w:tr w:rsidR="006054AA" w14:paraId="22665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1E7A6" w14:textId="77777777" w:rsidR="006054AA" w:rsidRDefault="001F7667">
            <w:pPr>
              <w:pStyle w:val="P68B1DB1-Normal12"/>
              <w:jc w:val="center"/>
              <w:rPr>
                <w:noProof/>
              </w:rPr>
            </w:pPr>
            <w:r>
              <w:rPr>
                <w:noProof/>
              </w:rPr>
              <w:t>M1C1—126</w:t>
            </w:r>
          </w:p>
        </w:tc>
        <w:tc>
          <w:tcPr>
            <w:tcW w:w="3195" w:type="dxa"/>
            <w:tcBorders>
              <w:top w:val="nil"/>
              <w:left w:val="nil"/>
              <w:bottom w:val="single" w:sz="4" w:space="0" w:color="auto"/>
              <w:right w:val="single" w:sz="4" w:space="0" w:color="auto"/>
            </w:tcBorders>
            <w:shd w:val="clear" w:color="auto" w:fill="C6EFCE"/>
            <w:noWrap/>
            <w:vAlign w:val="center"/>
          </w:tcPr>
          <w:p w14:paraId="0DF07D6F" w14:textId="77777777" w:rsidR="006054AA" w:rsidRDefault="001F7667">
            <w:pPr>
              <w:pStyle w:val="P68B1DB1-Normal12"/>
              <w:jc w:val="center"/>
              <w:rPr>
                <w:noProof/>
              </w:rPr>
            </w:pPr>
            <w:r>
              <w:rPr>
                <w:noProof/>
              </w:rPr>
              <w:t>Инвестиция 1.4.3 — Приемане на разширяването на услугите на платформата PagoPA и приложението IO</w:t>
            </w:r>
          </w:p>
        </w:tc>
        <w:tc>
          <w:tcPr>
            <w:tcW w:w="1438" w:type="dxa"/>
            <w:tcBorders>
              <w:top w:val="nil"/>
              <w:left w:val="nil"/>
              <w:bottom w:val="single" w:sz="4" w:space="0" w:color="auto"/>
              <w:right w:val="single" w:sz="4" w:space="0" w:color="auto"/>
            </w:tcBorders>
            <w:shd w:val="clear" w:color="auto" w:fill="C6EFCE"/>
            <w:noWrap/>
            <w:vAlign w:val="center"/>
          </w:tcPr>
          <w:p w14:paraId="5E08D2A8"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13864DE0" w14:textId="77777777" w:rsidR="006054AA" w:rsidRDefault="001F7667">
            <w:pPr>
              <w:pStyle w:val="P68B1DB1-Normal12"/>
              <w:jc w:val="center"/>
              <w:rPr>
                <w:noProof/>
              </w:rPr>
            </w:pPr>
            <w:r>
              <w:rPr>
                <w:noProof/>
              </w:rPr>
              <w:t>Приемане на разширяване на услугите на платформата PagoPA T1</w:t>
            </w:r>
          </w:p>
        </w:tc>
      </w:tr>
      <w:tr w:rsidR="006054AA" w14:paraId="324317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5F2356" w14:textId="77777777" w:rsidR="006054AA" w:rsidRDefault="001F7667">
            <w:pPr>
              <w:pStyle w:val="P68B1DB1-Normal12"/>
              <w:jc w:val="center"/>
              <w:rPr>
                <w:noProof/>
              </w:rPr>
            </w:pPr>
            <w:r>
              <w:rPr>
                <w:noProof/>
              </w:rPr>
              <w:t>M1C1—127</w:t>
            </w:r>
          </w:p>
        </w:tc>
        <w:tc>
          <w:tcPr>
            <w:tcW w:w="3195" w:type="dxa"/>
            <w:tcBorders>
              <w:top w:val="nil"/>
              <w:left w:val="nil"/>
              <w:bottom w:val="single" w:sz="4" w:space="0" w:color="auto"/>
              <w:right w:val="single" w:sz="4" w:space="0" w:color="auto"/>
            </w:tcBorders>
            <w:shd w:val="clear" w:color="auto" w:fill="C6EFCE"/>
            <w:noWrap/>
            <w:vAlign w:val="center"/>
          </w:tcPr>
          <w:p w14:paraId="3EDB7FD8" w14:textId="77777777" w:rsidR="006054AA" w:rsidRDefault="001F7667">
            <w:pPr>
              <w:pStyle w:val="P68B1DB1-Normal12"/>
              <w:jc w:val="center"/>
              <w:rPr>
                <w:noProof/>
              </w:rPr>
            </w:pPr>
            <w:r>
              <w:rPr>
                <w:noProof/>
              </w:rPr>
              <w:t>Инвестиция 1.4.3 — Приемане на разширяването на услугите на платформата PagoPA и приложението IO</w:t>
            </w:r>
          </w:p>
        </w:tc>
        <w:tc>
          <w:tcPr>
            <w:tcW w:w="1438" w:type="dxa"/>
            <w:tcBorders>
              <w:top w:val="nil"/>
              <w:left w:val="nil"/>
              <w:bottom w:val="single" w:sz="4" w:space="0" w:color="auto"/>
              <w:right w:val="single" w:sz="4" w:space="0" w:color="auto"/>
            </w:tcBorders>
            <w:shd w:val="clear" w:color="auto" w:fill="C6EFCE"/>
            <w:noWrap/>
            <w:vAlign w:val="center"/>
          </w:tcPr>
          <w:p w14:paraId="05C46700"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5AB02332" w14:textId="77777777" w:rsidR="006054AA" w:rsidRDefault="001F7667">
            <w:pPr>
              <w:pStyle w:val="P68B1DB1-Normal12"/>
              <w:jc w:val="center"/>
              <w:rPr>
                <w:noProof/>
              </w:rPr>
            </w:pPr>
            <w:r>
              <w:rPr>
                <w:noProof/>
              </w:rPr>
              <w:t>Приемане на приложение „IO“ T1</w:t>
            </w:r>
          </w:p>
        </w:tc>
      </w:tr>
      <w:tr w:rsidR="006054AA" w14:paraId="77466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F69BC6" w14:textId="77777777" w:rsidR="006054AA" w:rsidRDefault="001F7667">
            <w:pPr>
              <w:pStyle w:val="P68B1DB1-Normal12"/>
              <w:jc w:val="center"/>
              <w:rPr>
                <w:noProof/>
              </w:rPr>
            </w:pPr>
            <w:r>
              <w:rPr>
                <w:noProof/>
              </w:rPr>
              <w:t>M1C1—128</w:t>
            </w:r>
          </w:p>
        </w:tc>
        <w:tc>
          <w:tcPr>
            <w:tcW w:w="3195" w:type="dxa"/>
            <w:tcBorders>
              <w:top w:val="nil"/>
              <w:left w:val="nil"/>
              <w:bottom w:val="single" w:sz="4" w:space="0" w:color="auto"/>
              <w:right w:val="single" w:sz="4" w:space="0" w:color="auto"/>
            </w:tcBorders>
            <w:shd w:val="clear" w:color="auto" w:fill="C6EFCE"/>
            <w:noWrap/>
            <w:vAlign w:val="center"/>
          </w:tcPr>
          <w:p w14:paraId="59C2E0C2" w14:textId="77777777" w:rsidR="006054AA" w:rsidRDefault="001F7667">
            <w:pPr>
              <w:pStyle w:val="P68B1DB1-Normal12"/>
              <w:jc w:val="center"/>
              <w:rPr>
                <w:noProof/>
              </w:rPr>
            </w:pPr>
            <w:r>
              <w:rPr>
                <w:noProof/>
              </w:rPr>
              <w:t>Инвестиция 1.4.5 — Цифровизация на публични обявления</w:t>
            </w:r>
          </w:p>
        </w:tc>
        <w:tc>
          <w:tcPr>
            <w:tcW w:w="1438" w:type="dxa"/>
            <w:tcBorders>
              <w:top w:val="nil"/>
              <w:left w:val="nil"/>
              <w:bottom w:val="single" w:sz="4" w:space="0" w:color="auto"/>
              <w:right w:val="single" w:sz="4" w:space="0" w:color="auto"/>
            </w:tcBorders>
            <w:shd w:val="clear" w:color="auto" w:fill="C6EFCE"/>
            <w:noWrap/>
            <w:vAlign w:val="center"/>
          </w:tcPr>
          <w:p w14:paraId="2435468C"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2AE03B0F" w14:textId="77777777" w:rsidR="006054AA" w:rsidRDefault="001F7667">
            <w:pPr>
              <w:pStyle w:val="P68B1DB1-Normal12"/>
              <w:jc w:val="center"/>
              <w:rPr>
                <w:noProof/>
              </w:rPr>
            </w:pPr>
            <w:r>
              <w:rPr>
                <w:noProof/>
              </w:rPr>
              <w:t>Приемане на разрастване на цифровите публични обявления T1</w:t>
            </w:r>
          </w:p>
        </w:tc>
      </w:tr>
      <w:tr w:rsidR="006054AA" w14:paraId="55F77B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A5E191" w14:textId="77777777" w:rsidR="006054AA" w:rsidRDefault="001F7667">
            <w:pPr>
              <w:pStyle w:val="P68B1DB1-Normal12"/>
              <w:jc w:val="center"/>
              <w:rPr>
                <w:noProof/>
              </w:rPr>
            </w:pPr>
            <w:r>
              <w:rPr>
                <w:noProof/>
              </w:rPr>
              <w:t>M1C1—129</w:t>
            </w:r>
          </w:p>
        </w:tc>
        <w:tc>
          <w:tcPr>
            <w:tcW w:w="3195" w:type="dxa"/>
            <w:tcBorders>
              <w:top w:val="nil"/>
              <w:left w:val="nil"/>
              <w:bottom w:val="single" w:sz="4" w:space="0" w:color="auto"/>
              <w:right w:val="single" w:sz="4" w:space="0" w:color="auto"/>
            </w:tcBorders>
            <w:shd w:val="clear" w:color="auto" w:fill="C6EFCE"/>
            <w:noWrap/>
            <w:vAlign w:val="center"/>
          </w:tcPr>
          <w:p w14:paraId="6DCB6C7D" w14:textId="77777777" w:rsidR="006054AA" w:rsidRDefault="001F7667">
            <w:pPr>
              <w:pStyle w:val="P68B1DB1-Normal12"/>
              <w:jc w:val="center"/>
              <w:rPr>
                <w:noProof/>
              </w:rPr>
            </w:pPr>
            <w:r>
              <w:rPr>
                <w:noProof/>
              </w:rPr>
              <w:t>Инвестиция 1.6.1 — Цифровизация на Министерството на вътрешните работи</w:t>
            </w:r>
          </w:p>
        </w:tc>
        <w:tc>
          <w:tcPr>
            <w:tcW w:w="1438" w:type="dxa"/>
            <w:tcBorders>
              <w:top w:val="nil"/>
              <w:left w:val="nil"/>
              <w:bottom w:val="single" w:sz="4" w:space="0" w:color="auto"/>
              <w:right w:val="single" w:sz="4" w:space="0" w:color="auto"/>
            </w:tcBorders>
            <w:shd w:val="clear" w:color="auto" w:fill="C6EFCE"/>
            <w:noWrap/>
            <w:vAlign w:val="center"/>
          </w:tcPr>
          <w:p w14:paraId="300DD812"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1E26EA4E" w14:textId="77777777" w:rsidR="006054AA" w:rsidRDefault="001F7667">
            <w:pPr>
              <w:pStyle w:val="P68B1DB1-Normal12"/>
              <w:jc w:val="center"/>
              <w:rPr>
                <w:noProof/>
              </w:rPr>
            </w:pPr>
            <w:r>
              <w:rPr>
                <w:noProof/>
              </w:rPr>
              <w:t>Министерство на вътрешните работи — Пълно реконструирани и цифровизирани процеси Т1</w:t>
            </w:r>
          </w:p>
        </w:tc>
      </w:tr>
      <w:tr w:rsidR="006054AA" w14:paraId="13610F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59A816" w14:textId="77777777" w:rsidR="006054AA" w:rsidRDefault="001F7667">
            <w:pPr>
              <w:pStyle w:val="P68B1DB1-Normal12"/>
              <w:jc w:val="center"/>
              <w:rPr>
                <w:noProof/>
              </w:rPr>
            </w:pPr>
            <w:r>
              <w:rPr>
                <w:noProof/>
              </w:rPr>
              <w:t>M1C1—130</w:t>
            </w:r>
          </w:p>
        </w:tc>
        <w:tc>
          <w:tcPr>
            <w:tcW w:w="3195" w:type="dxa"/>
            <w:tcBorders>
              <w:top w:val="nil"/>
              <w:left w:val="nil"/>
              <w:bottom w:val="single" w:sz="4" w:space="0" w:color="auto"/>
              <w:right w:val="single" w:sz="4" w:space="0" w:color="auto"/>
            </w:tcBorders>
            <w:shd w:val="clear" w:color="auto" w:fill="C6EFCE"/>
            <w:noWrap/>
            <w:vAlign w:val="center"/>
          </w:tcPr>
          <w:p w14:paraId="149212EF" w14:textId="77777777" w:rsidR="006054AA" w:rsidRDefault="001F7667">
            <w:pPr>
              <w:pStyle w:val="P68B1DB1-Normal12"/>
              <w:jc w:val="center"/>
              <w:rPr>
                <w:noProof/>
              </w:rPr>
            </w:pPr>
            <w:r>
              <w:rPr>
                <w:noProof/>
              </w:rPr>
              <w:t>Инвестиция 1.6.2 — Цифровизация на Министерството на правосъдието</w:t>
            </w:r>
          </w:p>
        </w:tc>
        <w:tc>
          <w:tcPr>
            <w:tcW w:w="1438" w:type="dxa"/>
            <w:tcBorders>
              <w:top w:val="nil"/>
              <w:left w:val="nil"/>
              <w:bottom w:val="single" w:sz="4" w:space="0" w:color="auto"/>
              <w:right w:val="single" w:sz="4" w:space="0" w:color="auto"/>
            </w:tcBorders>
            <w:shd w:val="clear" w:color="auto" w:fill="C6EFCE"/>
            <w:noWrap/>
            <w:vAlign w:val="center"/>
          </w:tcPr>
          <w:p w14:paraId="42ED247B"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1E9D4B5E" w14:textId="77777777" w:rsidR="006054AA" w:rsidRDefault="001F7667">
            <w:pPr>
              <w:pStyle w:val="P68B1DB1-Normal12"/>
              <w:jc w:val="center"/>
              <w:rPr>
                <w:noProof/>
              </w:rPr>
            </w:pPr>
            <w:r>
              <w:rPr>
                <w:noProof/>
              </w:rPr>
              <w:t>Цифровизирани съдебни досиета T1</w:t>
            </w:r>
          </w:p>
        </w:tc>
      </w:tr>
      <w:tr w:rsidR="006054AA" w14:paraId="4471CD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E6720" w14:textId="77777777" w:rsidR="006054AA" w:rsidRDefault="001F7667">
            <w:pPr>
              <w:pStyle w:val="P68B1DB1-Normal12"/>
              <w:jc w:val="center"/>
              <w:rPr>
                <w:noProof/>
              </w:rPr>
            </w:pPr>
            <w:r>
              <w:rPr>
                <w:noProof/>
              </w:rPr>
              <w:t>M1C1—131</w:t>
            </w:r>
          </w:p>
        </w:tc>
        <w:tc>
          <w:tcPr>
            <w:tcW w:w="3195" w:type="dxa"/>
            <w:tcBorders>
              <w:top w:val="nil"/>
              <w:left w:val="nil"/>
              <w:bottom w:val="single" w:sz="4" w:space="0" w:color="auto"/>
              <w:right w:val="single" w:sz="4" w:space="0" w:color="auto"/>
            </w:tcBorders>
            <w:shd w:val="clear" w:color="auto" w:fill="C6EFCE"/>
            <w:noWrap/>
            <w:vAlign w:val="center"/>
          </w:tcPr>
          <w:p w14:paraId="76B6FBC8" w14:textId="77777777" w:rsidR="006054AA" w:rsidRDefault="001F7667">
            <w:pPr>
              <w:pStyle w:val="P68B1DB1-Normal12"/>
              <w:jc w:val="center"/>
              <w:rPr>
                <w:noProof/>
              </w:rPr>
            </w:pPr>
            <w:r>
              <w:rPr>
                <w:noProof/>
              </w:rPr>
              <w:t>Инвестиция 1.6.2 — Цифровизация на Министерството на правосъдието</w:t>
            </w:r>
          </w:p>
        </w:tc>
        <w:tc>
          <w:tcPr>
            <w:tcW w:w="1438" w:type="dxa"/>
            <w:tcBorders>
              <w:top w:val="nil"/>
              <w:left w:val="nil"/>
              <w:bottom w:val="single" w:sz="4" w:space="0" w:color="auto"/>
              <w:right w:val="single" w:sz="4" w:space="0" w:color="auto"/>
            </w:tcBorders>
            <w:shd w:val="clear" w:color="auto" w:fill="C6EFCE"/>
            <w:noWrap/>
            <w:vAlign w:val="center"/>
          </w:tcPr>
          <w:p w14:paraId="64E61A98"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6A972BA2" w14:textId="77777777" w:rsidR="006054AA" w:rsidRDefault="001F7667">
            <w:pPr>
              <w:pStyle w:val="P68B1DB1-Normal12"/>
              <w:jc w:val="center"/>
              <w:rPr>
                <w:noProof/>
              </w:rPr>
            </w:pPr>
            <w:r>
              <w:rPr>
                <w:noProof/>
              </w:rPr>
              <w:t>Системи за знания в областта на данните в областта на правосъдието за езерото Т1</w:t>
            </w:r>
          </w:p>
        </w:tc>
      </w:tr>
      <w:tr w:rsidR="006054AA" w14:paraId="617147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D42CA" w14:textId="77777777" w:rsidR="006054AA" w:rsidRDefault="001F7667">
            <w:pPr>
              <w:pStyle w:val="P68B1DB1-Normal12"/>
              <w:jc w:val="center"/>
              <w:rPr>
                <w:noProof/>
              </w:rPr>
            </w:pPr>
            <w:r>
              <w:rPr>
                <w:noProof/>
              </w:rPr>
              <w:t>M1C1—132</w:t>
            </w:r>
          </w:p>
        </w:tc>
        <w:tc>
          <w:tcPr>
            <w:tcW w:w="3195" w:type="dxa"/>
            <w:tcBorders>
              <w:top w:val="nil"/>
              <w:left w:val="nil"/>
              <w:bottom w:val="single" w:sz="4" w:space="0" w:color="auto"/>
              <w:right w:val="single" w:sz="4" w:space="0" w:color="auto"/>
            </w:tcBorders>
            <w:shd w:val="clear" w:color="auto" w:fill="C6EFCE"/>
            <w:noWrap/>
            <w:vAlign w:val="center"/>
          </w:tcPr>
          <w:p w14:paraId="15281567" w14:textId="77777777" w:rsidR="006054AA" w:rsidRDefault="001F7667">
            <w:pPr>
              <w:pStyle w:val="P68B1DB1-Normal12"/>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1438" w:type="dxa"/>
            <w:tcBorders>
              <w:top w:val="nil"/>
              <w:left w:val="nil"/>
              <w:bottom w:val="single" w:sz="4" w:space="0" w:color="auto"/>
              <w:right w:val="single" w:sz="4" w:space="0" w:color="auto"/>
            </w:tcBorders>
            <w:shd w:val="clear" w:color="auto" w:fill="C6EFCE"/>
            <w:noWrap/>
            <w:vAlign w:val="center"/>
          </w:tcPr>
          <w:p w14:paraId="3DC9D7FA"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036F5735" w14:textId="77777777" w:rsidR="006054AA" w:rsidRDefault="001F7667">
            <w:pPr>
              <w:pStyle w:val="P68B1DB1-Normal12"/>
              <w:jc w:val="center"/>
              <w:rPr>
                <w:noProof/>
              </w:rPr>
            </w:pPr>
            <w:r>
              <w:rPr>
                <w:noProof/>
              </w:rPr>
              <w:t>INPS — Услуги/съдържание T2 „Едно кликнете върху дизайна“</w:t>
            </w:r>
          </w:p>
        </w:tc>
      </w:tr>
      <w:tr w:rsidR="006054AA" w14:paraId="62D9F1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CBED6A" w14:textId="77777777" w:rsidR="006054AA" w:rsidRDefault="001F7667">
            <w:pPr>
              <w:pStyle w:val="P68B1DB1-Normal12"/>
              <w:jc w:val="center"/>
              <w:rPr>
                <w:noProof/>
              </w:rPr>
            </w:pPr>
            <w:r>
              <w:rPr>
                <w:noProof/>
              </w:rPr>
              <w:t>M1C1—133</w:t>
            </w:r>
          </w:p>
        </w:tc>
        <w:tc>
          <w:tcPr>
            <w:tcW w:w="3195" w:type="dxa"/>
            <w:tcBorders>
              <w:top w:val="nil"/>
              <w:left w:val="nil"/>
              <w:bottom w:val="single" w:sz="4" w:space="0" w:color="auto"/>
              <w:right w:val="single" w:sz="4" w:space="0" w:color="auto"/>
            </w:tcBorders>
            <w:shd w:val="clear" w:color="auto" w:fill="C6EFCE"/>
            <w:noWrap/>
            <w:vAlign w:val="center"/>
          </w:tcPr>
          <w:p w14:paraId="175FD68C" w14:textId="77777777" w:rsidR="006054AA" w:rsidRDefault="001F7667">
            <w:pPr>
              <w:pStyle w:val="P68B1DB1-Normal12"/>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1438" w:type="dxa"/>
            <w:tcBorders>
              <w:top w:val="nil"/>
              <w:left w:val="nil"/>
              <w:bottom w:val="single" w:sz="4" w:space="0" w:color="auto"/>
              <w:right w:val="single" w:sz="4" w:space="0" w:color="auto"/>
            </w:tcBorders>
            <w:shd w:val="clear" w:color="auto" w:fill="C6EFCE"/>
            <w:noWrap/>
            <w:vAlign w:val="center"/>
          </w:tcPr>
          <w:p w14:paraId="52B686EF"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3F636301" w14:textId="77777777" w:rsidR="006054AA" w:rsidRDefault="001F7667">
            <w:pPr>
              <w:pStyle w:val="P68B1DB1-Normal12"/>
              <w:jc w:val="center"/>
              <w:rPr>
                <w:noProof/>
              </w:rPr>
            </w:pPr>
            <w:r>
              <w:rPr>
                <w:noProof/>
              </w:rPr>
              <w:t>INPS — Работници с подобрени умения в областта на информационните и комуникационните технологии (ИКТ) T2</w:t>
            </w:r>
          </w:p>
        </w:tc>
      </w:tr>
      <w:tr w:rsidR="006054AA" w14:paraId="761266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5C143" w14:textId="77777777" w:rsidR="006054AA" w:rsidRDefault="001F7667">
            <w:pPr>
              <w:pStyle w:val="P68B1DB1-Normal12"/>
              <w:jc w:val="center"/>
              <w:rPr>
                <w:noProof/>
              </w:rPr>
            </w:pPr>
            <w:r>
              <w:rPr>
                <w:noProof/>
              </w:rPr>
              <w:t>M1C1—134</w:t>
            </w:r>
          </w:p>
        </w:tc>
        <w:tc>
          <w:tcPr>
            <w:tcW w:w="3195" w:type="dxa"/>
            <w:tcBorders>
              <w:top w:val="nil"/>
              <w:left w:val="nil"/>
              <w:bottom w:val="single" w:sz="4" w:space="0" w:color="auto"/>
              <w:right w:val="single" w:sz="4" w:space="0" w:color="auto"/>
            </w:tcBorders>
            <w:shd w:val="clear" w:color="auto" w:fill="C6EFCE"/>
            <w:noWrap/>
            <w:vAlign w:val="center"/>
          </w:tcPr>
          <w:p w14:paraId="03A402E8" w14:textId="77777777" w:rsidR="006054AA" w:rsidRDefault="001F7667">
            <w:pPr>
              <w:pStyle w:val="P68B1DB1-Normal12"/>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1438" w:type="dxa"/>
            <w:tcBorders>
              <w:top w:val="nil"/>
              <w:left w:val="nil"/>
              <w:bottom w:val="single" w:sz="4" w:space="0" w:color="auto"/>
              <w:right w:val="single" w:sz="4" w:space="0" w:color="auto"/>
            </w:tcBorders>
            <w:shd w:val="clear" w:color="auto" w:fill="C6EFCE"/>
            <w:noWrap/>
            <w:vAlign w:val="center"/>
          </w:tcPr>
          <w:p w14:paraId="46103069"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761DF379" w14:textId="77777777" w:rsidR="006054AA" w:rsidRDefault="001F7667">
            <w:pPr>
              <w:pStyle w:val="P68B1DB1-Normal12"/>
              <w:jc w:val="center"/>
              <w:rPr>
                <w:noProof/>
              </w:rPr>
            </w:pPr>
            <w:r>
              <w:rPr>
                <w:noProof/>
              </w:rPr>
              <w:t>INAIL — Пълно реконструирани и цифровизирани процеси/услуги T1</w:t>
            </w:r>
          </w:p>
        </w:tc>
      </w:tr>
      <w:tr w:rsidR="006054AA" w14:paraId="4E721F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E620D1" w14:textId="77777777" w:rsidR="006054AA" w:rsidRDefault="001F7667">
            <w:pPr>
              <w:pStyle w:val="P68B1DB1-Normal12"/>
              <w:jc w:val="center"/>
              <w:rPr>
                <w:noProof/>
              </w:rPr>
            </w:pPr>
            <w:r>
              <w:rPr>
                <w:noProof/>
              </w:rPr>
              <w:t>M1C1—135</w:t>
            </w:r>
          </w:p>
        </w:tc>
        <w:tc>
          <w:tcPr>
            <w:tcW w:w="3195" w:type="dxa"/>
            <w:tcBorders>
              <w:top w:val="nil"/>
              <w:left w:val="nil"/>
              <w:bottom w:val="single" w:sz="4" w:space="0" w:color="auto"/>
              <w:right w:val="single" w:sz="4" w:space="0" w:color="auto"/>
            </w:tcBorders>
            <w:shd w:val="clear" w:color="auto" w:fill="C6EFCE"/>
            <w:noWrap/>
            <w:vAlign w:val="center"/>
          </w:tcPr>
          <w:p w14:paraId="2985B763" w14:textId="77777777" w:rsidR="006054AA" w:rsidRDefault="001F7667">
            <w:pPr>
              <w:pStyle w:val="P68B1DB1-Normal12"/>
              <w:jc w:val="center"/>
              <w:rPr>
                <w:noProof/>
              </w:rPr>
            </w:pPr>
            <w:r>
              <w:rPr>
                <w:noProof/>
              </w:rPr>
              <w:t>Инвестиция 1.6.4 — Цифровизация на Министерството на отбраната</w:t>
            </w:r>
          </w:p>
        </w:tc>
        <w:tc>
          <w:tcPr>
            <w:tcW w:w="1438" w:type="dxa"/>
            <w:tcBorders>
              <w:top w:val="nil"/>
              <w:left w:val="nil"/>
              <w:bottom w:val="single" w:sz="4" w:space="0" w:color="auto"/>
              <w:right w:val="single" w:sz="4" w:space="0" w:color="auto"/>
            </w:tcBorders>
            <w:shd w:val="clear" w:color="auto" w:fill="C6EFCE"/>
            <w:noWrap/>
            <w:vAlign w:val="center"/>
          </w:tcPr>
          <w:p w14:paraId="09D9130E"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67BCBB81" w14:textId="77777777" w:rsidR="006054AA" w:rsidRDefault="001F7667">
            <w:pPr>
              <w:pStyle w:val="P68B1DB1-Normal12"/>
              <w:jc w:val="center"/>
              <w:rPr>
                <w:noProof/>
              </w:rPr>
            </w:pPr>
            <w:r>
              <w:rPr>
                <w:noProof/>
              </w:rPr>
              <w:t>Министерство на отбраната — Цифровизация на процедурите T1</w:t>
            </w:r>
          </w:p>
        </w:tc>
      </w:tr>
      <w:tr w:rsidR="006054AA" w14:paraId="1F8D21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6B15A" w14:textId="77777777" w:rsidR="006054AA" w:rsidRDefault="001F7667">
            <w:pPr>
              <w:pStyle w:val="P68B1DB1-Normal12"/>
              <w:jc w:val="center"/>
              <w:rPr>
                <w:noProof/>
              </w:rPr>
            </w:pPr>
            <w:r>
              <w:rPr>
                <w:noProof/>
              </w:rPr>
              <w:t>M1C1—136</w:t>
            </w:r>
          </w:p>
        </w:tc>
        <w:tc>
          <w:tcPr>
            <w:tcW w:w="3195" w:type="dxa"/>
            <w:tcBorders>
              <w:top w:val="nil"/>
              <w:left w:val="nil"/>
              <w:bottom w:val="single" w:sz="4" w:space="0" w:color="auto"/>
              <w:right w:val="single" w:sz="4" w:space="0" w:color="auto"/>
            </w:tcBorders>
            <w:shd w:val="clear" w:color="auto" w:fill="C6EFCE"/>
            <w:noWrap/>
            <w:vAlign w:val="center"/>
          </w:tcPr>
          <w:p w14:paraId="666E72E7" w14:textId="77777777" w:rsidR="006054AA" w:rsidRDefault="001F7667">
            <w:pPr>
              <w:pStyle w:val="P68B1DB1-Normal12"/>
              <w:jc w:val="center"/>
              <w:rPr>
                <w:noProof/>
              </w:rPr>
            </w:pPr>
            <w:r>
              <w:rPr>
                <w:noProof/>
              </w:rPr>
              <w:t>Инвестиция 1.6.4 — Цифровизация на Министерството на отбраната</w:t>
            </w:r>
          </w:p>
        </w:tc>
        <w:tc>
          <w:tcPr>
            <w:tcW w:w="1438" w:type="dxa"/>
            <w:tcBorders>
              <w:top w:val="nil"/>
              <w:left w:val="nil"/>
              <w:bottom w:val="single" w:sz="4" w:space="0" w:color="auto"/>
              <w:right w:val="single" w:sz="4" w:space="0" w:color="auto"/>
            </w:tcBorders>
            <w:shd w:val="clear" w:color="auto" w:fill="C6EFCE"/>
            <w:noWrap/>
            <w:vAlign w:val="center"/>
          </w:tcPr>
          <w:p w14:paraId="363B0460"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1123A567" w14:textId="77777777" w:rsidR="006054AA" w:rsidRDefault="001F7667">
            <w:pPr>
              <w:pStyle w:val="P68B1DB1-Normal12"/>
              <w:jc w:val="center"/>
              <w:rPr>
                <w:noProof/>
              </w:rPr>
            </w:pPr>
            <w:r>
              <w:rPr>
                <w:noProof/>
              </w:rPr>
              <w:t>Министерство на отбраната — Цифровизация на сертификатите T1</w:t>
            </w:r>
          </w:p>
        </w:tc>
      </w:tr>
      <w:tr w:rsidR="006054AA" w14:paraId="61B9A2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51F212" w14:textId="77777777" w:rsidR="006054AA" w:rsidRDefault="001F7667">
            <w:pPr>
              <w:pStyle w:val="P68B1DB1-Normal12"/>
              <w:jc w:val="center"/>
              <w:rPr>
                <w:noProof/>
              </w:rPr>
            </w:pPr>
            <w:r>
              <w:rPr>
                <w:noProof/>
              </w:rPr>
              <w:t>M1C1—137</w:t>
            </w:r>
          </w:p>
        </w:tc>
        <w:tc>
          <w:tcPr>
            <w:tcW w:w="3195" w:type="dxa"/>
            <w:tcBorders>
              <w:top w:val="nil"/>
              <w:left w:val="nil"/>
              <w:bottom w:val="single" w:sz="4" w:space="0" w:color="auto"/>
              <w:right w:val="single" w:sz="4" w:space="0" w:color="auto"/>
            </w:tcBorders>
            <w:shd w:val="clear" w:color="auto" w:fill="C6EFCE"/>
            <w:noWrap/>
            <w:vAlign w:val="center"/>
          </w:tcPr>
          <w:p w14:paraId="56C0588E" w14:textId="77777777" w:rsidR="006054AA" w:rsidRDefault="001F7667">
            <w:pPr>
              <w:pStyle w:val="P68B1DB1-Normal12"/>
              <w:jc w:val="center"/>
              <w:rPr>
                <w:noProof/>
              </w:rPr>
            </w:pPr>
            <w:r>
              <w:rPr>
                <w:noProof/>
              </w:rPr>
              <w:t>Инвестиция 1.6.4 — Цифровизация на Министерството на отбраната</w:t>
            </w:r>
          </w:p>
        </w:tc>
        <w:tc>
          <w:tcPr>
            <w:tcW w:w="1438" w:type="dxa"/>
            <w:tcBorders>
              <w:top w:val="nil"/>
              <w:left w:val="nil"/>
              <w:bottom w:val="single" w:sz="4" w:space="0" w:color="auto"/>
              <w:right w:val="single" w:sz="4" w:space="0" w:color="auto"/>
            </w:tcBorders>
            <w:shd w:val="clear" w:color="auto" w:fill="C6EFCE"/>
            <w:noWrap/>
            <w:vAlign w:val="center"/>
          </w:tcPr>
          <w:p w14:paraId="2C122C62"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503D7B8D" w14:textId="77777777" w:rsidR="006054AA" w:rsidRDefault="001F7667">
            <w:pPr>
              <w:pStyle w:val="P68B1DB1-Normal12"/>
              <w:jc w:val="center"/>
              <w:rPr>
                <w:noProof/>
              </w:rPr>
            </w:pPr>
            <w:r>
              <w:rPr>
                <w:noProof/>
              </w:rPr>
              <w:t>Министерство на отбраната — възлагане на институционални уеб портали и интранет портали</w:t>
            </w:r>
          </w:p>
        </w:tc>
      </w:tr>
      <w:tr w:rsidR="006054AA" w14:paraId="6742CC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A72608" w14:textId="77777777" w:rsidR="006054AA" w:rsidRDefault="001F7667">
            <w:pPr>
              <w:pStyle w:val="P68B1DB1-Normal12"/>
              <w:jc w:val="center"/>
              <w:rPr>
                <w:noProof/>
              </w:rPr>
            </w:pPr>
            <w:r>
              <w:rPr>
                <w:noProof/>
              </w:rPr>
              <w:t>M1C1—138</w:t>
            </w:r>
          </w:p>
        </w:tc>
        <w:tc>
          <w:tcPr>
            <w:tcW w:w="3195" w:type="dxa"/>
            <w:tcBorders>
              <w:top w:val="nil"/>
              <w:left w:val="nil"/>
              <w:bottom w:val="single" w:sz="4" w:space="0" w:color="auto"/>
              <w:right w:val="single" w:sz="4" w:space="0" w:color="auto"/>
            </w:tcBorders>
            <w:shd w:val="clear" w:color="auto" w:fill="C6EFCE"/>
            <w:noWrap/>
            <w:vAlign w:val="center"/>
          </w:tcPr>
          <w:p w14:paraId="0C6AC40C" w14:textId="77777777" w:rsidR="006054AA" w:rsidRDefault="001F7667">
            <w:pPr>
              <w:pStyle w:val="P68B1DB1-Normal12"/>
              <w:jc w:val="center"/>
              <w:rPr>
                <w:noProof/>
              </w:rPr>
            </w:pPr>
            <w:r>
              <w:rPr>
                <w:noProof/>
              </w:rPr>
              <w:t>Инвестиция 1.6.4 — Цифровизация на Министерството на отбраната</w:t>
            </w:r>
          </w:p>
        </w:tc>
        <w:tc>
          <w:tcPr>
            <w:tcW w:w="1438" w:type="dxa"/>
            <w:tcBorders>
              <w:top w:val="nil"/>
              <w:left w:val="nil"/>
              <w:bottom w:val="single" w:sz="4" w:space="0" w:color="auto"/>
              <w:right w:val="single" w:sz="4" w:space="0" w:color="auto"/>
            </w:tcBorders>
            <w:shd w:val="clear" w:color="auto" w:fill="C6EFCE"/>
            <w:noWrap/>
            <w:vAlign w:val="center"/>
          </w:tcPr>
          <w:p w14:paraId="76EFAA3E"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6362FAF7" w14:textId="77777777" w:rsidR="006054AA" w:rsidRDefault="001F7667">
            <w:pPr>
              <w:pStyle w:val="P68B1DB1-Normal12"/>
              <w:jc w:val="center"/>
              <w:rPr>
                <w:noProof/>
              </w:rPr>
            </w:pPr>
            <w:r>
              <w:rPr>
                <w:noProof/>
              </w:rPr>
              <w:t>Министерство на отбраната — Миграция на приложения от критично значение, които не са от значение за мисията, в решение за пълна защита на информацията чрез откритост на инфраструктурата (S.C.I.P.I.O.) T1</w:t>
            </w:r>
          </w:p>
        </w:tc>
      </w:tr>
      <w:tr w:rsidR="006054AA" w14:paraId="4E0F07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A9492" w14:textId="77777777" w:rsidR="006054AA" w:rsidRDefault="001F7667">
            <w:pPr>
              <w:pStyle w:val="P68B1DB1-Normal12"/>
              <w:jc w:val="center"/>
              <w:rPr>
                <w:noProof/>
              </w:rPr>
            </w:pPr>
            <w:r>
              <w:rPr>
                <w:noProof/>
              </w:rPr>
              <w:t>M1C2—29</w:t>
            </w:r>
          </w:p>
        </w:tc>
        <w:tc>
          <w:tcPr>
            <w:tcW w:w="3195" w:type="dxa"/>
            <w:tcBorders>
              <w:top w:val="nil"/>
              <w:left w:val="nil"/>
              <w:bottom w:val="single" w:sz="4" w:space="0" w:color="auto"/>
              <w:right w:val="single" w:sz="4" w:space="0" w:color="auto"/>
            </w:tcBorders>
            <w:shd w:val="clear" w:color="auto" w:fill="C6EFCE"/>
            <w:noWrap/>
            <w:vAlign w:val="center"/>
          </w:tcPr>
          <w:p w14:paraId="2D425EF6" w14:textId="77777777" w:rsidR="006054AA" w:rsidRDefault="001F7667">
            <w:pPr>
              <w:pStyle w:val="P68B1DB1-Normal12"/>
              <w:jc w:val="center"/>
              <w:rPr>
                <w:noProof/>
              </w:rPr>
            </w:pPr>
            <w:r>
              <w:rPr>
                <w:noProof/>
              </w:rPr>
              <w:t>Инвестиция 5.2: Конкурентоспособност и устойчивост на веригите на доставки</w:t>
            </w:r>
          </w:p>
        </w:tc>
        <w:tc>
          <w:tcPr>
            <w:tcW w:w="1438" w:type="dxa"/>
            <w:tcBorders>
              <w:top w:val="nil"/>
              <w:left w:val="nil"/>
              <w:bottom w:val="single" w:sz="4" w:space="0" w:color="auto"/>
              <w:right w:val="single" w:sz="4" w:space="0" w:color="auto"/>
            </w:tcBorders>
            <w:shd w:val="clear" w:color="auto" w:fill="C6EFCE"/>
            <w:noWrap/>
            <w:vAlign w:val="center"/>
          </w:tcPr>
          <w:p w14:paraId="6641C680"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0469131E" w14:textId="77777777" w:rsidR="006054AA" w:rsidRDefault="001F7667">
            <w:pPr>
              <w:pStyle w:val="P68B1DB1-Normal12"/>
              <w:jc w:val="center"/>
              <w:rPr>
                <w:noProof/>
              </w:rPr>
            </w:pPr>
            <w:r>
              <w:rPr>
                <w:noProof/>
              </w:rPr>
              <w:t>Одобрени договори за разработване</w:t>
            </w:r>
          </w:p>
        </w:tc>
      </w:tr>
      <w:tr w:rsidR="006054AA" w14:paraId="508FE1E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A40833" w14:textId="77777777" w:rsidR="006054AA" w:rsidRDefault="001F7667">
            <w:pPr>
              <w:pStyle w:val="P68B1DB1-Normal12"/>
              <w:jc w:val="center"/>
              <w:rPr>
                <w:noProof/>
              </w:rPr>
            </w:pPr>
            <w:r>
              <w:rPr>
                <w:noProof/>
              </w:rPr>
              <w:t>M2C1—15bis</w:t>
            </w:r>
          </w:p>
        </w:tc>
        <w:tc>
          <w:tcPr>
            <w:tcW w:w="3195" w:type="dxa"/>
            <w:tcBorders>
              <w:top w:val="nil"/>
              <w:left w:val="nil"/>
              <w:bottom w:val="single" w:sz="4" w:space="0" w:color="auto"/>
              <w:right w:val="single" w:sz="4" w:space="0" w:color="auto"/>
            </w:tcBorders>
            <w:shd w:val="clear" w:color="auto" w:fill="C6EFCE"/>
            <w:noWrap/>
            <w:vAlign w:val="center"/>
          </w:tcPr>
          <w:p w14:paraId="7CDB5129" w14:textId="77777777" w:rsidR="006054AA" w:rsidRDefault="001F7667">
            <w:pPr>
              <w:pStyle w:val="P68B1DB1-Normal12"/>
              <w:jc w:val="center"/>
              <w:rPr>
                <w:noProof/>
              </w:rPr>
            </w:pPr>
            <w:r>
              <w:rPr>
                <w:noProof/>
              </w:rPr>
              <w:t>Реформа 1.2 Национална програма за управление на отпадъците:  Инвестиция 1.1 — Осъществяване на нови инсталации за управление на отпадъците и модернизация на съществуващи инсталации</w:t>
            </w:r>
          </w:p>
        </w:tc>
        <w:tc>
          <w:tcPr>
            <w:tcW w:w="1438" w:type="dxa"/>
            <w:tcBorders>
              <w:top w:val="nil"/>
              <w:left w:val="nil"/>
              <w:bottom w:val="single" w:sz="4" w:space="0" w:color="auto"/>
              <w:right w:val="single" w:sz="4" w:space="0" w:color="auto"/>
            </w:tcBorders>
            <w:shd w:val="clear" w:color="auto" w:fill="C6EFCE"/>
            <w:noWrap/>
            <w:vAlign w:val="center"/>
          </w:tcPr>
          <w:p w14:paraId="04C57A6C"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26F643B3" w14:textId="77777777" w:rsidR="006054AA" w:rsidRDefault="001F7667">
            <w:pPr>
              <w:pStyle w:val="P68B1DB1-Normal12"/>
              <w:jc w:val="center"/>
              <w:rPr>
                <w:noProof/>
              </w:rPr>
            </w:pPr>
            <w:r>
              <w:rPr>
                <w:noProof/>
              </w:rPr>
              <w:t>Намаляване на незаконните депа за отпадъци (T2)</w:t>
            </w:r>
          </w:p>
        </w:tc>
      </w:tr>
      <w:tr w:rsidR="006054AA" w14:paraId="17790C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DB07E8" w14:textId="77777777" w:rsidR="006054AA" w:rsidRDefault="001F7667">
            <w:pPr>
              <w:pStyle w:val="P68B1DB1-Normal12"/>
              <w:jc w:val="center"/>
              <w:rPr>
                <w:noProof/>
              </w:rPr>
            </w:pPr>
            <w:r>
              <w:rPr>
                <w:noProof/>
              </w:rPr>
              <w:t>M2C1—15ter</w:t>
            </w:r>
          </w:p>
        </w:tc>
        <w:tc>
          <w:tcPr>
            <w:tcW w:w="3195" w:type="dxa"/>
            <w:tcBorders>
              <w:top w:val="nil"/>
              <w:left w:val="nil"/>
              <w:bottom w:val="single" w:sz="4" w:space="0" w:color="auto"/>
              <w:right w:val="single" w:sz="4" w:space="0" w:color="auto"/>
            </w:tcBorders>
            <w:shd w:val="clear" w:color="auto" w:fill="C6EFCE"/>
            <w:noWrap/>
            <w:vAlign w:val="center"/>
          </w:tcPr>
          <w:p w14:paraId="7FCB1BB4" w14:textId="77777777" w:rsidR="006054AA" w:rsidRDefault="001F7667">
            <w:pPr>
              <w:pStyle w:val="P68B1DB1-Normal12"/>
              <w:jc w:val="center"/>
              <w:rPr>
                <w:noProof/>
              </w:rPr>
            </w:pPr>
            <w:r>
              <w:rPr>
                <w:noProof/>
              </w:rPr>
              <w:t>Реформа 1.2 Национална програма за управление на отпадъците:  Инвестиция 1.1 — Осъществяване на нови инсталации за управление на отпадъците и модернизация на съществуващи инсталации</w:t>
            </w:r>
          </w:p>
        </w:tc>
        <w:tc>
          <w:tcPr>
            <w:tcW w:w="1438" w:type="dxa"/>
            <w:tcBorders>
              <w:top w:val="nil"/>
              <w:left w:val="nil"/>
              <w:bottom w:val="single" w:sz="4" w:space="0" w:color="auto"/>
              <w:right w:val="single" w:sz="4" w:space="0" w:color="auto"/>
            </w:tcBorders>
            <w:shd w:val="clear" w:color="auto" w:fill="C6EFCE"/>
            <w:noWrap/>
            <w:vAlign w:val="center"/>
          </w:tcPr>
          <w:p w14:paraId="2DF2D316"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5798AEDC" w14:textId="77777777" w:rsidR="006054AA" w:rsidRDefault="001F7667">
            <w:pPr>
              <w:pStyle w:val="P68B1DB1-Normal12"/>
              <w:jc w:val="center"/>
              <w:rPr>
                <w:noProof/>
              </w:rPr>
            </w:pPr>
            <w:r>
              <w:rPr>
                <w:noProof/>
              </w:rPr>
              <w:t>Регионални различия в разделното събиране</w:t>
            </w:r>
          </w:p>
        </w:tc>
      </w:tr>
      <w:tr w:rsidR="006054AA" w14:paraId="3668DB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EC2CD9" w14:textId="77777777" w:rsidR="006054AA" w:rsidRDefault="001F7667">
            <w:pPr>
              <w:pStyle w:val="P68B1DB1-Normal12"/>
              <w:jc w:val="center"/>
              <w:rPr>
                <w:noProof/>
              </w:rPr>
            </w:pPr>
            <w:r>
              <w:rPr>
                <w:noProof/>
              </w:rPr>
              <w:t>M2C1—15 quater</w:t>
            </w:r>
          </w:p>
        </w:tc>
        <w:tc>
          <w:tcPr>
            <w:tcW w:w="3195" w:type="dxa"/>
            <w:tcBorders>
              <w:top w:val="nil"/>
              <w:left w:val="nil"/>
              <w:bottom w:val="single" w:sz="4" w:space="0" w:color="auto"/>
              <w:right w:val="single" w:sz="4" w:space="0" w:color="auto"/>
            </w:tcBorders>
            <w:shd w:val="clear" w:color="auto" w:fill="C6EFCE"/>
            <w:noWrap/>
            <w:vAlign w:val="center"/>
          </w:tcPr>
          <w:p w14:paraId="148152A8" w14:textId="77777777" w:rsidR="006054AA" w:rsidRDefault="001F7667">
            <w:pPr>
              <w:pStyle w:val="P68B1DB1-Normal12"/>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438" w:type="dxa"/>
            <w:tcBorders>
              <w:top w:val="nil"/>
              <w:left w:val="nil"/>
              <w:bottom w:val="single" w:sz="4" w:space="0" w:color="auto"/>
              <w:right w:val="single" w:sz="4" w:space="0" w:color="auto"/>
            </w:tcBorders>
            <w:shd w:val="clear" w:color="auto" w:fill="C6EFCE"/>
            <w:noWrap/>
            <w:vAlign w:val="center"/>
          </w:tcPr>
          <w:p w14:paraId="404CB7FF"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5A3B779E" w14:textId="77777777" w:rsidR="006054AA" w:rsidRDefault="001F7667">
            <w:pPr>
              <w:pStyle w:val="P68B1DB1-Normal12"/>
              <w:jc w:val="center"/>
              <w:rPr>
                <w:noProof/>
              </w:rPr>
            </w:pPr>
            <w:r>
              <w:rPr>
                <w:noProof/>
              </w:rPr>
              <w:t>Влизане в сила на задължението за разделно събиране на биологични отпадъци</w:t>
            </w:r>
          </w:p>
        </w:tc>
      </w:tr>
      <w:tr w:rsidR="006054AA" w14:paraId="112448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084A2" w14:textId="77777777" w:rsidR="006054AA" w:rsidRDefault="001F7667">
            <w:pPr>
              <w:pStyle w:val="P68B1DB1-Normal12"/>
              <w:jc w:val="center"/>
              <w:rPr>
                <w:noProof/>
              </w:rPr>
            </w:pPr>
            <w:r>
              <w:rPr>
                <w:noProof/>
              </w:rPr>
              <w:t>M2C2—32</w:t>
            </w:r>
          </w:p>
        </w:tc>
        <w:tc>
          <w:tcPr>
            <w:tcW w:w="3195" w:type="dxa"/>
            <w:tcBorders>
              <w:top w:val="nil"/>
              <w:left w:val="nil"/>
              <w:bottom w:val="single" w:sz="4" w:space="0" w:color="auto"/>
              <w:right w:val="single" w:sz="4" w:space="0" w:color="auto"/>
            </w:tcBorders>
            <w:shd w:val="clear" w:color="auto" w:fill="C6EFCE"/>
            <w:noWrap/>
            <w:vAlign w:val="center"/>
          </w:tcPr>
          <w:p w14:paraId="61DD3F40" w14:textId="77777777" w:rsidR="006054AA" w:rsidRDefault="001F7667">
            <w:pPr>
              <w:pStyle w:val="P68B1DB1-Normal12"/>
              <w:jc w:val="center"/>
              <w:rPr>
                <w:noProof/>
              </w:rPr>
            </w:pPr>
            <w:r>
              <w:rPr>
                <w:noProof/>
              </w:rPr>
              <w:t>Инвестиция 4.4.1: Укрепване на регионалния автобусен парк на обществения транспорт с нискоетажни автобуси с нулеви емисии</w:t>
            </w:r>
          </w:p>
        </w:tc>
        <w:tc>
          <w:tcPr>
            <w:tcW w:w="1438" w:type="dxa"/>
            <w:tcBorders>
              <w:top w:val="nil"/>
              <w:left w:val="nil"/>
              <w:bottom w:val="single" w:sz="4" w:space="0" w:color="auto"/>
              <w:right w:val="single" w:sz="4" w:space="0" w:color="auto"/>
            </w:tcBorders>
            <w:shd w:val="clear" w:color="auto" w:fill="C6EFCE"/>
            <w:noWrap/>
            <w:vAlign w:val="center"/>
          </w:tcPr>
          <w:p w14:paraId="7FD05296"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75FD4A9C" w14:textId="77777777" w:rsidR="006054AA" w:rsidRDefault="001F7667">
            <w:pPr>
              <w:pStyle w:val="P68B1DB1-Normal12"/>
              <w:jc w:val="center"/>
              <w:rPr>
                <w:noProof/>
              </w:rPr>
            </w:pPr>
            <w:r>
              <w:rPr>
                <w:noProof/>
              </w:rPr>
              <w:t>Възлагане на всички обществени поръчки за укрепване на регионалния парк за обществен транспорт с нискоетажни автобуси с нулеви емисии</w:t>
            </w:r>
          </w:p>
        </w:tc>
      </w:tr>
      <w:tr w:rsidR="006054AA" w14:paraId="14AE07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F553D0" w14:textId="77777777" w:rsidR="006054AA" w:rsidRDefault="001F7667">
            <w:pPr>
              <w:pStyle w:val="P68B1DB1-Normal12"/>
              <w:jc w:val="center"/>
              <w:rPr>
                <w:noProof/>
              </w:rPr>
            </w:pPr>
            <w:r>
              <w:rPr>
                <w:noProof/>
              </w:rPr>
              <w:t>M2C3—7</w:t>
            </w:r>
          </w:p>
        </w:tc>
        <w:tc>
          <w:tcPr>
            <w:tcW w:w="3195" w:type="dxa"/>
            <w:tcBorders>
              <w:top w:val="nil"/>
              <w:left w:val="nil"/>
              <w:bottom w:val="single" w:sz="4" w:space="0" w:color="auto"/>
              <w:right w:val="single" w:sz="4" w:space="0" w:color="auto"/>
            </w:tcBorders>
            <w:shd w:val="clear" w:color="auto" w:fill="C6EFCE"/>
            <w:noWrap/>
            <w:vAlign w:val="center"/>
          </w:tcPr>
          <w:p w14:paraId="599D16BF" w14:textId="77777777" w:rsidR="006054AA" w:rsidRDefault="001F7667">
            <w:pPr>
              <w:pStyle w:val="P68B1DB1-Normal12"/>
              <w:jc w:val="center"/>
              <w:rPr>
                <w:noProof/>
              </w:rPr>
            </w:pPr>
            <w:r>
              <w:rPr>
                <w:noProof/>
              </w:rPr>
              <w:t>Инвестиция 1.2 — Строителство на сгради, преквалификация и укрепване на недвижимите активи на правораздаването</w:t>
            </w:r>
          </w:p>
        </w:tc>
        <w:tc>
          <w:tcPr>
            <w:tcW w:w="1438" w:type="dxa"/>
            <w:tcBorders>
              <w:top w:val="nil"/>
              <w:left w:val="nil"/>
              <w:bottom w:val="single" w:sz="4" w:space="0" w:color="auto"/>
              <w:right w:val="single" w:sz="4" w:space="0" w:color="auto"/>
            </w:tcBorders>
            <w:shd w:val="clear" w:color="auto" w:fill="C6EFCE"/>
            <w:noWrap/>
            <w:vAlign w:val="center"/>
          </w:tcPr>
          <w:p w14:paraId="7A7E8276"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625FEA57" w14:textId="77777777" w:rsidR="006054AA" w:rsidRDefault="001F7667">
            <w:pPr>
              <w:pStyle w:val="P68B1DB1-Normal12"/>
              <w:jc w:val="center"/>
              <w:rPr>
                <w:noProof/>
              </w:rPr>
            </w:pPr>
            <w:r>
              <w:rPr>
                <w:noProof/>
              </w:rPr>
              <w:t>Възлагането на всички обществени поръчки за изграждане на нови сгради, преквалифициране и укрепване на недвижимите имоти на правосъдната администрация се подписва от възлагащия орган след процедура за възлагане на обществена поръчка</w:t>
            </w:r>
          </w:p>
        </w:tc>
      </w:tr>
      <w:tr w:rsidR="006054AA" w14:paraId="3D9097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FDE25" w14:textId="77777777" w:rsidR="006054AA" w:rsidRDefault="001F7667">
            <w:pPr>
              <w:pStyle w:val="P68B1DB1-Normal12"/>
              <w:jc w:val="center"/>
              <w:rPr>
                <w:noProof/>
              </w:rPr>
            </w:pPr>
            <w:r>
              <w:rPr>
                <w:noProof/>
              </w:rPr>
              <w:t>M2C4—33</w:t>
            </w:r>
          </w:p>
        </w:tc>
        <w:tc>
          <w:tcPr>
            <w:tcW w:w="3195" w:type="dxa"/>
            <w:tcBorders>
              <w:top w:val="nil"/>
              <w:left w:val="nil"/>
              <w:bottom w:val="single" w:sz="4" w:space="0" w:color="auto"/>
              <w:right w:val="single" w:sz="4" w:space="0" w:color="auto"/>
            </w:tcBorders>
            <w:shd w:val="clear" w:color="auto" w:fill="C6EFCE"/>
            <w:noWrap/>
            <w:vAlign w:val="center"/>
          </w:tcPr>
          <w:p w14:paraId="5A0A2C66" w14:textId="77777777" w:rsidR="006054AA" w:rsidRDefault="001F7667">
            <w:pPr>
              <w:pStyle w:val="P68B1DB1-Normal12"/>
              <w:jc w:val="center"/>
              <w:rPr>
                <w:noProof/>
              </w:rPr>
            </w:pPr>
            <w:r>
              <w:rPr>
                <w:noProof/>
              </w:rPr>
              <w:t>Инвестиция 4.3 Инвестиции в устойчивостта на напоителната агросистема за по-добро управление на водните ресурси</w:t>
            </w:r>
          </w:p>
        </w:tc>
        <w:tc>
          <w:tcPr>
            <w:tcW w:w="1438" w:type="dxa"/>
            <w:tcBorders>
              <w:top w:val="nil"/>
              <w:left w:val="nil"/>
              <w:bottom w:val="single" w:sz="4" w:space="0" w:color="auto"/>
              <w:right w:val="single" w:sz="4" w:space="0" w:color="auto"/>
            </w:tcBorders>
            <w:shd w:val="clear" w:color="auto" w:fill="C6EFCE"/>
            <w:noWrap/>
            <w:vAlign w:val="center"/>
          </w:tcPr>
          <w:p w14:paraId="535621BD"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2A5943F3" w14:textId="77777777" w:rsidR="006054AA" w:rsidRDefault="001F7667">
            <w:pPr>
              <w:pStyle w:val="P68B1DB1-Normal12"/>
              <w:jc w:val="center"/>
              <w:rPr>
                <w:noProof/>
              </w:rPr>
            </w:pPr>
            <w:r>
              <w:rPr>
                <w:noProof/>
              </w:rPr>
              <w:t>Възлагане на всички обществени поръчки за устойчивост на напоителната агросистема за по-добро управление на водните ресурси</w:t>
            </w:r>
          </w:p>
        </w:tc>
      </w:tr>
      <w:tr w:rsidR="006054AA" w14:paraId="75A376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1A5C6" w14:textId="77777777" w:rsidR="006054AA" w:rsidRDefault="001F7667">
            <w:pPr>
              <w:pStyle w:val="P68B1DB1-Normal12"/>
              <w:jc w:val="center"/>
              <w:rPr>
                <w:noProof/>
              </w:rPr>
            </w:pPr>
            <w:r>
              <w:rPr>
                <w:noProof/>
              </w:rPr>
              <w:t>M2C4—36</w:t>
            </w:r>
          </w:p>
        </w:tc>
        <w:tc>
          <w:tcPr>
            <w:tcW w:w="3195" w:type="dxa"/>
            <w:tcBorders>
              <w:top w:val="nil"/>
              <w:left w:val="nil"/>
              <w:bottom w:val="single" w:sz="4" w:space="0" w:color="auto"/>
              <w:right w:val="single" w:sz="4" w:space="0" w:color="auto"/>
            </w:tcBorders>
            <w:shd w:val="clear" w:color="auto" w:fill="C6EFCE"/>
            <w:noWrap/>
            <w:vAlign w:val="center"/>
          </w:tcPr>
          <w:p w14:paraId="1311A2AE" w14:textId="77777777" w:rsidR="006054AA" w:rsidRDefault="001F7667">
            <w:pPr>
              <w:pStyle w:val="P68B1DB1-Normal12"/>
              <w:jc w:val="center"/>
              <w:rPr>
                <w:noProof/>
              </w:rPr>
            </w:pPr>
            <w:r>
              <w:rPr>
                <w:noProof/>
              </w:rPr>
              <w:t>Инвестиция 4.4 Инвестиции в канализация и пречистване</w:t>
            </w:r>
          </w:p>
        </w:tc>
        <w:tc>
          <w:tcPr>
            <w:tcW w:w="1438" w:type="dxa"/>
            <w:tcBorders>
              <w:top w:val="nil"/>
              <w:left w:val="nil"/>
              <w:bottom w:val="single" w:sz="4" w:space="0" w:color="auto"/>
              <w:right w:val="single" w:sz="4" w:space="0" w:color="auto"/>
            </w:tcBorders>
            <w:shd w:val="clear" w:color="auto" w:fill="C6EFCE"/>
            <w:noWrap/>
            <w:vAlign w:val="center"/>
          </w:tcPr>
          <w:p w14:paraId="269AA988"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1666825A" w14:textId="77777777" w:rsidR="006054AA" w:rsidRDefault="001F7667">
            <w:pPr>
              <w:pStyle w:val="P68B1DB1-Normal12"/>
              <w:jc w:val="center"/>
              <w:rPr>
                <w:noProof/>
              </w:rPr>
            </w:pPr>
            <w:r>
              <w:rPr>
                <w:noProof/>
              </w:rPr>
              <w:t>Възлагане на всички обществени поръчки за канализация и пречистване</w:t>
            </w:r>
          </w:p>
        </w:tc>
      </w:tr>
      <w:tr w:rsidR="006054AA" w14:paraId="640801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8D6F7" w14:textId="77777777" w:rsidR="006054AA" w:rsidRDefault="001F7667">
            <w:pPr>
              <w:pStyle w:val="P68B1DB1-Normal12"/>
              <w:jc w:val="center"/>
              <w:rPr>
                <w:noProof/>
              </w:rPr>
            </w:pPr>
            <w:r>
              <w:rPr>
                <w:noProof/>
              </w:rPr>
              <w:t>M3C1—4</w:t>
            </w:r>
          </w:p>
        </w:tc>
        <w:tc>
          <w:tcPr>
            <w:tcW w:w="3195" w:type="dxa"/>
            <w:tcBorders>
              <w:top w:val="nil"/>
              <w:left w:val="nil"/>
              <w:bottom w:val="single" w:sz="4" w:space="0" w:color="auto"/>
              <w:right w:val="single" w:sz="4" w:space="0" w:color="auto"/>
            </w:tcBorders>
            <w:shd w:val="clear" w:color="auto" w:fill="C6EFCE"/>
            <w:noWrap/>
            <w:vAlign w:val="center"/>
          </w:tcPr>
          <w:p w14:paraId="575B9413" w14:textId="77777777" w:rsidR="006054AA" w:rsidRDefault="001F7667">
            <w:pPr>
              <w:pStyle w:val="P68B1DB1-Normal12"/>
              <w:jc w:val="center"/>
              <w:rPr>
                <w:noProof/>
              </w:rPr>
            </w:pPr>
            <w:r>
              <w:rPr>
                <w:noProof/>
              </w:rPr>
              <w:t>Инвестиция 1.1 — Високоскоростни железопътни връзки на юг за пътници и товари</w:t>
            </w:r>
          </w:p>
        </w:tc>
        <w:tc>
          <w:tcPr>
            <w:tcW w:w="1438" w:type="dxa"/>
            <w:tcBorders>
              <w:top w:val="nil"/>
              <w:left w:val="nil"/>
              <w:bottom w:val="single" w:sz="4" w:space="0" w:color="auto"/>
              <w:right w:val="single" w:sz="4" w:space="0" w:color="auto"/>
            </w:tcBorders>
            <w:shd w:val="clear" w:color="auto" w:fill="C6EFCE"/>
            <w:noWrap/>
            <w:vAlign w:val="center"/>
          </w:tcPr>
          <w:p w14:paraId="6F4C8EA4" w14:textId="77777777" w:rsidR="006054AA" w:rsidRDefault="001F7667">
            <w:pPr>
              <w:pStyle w:val="P68B1DB1-Normal12"/>
              <w:jc w:val="center"/>
              <w:rPr>
                <w:noProof/>
              </w:rPr>
            </w:pPr>
            <w:r>
              <w:rPr>
                <w:noProof/>
              </w:rPr>
              <w:t>Ключов етап</w:t>
            </w:r>
          </w:p>
        </w:tc>
        <w:tc>
          <w:tcPr>
            <w:tcW w:w="4093" w:type="dxa"/>
            <w:tcBorders>
              <w:top w:val="nil"/>
              <w:left w:val="nil"/>
              <w:bottom w:val="single" w:sz="4" w:space="0" w:color="auto"/>
              <w:right w:val="single" w:sz="4" w:space="0" w:color="auto"/>
            </w:tcBorders>
            <w:shd w:val="clear" w:color="auto" w:fill="C6EFCE"/>
            <w:noWrap/>
            <w:vAlign w:val="center"/>
          </w:tcPr>
          <w:p w14:paraId="67091F70" w14:textId="77777777" w:rsidR="006054AA" w:rsidRDefault="001F7667">
            <w:pPr>
              <w:pStyle w:val="P68B1DB1-Normal12"/>
              <w:jc w:val="center"/>
              <w:rPr>
                <w:noProof/>
              </w:rPr>
            </w:pPr>
            <w:r>
              <w:rPr>
                <w:noProof/>
              </w:rPr>
              <w:t>Възлагане на поръчката за изграждане на високоскоростна железопътна линия по линиите Салерно Реджо Калабрия</w:t>
            </w:r>
          </w:p>
        </w:tc>
      </w:tr>
      <w:tr w:rsidR="006054AA" w14:paraId="31CF0A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24CDDE" w14:textId="77777777" w:rsidR="006054AA" w:rsidRDefault="001F7667">
            <w:pPr>
              <w:pStyle w:val="P68B1DB1-Normal12"/>
              <w:jc w:val="center"/>
              <w:rPr>
                <w:noProof/>
              </w:rPr>
            </w:pPr>
            <w:r>
              <w:rPr>
                <w:noProof/>
              </w:rPr>
              <w:t>M3C1—17</w:t>
            </w:r>
          </w:p>
        </w:tc>
        <w:tc>
          <w:tcPr>
            <w:tcW w:w="3195" w:type="dxa"/>
            <w:tcBorders>
              <w:top w:val="nil"/>
              <w:left w:val="nil"/>
              <w:bottom w:val="single" w:sz="4" w:space="0" w:color="auto"/>
              <w:right w:val="single" w:sz="4" w:space="0" w:color="auto"/>
            </w:tcBorders>
            <w:shd w:val="clear" w:color="auto" w:fill="C6EFCE"/>
            <w:noWrap/>
            <w:vAlign w:val="center"/>
          </w:tcPr>
          <w:p w14:paraId="78FA7A6A" w14:textId="77777777" w:rsidR="006054AA" w:rsidRDefault="001F7667">
            <w:pPr>
              <w:pStyle w:val="P68B1DB1-Normal12"/>
              <w:jc w:val="center"/>
              <w:rPr>
                <w:noProof/>
              </w:rPr>
            </w:pPr>
            <w:r>
              <w:rPr>
                <w:noProof/>
              </w:rPr>
              <w:t>Инвестиция 1.7 — Осъвременяване, електрификация и устойчивост на железопътния транспорт на юг</w:t>
            </w:r>
          </w:p>
        </w:tc>
        <w:tc>
          <w:tcPr>
            <w:tcW w:w="1438" w:type="dxa"/>
            <w:tcBorders>
              <w:top w:val="nil"/>
              <w:left w:val="nil"/>
              <w:bottom w:val="single" w:sz="4" w:space="0" w:color="auto"/>
              <w:right w:val="single" w:sz="4" w:space="0" w:color="auto"/>
            </w:tcBorders>
            <w:shd w:val="clear" w:color="auto" w:fill="C6EFCE"/>
            <w:noWrap/>
            <w:vAlign w:val="center"/>
          </w:tcPr>
          <w:p w14:paraId="3C371A43" w14:textId="77777777" w:rsidR="006054AA" w:rsidRDefault="001F7667">
            <w:pPr>
              <w:pStyle w:val="P68B1DB1-Normal12"/>
              <w:jc w:val="center"/>
              <w:rPr>
                <w:noProof/>
              </w:rPr>
            </w:pPr>
            <w:r>
              <w:rPr>
                <w:noProof/>
              </w:rPr>
              <w:t xml:space="preserve">Целеви </w:t>
            </w:r>
          </w:p>
        </w:tc>
        <w:tc>
          <w:tcPr>
            <w:tcW w:w="4093" w:type="dxa"/>
            <w:tcBorders>
              <w:top w:val="nil"/>
              <w:left w:val="nil"/>
              <w:bottom w:val="single" w:sz="4" w:space="0" w:color="auto"/>
              <w:right w:val="single" w:sz="4" w:space="0" w:color="auto"/>
            </w:tcBorders>
            <w:shd w:val="clear" w:color="auto" w:fill="C6EFCE"/>
            <w:noWrap/>
            <w:vAlign w:val="center"/>
          </w:tcPr>
          <w:p w14:paraId="28F74998" w14:textId="77777777" w:rsidR="006054AA" w:rsidRDefault="001F7667">
            <w:pPr>
              <w:pStyle w:val="P68B1DB1-Normal12"/>
              <w:jc w:val="center"/>
              <w:rPr>
                <w:noProof/>
              </w:rPr>
            </w:pPr>
            <w:r>
              <w:rPr>
                <w:noProof/>
              </w:rPr>
              <w:t>Завършени са 150 км строителни работи, свързани с модернизирането, електрификацията и устойчивостта на железопътните линии на юг, готови за етапите на разрешаване и експлоатация.</w:t>
            </w:r>
          </w:p>
        </w:tc>
      </w:tr>
      <w:tr w:rsidR="006054AA" w14:paraId="4A47B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3AF5B" w14:textId="77777777" w:rsidR="006054AA" w:rsidRDefault="001F7667">
            <w:pPr>
              <w:pStyle w:val="P68B1DB1-Normal12"/>
              <w:jc w:val="center"/>
              <w:rPr>
                <w:noProof/>
              </w:rPr>
            </w:pPr>
            <w:r>
              <w:rPr>
                <w:noProof/>
              </w:rPr>
              <w:t xml:space="preserve">M4C2—5 </w:t>
            </w:r>
          </w:p>
        </w:tc>
        <w:tc>
          <w:tcPr>
            <w:tcW w:w="3195" w:type="dxa"/>
            <w:tcBorders>
              <w:top w:val="nil"/>
              <w:left w:val="nil"/>
              <w:bottom w:val="single" w:sz="4" w:space="0" w:color="auto"/>
              <w:right w:val="single" w:sz="4" w:space="0" w:color="auto"/>
            </w:tcBorders>
            <w:shd w:val="clear" w:color="auto" w:fill="C6EFCE"/>
            <w:noWrap/>
            <w:vAlign w:val="center"/>
          </w:tcPr>
          <w:p w14:paraId="642B386F" w14:textId="77777777" w:rsidR="006054AA" w:rsidRDefault="001F7667">
            <w:pPr>
              <w:pStyle w:val="P68B1DB1-Normal12"/>
              <w:jc w:val="center"/>
              <w:rPr>
                <w:noProof/>
              </w:rPr>
            </w:pPr>
            <w:r>
              <w:rPr>
                <w:noProof/>
              </w:rPr>
              <w:t xml:space="preserve">Инвестиция 1.1: Научноизследователски проекти от значителен национален интерес (PRIN) </w:t>
            </w:r>
          </w:p>
        </w:tc>
        <w:tc>
          <w:tcPr>
            <w:tcW w:w="1438" w:type="dxa"/>
            <w:tcBorders>
              <w:top w:val="nil"/>
              <w:left w:val="nil"/>
              <w:bottom w:val="single" w:sz="4" w:space="0" w:color="auto"/>
              <w:right w:val="single" w:sz="4" w:space="0" w:color="auto"/>
            </w:tcBorders>
            <w:shd w:val="clear" w:color="auto" w:fill="C6EFCE"/>
            <w:noWrap/>
            <w:vAlign w:val="center"/>
          </w:tcPr>
          <w:p w14:paraId="6920D642"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2BC89D4F" w14:textId="77777777" w:rsidR="006054AA" w:rsidRDefault="001F7667">
            <w:pPr>
              <w:pStyle w:val="P68B1DB1-Normal12"/>
              <w:jc w:val="center"/>
              <w:rPr>
                <w:noProof/>
              </w:rPr>
            </w:pPr>
            <w:r>
              <w:rPr>
                <w:noProof/>
              </w:rPr>
              <w:t xml:space="preserve">Брой на възложените научноизследователски проекти </w:t>
            </w:r>
          </w:p>
        </w:tc>
      </w:tr>
      <w:tr w:rsidR="006054AA" w14:paraId="1FD734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88F619" w14:textId="77777777" w:rsidR="006054AA" w:rsidRDefault="001F7667">
            <w:pPr>
              <w:pStyle w:val="P68B1DB1-Normal12"/>
              <w:jc w:val="center"/>
              <w:rPr>
                <w:noProof/>
              </w:rPr>
            </w:pPr>
            <w:r>
              <w:rPr>
                <w:noProof/>
              </w:rPr>
              <w:t>M6C1—8</w:t>
            </w:r>
          </w:p>
        </w:tc>
        <w:tc>
          <w:tcPr>
            <w:tcW w:w="3195" w:type="dxa"/>
            <w:tcBorders>
              <w:top w:val="nil"/>
              <w:left w:val="nil"/>
              <w:bottom w:val="single" w:sz="4" w:space="0" w:color="auto"/>
              <w:right w:val="single" w:sz="4" w:space="0" w:color="auto"/>
            </w:tcBorders>
            <w:shd w:val="clear" w:color="auto" w:fill="C6EFCE"/>
            <w:noWrap/>
            <w:vAlign w:val="center"/>
          </w:tcPr>
          <w:p w14:paraId="6D55F951" w14:textId="77777777" w:rsidR="006054AA" w:rsidRDefault="001F7667">
            <w:pPr>
              <w:pStyle w:val="P68B1DB1-Normal12"/>
              <w:jc w:val="center"/>
              <w:rPr>
                <w:noProof/>
              </w:rPr>
            </w:pPr>
            <w:r>
              <w:rPr>
                <w:noProof/>
              </w:rPr>
              <w:t>Инвестиция 1.2: Дом като първо място за полагане на грижи и телемедицина</w:t>
            </w:r>
          </w:p>
        </w:tc>
        <w:tc>
          <w:tcPr>
            <w:tcW w:w="1438" w:type="dxa"/>
            <w:tcBorders>
              <w:top w:val="nil"/>
              <w:left w:val="nil"/>
              <w:bottom w:val="single" w:sz="4" w:space="0" w:color="auto"/>
              <w:right w:val="single" w:sz="4" w:space="0" w:color="auto"/>
            </w:tcBorders>
            <w:shd w:val="clear" w:color="auto" w:fill="C6EFCE"/>
            <w:noWrap/>
            <w:vAlign w:val="center"/>
          </w:tcPr>
          <w:p w14:paraId="164A8945" w14:textId="77777777" w:rsidR="006054AA" w:rsidRDefault="001F7667">
            <w:pPr>
              <w:pStyle w:val="P68B1DB1-Normal12"/>
              <w:jc w:val="center"/>
              <w:rPr>
                <w:noProof/>
              </w:rPr>
            </w:pPr>
            <w:r>
              <w:rPr>
                <w:noProof/>
              </w:rPr>
              <w:t>Целеви</w:t>
            </w:r>
          </w:p>
        </w:tc>
        <w:tc>
          <w:tcPr>
            <w:tcW w:w="4093" w:type="dxa"/>
            <w:tcBorders>
              <w:top w:val="nil"/>
              <w:left w:val="nil"/>
              <w:bottom w:val="single" w:sz="4" w:space="0" w:color="auto"/>
              <w:right w:val="single" w:sz="4" w:space="0" w:color="auto"/>
            </w:tcBorders>
            <w:shd w:val="clear" w:color="auto" w:fill="C6EFCE"/>
            <w:noWrap/>
            <w:vAlign w:val="center"/>
          </w:tcPr>
          <w:p w14:paraId="4480E4D2" w14:textId="77777777" w:rsidR="006054AA" w:rsidRDefault="001F7667">
            <w:pPr>
              <w:pStyle w:val="P68B1DB1-Normal12"/>
              <w:jc w:val="center"/>
              <w:rPr>
                <w:noProof/>
              </w:rPr>
            </w:pPr>
            <w:r>
              <w:rPr>
                <w:noProof/>
              </w:rPr>
              <w:t>Поне по един проект в областта на телемедицината (като се вземат предвид както проектите, които ще бъдат изпълнени в отделния регион, така и проектите, които могат да бъдат разработени като част от консорциуми между регионите)</w:t>
            </w:r>
          </w:p>
        </w:tc>
      </w:tr>
      <w:tr w:rsidR="006054AA" w14:paraId="274468D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0398F6" w14:textId="77777777" w:rsidR="006054AA" w:rsidRDefault="006054AA">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B0FDAE7" w14:textId="77777777" w:rsidR="006054AA" w:rsidRDefault="006054AA">
            <w:pPr>
              <w:rPr>
                <w:noProof/>
                <w:color w:val="006100"/>
                <w:sz w:val="20"/>
              </w:rPr>
            </w:pPr>
          </w:p>
        </w:tc>
        <w:tc>
          <w:tcPr>
            <w:tcW w:w="1438" w:type="dxa"/>
            <w:tcBorders>
              <w:top w:val="single" w:sz="4" w:space="0" w:color="auto"/>
              <w:left w:val="nil"/>
              <w:bottom w:val="single" w:sz="4" w:space="0" w:color="auto"/>
              <w:right w:val="single" w:sz="4" w:space="0" w:color="auto"/>
            </w:tcBorders>
            <w:shd w:val="clear" w:color="auto" w:fill="C6EFCE"/>
            <w:noWrap/>
            <w:vAlign w:val="bottom"/>
          </w:tcPr>
          <w:p w14:paraId="7A4D98F8" w14:textId="77777777" w:rsidR="006054AA" w:rsidRDefault="001F7667">
            <w:pPr>
              <w:pStyle w:val="P68B1DB1-Normal12"/>
              <w:rPr>
                <w:noProof/>
              </w:rPr>
            </w:pPr>
            <w:r>
              <w:rPr>
                <w:noProof/>
              </w:rPr>
              <w:t>Размер на вноската</w:t>
            </w:r>
          </w:p>
        </w:tc>
        <w:tc>
          <w:tcPr>
            <w:tcW w:w="4093" w:type="dxa"/>
            <w:tcBorders>
              <w:top w:val="single" w:sz="4" w:space="0" w:color="auto"/>
              <w:left w:val="nil"/>
              <w:bottom w:val="single" w:sz="4" w:space="0" w:color="auto"/>
              <w:right w:val="single" w:sz="4" w:space="0" w:color="auto"/>
            </w:tcBorders>
            <w:shd w:val="clear" w:color="auto" w:fill="C6EFCE"/>
            <w:noWrap/>
            <w:vAlign w:val="bottom"/>
          </w:tcPr>
          <w:p w14:paraId="0DF2661F" w14:textId="0D766492" w:rsidR="006054AA" w:rsidRDefault="001F7667">
            <w:pPr>
              <w:pStyle w:val="P68B1DB1-Normal12"/>
              <w:rPr>
                <w:noProof/>
              </w:rPr>
            </w:pPr>
            <w:r>
              <w:rPr>
                <w:noProof/>
              </w:rPr>
              <w:t>8 610 723 872 EUR</w:t>
            </w:r>
          </w:p>
        </w:tc>
      </w:tr>
    </w:tbl>
    <w:p w14:paraId="09751F0E" w14:textId="1C405A7C" w:rsidR="006054AA" w:rsidRDefault="006054AA">
      <w:pPr>
        <w:spacing w:before="120" w:after="120"/>
        <w:jc w:val="both"/>
        <w:rPr>
          <w:rFonts w:eastAsia="Calibri"/>
          <w:noProof/>
        </w:rPr>
      </w:pPr>
    </w:p>
    <w:p w14:paraId="6BDC08AF" w14:textId="77777777" w:rsidR="006054AA" w:rsidRDefault="001F7667">
      <w:pPr>
        <w:pStyle w:val="P68B1DB1-Normal44"/>
        <w:spacing w:after="200" w:line="276" w:lineRule="auto"/>
        <w:rPr>
          <w:noProof/>
        </w:rPr>
      </w:pPr>
      <w:r>
        <w:rPr>
          <w:noProof/>
        </w:rPr>
        <w:br w:type="page"/>
      </w:r>
    </w:p>
    <w:p w14:paraId="74E77AE8" w14:textId="05EBE688" w:rsidR="006054AA" w:rsidRDefault="001F7667">
      <w:pPr>
        <w:pStyle w:val="P68B1DB1-Normal44"/>
        <w:numPr>
          <w:ilvl w:val="1"/>
          <w:numId w:val="6"/>
        </w:numPr>
        <w:spacing w:before="120" w:after="120"/>
        <w:jc w:val="both"/>
        <w:rPr>
          <w:noProof/>
        </w:rPr>
      </w:pPr>
      <w:r>
        <w:rPr>
          <w:noProof/>
        </w:rPr>
        <w:t>Шеста вноска (подкрепа под формата на заем):</w:t>
      </w:r>
    </w:p>
    <w:tbl>
      <w:tblPr>
        <w:tblW w:w="10139" w:type="dxa"/>
        <w:tblInd w:w="113" w:type="dxa"/>
        <w:tblLook w:val="04A0" w:firstRow="1" w:lastRow="0" w:firstColumn="1" w:lastColumn="0" w:noHBand="0" w:noVBand="1"/>
      </w:tblPr>
      <w:tblGrid>
        <w:gridCol w:w="1413"/>
        <w:gridCol w:w="3195"/>
        <w:gridCol w:w="1425"/>
        <w:gridCol w:w="4106"/>
      </w:tblGrid>
      <w:tr w:rsidR="006054AA" w14:paraId="57C773EE" w14:textId="77777777">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077DD7" w14:textId="77777777" w:rsidR="006054AA" w:rsidRDefault="001F7667">
            <w:pPr>
              <w:pStyle w:val="P68B1DB1-Normal45"/>
              <w:jc w:val="center"/>
              <w:rPr>
                <w:noProof/>
              </w:rPr>
            </w:pPr>
            <w:r>
              <w:rPr>
                <w:noProof/>
              </w:rPr>
              <w:t>Пореден номер</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7375A0" w14:textId="77777777" w:rsidR="006054AA" w:rsidRDefault="001F7667">
            <w:pPr>
              <w:pStyle w:val="P68B1DB1-Normal45"/>
              <w:jc w:val="center"/>
              <w:rPr>
                <w:noProof/>
              </w:rPr>
            </w:pPr>
            <w:r>
              <w:rPr>
                <w:noProof/>
              </w:rPr>
              <w:t>Свързана мярка (реформа или инвестиции)</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7450C5" w14:textId="77777777" w:rsidR="006054AA" w:rsidRDefault="001F7667">
            <w:pPr>
              <w:pStyle w:val="P68B1DB1-Normal45"/>
              <w:jc w:val="center"/>
              <w:rPr>
                <w:noProof/>
              </w:rPr>
            </w:pPr>
            <w:r>
              <w:rPr>
                <w:noProof/>
              </w:rPr>
              <w:t>Ключов етап/Цел</w:t>
            </w:r>
          </w:p>
        </w:tc>
        <w:tc>
          <w:tcPr>
            <w:tcW w:w="4106" w:type="dxa"/>
            <w:vMerge w:val="restart"/>
            <w:tcBorders>
              <w:top w:val="single" w:sz="4" w:space="0" w:color="auto"/>
              <w:left w:val="nil"/>
              <w:bottom w:val="single" w:sz="4" w:space="0" w:color="auto"/>
              <w:right w:val="single" w:sz="4" w:space="0" w:color="auto"/>
            </w:tcBorders>
            <w:shd w:val="clear" w:color="auto" w:fill="BDD7EE"/>
            <w:vAlign w:val="center"/>
            <w:hideMark/>
          </w:tcPr>
          <w:p w14:paraId="254B60A6" w14:textId="77777777" w:rsidR="006054AA" w:rsidRDefault="001F7667">
            <w:pPr>
              <w:pStyle w:val="P68B1DB1-Normal45"/>
              <w:jc w:val="center"/>
              <w:rPr>
                <w:noProof/>
              </w:rPr>
            </w:pPr>
            <w:r>
              <w:rPr>
                <w:noProof/>
              </w:rPr>
              <w:t>Име</w:t>
            </w:r>
          </w:p>
        </w:tc>
      </w:tr>
      <w:tr w:rsidR="006054AA" w14:paraId="24C58AF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9B75112" w14:textId="77777777" w:rsidR="006054AA" w:rsidRDefault="006054AA">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28ADF0B0" w14:textId="77777777" w:rsidR="006054AA" w:rsidRDefault="006054AA">
            <w:pPr>
              <w:rPr>
                <w:b/>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33F75EEA" w14:textId="77777777" w:rsidR="006054AA" w:rsidRDefault="006054AA">
            <w:pPr>
              <w:rPr>
                <w:b/>
                <w:noProof/>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3400FBB8" w14:textId="77777777" w:rsidR="006054AA" w:rsidRDefault="006054AA">
            <w:pPr>
              <w:rPr>
                <w:b/>
                <w:noProof/>
              </w:rPr>
            </w:pPr>
          </w:p>
        </w:tc>
      </w:tr>
      <w:tr w:rsidR="006054AA" w14:paraId="357F51E2"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15716" w14:textId="77777777" w:rsidR="006054AA" w:rsidRDefault="001F7667">
            <w:pPr>
              <w:pStyle w:val="P68B1DB1-Normal12"/>
              <w:jc w:val="center"/>
              <w:rPr>
                <w:noProof/>
              </w:rPr>
            </w:pPr>
            <w:r>
              <w:rPr>
                <w:noProof/>
              </w:rPr>
              <w:t>M3C1—10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1C26BEA9" w14:textId="77777777" w:rsidR="006054AA" w:rsidRDefault="001F7667">
            <w:pPr>
              <w:pStyle w:val="P68B1DB1-Normal12"/>
              <w:jc w:val="center"/>
              <w:rPr>
                <w:noProof/>
              </w:rPr>
            </w:pPr>
            <w:r>
              <w:rPr>
                <w:noProof/>
              </w:rPr>
              <w:t>Инвестиция 1.3 — Диагонални връзки</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156D20CE" w14:textId="77777777" w:rsidR="006054AA" w:rsidRDefault="001F7667">
            <w:pPr>
              <w:pStyle w:val="P68B1DB1-Normal12"/>
              <w:jc w:val="center"/>
              <w:rPr>
                <w:noProof/>
              </w:rPr>
            </w:pPr>
            <w:r>
              <w:rPr>
                <w:noProof/>
              </w:rPr>
              <w:t>Ключов етап</w:t>
            </w:r>
          </w:p>
        </w:tc>
        <w:tc>
          <w:tcPr>
            <w:tcW w:w="4106" w:type="dxa"/>
            <w:tcBorders>
              <w:top w:val="single" w:sz="4" w:space="0" w:color="auto"/>
              <w:left w:val="nil"/>
              <w:bottom w:val="single" w:sz="4" w:space="0" w:color="auto"/>
              <w:right w:val="single" w:sz="4" w:space="0" w:color="auto"/>
            </w:tcBorders>
            <w:shd w:val="clear" w:color="auto" w:fill="C6EFCE"/>
            <w:noWrap/>
            <w:vAlign w:val="center"/>
          </w:tcPr>
          <w:p w14:paraId="16903649" w14:textId="77777777" w:rsidR="006054AA" w:rsidRDefault="001F7667">
            <w:pPr>
              <w:pStyle w:val="P68B1DB1-Normal12"/>
              <w:jc w:val="center"/>
              <w:rPr>
                <w:noProof/>
              </w:rPr>
            </w:pPr>
            <w:r>
              <w:rPr>
                <w:noProof/>
              </w:rPr>
              <w:t>Възлагане на поръчката (ите) за изграждане на връзките по линиите Орте-Фалконара и Таранто -Метапонто-Потена-Батипалия</w:t>
            </w:r>
          </w:p>
        </w:tc>
      </w:tr>
      <w:tr w:rsidR="006054AA" w14:paraId="55EB24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7509E4" w14:textId="77777777" w:rsidR="006054AA" w:rsidRDefault="001F7667">
            <w:pPr>
              <w:pStyle w:val="P68B1DB1-Normal12"/>
              <w:jc w:val="center"/>
              <w:rPr>
                <w:noProof/>
              </w:rPr>
            </w:pPr>
            <w:r>
              <w:rPr>
                <w:noProof/>
              </w:rPr>
              <w:t>M7—35</w:t>
            </w:r>
          </w:p>
        </w:tc>
        <w:tc>
          <w:tcPr>
            <w:tcW w:w="3195" w:type="dxa"/>
            <w:tcBorders>
              <w:top w:val="nil"/>
              <w:left w:val="nil"/>
              <w:bottom w:val="single" w:sz="4" w:space="0" w:color="auto"/>
              <w:right w:val="single" w:sz="4" w:space="0" w:color="auto"/>
            </w:tcBorders>
            <w:shd w:val="clear" w:color="auto" w:fill="C6EFCE"/>
            <w:noWrap/>
            <w:vAlign w:val="center"/>
          </w:tcPr>
          <w:p w14:paraId="550951E9" w14:textId="77777777" w:rsidR="006054AA" w:rsidRDefault="001F7667">
            <w:pPr>
              <w:pStyle w:val="P68B1DB1-Normal12"/>
              <w:jc w:val="center"/>
              <w:rPr>
                <w:noProof/>
              </w:rPr>
            </w:pPr>
            <w:r>
              <w:rPr>
                <w:noProof/>
              </w:rPr>
              <w:t>Инвестиция 13: Адриатическа линия, фаза 1 (компресорна станция Sulmona и газопровод Sestino-Minerbio)</w:t>
            </w:r>
          </w:p>
        </w:tc>
        <w:tc>
          <w:tcPr>
            <w:tcW w:w="1425" w:type="dxa"/>
            <w:tcBorders>
              <w:top w:val="nil"/>
              <w:left w:val="nil"/>
              <w:bottom w:val="single" w:sz="4" w:space="0" w:color="auto"/>
              <w:right w:val="single" w:sz="4" w:space="0" w:color="auto"/>
            </w:tcBorders>
            <w:shd w:val="clear" w:color="auto" w:fill="C6EFCE"/>
            <w:noWrap/>
            <w:vAlign w:val="center"/>
          </w:tcPr>
          <w:p w14:paraId="619828A4" w14:textId="77777777" w:rsidR="006054AA" w:rsidRDefault="001F7667">
            <w:pPr>
              <w:pStyle w:val="P68B1DB1-Normal12"/>
              <w:jc w:val="center"/>
              <w:rPr>
                <w:noProof/>
              </w:rPr>
            </w:pPr>
            <w:r>
              <w:rPr>
                <w:noProof/>
              </w:rPr>
              <w:t>Ключов етап</w:t>
            </w:r>
          </w:p>
        </w:tc>
        <w:tc>
          <w:tcPr>
            <w:tcW w:w="4106" w:type="dxa"/>
            <w:tcBorders>
              <w:top w:val="nil"/>
              <w:left w:val="nil"/>
              <w:bottom w:val="single" w:sz="4" w:space="0" w:color="auto"/>
              <w:right w:val="single" w:sz="4" w:space="0" w:color="auto"/>
            </w:tcBorders>
            <w:shd w:val="clear" w:color="auto" w:fill="C6EFCE"/>
            <w:noWrap/>
            <w:vAlign w:val="center"/>
          </w:tcPr>
          <w:p w14:paraId="255C02FB" w14:textId="77777777" w:rsidR="006054AA" w:rsidRDefault="001F7667">
            <w:pPr>
              <w:pStyle w:val="P68B1DB1-Normal12"/>
              <w:jc w:val="center"/>
              <w:rPr>
                <w:noProof/>
              </w:rPr>
            </w:pPr>
            <w:r>
              <w:rPr>
                <w:noProof/>
              </w:rPr>
              <w:t>Приемане и актуализиране на съответните оценки на въздействието върху околната среда (VIncA)</w:t>
            </w:r>
          </w:p>
        </w:tc>
      </w:tr>
      <w:tr w:rsidR="006054AA" w14:paraId="5377CB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61B19" w14:textId="77777777" w:rsidR="006054AA" w:rsidRDefault="001F7667">
            <w:pPr>
              <w:pStyle w:val="P68B1DB1-Normal12"/>
              <w:jc w:val="center"/>
              <w:rPr>
                <w:noProof/>
              </w:rPr>
            </w:pPr>
            <w:r>
              <w:rPr>
                <w:noProof/>
              </w:rPr>
              <w:t>M7—40</w:t>
            </w:r>
          </w:p>
        </w:tc>
        <w:tc>
          <w:tcPr>
            <w:tcW w:w="3195" w:type="dxa"/>
            <w:tcBorders>
              <w:top w:val="nil"/>
              <w:left w:val="nil"/>
              <w:bottom w:val="single" w:sz="4" w:space="0" w:color="auto"/>
              <w:right w:val="single" w:sz="4" w:space="0" w:color="auto"/>
            </w:tcBorders>
            <w:shd w:val="clear" w:color="auto" w:fill="C6EFCE"/>
            <w:noWrap/>
            <w:vAlign w:val="center"/>
          </w:tcPr>
          <w:p w14:paraId="08DA5365" w14:textId="77777777" w:rsidR="006054AA" w:rsidRDefault="001F7667">
            <w:pPr>
              <w:pStyle w:val="P68B1DB1-Normal12"/>
              <w:jc w:val="center"/>
              <w:rPr>
                <w:noProof/>
              </w:rPr>
            </w:pPr>
            <w:r>
              <w:rPr>
                <w:noProof/>
              </w:rPr>
              <w:t>Инвестиция 15: Трансилсионе 5.0 Зелено</w:t>
            </w:r>
          </w:p>
        </w:tc>
        <w:tc>
          <w:tcPr>
            <w:tcW w:w="1425" w:type="dxa"/>
            <w:tcBorders>
              <w:top w:val="nil"/>
              <w:left w:val="nil"/>
              <w:bottom w:val="single" w:sz="4" w:space="0" w:color="auto"/>
              <w:right w:val="single" w:sz="4" w:space="0" w:color="auto"/>
            </w:tcBorders>
            <w:shd w:val="clear" w:color="auto" w:fill="C6EFCE"/>
            <w:noWrap/>
            <w:vAlign w:val="center"/>
          </w:tcPr>
          <w:p w14:paraId="3ABDFDD8" w14:textId="77777777" w:rsidR="006054AA" w:rsidRDefault="001F7667">
            <w:pPr>
              <w:pStyle w:val="P68B1DB1-Normal12"/>
              <w:jc w:val="center"/>
              <w:rPr>
                <w:noProof/>
              </w:rPr>
            </w:pPr>
            <w:r>
              <w:rPr>
                <w:noProof/>
              </w:rPr>
              <w:t>Ключов етап</w:t>
            </w:r>
          </w:p>
        </w:tc>
        <w:tc>
          <w:tcPr>
            <w:tcW w:w="4106" w:type="dxa"/>
            <w:tcBorders>
              <w:top w:val="nil"/>
              <w:left w:val="nil"/>
              <w:bottom w:val="single" w:sz="4" w:space="0" w:color="auto"/>
              <w:right w:val="single" w:sz="4" w:space="0" w:color="auto"/>
            </w:tcBorders>
            <w:shd w:val="clear" w:color="auto" w:fill="C6EFCE"/>
            <w:noWrap/>
            <w:vAlign w:val="center"/>
          </w:tcPr>
          <w:p w14:paraId="25C00B22" w14:textId="77777777" w:rsidR="006054AA" w:rsidRDefault="001F7667">
            <w:pPr>
              <w:pStyle w:val="P68B1DB1-Normal12"/>
              <w:jc w:val="center"/>
              <w:rPr>
                <w:noProof/>
              </w:rPr>
            </w:pPr>
            <w:r>
              <w:rPr>
                <w:noProof/>
              </w:rPr>
              <w:t>Влизане в сила на правния акт за установяване на критериите за допустимите интервенции</w:t>
            </w:r>
          </w:p>
        </w:tc>
      </w:tr>
      <w:tr w:rsidR="006054AA" w14:paraId="68B34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CC9744" w14:textId="77777777" w:rsidR="006054AA" w:rsidRDefault="001F7667">
            <w:pPr>
              <w:pStyle w:val="P68B1DB1-Normal12"/>
              <w:jc w:val="center"/>
              <w:rPr>
                <w:noProof/>
              </w:rPr>
            </w:pPr>
            <w:r>
              <w:rPr>
                <w:noProof/>
              </w:rPr>
              <w:t>M2C1—15</w:t>
            </w:r>
          </w:p>
        </w:tc>
        <w:tc>
          <w:tcPr>
            <w:tcW w:w="3195" w:type="dxa"/>
            <w:tcBorders>
              <w:top w:val="nil"/>
              <w:left w:val="nil"/>
              <w:bottom w:val="single" w:sz="4" w:space="0" w:color="auto"/>
              <w:right w:val="single" w:sz="4" w:space="0" w:color="auto"/>
            </w:tcBorders>
            <w:shd w:val="clear" w:color="auto" w:fill="C6EFCE"/>
            <w:noWrap/>
            <w:vAlign w:val="center"/>
          </w:tcPr>
          <w:p w14:paraId="04D3DE21" w14:textId="77777777" w:rsidR="006054AA" w:rsidRDefault="001F7667">
            <w:pPr>
              <w:pStyle w:val="P68B1DB1-Normal12"/>
              <w:jc w:val="center"/>
              <w:rPr>
                <w:noProof/>
              </w:rPr>
            </w:pPr>
            <w:r>
              <w:rPr>
                <w:noProof/>
              </w:rPr>
              <w:t>Реформа на националната програма за управление на отпадъците от 1.2 г.;   Инвестиция 1.1 — Осъществяване на нови инсталации за управление на отпадъците и модернизация на съществуващи инсталации</w:t>
            </w:r>
          </w:p>
        </w:tc>
        <w:tc>
          <w:tcPr>
            <w:tcW w:w="1425" w:type="dxa"/>
            <w:tcBorders>
              <w:top w:val="nil"/>
              <w:left w:val="nil"/>
              <w:bottom w:val="single" w:sz="4" w:space="0" w:color="auto"/>
              <w:right w:val="single" w:sz="4" w:space="0" w:color="auto"/>
            </w:tcBorders>
            <w:shd w:val="clear" w:color="auto" w:fill="C6EFCE"/>
            <w:noWrap/>
            <w:vAlign w:val="center"/>
          </w:tcPr>
          <w:p w14:paraId="4EFD43F8" w14:textId="77777777" w:rsidR="006054AA" w:rsidRDefault="001F7667">
            <w:pPr>
              <w:pStyle w:val="P68B1DB1-Normal12"/>
              <w:jc w:val="center"/>
              <w:rPr>
                <w:noProof/>
              </w:rPr>
            </w:pPr>
            <w:r>
              <w:rPr>
                <w:noProof/>
              </w:rPr>
              <w:t>Целеви</w:t>
            </w:r>
          </w:p>
        </w:tc>
        <w:tc>
          <w:tcPr>
            <w:tcW w:w="4106" w:type="dxa"/>
            <w:tcBorders>
              <w:top w:val="nil"/>
              <w:left w:val="nil"/>
              <w:bottom w:val="single" w:sz="4" w:space="0" w:color="auto"/>
              <w:right w:val="single" w:sz="4" w:space="0" w:color="auto"/>
            </w:tcBorders>
            <w:shd w:val="clear" w:color="auto" w:fill="C6EFCE"/>
            <w:noWrap/>
            <w:vAlign w:val="center"/>
          </w:tcPr>
          <w:p w14:paraId="652572D5" w14:textId="77777777" w:rsidR="006054AA" w:rsidRDefault="001F7667">
            <w:pPr>
              <w:pStyle w:val="P68B1DB1-Normal12"/>
              <w:jc w:val="center"/>
              <w:rPr>
                <w:noProof/>
              </w:rPr>
            </w:pPr>
            <w:r>
              <w:rPr>
                <w:noProof/>
              </w:rPr>
              <w:t xml:space="preserve">Намаляване на незаконните депа за отпадъци (T1)  </w:t>
            </w:r>
          </w:p>
        </w:tc>
      </w:tr>
      <w:tr w:rsidR="006054AA" w14:paraId="77618A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5A58A6" w14:textId="77777777" w:rsidR="006054AA" w:rsidRDefault="001F7667">
            <w:pPr>
              <w:pStyle w:val="P68B1DB1-Normal12"/>
              <w:jc w:val="center"/>
              <w:rPr>
                <w:noProof/>
              </w:rPr>
            </w:pPr>
            <w:r>
              <w:rPr>
                <w:noProof/>
              </w:rPr>
              <w:t>M2C1—22</w:t>
            </w:r>
          </w:p>
        </w:tc>
        <w:tc>
          <w:tcPr>
            <w:tcW w:w="3195" w:type="dxa"/>
            <w:tcBorders>
              <w:top w:val="nil"/>
              <w:left w:val="nil"/>
              <w:bottom w:val="single" w:sz="4" w:space="0" w:color="auto"/>
              <w:right w:val="single" w:sz="4" w:space="0" w:color="auto"/>
            </w:tcBorders>
            <w:shd w:val="clear" w:color="auto" w:fill="C6EFCE"/>
            <w:noWrap/>
            <w:vAlign w:val="center"/>
          </w:tcPr>
          <w:p w14:paraId="4207AAF3" w14:textId="77777777" w:rsidR="006054AA" w:rsidRDefault="001F7667">
            <w:pPr>
              <w:pStyle w:val="P68B1DB1-Normal12"/>
              <w:jc w:val="center"/>
              <w:rPr>
                <w:noProof/>
              </w:rPr>
            </w:pPr>
            <w:r>
              <w:rPr>
                <w:noProof/>
              </w:rPr>
              <w:t>Инвестиция 3.4: Fondo Contratti di Filiera (FCF) за подпомагане на договори за вериги на доставки в секторите на хранително-вкусовата промишленост, рибарството и аквакултурите, горското стопанство, цветарството и растениевъдството</w:t>
            </w:r>
          </w:p>
        </w:tc>
        <w:tc>
          <w:tcPr>
            <w:tcW w:w="1425" w:type="dxa"/>
            <w:tcBorders>
              <w:top w:val="nil"/>
              <w:left w:val="nil"/>
              <w:bottom w:val="single" w:sz="4" w:space="0" w:color="auto"/>
              <w:right w:val="single" w:sz="4" w:space="0" w:color="auto"/>
            </w:tcBorders>
            <w:shd w:val="clear" w:color="auto" w:fill="C6EFCE"/>
            <w:noWrap/>
            <w:vAlign w:val="center"/>
          </w:tcPr>
          <w:p w14:paraId="3B361387" w14:textId="3BA642A3" w:rsidR="006054AA" w:rsidRDefault="001F7667">
            <w:pPr>
              <w:pStyle w:val="P68B1DB1-Normal12"/>
              <w:jc w:val="center"/>
              <w:rPr>
                <w:noProof/>
              </w:rPr>
            </w:pPr>
            <w:r>
              <w:rPr>
                <w:noProof/>
              </w:rPr>
              <w:t>Ключов етап</w:t>
            </w:r>
          </w:p>
        </w:tc>
        <w:tc>
          <w:tcPr>
            <w:tcW w:w="4106" w:type="dxa"/>
            <w:tcBorders>
              <w:top w:val="nil"/>
              <w:left w:val="nil"/>
              <w:bottom w:val="single" w:sz="4" w:space="0" w:color="auto"/>
              <w:right w:val="single" w:sz="4" w:space="0" w:color="auto"/>
            </w:tcBorders>
            <w:shd w:val="clear" w:color="auto" w:fill="C6EFCE"/>
            <w:noWrap/>
            <w:vAlign w:val="center"/>
          </w:tcPr>
          <w:p w14:paraId="2498076C" w14:textId="77777777" w:rsidR="006054AA" w:rsidRDefault="001F7667">
            <w:pPr>
              <w:pStyle w:val="P68B1DB1-Normal12"/>
              <w:jc w:val="center"/>
              <w:rPr>
                <w:noProof/>
              </w:rPr>
            </w:pPr>
            <w:r>
              <w:rPr>
                <w:noProof/>
              </w:rPr>
              <w:t>Споразумение за изпълнение</w:t>
            </w:r>
          </w:p>
        </w:tc>
      </w:tr>
      <w:tr w:rsidR="006054AA" w14:paraId="2BCD73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18DE7A" w14:textId="77777777" w:rsidR="006054AA" w:rsidRDefault="001F7667">
            <w:pPr>
              <w:pStyle w:val="P68B1DB1-Normal12"/>
              <w:jc w:val="center"/>
              <w:rPr>
                <w:noProof/>
              </w:rPr>
            </w:pPr>
            <w:r>
              <w:rPr>
                <w:noProof/>
              </w:rPr>
              <w:t>M2C2—31</w:t>
            </w:r>
          </w:p>
        </w:tc>
        <w:tc>
          <w:tcPr>
            <w:tcW w:w="3195" w:type="dxa"/>
            <w:tcBorders>
              <w:top w:val="nil"/>
              <w:left w:val="nil"/>
              <w:bottom w:val="single" w:sz="4" w:space="0" w:color="auto"/>
              <w:right w:val="single" w:sz="4" w:space="0" w:color="auto"/>
            </w:tcBorders>
            <w:shd w:val="clear" w:color="auto" w:fill="C6EFCE"/>
            <w:noWrap/>
            <w:vAlign w:val="center"/>
          </w:tcPr>
          <w:p w14:paraId="791BF650" w14:textId="77777777" w:rsidR="006054AA" w:rsidRDefault="001F7667">
            <w:pPr>
              <w:pStyle w:val="P68B1DB1-Normal12"/>
              <w:jc w:val="center"/>
              <w:rPr>
                <w:noProof/>
              </w:rPr>
            </w:pPr>
            <w:r>
              <w:rPr>
                <w:noProof/>
              </w:rPr>
              <w:t>Инвестиция 4.4.3: Обновителен парк за командването на националната противопожарна служба</w:t>
            </w:r>
          </w:p>
        </w:tc>
        <w:tc>
          <w:tcPr>
            <w:tcW w:w="1425" w:type="dxa"/>
            <w:tcBorders>
              <w:top w:val="nil"/>
              <w:left w:val="nil"/>
              <w:bottom w:val="single" w:sz="4" w:space="0" w:color="auto"/>
              <w:right w:val="single" w:sz="4" w:space="0" w:color="auto"/>
            </w:tcBorders>
            <w:shd w:val="clear" w:color="auto" w:fill="C6EFCE"/>
            <w:noWrap/>
            <w:vAlign w:val="center"/>
          </w:tcPr>
          <w:p w14:paraId="40C54EFA" w14:textId="77777777" w:rsidR="006054AA" w:rsidRDefault="001F7667">
            <w:pPr>
              <w:pStyle w:val="P68B1DB1-Normal12"/>
              <w:jc w:val="center"/>
              <w:rPr>
                <w:noProof/>
              </w:rPr>
            </w:pPr>
            <w:r>
              <w:rPr>
                <w:noProof/>
              </w:rPr>
              <w:t>Ключов етап</w:t>
            </w:r>
          </w:p>
        </w:tc>
        <w:tc>
          <w:tcPr>
            <w:tcW w:w="4106" w:type="dxa"/>
            <w:tcBorders>
              <w:top w:val="nil"/>
              <w:left w:val="nil"/>
              <w:bottom w:val="single" w:sz="4" w:space="0" w:color="auto"/>
              <w:right w:val="single" w:sz="4" w:space="0" w:color="auto"/>
            </w:tcBorders>
            <w:shd w:val="clear" w:color="auto" w:fill="C6EFCE"/>
            <w:noWrap/>
            <w:vAlign w:val="center"/>
          </w:tcPr>
          <w:p w14:paraId="6C73A6A8" w14:textId="77777777" w:rsidR="006054AA" w:rsidRDefault="001F7667">
            <w:pPr>
              <w:pStyle w:val="P68B1DB1-Normal12"/>
              <w:jc w:val="center"/>
              <w:rPr>
                <w:noProof/>
              </w:rPr>
            </w:pPr>
            <w:r>
              <w:rPr>
                <w:noProof/>
              </w:rPr>
              <w:t>Възлагане на всички обществени поръчки за обновяване на флота за командването на националната противопожарна служба</w:t>
            </w:r>
          </w:p>
        </w:tc>
      </w:tr>
      <w:tr w:rsidR="006054AA" w14:paraId="09964D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42CB8" w14:textId="77777777" w:rsidR="006054AA" w:rsidRDefault="001F7667">
            <w:pPr>
              <w:pStyle w:val="P68B1DB1-Normal12"/>
              <w:jc w:val="center"/>
              <w:rPr>
                <w:noProof/>
              </w:rPr>
            </w:pPr>
            <w:r>
              <w:rPr>
                <w:noProof/>
              </w:rPr>
              <w:t>M2C4—6</w:t>
            </w:r>
          </w:p>
        </w:tc>
        <w:tc>
          <w:tcPr>
            <w:tcW w:w="3195" w:type="dxa"/>
            <w:tcBorders>
              <w:top w:val="nil"/>
              <w:left w:val="nil"/>
              <w:bottom w:val="single" w:sz="4" w:space="0" w:color="auto"/>
              <w:right w:val="single" w:sz="4" w:space="0" w:color="auto"/>
            </w:tcBorders>
            <w:shd w:val="clear" w:color="auto" w:fill="C6EFCE"/>
            <w:noWrap/>
            <w:vAlign w:val="center"/>
          </w:tcPr>
          <w:p w14:paraId="17F444A5" w14:textId="77777777" w:rsidR="006054AA" w:rsidRDefault="001F7667">
            <w:pPr>
              <w:pStyle w:val="P68B1DB1-Normal12"/>
              <w:jc w:val="center"/>
              <w:rPr>
                <w:noProof/>
              </w:rPr>
            </w:pPr>
            <w:r>
              <w:rPr>
                <w:noProof/>
              </w:rPr>
              <w:t>Инвестиция 3.2: Цифровизация на националните паркове</w:t>
            </w:r>
          </w:p>
        </w:tc>
        <w:tc>
          <w:tcPr>
            <w:tcW w:w="1425" w:type="dxa"/>
            <w:tcBorders>
              <w:top w:val="nil"/>
              <w:left w:val="nil"/>
              <w:bottom w:val="single" w:sz="4" w:space="0" w:color="auto"/>
              <w:right w:val="single" w:sz="4" w:space="0" w:color="auto"/>
            </w:tcBorders>
            <w:shd w:val="clear" w:color="auto" w:fill="C6EFCE"/>
            <w:noWrap/>
            <w:vAlign w:val="center"/>
          </w:tcPr>
          <w:p w14:paraId="10FA3174" w14:textId="77777777" w:rsidR="006054AA" w:rsidRDefault="001F7667">
            <w:pPr>
              <w:pStyle w:val="P68B1DB1-Normal12"/>
              <w:jc w:val="center"/>
              <w:rPr>
                <w:noProof/>
              </w:rPr>
            </w:pPr>
            <w:r>
              <w:rPr>
                <w:noProof/>
              </w:rPr>
              <w:t>Целеви</w:t>
            </w:r>
          </w:p>
        </w:tc>
        <w:tc>
          <w:tcPr>
            <w:tcW w:w="4106" w:type="dxa"/>
            <w:tcBorders>
              <w:top w:val="nil"/>
              <w:left w:val="nil"/>
              <w:bottom w:val="single" w:sz="4" w:space="0" w:color="auto"/>
              <w:right w:val="single" w:sz="4" w:space="0" w:color="auto"/>
            </w:tcBorders>
            <w:shd w:val="clear" w:color="auto" w:fill="C6EFCE"/>
            <w:noWrap/>
            <w:vAlign w:val="center"/>
          </w:tcPr>
          <w:p w14:paraId="6947FBDD" w14:textId="77777777" w:rsidR="006054AA" w:rsidRDefault="001F7667">
            <w:pPr>
              <w:pStyle w:val="P68B1DB1-Normal12"/>
              <w:jc w:val="center"/>
              <w:rPr>
                <w:noProof/>
              </w:rPr>
            </w:pPr>
            <w:r>
              <w:rPr>
                <w:noProof/>
              </w:rPr>
              <w:t xml:space="preserve">Административно опростяване и развитие на цифровите услуги за посетителите на национални паркове и защитени морски зони </w:t>
            </w:r>
          </w:p>
        </w:tc>
      </w:tr>
      <w:tr w:rsidR="006054AA" w14:paraId="065F7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78614" w14:textId="77777777" w:rsidR="006054AA" w:rsidRDefault="001F7667">
            <w:pPr>
              <w:pStyle w:val="P68B1DB1-Normal12"/>
              <w:jc w:val="center"/>
              <w:rPr>
                <w:noProof/>
              </w:rPr>
            </w:pPr>
            <w:r>
              <w:rPr>
                <w:noProof/>
              </w:rPr>
              <w:t>M2C4—20</w:t>
            </w:r>
          </w:p>
        </w:tc>
        <w:tc>
          <w:tcPr>
            <w:tcW w:w="3195" w:type="dxa"/>
            <w:tcBorders>
              <w:top w:val="nil"/>
              <w:left w:val="nil"/>
              <w:bottom w:val="single" w:sz="4" w:space="0" w:color="auto"/>
              <w:right w:val="single" w:sz="4" w:space="0" w:color="auto"/>
            </w:tcBorders>
            <w:shd w:val="clear" w:color="auto" w:fill="C6EFCE"/>
            <w:noWrap/>
            <w:vAlign w:val="center"/>
          </w:tcPr>
          <w:p w14:paraId="154FAD05" w14:textId="77777777" w:rsidR="006054AA" w:rsidRDefault="001F7667">
            <w:pPr>
              <w:pStyle w:val="P68B1DB1-Normal12"/>
              <w:jc w:val="center"/>
              <w:rPr>
                <w:noProof/>
              </w:rPr>
            </w:pPr>
            <w:r>
              <w:rPr>
                <w:noProof/>
              </w:rPr>
              <w:t>Инвестиции. 3.1: Опазване и подобряване на градските и крайградските гори</w:t>
            </w:r>
          </w:p>
        </w:tc>
        <w:tc>
          <w:tcPr>
            <w:tcW w:w="1425" w:type="dxa"/>
            <w:tcBorders>
              <w:top w:val="nil"/>
              <w:left w:val="nil"/>
              <w:bottom w:val="single" w:sz="4" w:space="0" w:color="auto"/>
              <w:right w:val="single" w:sz="4" w:space="0" w:color="auto"/>
            </w:tcBorders>
            <w:shd w:val="clear" w:color="auto" w:fill="C6EFCE"/>
            <w:noWrap/>
            <w:vAlign w:val="center"/>
          </w:tcPr>
          <w:p w14:paraId="2CAD670B" w14:textId="77777777" w:rsidR="006054AA" w:rsidRDefault="001F7667">
            <w:pPr>
              <w:pStyle w:val="P68B1DB1-Normal12"/>
              <w:jc w:val="center"/>
              <w:rPr>
                <w:noProof/>
              </w:rPr>
            </w:pPr>
            <w:r>
              <w:rPr>
                <w:noProof/>
              </w:rPr>
              <w:t>Целеви</w:t>
            </w:r>
          </w:p>
        </w:tc>
        <w:tc>
          <w:tcPr>
            <w:tcW w:w="4106" w:type="dxa"/>
            <w:tcBorders>
              <w:top w:val="nil"/>
              <w:left w:val="nil"/>
              <w:bottom w:val="single" w:sz="4" w:space="0" w:color="auto"/>
              <w:right w:val="single" w:sz="4" w:space="0" w:color="auto"/>
            </w:tcBorders>
            <w:shd w:val="clear" w:color="auto" w:fill="C6EFCE"/>
            <w:noWrap/>
            <w:vAlign w:val="center"/>
          </w:tcPr>
          <w:p w14:paraId="1356DCC0" w14:textId="77777777" w:rsidR="006054AA" w:rsidRDefault="001F7667">
            <w:pPr>
              <w:pStyle w:val="P68B1DB1-Normal12"/>
              <w:jc w:val="center"/>
              <w:rPr>
                <w:noProof/>
              </w:rPr>
            </w:pPr>
            <w:r>
              <w:rPr>
                <w:noProof/>
              </w:rPr>
              <w:t xml:space="preserve">Растителни дървета за защита и валоризация на градски и крайградски зелени площи T2 </w:t>
            </w:r>
          </w:p>
        </w:tc>
      </w:tr>
      <w:tr w:rsidR="006054AA" w14:paraId="540EBA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72975" w14:textId="77777777" w:rsidR="006054AA" w:rsidRDefault="001F7667">
            <w:pPr>
              <w:pStyle w:val="P68B1DB1-Normal12"/>
              <w:jc w:val="center"/>
              <w:rPr>
                <w:noProof/>
              </w:rPr>
            </w:pPr>
            <w:r>
              <w:rPr>
                <w:noProof/>
              </w:rPr>
              <w:t>M3C2—10</w:t>
            </w:r>
          </w:p>
        </w:tc>
        <w:tc>
          <w:tcPr>
            <w:tcW w:w="3195" w:type="dxa"/>
            <w:tcBorders>
              <w:top w:val="nil"/>
              <w:left w:val="nil"/>
              <w:bottom w:val="single" w:sz="4" w:space="0" w:color="auto"/>
              <w:right w:val="single" w:sz="4" w:space="0" w:color="auto"/>
            </w:tcBorders>
            <w:shd w:val="clear" w:color="auto" w:fill="C6EFCE"/>
            <w:noWrap/>
            <w:vAlign w:val="center"/>
          </w:tcPr>
          <w:p w14:paraId="48AE1BA9" w14:textId="77777777" w:rsidR="006054AA" w:rsidRDefault="001F7667">
            <w:pPr>
              <w:pStyle w:val="P68B1DB1-Normal12"/>
              <w:jc w:val="center"/>
              <w:rPr>
                <w:noProof/>
              </w:rPr>
            </w:pPr>
            <w:r>
              <w:rPr>
                <w:noProof/>
              </w:rPr>
              <w:t>Реформа 2.2: Създаване на национална цифрова логистична платформа с цел въвеждане на цифровизацията на услугите за превоз на товари и/или пътници</w:t>
            </w:r>
          </w:p>
        </w:tc>
        <w:tc>
          <w:tcPr>
            <w:tcW w:w="1425" w:type="dxa"/>
            <w:tcBorders>
              <w:top w:val="nil"/>
              <w:left w:val="nil"/>
              <w:bottom w:val="single" w:sz="4" w:space="0" w:color="auto"/>
              <w:right w:val="single" w:sz="4" w:space="0" w:color="auto"/>
            </w:tcBorders>
            <w:shd w:val="clear" w:color="auto" w:fill="C6EFCE"/>
            <w:noWrap/>
            <w:vAlign w:val="center"/>
          </w:tcPr>
          <w:p w14:paraId="5A67F809" w14:textId="77777777" w:rsidR="006054AA" w:rsidRDefault="001F7667">
            <w:pPr>
              <w:pStyle w:val="P68B1DB1-Normal12"/>
              <w:jc w:val="center"/>
              <w:rPr>
                <w:noProof/>
              </w:rPr>
            </w:pPr>
            <w:r>
              <w:rPr>
                <w:noProof/>
              </w:rPr>
              <w:t>Ключов етап</w:t>
            </w:r>
          </w:p>
        </w:tc>
        <w:tc>
          <w:tcPr>
            <w:tcW w:w="4106" w:type="dxa"/>
            <w:tcBorders>
              <w:top w:val="nil"/>
              <w:left w:val="nil"/>
              <w:bottom w:val="single" w:sz="4" w:space="0" w:color="auto"/>
              <w:right w:val="single" w:sz="4" w:space="0" w:color="auto"/>
            </w:tcBorders>
            <w:shd w:val="clear" w:color="auto" w:fill="C6EFCE"/>
            <w:noWrap/>
            <w:vAlign w:val="center"/>
          </w:tcPr>
          <w:p w14:paraId="61A362B6" w14:textId="77777777" w:rsidR="006054AA" w:rsidRDefault="001F7667">
            <w:pPr>
              <w:pStyle w:val="P68B1DB1-Normal12"/>
              <w:jc w:val="center"/>
              <w:rPr>
                <w:noProof/>
              </w:rPr>
            </w:pPr>
            <w:r>
              <w:rPr>
                <w:noProof/>
              </w:rPr>
              <w:t xml:space="preserve">Национална платформа за цифрова логистика </w:t>
            </w:r>
          </w:p>
        </w:tc>
      </w:tr>
      <w:tr w:rsidR="006054AA" w14:paraId="29E08E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067D6B" w14:textId="77777777" w:rsidR="006054AA" w:rsidRDefault="001F7667">
            <w:pPr>
              <w:pStyle w:val="P68B1DB1-Normal12"/>
              <w:jc w:val="center"/>
              <w:rPr>
                <w:noProof/>
              </w:rPr>
            </w:pPr>
            <w:r>
              <w:rPr>
                <w:noProof/>
              </w:rPr>
              <w:t>M5C3—12</w:t>
            </w:r>
          </w:p>
        </w:tc>
        <w:tc>
          <w:tcPr>
            <w:tcW w:w="3195" w:type="dxa"/>
            <w:tcBorders>
              <w:top w:val="nil"/>
              <w:left w:val="nil"/>
              <w:bottom w:val="single" w:sz="4" w:space="0" w:color="auto"/>
              <w:right w:val="single" w:sz="4" w:space="0" w:color="auto"/>
            </w:tcBorders>
            <w:shd w:val="clear" w:color="auto" w:fill="C6EFCE"/>
            <w:noWrap/>
            <w:vAlign w:val="center"/>
          </w:tcPr>
          <w:p w14:paraId="18064305" w14:textId="77777777" w:rsidR="006054AA" w:rsidRDefault="001F7667">
            <w:pPr>
              <w:pStyle w:val="P68B1DB1-Normal12"/>
              <w:jc w:val="center"/>
              <w:rPr>
                <w:noProof/>
              </w:rPr>
            </w:pPr>
            <w:r>
              <w:rPr>
                <w:noProof/>
              </w:rPr>
              <w:t>Инвестиция 1.4: Инфраструктурни инвестиции за специалната икономическа зона</w:t>
            </w:r>
          </w:p>
        </w:tc>
        <w:tc>
          <w:tcPr>
            <w:tcW w:w="1425" w:type="dxa"/>
            <w:tcBorders>
              <w:top w:val="nil"/>
              <w:left w:val="nil"/>
              <w:bottom w:val="single" w:sz="4" w:space="0" w:color="auto"/>
              <w:right w:val="single" w:sz="4" w:space="0" w:color="auto"/>
            </w:tcBorders>
            <w:shd w:val="clear" w:color="auto" w:fill="C6EFCE"/>
            <w:noWrap/>
            <w:vAlign w:val="center"/>
          </w:tcPr>
          <w:p w14:paraId="4345E5CA" w14:textId="77777777" w:rsidR="006054AA" w:rsidRDefault="001F7667">
            <w:pPr>
              <w:pStyle w:val="P68B1DB1-Normal12"/>
              <w:jc w:val="center"/>
              <w:rPr>
                <w:noProof/>
              </w:rPr>
            </w:pPr>
            <w:r>
              <w:rPr>
                <w:noProof/>
              </w:rPr>
              <w:t>Целеви</w:t>
            </w:r>
          </w:p>
        </w:tc>
        <w:tc>
          <w:tcPr>
            <w:tcW w:w="4106" w:type="dxa"/>
            <w:tcBorders>
              <w:top w:val="nil"/>
              <w:left w:val="nil"/>
              <w:bottom w:val="single" w:sz="4" w:space="0" w:color="auto"/>
              <w:right w:val="single" w:sz="4" w:space="0" w:color="auto"/>
            </w:tcBorders>
            <w:shd w:val="clear" w:color="auto" w:fill="C6EFCE"/>
            <w:noWrap/>
            <w:vAlign w:val="center"/>
          </w:tcPr>
          <w:p w14:paraId="6B8D6174" w14:textId="77777777" w:rsidR="006054AA" w:rsidRDefault="001F7667">
            <w:pPr>
              <w:pStyle w:val="P68B1DB1-Normal12"/>
              <w:jc w:val="center"/>
              <w:rPr>
                <w:noProof/>
              </w:rPr>
            </w:pPr>
            <w:r>
              <w:rPr>
                <w:noProof/>
              </w:rPr>
              <w:t>Начало на инфраструктурните интервенции в специалните икономически зони</w:t>
            </w:r>
          </w:p>
        </w:tc>
      </w:tr>
      <w:tr w:rsidR="006054AA" w14:paraId="2C0FD1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CC17B" w14:textId="77777777" w:rsidR="006054AA" w:rsidRDefault="001F7667">
            <w:pPr>
              <w:pStyle w:val="P68B1DB1-Normal12"/>
              <w:jc w:val="center"/>
              <w:rPr>
                <w:noProof/>
              </w:rPr>
            </w:pPr>
            <w:r>
              <w:rPr>
                <w:noProof/>
              </w:rPr>
              <w:t>M6C2—15</w:t>
            </w:r>
          </w:p>
        </w:tc>
        <w:tc>
          <w:tcPr>
            <w:tcW w:w="3195" w:type="dxa"/>
            <w:tcBorders>
              <w:top w:val="nil"/>
              <w:left w:val="nil"/>
              <w:bottom w:val="single" w:sz="4" w:space="0" w:color="auto"/>
              <w:right w:val="single" w:sz="4" w:space="0" w:color="auto"/>
            </w:tcBorders>
            <w:shd w:val="clear" w:color="auto" w:fill="C6EFCE"/>
            <w:noWrap/>
            <w:vAlign w:val="center"/>
          </w:tcPr>
          <w:p w14:paraId="1827635A" w14:textId="77777777" w:rsidR="006054AA" w:rsidRDefault="001F7667">
            <w:pPr>
              <w:pStyle w:val="P68B1DB1-Normal48"/>
              <w:jc w:val="center"/>
              <w:rPr>
                <w:noProof/>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tc>
        <w:tc>
          <w:tcPr>
            <w:tcW w:w="1425" w:type="dxa"/>
            <w:tcBorders>
              <w:top w:val="nil"/>
              <w:left w:val="nil"/>
              <w:bottom w:val="single" w:sz="4" w:space="0" w:color="auto"/>
              <w:right w:val="single" w:sz="4" w:space="0" w:color="auto"/>
            </w:tcBorders>
            <w:shd w:val="clear" w:color="auto" w:fill="C6EFCE"/>
            <w:noWrap/>
            <w:vAlign w:val="center"/>
          </w:tcPr>
          <w:p w14:paraId="3A1B3B1A" w14:textId="77777777" w:rsidR="006054AA" w:rsidRDefault="001F7667">
            <w:pPr>
              <w:pStyle w:val="P68B1DB1-Normal48"/>
              <w:jc w:val="center"/>
              <w:rPr>
                <w:noProof/>
              </w:rPr>
            </w:pPr>
            <w:r>
              <w:rPr>
                <w:noProof/>
              </w:rPr>
              <w:t>Целеви</w:t>
            </w:r>
          </w:p>
        </w:tc>
        <w:tc>
          <w:tcPr>
            <w:tcW w:w="4106" w:type="dxa"/>
            <w:tcBorders>
              <w:top w:val="nil"/>
              <w:left w:val="nil"/>
              <w:bottom w:val="single" w:sz="4" w:space="0" w:color="auto"/>
              <w:right w:val="single" w:sz="4" w:space="0" w:color="auto"/>
            </w:tcBorders>
            <w:shd w:val="clear" w:color="auto" w:fill="C6EFCE"/>
            <w:noWrap/>
            <w:vAlign w:val="center"/>
          </w:tcPr>
          <w:p w14:paraId="41B73241" w14:textId="77777777" w:rsidR="006054AA" w:rsidRDefault="001F7667">
            <w:pPr>
              <w:pStyle w:val="P68B1DB1-Normal48"/>
              <w:jc w:val="center"/>
              <w:rPr>
                <w:noProof/>
              </w:rPr>
            </w:pPr>
            <w:r>
              <w:rPr>
                <w:noProof/>
              </w:rPr>
              <w:t>Отпускат се допълнителни стипендии за специфично обучение по обща медицина.</w:t>
            </w:r>
          </w:p>
        </w:tc>
      </w:tr>
      <w:tr w:rsidR="006054AA" w14:paraId="0DD3EF5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DEB564" w14:textId="77777777" w:rsidR="006054AA" w:rsidRDefault="001F7667">
            <w:pPr>
              <w:pStyle w:val="P68B1DB1-Normal12"/>
              <w:jc w:val="center"/>
              <w:rPr>
                <w:noProof/>
              </w:rPr>
            </w:pPr>
            <w:r>
              <w:rPr>
                <w:noProof/>
              </w:rPr>
              <w:t>M7—36</w:t>
            </w:r>
          </w:p>
        </w:tc>
        <w:tc>
          <w:tcPr>
            <w:tcW w:w="3195" w:type="dxa"/>
            <w:tcBorders>
              <w:top w:val="nil"/>
              <w:left w:val="nil"/>
              <w:bottom w:val="single" w:sz="4" w:space="0" w:color="auto"/>
              <w:right w:val="single" w:sz="4" w:space="0" w:color="auto"/>
            </w:tcBorders>
            <w:shd w:val="clear" w:color="auto" w:fill="C6EFCE"/>
            <w:noWrap/>
            <w:vAlign w:val="center"/>
          </w:tcPr>
          <w:p w14:paraId="7BE1C5C5" w14:textId="77777777" w:rsidR="006054AA" w:rsidRDefault="001F7667">
            <w:pPr>
              <w:pStyle w:val="P68B1DB1-Normal12"/>
              <w:jc w:val="center"/>
              <w:rPr>
                <w:noProof/>
              </w:rPr>
            </w:pPr>
            <w:r>
              <w:rPr>
                <w:noProof/>
              </w:rPr>
              <w:t>Инвестиция 13: Адриатическа линия, фаза 1 (компресорна станция Sulmona и газопровод Sestino-Minerbio)</w:t>
            </w:r>
          </w:p>
        </w:tc>
        <w:tc>
          <w:tcPr>
            <w:tcW w:w="1425" w:type="dxa"/>
            <w:tcBorders>
              <w:top w:val="nil"/>
              <w:left w:val="nil"/>
              <w:bottom w:val="single" w:sz="4" w:space="0" w:color="auto"/>
              <w:right w:val="single" w:sz="4" w:space="0" w:color="auto"/>
            </w:tcBorders>
            <w:shd w:val="clear" w:color="auto" w:fill="C6EFCE"/>
            <w:noWrap/>
            <w:vAlign w:val="center"/>
          </w:tcPr>
          <w:p w14:paraId="1F6D0DEE" w14:textId="77777777" w:rsidR="006054AA" w:rsidRDefault="001F7667">
            <w:pPr>
              <w:pStyle w:val="P68B1DB1-Normal12"/>
              <w:jc w:val="center"/>
              <w:rPr>
                <w:noProof/>
              </w:rPr>
            </w:pPr>
            <w:r>
              <w:rPr>
                <w:noProof/>
              </w:rPr>
              <w:t>Ключов етап</w:t>
            </w:r>
          </w:p>
        </w:tc>
        <w:tc>
          <w:tcPr>
            <w:tcW w:w="4106" w:type="dxa"/>
            <w:tcBorders>
              <w:top w:val="nil"/>
              <w:left w:val="nil"/>
              <w:bottom w:val="single" w:sz="4" w:space="0" w:color="auto"/>
              <w:right w:val="single" w:sz="4" w:space="0" w:color="auto"/>
            </w:tcBorders>
            <w:shd w:val="clear" w:color="auto" w:fill="C6EFCE"/>
            <w:noWrap/>
            <w:vAlign w:val="center"/>
          </w:tcPr>
          <w:p w14:paraId="35BC2493" w14:textId="77777777" w:rsidR="006054AA" w:rsidRDefault="001F7667">
            <w:pPr>
              <w:pStyle w:val="P68B1DB1-Normal12"/>
              <w:jc w:val="center"/>
              <w:rPr>
                <w:noProof/>
              </w:rPr>
            </w:pPr>
            <w:r>
              <w:rPr>
                <w:noProof/>
              </w:rPr>
              <w:t>Възлагане на договори</w:t>
            </w:r>
          </w:p>
        </w:tc>
      </w:tr>
      <w:tr w:rsidR="006054AA" w14:paraId="6944E1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91076A" w14:textId="77777777" w:rsidR="006054AA" w:rsidRDefault="001F7667">
            <w:pPr>
              <w:pStyle w:val="P68B1DB1-Normal12"/>
              <w:jc w:val="center"/>
              <w:rPr>
                <w:noProof/>
              </w:rPr>
            </w:pPr>
            <w:r>
              <w:rPr>
                <w:noProof/>
              </w:rPr>
              <w:t>M7—38</w:t>
            </w:r>
          </w:p>
        </w:tc>
        <w:tc>
          <w:tcPr>
            <w:tcW w:w="3195" w:type="dxa"/>
            <w:tcBorders>
              <w:top w:val="nil"/>
              <w:left w:val="nil"/>
              <w:bottom w:val="single" w:sz="4" w:space="0" w:color="auto"/>
              <w:right w:val="single" w:sz="4" w:space="0" w:color="auto"/>
            </w:tcBorders>
            <w:shd w:val="clear" w:color="auto" w:fill="C6EFCE"/>
            <w:noWrap/>
            <w:vAlign w:val="center"/>
          </w:tcPr>
          <w:p w14:paraId="54D63331" w14:textId="77777777" w:rsidR="006054AA" w:rsidRDefault="001F7667">
            <w:pPr>
              <w:pStyle w:val="P68B1DB1-Normal12"/>
              <w:jc w:val="center"/>
              <w:rPr>
                <w:noProof/>
              </w:rPr>
            </w:pPr>
            <w:r>
              <w:rPr>
                <w:noProof/>
              </w:rPr>
              <w:t>Инвестиция 14: Трансгранична инфраструктура за износ на газ</w:t>
            </w:r>
          </w:p>
        </w:tc>
        <w:tc>
          <w:tcPr>
            <w:tcW w:w="1425" w:type="dxa"/>
            <w:tcBorders>
              <w:top w:val="nil"/>
              <w:left w:val="nil"/>
              <w:bottom w:val="single" w:sz="4" w:space="0" w:color="auto"/>
              <w:right w:val="single" w:sz="4" w:space="0" w:color="auto"/>
            </w:tcBorders>
            <w:shd w:val="clear" w:color="auto" w:fill="C6EFCE"/>
            <w:noWrap/>
            <w:vAlign w:val="center"/>
          </w:tcPr>
          <w:p w14:paraId="3876B5CB" w14:textId="77777777" w:rsidR="006054AA" w:rsidRDefault="001F7667">
            <w:pPr>
              <w:pStyle w:val="P68B1DB1-Normal12"/>
              <w:jc w:val="center"/>
              <w:rPr>
                <w:noProof/>
              </w:rPr>
            </w:pPr>
            <w:r>
              <w:rPr>
                <w:noProof/>
              </w:rPr>
              <w:t>Ключов етап</w:t>
            </w:r>
          </w:p>
        </w:tc>
        <w:tc>
          <w:tcPr>
            <w:tcW w:w="4106" w:type="dxa"/>
            <w:tcBorders>
              <w:top w:val="nil"/>
              <w:left w:val="nil"/>
              <w:bottom w:val="single" w:sz="4" w:space="0" w:color="auto"/>
              <w:right w:val="single" w:sz="4" w:space="0" w:color="auto"/>
            </w:tcBorders>
            <w:shd w:val="clear" w:color="auto" w:fill="C6EFCE"/>
            <w:noWrap/>
            <w:vAlign w:val="center"/>
          </w:tcPr>
          <w:p w14:paraId="3D29022A" w14:textId="77777777" w:rsidR="006054AA" w:rsidRDefault="001F7667">
            <w:pPr>
              <w:pStyle w:val="P68B1DB1-Normal12"/>
              <w:jc w:val="center"/>
              <w:rPr>
                <w:noProof/>
              </w:rPr>
            </w:pPr>
            <w:r>
              <w:rPr>
                <w:noProof/>
              </w:rPr>
              <w:t>Възлагане на договори</w:t>
            </w:r>
          </w:p>
        </w:tc>
      </w:tr>
      <w:tr w:rsidR="006054AA" w14:paraId="105443C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970F1A" w14:textId="77777777" w:rsidR="006054AA" w:rsidRDefault="006054AA">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82B1091" w14:textId="77777777" w:rsidR="006054AA" w:rsidRDefault="006054AA">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37276664" w14:textId="77777777" w:rsidR="006054AA" w:rsidRDefault="001F7667">
            <w:pPr>
              <w:pStyle w:val="P68B1DB1-Normal12"/>
              <w:rPr>
                <w:noProof/>
              </w:rPr>
            </w:pPr>
            <w:r>
              <w:rPr>
                <w:noProof/>
              </w:rPr>
              <w:t>Размер на вноската</w:t>
            </w:r>
          </w:p>
        </w:tc>
        <w:tc>
          <w:tcPr>
            <w:tcW w:w="4106" w:type="dxa"/>
            <w:tcBorders>
              <w:top w:val="single" w:sz="4" w:space="0" w:color="auto"/>
              <w:left w:val="nil"/>
              <w:bottom w:val="single" w:sz="4" w:space="0" w:color="auto"/>
              <w:right w:val="single" w:sz="4" w:space="0" w:color="auto"/>
            </w:tcBorders>
            <w:shd w:val="clear" w:color="auto" w:fill="C6EFCE"/>
            <w:noWrap/>
            <w:vAlign w:val="bottom"/>
          </w:tcPr>
          <w:p w14:paraId="7D8FCA63" w14:textId="32ADD4AB" w:rsidR="006054AA" w:rsidRDefault="001F7667">
            <w:pPr>
              <w:pStyle w:val="P68B1DB1-Normal12"/>
              <w:rPr>
                <w:noProof/>
              </w:rPr>
            </w:pPr>
            <w:r>
              <w:rPr>
                <w:noProof/>
              </w:rPr>
              <w:t>8 328 350 441 EUR</w:t>
            </w:r>
          </w:p>
        </w:tc>
      </w:tr>
    </w:tbl>
    <w:p w14:paraId="5F775B7E" w14:textId="6E18EF8B" w:rsidR="006054AA" w:rsidRDefault="006054AA">
      <w:pPr>
        <w:spacing w:before="120" w:after="120"/>
        <w:jc w:val="both"/>
        <w:rPr>
          <w:rFonts w:eastAsia="Calibri"/>
          <w:noProof/>
        </w:rPr>
      </w:pPr>
    </w:p>
    <w:p w14:paraId="4DAA9DBC" w14:textId="77777777" w:rsidR="006054AA" w:rsidRDefault="001F7667">
      <w:pPr>
        <w:pStyle w:val="P68B1DB1-Normal44"/>
        <w:spacing w:after="200" w:line="276" w:lineRule="auto"/>
        <w:rPr>
          <w:noProof/>
        </w:rPr>
      </w:pPr>
      <w:r>
        <w:rPr>
          <w:noProof/>
        </w:rPr>
        <w:br w:type="page"/>
      </w:r>
    </w:p>
    <w:p w14:paraId="6F6310A3" w14:textId="00FDE67D" w:rsidR="006054AA" w:rsidRDefault="001F7667">
      <w:pPr>
        <w:pStyle w:val="P68B1DB1-Normal44"/>
        <w:numPr>
          <w:ilvl w:val="1"/>
          <w:numId w:val="6"/>
        </w:numPr>
        <w:spacing w:before="120" w:after="120"/>
        <w:jc w:val="both"/>
        <w:rPr>
          <w:noProof/>
        </w:rPr>
      </w:pPr>
      <w:r>
        <w:rPr>
          <w:noProof/>
        </w:rPr>
        <w:t>Седма вноска (подкрепа под формата на заем):</w:t>
      </w:r>
    </w:p>
    <w:tbl>
      <w:tblPr>
        <w:tblW w:w="10152" w:type="dxa"/>
        <w:tblInd w:w="113" w:type="dxa"/>
        <w:tblLook w:val="04A0" w:firstRow="1" w:lastRow="0" w:firstColumn="1" w:lastColumn="0" w:noHBand="0" w:noVBand="1"/>
      </w:tblPr>
      <w:tblGrid>
        <w:gridCol w:w="1413"/>
        <w:gridCol w:w="3195"/>
        <w:gridCol w:w="1378"/>
        <w:gridCol w:w="4166"/>
      </w:tblGrid>
      <w:tr w:rsidR="006054AA" w14:paraId="44AAC08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6BA279" w14:textId="77777777" w:rsidR="006054AA" w:rsidRDefault="001F7667">
            <w:pPr>
              <w:pStyle w:val="P68B1DB1-Normal45"/>
              <w:jc w:val="center"/>
              <w:rPr>
                <w:noProof/>
              </w:rPr>
            </w:pPr>
            <w:r>
              <w:rPr>
                <w:noProof/>
              </w:rPr>
              <w:t>Пореден номер</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44C6F5" w14:textId="77777777" w:rsidR="006054AA" w:rsidRDefault="001F7667">
            <w:pPr>
              <w:pStyle w:val="P68B1DB1-Normal45"/>
              <w:jc w:val="center"/>
              <w:rPr>
                <w:noProof/>
              </w:rPr>
            </w:pPr>
            <w:r>
              <w:rPr>
                <w:noProof/>
              </w:rPr>
              <w:t>Свързана мярка (реформа или инвестиции)</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919E63" w14:textId="77777777" w:rsidR="006054AA" w:rsidRDefault="001F7667">
            <w:pPr>
              <w:pStyle w:val="P68B1DB1-Normal45"/>
              <w:jc w:val="center"/>
              <w:rPr>
                <w:noProof/>
              </w:rPr>
            </w:pPr>
            <w:r>
              <w:rPr>
                <w:noProof/>
              </w:rPr>
              <w:t>Ключов етап/Цел</w:t>
            </w:r>
          </w:p>
        </w:tc>
        <w:tc>
          <w:tcPr>
            <w:tcW w:w="4166" w:type="dxa"/>
            <w:vMerge w:val="restart"/>
            <w:tcBorders>
              <w:top w:val="single" w:sz="4" w:space="0" w:color="auto"/>
              <w:left w:val="nil"/>
              <w:bottom w:val="single" w:sz="4" w:space="0" w:color="auto"/>
              <w:right w:val="single" w:sz="4" w:space="0" w:color="auto"/>
            </w:tcBorders>
            <w:shd w:val="clear" w:color="auto" w:fill="BDD7EE"/>
            <w:vAlign w:val="center"/>
            <w:hideMark/>
          </w:tcPr>
          <w:p w14:paraId="6E761FB1" w14:textId="77777777" w:rsidR="006054AA" w:rsidRDefault="001F7667">
            <w:pPr>
              <w:pStyle w:val="P68B1DB1-Normal45"/>
              <w:jc w:val="center"/>
              <w:rPr>
                <w:noProof/>
              </w:rPr>
            </w:pPr>
            <w:r>
              <w:rPr>
                <w:noProof/>
              </w:rPr>
              <w:t>Име</w:t>
            </w:r>
          </w:p>
        </w:tc>
      </w:tr>
      <w:tr w:rsidR="006054AA" w14:paraId="28D2CF0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A83B21" w14:textId="77777777" w:rsidR="006054AA" w:rsidRDefault="006054AA">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01F13D27" w14:textId="77777777" w:rsidR="006054AA" w:rsidRDefault="006054AA">
            <w:pPr>
              <w:rPr>
                <w:b/>
                <w:noProof/>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1EC3C4AE" w14:textId="77777777" w:rsidR="006054AA" w:rsidRDefault="006054AA">
            <w:pPr>
              <w:rPr>
                <w:b/>
                <w:noProof/>
              </w:rPr>
            </w:pPr>
          </w:p>
        </w:tc>
        <w:tc>
          <w:tcPr>
            <w:tcW w:w="4166" w:type="dxa"/>
            <w:vMerge/>
            <w:tcBorders>
              <w:top w:val="single" w:sz="4" w:space="0" w:color="auto"/>
              <w:left w:val="single" w:sz="4" w:space="0" w:color="auto"/>
              <w:bottom w:val="single" w:sz="4" w:space="0" w:color="auto"/>
              <w:right w:val="single" w:sz="4" w:space="0" w:color="auto"/>
            </w:tcBorders>
            <w:vAlign w:val="center"/>
            <w:hideMark/>
          </w:tcPr>
          <w:p w14:paraId="575D13F0" w14:textId="77777777" w:rsidR="006054AA" w:rsidRDefault="006054AA">
            <w:pPr>
              <w:rPr>
                <w:b/>
                <w:noProof/>
              </w:rPr>
            </w:pPr>
          </w:p>
        </w:tc>
      </w:tr>
      <w:tr w:rsidR="006054AA" w14:paraId="15F9B3C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D2E83" w14:textId="77777777" w:rsidR="006054AA" w:rsidRDefault="001F7667">
            <w:pPr>
              <w:pStyle w:val="P68B1DB1-Normal12"/>
              <w:jc w:val="center"/>
              <w:rPr>
                <w:noProof/>
              </w:rPr>
            </w:pPr>
            <w:r>
              <w:rPr>
                <w:noProof/>
              </w:rPr>
              <w:t>M1C1—139</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3CE31CE" w14:textId="77777777" w:rsidR="006054AA" w:rsidRDefault="001F7667">
            <w:pPr>
              <w:pStyle w:val="P68B1DB1-Normal12"/>
              <w:jc w:val="center"/>
              <w:rPr>
                <w:noProof/>
              </w:rPr>
            </w:pPr>
            <w:r>
              <w:rPr>
                <w:noProof/>
              </w:rPr>
              <w:t>Инвестиция 1.2 — Улесняване на изчисленията в облак за местните БКП</w:t>
            </w:r>
          </w:p>
        </w:tc>
        <w:tc>
          <w:tcPr>
            <w:tcW w:w="1378" w:type="dxa"/>
            <w:tcBorders>
              <w:top w:val="single" w:sz="4" w:space="0" w:color="auto"/>
              <w:left w:val="nil"/>
              <w:bottom w:val="single" w:sz="4" w:space="0" w:color="auto"/>
              <w:right w:val="single" w:sz="4" w:space="0" w:color="auto"/>
            </w:tcBorders>
            <w:shd w:val="clear" w:color="auto" w:fill="C6EFCE"/>
            <w:noWrap/>
            <w:vAlign w:val="center"/>
          </w:tcPr>
          <w:p w14:paraId="385979FD" w14:textId="77777777" w:rsidR="006054AA" w:rsidRDefault="001F7667">
            <w:pPr>
              <w:pStyle w:val="P68B1DB1-Normal12"/>
              <w:jc w:val="center"/>
              <w:rPr>
                <w:noProof/>
              </w:rPr>
            </w:pPr>
            <w:r>
              <w:rPr>
                <w:noProof/>
              </w:rPr>
              <w:t>Целеви</w:t>
            </w:r>
          </w:p>
        </w:tc>
        <w:tc>
          <w:tcPr>
            <w:tcW w:w="4166" w:type="dxa"/>
            <w:tcBorders>
              <w:top w:val="single" w:sz="4" w:space="0" w:color="auto"/>
              <w:left w:val="nil"/>
              <w:bottom w:val="single" w:sz="4" w:space="0" w:color="auto"/>
              <w:right w:val="single" w:sz="4" w:space="0" w:color="auto"/>
            </w:tcBorders>
            <w:shd w:val="clear" w:color="auto" w:fill="C6EFCE"/>
            <w:noWrap/>
            <w:vAlign w:val="center"/>
          </w:tcPr>
          <w:p w14:paraId="5BA9A3B1" w14:textId="77777777" w:rsidR="006054AA" w:rsidRDefault="001F7667">
            <w:pPr>
              <w:pStyle w:val="P68B1DB1-Normal12"/>
              <w:jc w:val="center"/>
              <w:rPr>
                <w:noProof/>
              </w:rPr>
            </w:pPr>
            <w:r>
              <w:rPr>
                <w:noProof/>
              </w:rPr>
              <w:t>Възможност за изчисления в облак за местната публична администрация T1</w:t>
            </w:r>
          </w:p>
        </w:tc>
      </w:tr>
      <w:tr w:rsidR="006054AA" w14:paraId="677B27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722059" w14:textId="77777777" w:rsidR="006054AA" w:rsidRDefault="001F7667">
            <w:pPr>
              <w:pStyle w:val="P68B1DB1-Normal12"/>
              <w:jc w:val="center"/>
              <w:rPr>
                <w:noProof/>
              </w:rPr>
            </w:pPr>
            <w:r>
              <w:rPr>
                <w:noProof/>
              </w:rPr>
              <w:t>M2C2—25</w:t>
            </w:r>
          </w:p>
        </w:tc>
        <w:tc>
          <w:tcPr>
            <w:tcW w:w="3195" w:type="dxa"/>
            <w:tcBorders>
              <w:top w:val="nil"/>
              <w:left w:val="nil"/>
              <w:bottom w:val="single" w:sz="4" w:space="0" w:color="auto"/>
              <w:right w:val="single" w:sz="4" w:space="0" w:color="auto"/>
            </w:tcBorders>
            <w:shd w:val="clear" w:color="auto" w:fill="C6EFCE"/>
            <w:noWrap/>
            <w:vAlign w:val="center"/>
          </w:tcPr>
          <w:p w14:paraId="604FCE5F" w14:textId="77777777" w:rsidR="006054AA" w:rsidRDefault="001F7667">
            <w:pPr>
              <w:pStyle w:val="P68B1DB1-Normal12"/>
              <w:jc w:val="center"/>
              <w:rPr>
                <w:noProof/>
              </w:rPr>
            </w:pPr>
            <w:r>
              <w:rPr>
                <w:noProof/>
              </w:rPr>
              <w:t>Инвестиция 4.2 Разработване на системи за бърз масов транспорт (метро, улици, BRT)</w:t>
            </w:r>
          </w:p>
        </w:tc>
        <w:tc>
          <w:tcPr>
            <w:tcW w:w="1378" w:type="dxa"/>
            <w:tcBorders>
              <w:top w:val="nil"/>
              <w:left w:val="nil"/>
              <w:bottom w:val="single" w:sz="4" w:space="0" w:color="auto"/>
              <w:right w:val="single" w:sz="4" w:space="0" w:color="auto"/>
            </w:tcBorders>
            <w:shd w:val="clear" w:color="auto" w:fill="C6EFCE"/>
            <w:noWrap/>
            <w:vAlign w:val="center"/>
          </w:tcPr>
          <w:p w14:paraId="70ACFCC2"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37698E0C" w14:textId="77777777" w:rsidR="006054AA" w:rsidRDefault="001F7667">
            <w:pPr>
              <w:pStyle w:val="P68B1DB1-Normal26"/>
              <w:jc w:val="center"/>
              <w:rPr>
                <w:noProof/>
                <w:color w:val="006100"/>
              </w:rPr>
            </w:pPr>
            <w:r>
              <w:rPr>
                <w:noProof/>
                <w:color w:val="006100"/>
              </w:rPr>
              <w:t>Възлагане на</w:t>
            </w:r>
            <w:r>
              <w:rPr>
                <w:noProof/>
                <w:color w:val="000000" w:themeColor="text1"/>
              </w:rPr>
              <w:t xml:space="preserve"> </w:t>
            </w:r>
            <w:r>
              <w:rPr>
                <w:noProof/>
                <w:color w:val="006100"/>
              </w:rPr>
              <w:t>всички обществени поръчки за закупуване на подвижен състав с нулеви емисии и интервенции за модернизиране на инфраструктурата на системите за бърз масов транспорт</w:t>
            </w:r>
          </w:p>
        </w:tc>
      </w:tr>
      <w:tr w:rsidR="006054AA" w14:paraId="7927D1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ADA5A2" w14:textId="77777777" w:rsidR="006054AA" w:rsidRDefault="001F7667">
            <w:pPr>
              <w:pStyle w:val="P68B1DB1-Normal12"/>
              <w:jc w:val="center"/>
              <w:rPr>
                <w:noProof/>
              </w:rPr>
            </w:pPr>
            <w:r>
              <w:rPr>
                <w:noProof/>
              </w:rPr>
              <w:t>M2C4—11</w:t>
            </w:r>
          </w:p>
        </w:tc>
        <w:tc>
          <w:tcPr>
            <w:tcW w:w="3195" w:type="dxa"/>
            <w:tcBorders>
              <w:top w:val="nil"/>
              <w:left w:val="nil"/>
              <w:bottom w:val="single" w:sz="4" w:space="0" w:color="auto"/>
              <w:right w:val="single" w:sz="4" w:space="0" w:color="auto"/>
            </w:tcBorders>
            <w:shd w:val="clear" w:color="auto" w:fill="C6EFCE"/>
            <w:noWrap/>
            <w:vAlign w:val="center"/>
          </w:tcPr>
          <w:p w14:paraId="72B821DF" w14:textId="77777777" w:rsidR="006054AA" w:rsidRDefault="001F7667">
            <w:pPr>
              <w:pStyle w:val="P68B1DB1-Normal12"/>
              <w:jc w:val="center"/>
              <w:rPr>
                <w:noProof/>
              </w:rPr>
            </w:pPr>
            <w:r>
              <w:rPr>
                <w:noProof/>
              </w:rPr>
              <w:t>Инвестиция 2.1.а. Мерки за намаляване на риска от наводнения и хидрогеоложки рискове — Интервенции в Емилия-Романя, Тоскана и Марке</w:t>
            </w:r>
          </w:p>
        </w:tc>
        <w:tc>
          <w:tcPr>
            <w:tcW w:w="1378" w:type="dxa"/>
            <w:tcBorders>
              <w:top w:val="nil"/>
              <w:left w:val="nil"/>
              <w:bottom w:val="single" w:sz="4" w:space="0" w:color="auto"/>
              <w:right w:val="single" w:sz="4" w:space="0" w:color="auto"/>
            </w:tcBorders>
            <w:shd w:val="clear" w:color="auto" w:fill="C6EFCE"/>
            <w:noWrap/>
            <w:vAlign w:val="center"/>
          </w:tcPr>
          <w:p w14:paraId="1CF8691E"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00E5562E" w14:textId="77777777" w:rsidR="006054AA" w:rsidRDefault="001F7667">
            <w:pPr>
              <w:pStyle w:val="P68B1DB1-Normal12"/>
              <w:jc w:val="center"/>
              <w:rPr>
                <w:noProof/>
              </w:rPr>
            </w:pPr>
            <w:r>
              <w:rPr>
                <w:noProof/>
              </w:rPr>
              <w:t>Посочване на намесата с наредба (и) на комисаря по извънредните ситуации</w:t>
            </w:r>
          </w:p>
        </w:tc>
      </w:tr>
      <w:tr w:rsidR="006054AA" w14:paraId="4BFF1D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16901" w14:textId="77777777" w:rsidR="006054AA" w:rsidRDefault="001F7667">
            <w:pPr>
              <w:pStyle w:val="P68B1DB1-Normal12"/>
              <w:jc w:val="center"/>
              <w:rPr>
                <w:noProof/>
              </w:rPr>
            </w:pPr>
            <w:r>
              <w:rPr>
                <w:noProof/>
              </w:rPr>
              <w:t>M7—46</w:t>
            </w:r>
          </w:p>
        </w:tc>
        <w:tc>
          <w:tcPr>
            <w:tcW w:w="3195" w:type="dxa"/>
            <w:tcBorders>
              <w:top w:val="nil"/>
              <w:left w:val="nil"/>
              <w:bottom w:val="single" w:sz="4" w:space="0" w:color="auto"/>
              <w:right w:val="single" w:sz="4" w:space="0" w:color="auto"/>
            </w:tcBorders>
            <w:shd w:val="clear" w:color="auto" w:fill="C6EFCE"/>
            <w:noWrap/>
            <w:vAlign w:val="center"/>
          </w:tcPr>
          <w:p w14:paraId="5645F8D8" w14:textId="77777777" w:rsidR="006054AA" w:rsidRDefault="001F7667">
            <w:pPr>
              <w:pStyle w:val="P68B1DB1-Normal12"/>
              <w:jc w:val="center"/>
              <w:rPr>
                <w:noProof/>
              </w:rPr>
            </w:pPr>
            <w:r>
              <w:rPr>
                <w:noProof/>
              </w:rPr>
              <w:t>Инвестиция 17: Финансов инструмент за енергийно саниране на обществени и социални жилища</w:t>
            </w:r>
          </w:p>
        </w:tc>
        <w:tc>
          <w:tcPr>
            <w:tcW w:w="1378" w:type="dxa"/>
            <w:tcBorders>
              <w:top w:val="nil"/>
              <w:left w:val="nil"/>
              <w:bottom w:val="single" w:sz="4" w:space="0" w:color="auto"/>
              <w:right w:val="single" w:sz="4" w:space="0" w:color="auto"/>
            </w:tcBorders>
            <w:shd w:val="clear" w:color="auto" w:fill="C6EFCE"/>
            <w:noWrap/>
            <w:vAlign w:val="center"/>
          </w:tcPr>
          <w:p w14:paraId="55685A1F"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1F56476F" w14:textId="77777777" w:rsidR="006054AA" w:rsidRDefault="001F7667">
            <w:pPr>
              <w:pStyle w:val="P68B1DB1-Normal12"/>
              <w:jc w:val="center"/>
              <w:rPr>
                <w:noProof/>
              </w:rPr>
            </w:pPr>
            <w:r>
              <w:rPr>
                <w:noProof/>
              </w:rPr>
              <w:t>Определяне на целта на заданието</w:t>
            </w:r>
          </w:p>
        </w:tc>
      </w:tr>
      <w:tr w:rsidR="006054AA" w14:paraId="43CCA1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E8FB5" w14:textId="77777777" w:rsidR="006054AA" w:rsidRDefault="001F7667">
            <w:pPr>
              <w:pStyle w:val="P68B1DB1-Normal12"/>
              <w:jc w:val="center"/>
              <w:rPr>
                <w:noProof/>
              </w:rPr>
            </w:pPr>
            <w:r>
              <w:rPr>
                <w:noProof/>
              </w:rPr>
              <w:t>M1C1—140</w:t>
            </w:r>
          </w:p>
        </w:tc>
        <w:tc>
          <w:tcPr>
            <w:tcW w:w="3195" w:type="dxa"/>
            <w:tcBorders>
              <w:top w:val="nil"/>
              <w:left w:val="nil"/>
              <w:bottom w:val="single" w:sz="4" w:space="0" w:color="auto"/>
              <w:right w:val="single" w:sz="4" w:space="0" w:color="auto"/>
            </w:tcBorders>
            <w:shd w:val="clear" w:color="auto" w:fill="C6EFCE"/>
            <w:noWrap/>
            <w:vAlign w:val="center"/>
          </w:tcPr>
          <w:p w14:paraId="507BDD88" w14:textId="77777777" w:rsidR="006054AA" w:rsidRDefault="001F7667">
            <w:pPr>
              <w:pStyle w:val="P68B1DB1-Normal12"/>
              <w:jc w:val="center"/>
              <w:rPr>
                <w:noProof/>
              </w:rPr>
            </w:pPr>
            <w:r>
              <w:rPr>
                <w:noProof/>
              </w:rPr>
              <w:t>Инвестиция 1.4.1 — Опитът на гражданите — Подобряване на качеството и използваемостта на цифровите обществени услуги</w:t>
            </w:r>
          </w:p>
        </w:tc>
        <w:tc>
          <w:tcPr>
            <w:tcW w:w="1378" w:type="dxa"/>
            <w:tcBorders>
              <w:top w:val="nil"/>
              <w:left w:val="nil"/>
              <w:bottom w:val="single" w:sz="4" w:space="0" w:color="auto"/>
              <w:right w:val="single" w:sz="4" w:space="0" w:color="auto"/>
            </w:tcBorders>
            <w:shd w:val="clear" w:color="auto" w:fill="C6EFCE"/>
            <w:noWrap/>
            <w:vAlign w:val="center"/>
          </w:tcPr>
          <w:p w14:paraId="3AEE8EE3"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6CEC6431" w14:textId="77777777" w:rsidR="006054AA" w:rsidRDefault="001F7667">
            <w:pPr>
              <w:pStyle w:val="P68B1DB1-Normal12"/>
              <w:jc w:val="center"/>
              <w:rPr>
                <w:noProof/>
              </w:rPr>
            </w:pPr>
            <w:r>
              <w:rPr>
                <w:noProof/>
              </w:rPr>
              <w:t>Подобряване на качеството и използваемостта на цифровите обществени услуги T1</w:t>
            </w:r>
          </w:p>
        </w:tc>
      </w:tr>
      <w:tr w:rsidR="006054AA" w14:paraId="2A2619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885B3" w14:textId="77777777" w:rsidR="006054AA" w:rsidRDefault="001F7667">
            <w:pPr>
              <w:pStyle w:val="P68B1DB1-Normal12"/>
              <w:jc w:val="center"/>
              <w:rPr>
                <w:noProof/>
              </w:rPr>
            </w:pPr>
            <w:r>
              <w:rPr>
                <w:noProof/>
              </w:rPr>
              <w:t>M1C1—141</w:t>
            </w:r>
          </w:p>
        </w:tc>
        <w:tc>
          <w:tcPr>
            <w:tcW w:w="3195" w:type="dxa"/>
            <w:tcBorders>
              <w:top w:val="nil"/>
              <w:left w:val="nil"/>
              <w:bottom w:val="single" w:sz="4" w:space="0" w:color="auto"/>
              <w:right w:val="single" w:sz="4" w:space="0" w:color="auto"/>
            </w:tcBorders>
            <w:shd w:val="clear" w:color="auto" w:fill="C6EFCE"/>
            <w:noWrap/>
            <w:vAlign w:val="center"/>
          </w:tcPr>
          <w:p w14:paraId="70DDF566" w14:textId="77777777" w:rsidR="006054AA" w:rsidRDefault="001F7667">
            <w:pPr>
              <w:pStyle w:val="P68B1DB1-Normal12"/>
              <w:jc w:val="center"/>
              <w:rPr>
                <w:noProof/>
              </w:rPr>
            </w:pPr>
            <w:r>
              <w:rPr>
                <w:noProof/>
              </w:rPr>
              <w:t>Инвестиция 1.6.4 — Цифровизация на Министерството на отбраната</w:t>
            </w:r>
          </w:p>
        </w:tc>
        <w:tc>
          <w:tcPr>
            <w:tcW w:w="1378" w:type="dxa"/>
            <w:tcBorders>
              <w:top w:val="nil"/>
              <w:left w:val="nil"/>
              <w:bottom w:val="single" w:sz="4" w:space="0" w:color="auto"/>
              <w:right w:val="single" w:sz="4" w:space="0" w:color="auto"/>
            </w:tcBorders>
            <w:shd w:val="clear" w:color="auto" w:fill="C6EFCE"/>
            <w:noWrap/>
            <w:vAlign w:val="center"/>
          </w:tcPr>
          <w:p w14:paraId="0E1C2DF0"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6A1B089B" w14:textId="77777777" w:rsidR="006054AA" w:rsidRDefault="001F7667">
            <w:pPr>
              <w:pStyle w:val="P68B1DB1-Normal12"/>
              <w:jc w:val="center"/>
              <w:rPr>
                <w:noProof/>
              </w:rPr>
            </w:pPr>
            <w:r>
              <w:rPr>
                <w:noProof/>
              </w:rPr>
              <w:t>Цифровизация на процедурите на Министерството на отбраната Т2</w:t>
            </w:r>
          </w:p>
        </w:tc>
      </w:tr>
      <w:tr w:rsidR="006054AA" w14:paraId="161C0E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BC3C23" w14:textId="77777777" w:rsidR="006054AA" w:rsidRDefault="001F7667">
            <w:pPr>
              <w:pStyle w:val="P68B1DB1-Normal12"/>
              <w:jc w:val="center"/>
              <w:rPr>
                <w:noProof/>
              </w:rPr>
            </w:pPr>
            <w:r>
              <w:rPr>
                <w:noProof/>
              </w:rPr>
              <w:t>M1C1—142</w:t>
            </w:r>
          </w:p>
        </w:tc>
        <w:tc>
          <w:tcPr>
            <w:tcW w:w="3195" w:type="dxa"/>
            <w:tcBorders>
              <w:top w:val="nil"/>
              <w:left w:val="nil"/>
              <w:bottom w:val="single" w:sz="4" w:space="0" w:color="auto"/>
              <w:right w:val="single" w:sz="4" w:space="0" w:color="auto"/>
            </w:tcBorders>
            <w:shd w:val="clear" w:color="auto" w:fill="C6EFCE"/>
            <w:noWrap/>
            <w:vAlign w:val="center"/>
          </w:tcPr>
          <w:p w14:paraId="5A5BCB4D" w14:textId="77777777" w:rsidR="006054AA" w:rsidRDefault="001F7667">
            <w:pPr>
              <w:pStyle w:val="P68B1DB1-Normal12"/>
              <w:jc w:val="center"/>
              <w:rPr>
                <w:noProof/>
              </w:rPr>
            </w:pPr>
            <w:r>
              <w:rPr>
                <w:noProof/>
              </w:rPr>
              <w:t>Инвестиция 1.6.4 — Цифровизация на Министерството на отбраната</w:t>
            </w:r>
          </w:p>
        </w:tc>
        <w:tc>
          <w:tcPr>
            <w:tcW w:w="1378" w:type="dxa"/>
            <w:tcBorders>
              <w:top w:val="nil"/>
              <w:left w:val="nil"/>
              <w:bottom w:val="single" w:sz="4" w:space="0" w:color="auto"/>
              <w:right w:val="single" w:sz="4" w:space="0" w:color="auto"/>
            </w:tcBorders>
            <w:shd w:val="clear" w:color="auto" w:fill="C6EFCE"/>
            <w:noWrap/>
            <w:vAlign w:val="center"/>
          </w:tcPr>
          <w:p w14:paraId="0E9338D8"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40F87136" w14:textId="77777777" w:rsidR="006054AA" w:rsidRDefault="001F7667">
            <w:pPr>
              <w:pStyle w:val="P68B1DB1-Normal12"/>
              <w:jc w:val="center"/>
              <w:rPr>
                <w:noProof/>
              </w:rPr>
            </w:pPr>
            <w:r>
              <w:rPr>
                <w:noProof/>
              </w:rPr>
              <w:t>Цифровизация на сертификатите на Министерството на отбраната Т2</w:t>
            </w:r>
          </w:p>
        </w:tc>
      </w:tr>
      <w:tr w:rsidR="006054AA" w14:paraId="5FC0CF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538547" w14:textId="77777777" w:rsidR="006054AA" w:rsidRDefault="001F7667">
            <w:pPr>
              <w:pStyle w:val="P68B1DB1-Normal12"/>
              <w:jc w:val="center"/>
              <w:rPr>
                <w:noProof/>
              </w:rPr>
            </w:pPr>
            <w:r>
              <w:rPr>
                <w:noProof/>
              </w:rPr>
              <w:t>M1C1—143</w:t>
            </w:r>
          </w:p>
        </w:tc>
        <w:tc>
          <w:tcPr>
            <w:tcW w:w="3195" w:type="dxa"/>
            <w:tcBorders>
              <w:top w:val="nil"/>
              <w:left w:val="nil"/>
              <w:bottom w:val="single" w:sz="4" w:space="0" w:color="auto"/>
              <w:right w:val="single" w:sz="4" w:space="0" w:color="auto"/>
            </w:tcBorders>
            <w:shd w:val="clear" w:color="auto" w:fill="C6EFCE"/>
            <w:noWrap/>
            <w:vAlign w:val="center"/>
          </w:tcPr>
          <w:p w14:paraId="182CC0FF" w14:textId="77777777" w:rsidR="006054AA" w:rsidRDefault="001F7667">
            <w:pPr>
              <w:pStyle w:val="P68B1DB1-Normal12"/>
              <w:jc w:val="center"/>
              <w:rPr>
                <w:noProof/>
              </w:rPr>
            </w:pPr>
            <w:r>
              <w:rPr>
                <w:noProof/>
              </w:rPr>
              <w:t>Инвестиция 1.6.4 — Цифровизация на Министерството на отбраната</w:t>
            </w:r>
          </w:p>
        </w:tc>
        <w:tc>
          <w:tcPr>
            <w:tcW w:w="1378" w:type="dxa"/>
            <w:tcBorders>
              <w:top w:val="nil"/>
              <w:left w:val="nil"/>
              <w:bottom w:val="single" w:sz="4" w:space="0" w:color="auto"/>
              <w:right w:val="single" w:sz="4" w:space="0" w:color="auto"/>
            </w:tcBorders>
            <w:shd w:val="clear" w:color="auto" w:fill="C6EFCE"/>
            <w:noWrap/>
            <w:vAlign w:val="center"/>
          </w:tcPr>
          <w:p w14:paraId="07F4C611"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545F1BF8" w14:textId="77777777" w:rsidR="006054AA" w:rsidRDefault="001F7667">
            <w:pPr>
              <w:pStyle w:val="P68B1DB1-Normal12"/>
              <w:jc w:val="center"/>
              <w:rPr>
                <w:noProof/>
              </w:rPr>
            </w:pPr>
            <w:r>
              <w:rPr>
                <w:noProof/>
              </w:rPr>
              <w:t>Министерство на отбраната — Миграция на приложения от критично значение, които не са от значение за мисията, в решение за пълна защита на информацията чрез откритост на инфраструктурата (S.C.I.P.I.O.) T2</w:t>
            </w:r>
          </w:p>
        </w:tc>
      </w:tr>
      <w:tr w:rsidR="006054AA" w14:paraId="164A81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F311CD" w14:textId="77777777" w:rsidR="006054AA" w:rsidRDefault="001F7667">
            <w:pPr>
              <w:pStyle w:val="P68B1DB1-Normal12"/>
              <w:jc w:val="center"/>
              <w:rPr>
                <w:noProof/>
              </w:rPr>
            </w:pPr>
            <w:r>
              <w:rPr>
                <w:noProof/>
              </w:rPr>
              <w:t>M1C2—19</w:t>
            </w:r>
          </w:p>
        </w:tc>
        <w:tc>
          <w:tcPr>
            <w:tcW w:w="3195" w:type="dxa"/>
            <w:tcBorders>
              <w:top w:val="nil"/>
              <w:left w:val="nil"/>
              <w:bottom w:val="single" w:sz="4" w:space="0" w:color="auto"/>
              <w:right w:val="single" w:sz="4" w:space="0" w:color="auto"/>
            </w:tcBorders>
            <w:shd w:val="clear" w:color="auto" w:fill="C6EFCE"/>
            <w:noWrap/>
            <w:vAlign w:val="center"/>
          </w:tcPr>
          <w:p w14:paraId="41FEA802" w14:textId="77777777" w:rsidR="006054AA" w:rsidRDefault="001F7667">
            <w:pPr>
              <w:pStyle w:val="P68B1DB1-Normal12"/>
              <w:jc w:val="center"/>
              <w:rPr>
                <w:noProof/>
              </w:rPr>
            </w:pPr>
            <w:r>
              <w:rPr>
                <w:noProof/>
              </w:rPr>
              <w:t>Инвестиция 3: Бързи интернет връзки (свръхшироколентов достъп и 5G)</w:t>
            </w:r>
          </w:p>
        </w:tc>
        <w:tc>
          <w:tcPr>
            <w:tcW w:w="1378" w:type="dxa"/>
            <w:tcBorders>
              <w:top w:val="nil"/>
              <w:left w:val="nil"/>
              <w:bottom w:val="single" w:sz="4" w:space="0" w:color="auto"/>
              <w:right w:val="single" w:sz="4" w:space="0" w:color="auto"/>
            </w:tcBorders>
            <w:shd w:val="clear" w:color="auto" w:fill="C6EFCE"/>
            <w:noWrap/>
            <w:vAlign w:val="center"/>
          </w:tcPr>
          <w:p w14:paraId="618039F5"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0F3C45B2" w14:textId="77777777" w:rsidR="006054AA" w:rsidRDefault="001F7667">
            <w:pPr>
              <w:pStyle w:val="P68B1DB1-Normal12"/>
              <w:jc w:val="center"/>
              <w:rPr>
                <w:noProof/>
              </w:rPr>
            </w:pPr>
            <w:r>
              <w:rPr>
                <w:noProof/>
              </w:rPr>
              <w:t>Островите са снабдени със свръхшироколентова свързаност</w:t>
            </w:r>
          </w:p>
        </w:tc>
      </w:tr>
      <w:tr w:rsidR="006054AA" w14:paraId="1483DA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307B0" w14:textId="77777777" w:rsidR="006054AA" w:rsidRDefault="001F7667">
            <w:pPr>
              <w:pStyle w:val="P68B1DB1-Normal12"/>
              <w:jc w:val="center"/>
              <w:rPr>
                <w:noProof/>
              </w:rPr>
            </w:pPr>
            <w:r>
              <w:rPr>
                <w:noProof/>
              </w:rPr>
              <w:t>M1C2—30</w:t>
            </w:r>
          </w:p>
        </w:tc>
        <w:tc>
          <w:tcPr>
            <w:tcW w:w="3195" w:type="dxa"/>
            <w:tcBorders>
              <w:top w:val="nil"/>
              <w:left w:val="nil"/>
              <w:bottom w:val="single" w:sz="4" w:space="0" w:color="auto"/>
              <w:right w:val="single" w:sz="4" w:space="0" w:color="auto"/>
            </w:tcBorders>
            <w:shd w:val="clear" w:color="auto" w:fill="C6EFCE"/>
            <w:noWrap/>
            <w:vAlign w:val="center"/>
          </w:tcPr>
          <w:p w14:paraId="635AB869" w14:textId="77777777" w:rsidR="006054AA" w:rsidRDefault="001F7667">
            <w:pPr>
              <w:pStyle w:val="P68B1DB1-Normal12"/>
              <w:jc w:val="center"/>
              <w:rPr>
                <w:noProof/>
              </w:rPr>
            </w:pPr>
            <w:r>
              <w:rPr>
                <w:noProof/>
              </w:rPr>
              <w:t>Инвестиция 7. Подкрепа за производствената система за екологичния преход, технологиите с нулеви нетни емисии и конкурентоспособността и устойчивостта на стратегическите вериги на доставки</w:t>
            </w:r>
          </w:p>
        </w:tc>
        <w:tc>
          <w:tcPr>
            <w:tcW w:w="1378" w:type="dxa"/>
            <w:tcBorders>
              <w:top w:val="nil"/>
              <w:left w:val="nil"/>
              <w:bottom w:val="single" w:sz="4" w:space="0" w:color="auto"/>
              <w:right w:val="single" w:sz="4" w:space="0" w:color="auto"/>
            </w:tcBorders>
            <w:shd w:val="clear" w:color="auto" w:fill="C6EFCE"/>
            <w:noWrap/>
            <w:vAlign w:val="center"/>
          </w:tcPr>
          <w:p w14:paraId="2A618D4E" w14:textId="77777777" w:rsidR="006054AA" w:rsidRDefault="001F7667">
            <w:pPr>
              <w:pStyle w:val="P68B1DB1-Normal12"/>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7B76B828" w14:textId="77777777" w:rsidR="006054AA" w:rsidRDefault="001F7667">
            <w:pPr>
              <w:pStyle w:val="P68B1DB1-Normal12"/>
              <w:rPr>
                <w:noProof/>
              </w:rPr>
            </w:pPr>
            <w:r>
              <w:rPr>
                <w:noProof/>
              </w:rPr>
              <w:t>Споразумение за изпълнение</w:t>
            </w:r>
          </w:p>
        </w:tc>
      </w:tr>
      <w:tr w:rsidR="006054AA" w14:paraId="551828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50365B" w14:textId="77777777" w:rsidR="006054AA" w:rsidRDefault="001F7667">
            <w:pPr>
              <w:pStyle w:val="P68B1DB1-Normal12"/>
              <w:jc w:val="center"/>
              <w:rPr>
                <w:noProof/>
              </w:rPr>
            </w:pPr>
            <w:r>
              <w:rPr>
                <w:noProof/>
              </w:rPr>
              <w:t>M1C2—31</w:t>
            </w:r>
          </w:p>
        </w:tc>
        <w:tc>
          <w:tcPr>
            <w:tcW w:w="3195" w:type="dxa"/>
            <w:tcBorders>
              <w:top w:val="nil"/>
              <w:left w:val="nil"/>
              <w:bottom w:val="single" w:sz="4" w:space="0" w:color="auto"/>
              <w:right w:val="single" w:sz="4" w:space="0" w:color="auto"/>
            </w:tcBorders>
            <w:shd w:val="clear" w:color="auto" w:fill="C6EFCE"/>
            <w:noWrap/>
            <w:vAlign w:val="center"/>
          </w:tcPr>
          <w:p w14:paraId="1D42058C" w14:textId="77777777" w:rsidR="006054AA" w:rsidRDefault="001F7667">
            <w:pPr>
              <w:pStyle w:val="P68B1DB1-Normal12"/>
              <w:jc w:val="center"/>
              <w:rPr>
                <w:noProof/>
              </w:rPr>
            </w:pPr>
            <w:r>
              <w:rPr>
                <w:noProof/>
              </w:rPr>
              <w:t>Инвестиция 7 Подкрепа за производствената система за екологичния преход, технологиите с нулеви нетни емисии и конкурентоспособността и устойчивостта на стратегическите вериги на доставки</w:t>
            </w:r>
          </w:p>
        </w:tc>
        <w:tc>
          <w:tcPr>
            <w:tcW w:w="1378" w:type="dxa"/>
            <w:tcBorders>
              <w:top w:val="nil"/>
              <w:left w:val="nil"/>
              <w:bottom w:val="single" w:sz="4" w:space="0" w:color="auto"/>
              <w:right w:val="single" w:sz="4" w:space="0" w:color="auto"/>
            </w:tcBorders>
            <w:shd w:val="clear" w:color="auto" w:fill="C6EFCE"/>
            <w:noWrap/>
            <w:vAlign w:val="center"/>
          </w:tcPr>
          <w:p w14:paraId="08DB8017" w14:textId="77777777" w:rsidR="006054AA" w:rsidRDefault="001F7667">
            <w:pPr>
              <w:pStyle w:val="P68B1DB1-Normal12"/>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67CD969E" w14:textId="77777777" w:rsidR="006054AA" w:rsidRDefault="001F7667">
            <w:pPr>
              <w:pStyle w:val="P68B1DB1-Normal12"/>
              <w:rPr>
                <w:noProof/>
              </w:rPr>
            </w:pPr>
            <w:r>
              <w:rPr>
                <w:noProof/>
              </w:rPr>
              <w:t>Министерството на предприятията и производителите в Италия е приключило инвестицията</w:t>
            </w:r>
          </w:p>
        </w:tc>
      </w:tr>
      <w:tr w:rsidR="006054AA" w14:paraId="2FD9EA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CF0A4F" w14:textId="77777777" w:rsidR="006054AA" w:rsidRDefault="001F7667">
            <w:pPr>
              <w:pStyle w:val="P68B1DB1-Normal12"/>
              <w:jc w:val="center"/>
              <w:rPr>
                <w:noProof/>
              </w:rPr>
            </w:pPr>
            <w:r>
              <w:rPr>
                <w:noProof/>
              </w:rPr>
              <w:t>M1C3—27</w:t>
            </w:r>
          </w:p>
        </w:tc>
        <w:tc>
          <w:tcPr>
            <w:tcW w:w="3195" w:type="dxa"/>
            <w:tcBorders>
              <w:top w:val="nil"/>
              <w:left w:val="nil"/>
              <w:bottom w:val="single" w:sz="4" w:space="0" w:color="auto"/>
              <w:right w:val="single" w:sz="4" w:space="0" w:color="auto"/>
            </w:tcBorders>
            <w:shd w:val="clear" w:color="auto" w:fill="C6EFCE"/>
            <w:noWrap/>
            <w:vAlign w:val="center"/>
          </w:tcPr>
          <w:p w14:paraId="13CB479A" w14:textId="77777777" w:rsidR="006054AA" w:rsidRDefault="001F7667">
            <w:pPr>
              <w:pStyle w:val="P68B1DB1-Normal12"/>
              <w:jc w:val="center"/>
              <w:rPr>
                <w:noProof/>
              </w:rPr>
            </w:pPr>
            <w:r>
              <w:rPr>
                <w:noProof/>
              </w:rPr>
              <w:t>Инвестиции — 4.3 Caput Mundi-Next Generation EU за големи туристически прояви</w:t>
            </w:r>
          </w:p>
        </w:tc>
        <w:tc>
          <w:tcPr>
            <w:tcW w:w="1378" w:type="dxa"/>
            <w:tcBorders>
              <w:top w:val="nil"/>
              <w:left w:val="nil"/>
              <w:bottom w:val="single" w:sz="4" w:space="0" w:color="auto"/>
              <w:right w:val="single" w:sz="4" w:space="0" w:color="auto"/>
            </w:tcBorders>
            <w:shd w:val="clear" w:color="auto" w:fill="C6EFCE"/>
            <w:noWrap/>
            <w:vAlign w:val="center"/>
          </w:tcPr>
          <w:p w14:paraId="78869CAF"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5F35D930" w14:textId="77777777" w:rsidR="006054AA" w:rsidRDefault="001F7667">
            <w:pPr>
              <w:pStyle w:val="P68B1DB1-Normal12"/>
              <w:jc w:val="center"/>
              <w:rPr>
                <w:noProof/>
              </w:rPr>
            </w:pPr>
            <w:r>
              <w:rPr>
                <w:noProof/>
              </w:rPr>
              <w:t xml:space="preserve">Брой културни и туристически обекти, чиято преквалификация е достигнала средно 50 % от Stato Avanzamento Lavori (SAL) (първа партида) </w:t>
            </w:r>
          </w:p>
        </w:tc>
      </w:tr>
      <w:tr w:rsidR="006054AA" w14:paraId="39F351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0435C" w14:textId="77777777" w:rsidR="006054AA" w:rsidRDefault="001F7667">
            <w:pPr>
              <w:pStyle w:val="P68B1DB1-Normal12"/>
              <w:jc w:val="center"/>
              <w:rPr>
                <w:noProof/>
              </w:rPr>
            </w:pPr>
            <w:r>
              <w:rPr>
                <w:noProof/>
              </w:rPr>
              <w:t>M2C1—16bis</w:t>
            </w:r>
          </w:p>
        </w:tc>
        <w:tc>
          <w:tcPr>
            <w:tcW w:w="3195" w:type="dxa"/>
            <w:tcBorders>
              <w:top w:val="nil"/>
              <w:left w:val="nil"/>
              <w:bottom w:val="single" w:sz="4" w:space="0" w:color="auto"/>
              <w:right w:val="single" w:sz="4" w:space="0" w:color="auto"/>
            </w:tcBorders>
            <w:shd w:val="clear" w:color="auto" w:fill="C6EFCE"/>
            <w:noWrap/>
            <w:vAlign w:val="center"/>
          </w:tcPr>
          <w:p w14:paraId="48F4F850" w14:textId="77777777" w:rsidR="006054AA" w:rsidRDefault="001F7667">
            <w:pPr>
              <w:pStyle w:val="P68B1DB1-Normal12"/>
              <w:jc w:val="center"/>
              <w:rPr>
                <w:noProof/>
              </w:rPr>
            </w:pPr>
            <w:r>
              <w:rPr>
                <w:noProof/>
              </w:rPr>
              <w:t>Инвестиция 1.1 — Осъществяване на нови инсталации за управление на отпадъците и модернизация на съществуващи инсталации</w:t>
            </w:r>
          </w:p>
        </w:tc>
        <w:tc>
          <w:tcPr>
            <w:tcW w:w="1378" w:type="dxa"/>
            <w:tcBorders>
              <w:top w:val="nil"/>
              <w:left w:val="nil"/>
              <w:bottom w:val="single" w:sz="4" w:space="0" w:color="auto"/>
              <w:right w:val="single" w:sz="4" w:space="0" w:color="auto"/>
            </w:tcBorders>
            <w:shd w:val="clear" w:color="auto" w:fill="C6EFCE"/>
            <w:noWrap/>
            <w:vAlign w:val="center"/>
          </w:tcPr>
          <w:p w14:paraId="78E6F15F"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4EC6C152" w14:textId="77777777" w:rsidR="006054AA" w:rsidRDefault="001F7667">
            <w:pPr>
              <w:pStyle w:val="P68B1DB1-Normal12"/>
              <w:jc w:val="center"/>
              <w:rPr>
                <w:noProof/>
              </w:rPr>
            </w:pPr>
            <w:r>
              <w:rPr>
                <w:noProof/>
              </w:rPr>
              <w:t>Незаконни депа за отпадъци</w:t>
            </w:r>
          </w:p>
        </w:tc>
      </w:tr>
      <w:tr w:rsidR="006054AA" w14:paraId="7086AB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9294AC" w14:textId="77777777" w:rsidR="006054AA" w:rsidRDefault="001F7667">
            <w:pPr>
              <w:pStyle w:val="P68B1DB1-Normal12"/>
              <w:jc w:val="center"/>
              <w:rPr>
                <w:noProof/>
              </w:rPr>
            </w:pPr>
            <w:r>
              <w:rPr>
                <w:noProof/>
              </w:rPr>
              <w:t>M2C1—16ter</w:t>
            </w:r>
          </w:p>
        </w:tc>
        <w:tc>
          <w:tcPr>
            <w:tcW w:w="3195" w:type="dxa"/>
            <w:tcBorders>
              <w:top w:val="nil"/>
              <w:left w:val="nil"/>
              <w:bottom w:val="single" w:sz="4" w:space="0" w:color="auto"/>
              <w:right w:val="single" w:sz="4" w:space="0" w:color="auto"/>
            </w:tcBorders>
            <w:shd w:val="clear" w:color="auto" w:fill="C6EFCE"/>
            <w:noWrap/>
            <w:vAlign w:val="center"/>
          </w:tcPr>
          <w:p w14:paraId="005E775C" w14:textId="77777777" w:rsidR="006054AA" w:rsidRDefault="001F7667">
            <w:pPr>
              <w:pStyle w:val="P68B1DB1-Normal12"/>
              <w:jc w:val="center"/>
              <w:rPr>
                <w:noProof/>
              </w:rPr>
            </w:pPr>
            <w:r>
              <w:rPr>
                <w:noProof/>
              </w:rPr>
              <w:t>Реформа 1.2 — Национална програма за инвестиции в управлението на отпадъците 1.1 — Осъществяване на нови инсталации за управление на отпадъците и модернизация на съществуващи инсталации</w:t>
            </w:r>
          </w:p>
        </w:tc>
        <w:tc>
          <w:tcPr>
            <w:tcW w:w="1378" w:type="dxa"/>
            <w:tcBorders>
              <w:top w:val="nil"/>
              <w:left w:val="nil"/>
              <w:bottom w:val="single" w:sz="4" w:space="0" w:color="auto"/>
              <w:right w:val="single" w:sz="4" w:space="0" w:color="auto"/>
            </w:tcBorders>
            <w:shd w:val="clear" w:color="auto" w:fill="C6EFCE"/>
            <w:noWrap/>
            <w:vAlign w:val="center"/>
          </w:tcPr>
          <w:p w14:paraId="4315B4FA"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32CCA946" w14:textId="77777777" w:rsidR="006054AA" w:rsidRDefault="001F7667">
            <w:pPr>
              <w:pStyle w:val="P68B1DB1-Normal12"/>
              <w:jc w:val="center"/>
              <w:rPr>
                <w:noProof/>
              </w:rPr>
            </w:pPr>
            <w:r>
              <w:rPr>
                <w:noProof/>
              </w:rPr>
              <w:t>Регионални различия в нивата на разделно събиране</w:t>
            </w:r>
          </w:p>
        </w:tc>
      </w:tr>
      <w:tr w:rsidR="006054AA" w14:paraId="2659CD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5F325A" w14:textId="77777777" w:rsidR="006054AA" w:rsidRDefault="001F7667">
            <w:pPr>
              <w:pStyle w:val="P68B1DB1-Normal12"/>
              <w:jc w:val="center"/>
              <w:rPr>
                <w:noProof/>
              </w:rPr>
            </w:pPr>
            <w:r>
              <w:rPr>
                <w:noProof/>
              </w:rPr>
              <w:t>M2C1—25</w:t>
            </w:r>
          </w:p>
        </w:tc>
        <w:tc>
          <w:tcPr>
            <w:tcW w:w="3195" w:type="dxa"/>
            <w:tcBorders>
              <w:top w:val="nil"/>
              <w:left w:val="nil"/>
              <w:bottom w:val="single" w:sz="4" w:space="0" w:color="auto"/>
              <w:right w:val="single" w:sz="4" w:space="0" w:color="auto"/>
            </w:tcBorders>
            <w:shd w:val="clear" w:color="auto" w:fill="C6EFCE"/>
            <w:noWrap/>
            <w:vAlign w:val="center"/>
          </w:tcPr>
          <w:p w14:paraId="541B9729" w14:textId="77777777" w:rsidR="006054AA" w:rsidRDefault="001F7667">
            <w:pPr>
              <w:pStyle w:val="P68B1DB1-Normal12"/>
              <w:jc w:val="center"/>
              <w:rPr>
                <w:noProof/>
              </w:rPr>
            </w:pPr>
            <w:r>
              <w:rPr>
                <w:noProof/>
              </w:rPr>
              <w:t>Инвестиция 3.4: Fondo Contratti di Filiera (FCF) за подпомагане на договори за вериги на доставки в секторите на хранително-вкусовата промишленост, рибарството и аквакултурите, горското стопанство, цветарството и растениевъдството</w:t>
            </w:r>
          </w:p>
        </w:tc>
        <w:tc>
          <w:tcPr>
            <w:tcW w:w="1378" w:type="dxa"/>
            <w:tcBorders>
              <w:top w:val="nil"/>
              <w:left w:val="nil"/>
              <w:bottom w:val="single" w:sz="4" w:space="0" w:color="auto"/>
              <w:right w:val="single" w:sz="4" w:space="0" w:color="auto"/>
            </w:tcBorders>
            <w:shd w:val="clear" w:color="auto" w:fill="C6EFCE"/>
            <w:noWrap/>
            <w:vAlign w:val="center"/>
          </w:tcPr>
          <w:p w14:paraId="4182F276" w14:textId="23BAFB26"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579C684A" w14:textId="77777777" w:rsidR="006054AA" w:rsidRDefault="001F7667">
            <w:pPr>
              <w:pStyle w:val="P68B1DB1-Normal12"/>
              <w:jc w:val="center"/>
              <w:rPr>
                <w:noProof/>
              </w:rPr>
            </w:pPr>
            <w:r>
              <w:rPr>
                <w:noProof/>
              </w:rPr>
              <w:t>Министерството е прехвърлило общия размер на средствата</w:t>
            </w:r>
          </w:p>
        </w:tc>
      </w:tr>
      <w:tr w:rsidR="006054AA" w14:paraId="57120D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9BF2F" w14:textId="77777777" w:rsidR="006054AA" w:rsidRDefault="001F7667">
            <w:pPr>
              <w:pStyle w:val="P68B1DB1-Normal12"/>
              <w:jc w:val="center"/>
              <w:rPr>
                <w:noProof/>
              </w:rPr>
            </w:pPr>
            <w:r>
              <w:rPr>
                <w:noProof/>
              </w:rPr>
              <w:t>M2C2—9</w:t>
            </w:r>
          </w:p>
        </w:tc>
        <w:tc>
          <w:tcPr>
            <w:tcW w:w="3195" w:type="dxa"/>
            <w:tcBorders>
              <w:top w:val="nil"/>
              <w:left w:val="nil"/>
              <w:bottom w:val="single" w:sz="4" w:space="0" w:color="auto"/>
              <w:right w:val="single" w:sz="4" w:space="0" w:color="auto"/>
            </w:tcBorders>
            <w:shd w:val="clear" w:color="auto" w:fill="C6EFCE"/>
            <w:noWrap/>
            <w:vAlign w:val="center"/>
          </w:tcPr>
          <w:p w14:paraId="029854F4" w14:textId="77777777" w:rsidR="006054AA" w:rsidRDefault="001F7667">
            <w:pPr>
              <w:pStyle w:val="P68B1DB1-Normal12"/>
              <w:jc w:val="center"/>
              <w:rPr>
                <w:noProof/>
              </w:rPr>
            </w:pPr>
            <w:r>
              <w:rPr>
                <w:noProof/>
              </w:rPr>
              <w:t>Инвестиция 2.1 Укрепване на интелигентните мрежи</w:t>
            </w:r>
          </w:p>
        </w:tc>
        <w:tc>
          <w:tcPr>
            <w:tcW w:w="1378" w:type="dxa"/>
            <w:tcBorders>
              <w:top w:val="nil"/>
              <w:left w:val="nil"/>
              <w:bottom w:val="single" w:sz="4" w:space="0" w:color="auto"/>
              <w:right w:val="single" w:sz="4" w:space="0" w:color="auto"/>
            </w:tcBorders>
            <w:shd w:val="clear" w:color="auto" w:fill="C6EFCE"/>
            <w:noWrap/>
            <w:vAlign w:val="center"/>
          </w:tcPr>
          <w:p w14:paraId="28FFD72E"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79EEBE93" w14:textId="77777777" w:rsidR="006054AA" w:rsidRDefault="001F7667">
            <w:pPr>
              <w:pStyle w:val="P68B1DB1-Normal12"/>
              <w:jc w:val="center"/>
              <w:rPr>
                <w:noProof/>
              </w:rPr>
            </w:pPr>
            <w:r>
              <w:rPr>
                <w:noProof/>
              </w:rPr>
              <w:t>Интелигентни коридори — увеличаване на капацитета на мрежата за разпределение на енергия от възобновяеми източници</w:t>
            </w:r>
          </w:p>
        </w:tc>
      </w:tr>
      <w:tr w:rsidR="006054AA" w14:paraId="4B3EB3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B0550" w14:textId="77777777" w:rsidR="006054AA" w:rsidRDefault="001F7667">
            <w:pPr>
              <w:pStyle w:val="P68B1DB1-Normal12"/>
              <w:jc w:val="center"/>
              <w:rPr>
                <w:noProof/>
              </w:rPr>
            </w:pPr>
            <w:r>
              <w:rPr>
                <w:noProof/>
              </w:rPr>
              <w:t>M2C2—34</w:t>
            </w:r>
          </w:p>
        </w:tc>
        <w:tc>
          <w:tcPr>
            <w:tcW w:w="3195" w:type="dxa"/>
            <w:tcBorders>
              <w:top w:val="nil"/>
              <w:left w:val="nil"/>
              <w:bottom w:val="single" w:sz="4" w:space="0" w:color="auto"/>
              <w:right w:val="single" w:sz="4" w:space="0" w:color="auto"/>
            </w:tcBorders>
            <w:shd w:val="clear" w:color="auto" w:fill="C6EFCE"/>
            <w:noWrap/>
            <w:vAlign w:val="center"/>
          </w:tcPr>
          <w:p w14:paraId="5827B6A9" w14:textId="77777777" w:rsidR="006054AA" w:rsidRDefault="001F7667">
            <w:pPr>
              <w:pStyle w:val="P68B1DB1-Normal12"/>
              <w:jc w:val="center"/>
              <w:rPr>
                <w:noProof/>
              </w:rPr>
            </w:pPr>
            <w:r>
              <w:rPr>
                <w:noProof/>
              </w:rPr>
              <w:t>Инвестиция 4.4.1: Укрепване на регионалния автобусен парк на обществения транспорт с нискоетажни автобуси с нулеви емисии</w:t>
            </w:r>
          </w:p>
        </w:tc>
        <w:tc>
          <w:tcPr>
            <w:tcW w:w="1378" w:type="dxa"/>
            <w:tcBorders>
              <w:top w:val="nil"/>
              <w:left w:val="nil"/>
              <w:bottom w:val="single" w:sz="4" w:space="0" w:color="auto"/>
              <w:right w:val="single" w:sz="4" w:space="0" w:color="auto"/>
            </w:tcBorders>
            <w:shd w:val="clear" w:color="auto" w:fill="C6EFCE"/>
            <w:noWrap/>
            <w:vAlign w:val="center"/>
          </w:tcPr>
          <w:p w14:paraId="0697611E"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787568B4" w14:textId="77777777" w:rsidR="006054AA" w:rsidRDefault="001F7667">
            <w:pPr>
              <w:pStyle w:val="P68B1DB1-Normal12"/>
              <w:jc w:val="center"/>
              <w:rPr>
                <w:noProof/>
              </w:rPr>
            </w:pPr>
            <w:r>
              <w:rPr>
                <w:noProof/>
              </w:rPr>
              <w:t>Брой закупени автобуси с нисък под с нулеви емисии T1</w:t>
            </w:r>
          </w:p>
        </w:tc>
      </w:tr>
      <w:tr w:rsidR="006054AA" w14:paraId="7312F2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680F0E" w14:textId="77777777" w:rsidR="006054AA" w:rsidRDefault="001F7667">
            <w:pPr>
              <w:pStyle w:val="P68B1DB1-Normal12"/>
              <w:jc w:val="center"/>
              <w:rPr>
                <w:noProof/>
              </w:rPr>
            </w:pPr>
            <w:r>
              <w:rPr>
                <w:noProof/>
              </w:rPr>
              <w:t>M2C2—34 Bis</w:t>
            </w:r>
          </w:p>
        </w:tc>
        <w:tc>
          <w:tcPr>
            <w:tcW w:w="3195" w:type="dxa"/>
            <w:tcBorders>
              <w:top w:val="nil"/>
              <w:left w:val="nil"/>
              <w:bottom w:val="single" w:sz="4" w:space="0" w:color="auto"/>
              <w:right w:val="single" w:sz="4" w:space="0" w:color="auto"/>
            </w:tcBorders>
            <w:shd w:val="clear" w:color="auto" w:fill="C6EFCE"/>
            <w:noWrap/>
            <w:vAlign w:val="center"/>
          </w:tcPr>
          <w:p w14:paraId="1616664D" w14:textId="77777777" w:rsidR="006054AA" w:rsidRDefault="001F7667">
            <w:pPr>
              <w:pStyle w:val="P68B1DB1-Normal12"/>
              <w:jc w:val="center"/>
              <w:rPr>
                <w:noProof/>
              </w:rPr>
            </w:pPr>
            <w:r>
              <w:rPr>
                <w:noProof/>
              </w:rPr>
              <w:t>Инвестиция 4.4.2:  Укрепване на регионалния железопътен парк от обществен транспорт с влакове с нулеви емисии и универсална услуга</w:t>
            </w:r>
          </w:p>
        </w:tc>
        <w:tc>
          <w:tcPr>
            <w:tcW w:w="1378" w:type="dxa"/>
            <w:tcBorders>
              <w:top w:val="nil"/>
              <w:left w:val="nil"/>
              <w:bottom w:val="single" w:sz="4" w:space="0" w:color="auto"/>
              <w:right w:val="single" w:sz="4" w:space="0" w:color="auto"/>
            </w:tcBorders>
            <w:shd w:val="clear" w:color="auto" w:fill="C6EFCE"/>
            <w:noWrap/>
            <w:vAlign w:val="center"/>
          </w:tcPr>
          <w:p w14:paraId="745F661F"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0ADD9E6A" w14:textId="77777777" w:rsidR="006054AA" w:rsidRDefault="001F7667">
            <w:pPr>
              <w:pStyle w:val="P68B1DB1-Normal12"/>
              <w:jc w:val="center"/>
              <w:rPr>
                <w:noProof/>
              </w:rPr>
            </w:pPr>
            <w:r>
              <w:rPr>
                <w:noProof/>
              </w:rPr>
              <w:t>Брой влакове с нулеви емисии T1</w:t>
            </w:r>
          </w:p>
        </w:tc>
      </w:tr>
      <w:tr w:rsidR="006054AA" w14:paraId="6BC139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9D4C6" w14:textId="77777777" w:rsidR="006054AA" w:rsidRDefault="001F7667">
            <w:pPr>
              <w:pStyle w:val="P68B1DB1-Normal12"/>
              <w:jc w:val="center"/>
              <w:rPr>
                <w:noProof/>
              </w:rPr>
            </w:pPr>
            <w:r>
              <w:rPr>
                <w:noProof/>
              </w:rPr>
              <w:t>M2C2—38bis</w:t>
            </w:r>
          </w:p>
        </w:tc>
        <w:tc>
          <w:tcPr>
            <w:tcW w:w="3195" w:type="dxa"/>
            <w:tcBorders>
              <w:top w:val="nil"/>
              <w:left w:val="nil"/>
              <w:bottom w:val="single" w:sz="4" w:space="0" w:color="auto"/>
              <w:right w:val="single" w:sz="4" w:space="0" w:color="auto"/>
            </w:tcBorders>
            <w:shd w:val="clear" w:color="auto" w:fill="C6EFCE"/>
            <w:noWrap/>
            <w:vAlign w:val="center"/>
          </w:tcPr>
          <w:p w14:paraId="7D947FE0" w14:textId="77777777" w:rsidR="006054AA" w:rsidRDefault="001F7667">
            <w:pPr>
              <w:pStyle w:val="P68B1DB1-Normal12"/>
              <w:jc w:val="center"/>
              <w:rPr>
                <w:noProof/>
              </w:rPr>
            </w:pPr>
            <w:r>
              <w:rPr>
                <w:noProof/>
              </w:rPr>
              <w:t>Инвестиция 5.1: Възобновяеми енергийни източници и акумулаторни батерии</w:t>
            </w:r>
          </w:p>
        </w:tc>
        <w:tc>
          <w:tcPr>
            <w:tcW w:w="1378" w:type="dxa"/>
            <w:tcBorders>
              <w:top w:val="nil"/>
              <w:left w:val="nil"/>
              <w:bottom w:val="single" w:sz="4" w:space="0" w:color="auto"/>
              <w:right w:val="single" w:sz="4" w:space="0" w:color="auto"/>
            </w:tcBorders>
            <w:shd w:val="clear" w:color="auto" w:fill="C6EFCE"/>
            <w:noWrap/>
            <w:vAlign w:val="center"/>
          </w:tcPr>
          <w:p w14:paraId="44FAAD4F"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5FD79021" w14:textId="77777777" w:rsidR="006054AA" w:rsidRDefault="001F7667">
            <w:pPr>
              <w:pStyle w:val="P68B1DB1-Normal12"/>
              <w:jc w:val="center"/>
              <w:rPr>
                <w:noProof/>
              </w:rPr>
            </w:pPr>
            <w:r>
              <w:rPr>
                <w:noProof/>
              </w:rPr>
              <w:t>Споразумение за изпълнение</w:t>
            </w:r>
          </w:p>
        </w:tc>
      </w:tr>
      <w:tr w:rsidR="006054AA" w14:paraId="55065E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4D29A" w14:textId="77777777" w:rsidR="006054AA" w:rsidRDefault="001F7667">
            <w:pPr>
              <w:pStyle w:val="P68B1DB1-Normal12"/>
              <w:jc w:val="center"/>
              <w:rPr>
                <w:noProof/>
              </w:rPr>
            </w:pPr>
            <w:r>
              <w:rPr>
                <w:noProof/>
              </w:rPr>
              <w:t>M2C2—39</w:t>
            </w:r>
          </w:p>
        </w:tc>
        <w:tc>
          <w:tcPr>
            <w:tcW w:w="3195" w:type="dxa"/>
            <w:tcBorders>
              <w:top w:val="nil"/>
              <w:left w:val="nil"/>
              <w:bottom w:val="single" w:sz="4" w:space="0" w:color="auto"/>
              <w:right w:val="single" w:sz="4" w:space="0" w:color="auto"/>
            </w:tcBorders>
            <w:shd w:val="clear" w:color="auto" w:fill="C6EFCE"/>
            <w:noWrap/>
            <w:vAlign w:val="center"/>
          </w:tcPr>
          <w:p w14:paraId="0FD04D38" w14:textId="77777777" w:rsidR="006054AA" w:rsidRDefault="001F7667">
            <w:pPr>
              <w:pStyle w:val="P68B1DB1-Normal12"/>
              <w:jc w:val="center"/>
              <w:rPr>
                <w:noProof/>
              </w:rPr>
            </w:pPr>
            <w:r>
              <w:rPr>
                <w:noProof/>
              </w:rPr>
              <w:t>Инвестиция 5.1.Възобновяеми енергийни източници и акумулаторни батерии</w:t>
            </w:r>
          </w:p>
        </w:tc>
        <w:tc>
          <w:tcPr>
            <w:tcW w:w="1378" w:type="dxa"/>
            <w:tcBorders>
              <w:top w:val="nil"/>
              <w:left w:val="nil"/>
              <w:bottom w:val="single" w:sz="4" w:space="0" w:color="auto"/>
              <w:right w:val="single" w:sz="4" w:space="0" w:color="auto"/>
            </w:tcBorders>
            <w:shd w:val="clear" w:color="auto" w:fill="C6EFCE"/>
            <w:noWrap/>
            <w:vAlign w:val="center"/>
          </w:tcPr>
          <w:p w14:paraId="452F06C7"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3823EB4B" w14:textId="77777777" w:rsidR="006054AA" w:rsidRDefault="001F7667">
            <w:pPr>
              <w:pStyle w:val="P68B1DB1-Normal12"/>
              <w:jc w:val="center"/>
              <w:rPr>
                <w:noProof/>
              </w:rPr>
            </w:pPr>
            <w:r>
              <w:rPr>
                <w:noProof/>
              </w:rPr>
              <w:t>Министерството на предприятията и производителите в Италия е приключило прехвърлянето на средства към Invitalia S.p.A</w:t>
            </w:r>
          </w:p>
        </w:tc>
      </w:tr>
      <w:tr w:rsidR="006054AA" w14:paraId="3C0F42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60A487" w14:textId="77777777" w:rsidR="006054AA" w:rsidRDefault="001F7667">
            <w:pPr>
              <w:pStyle w:val="P68B1DB1-Normal12"/>
              <w:jc w:val="center"/>
              <w:rPr>
                <w:noProof/>
              </w:rPr>
            </w:pPr>
            <w:r>
              <w:rPr>
                <w:noProof/>
              </w:rPr>
              <w:t xml:space="preserve">M2C2—42 BIS </w:t>
            </w:r>
          </w:p>
        </w:tc>
        <w:tc>
          <w:tcPr>
            <w:tcW w:w="3195" w:type="dxa"/>
            <w:tcBorders>
              <w:top w:val="nil"/>
              <w:left w:val="nil"/>
              <w:bottom w:val="single" w:sz="4" w:space="0" w:color="auto"/>
              <w:right w:val="single" w:sz="4" w:space="0" w:color="auto"/>
            </w:tcBorders>
            <w:shd w:val="clear" w:color="auto" w:fill="C6EFCE"/>
            <w:noWrap/>
            <w:vAlign w:val="center"/>
          </w:tcPr>
          <w:p w14:paraId="4694CCB3" w14:textId="77777777" w:rsidR="006054AA" w:rsidRDefault="001F7667">
            <w:pPr>
              <w:pStyle w:val="P68B1DB1-Normal12"/>
              <w:jc w:val="center"/>
              <w:rPr>
                <w:noProof/>
              </w:rPr>
            </w:pPr>
            <w:r>
              <w:rPr>
                <w:noProof/>
              </w:rPr>
              <w:t xml:space="preserve">Инвестиция 5.4 — Подкрепа за стартиращи предприятия и рисков капитал, активен в екологичния преход.  </w:t>
            </w:r>
          </w:p>
        </w:tc>
        <w:tc>
          <w:tcPr>
            <w:tcW w:w="1378" w:type="dxa"/>
            <w:tcBorders>
              <w:top w:val="nil"/>
              <w:left w:val="nil"/>
              <w:bottom w:val="single" w:sz="4" w:space="0" w:color="auto"/>
              <w:right w:val="single" w:sz="4" w:space="0" w:color="auto"/>
            </w:tcBorders>
            <w:shd w:val="clear" w:color="auto" w:fill="C6EFCE"/>
            <w:noWrap/>
            <w:vAlign w:val="center"/>
          </w:tcPr>
          <w:p w14:paraId="557DBA08" w14:textId="77777777" w:rsidR="006054AA" w:rsidRDefault="001F7667">
            <w:pPr>
              <w:pStyle w:val="P68B1DB1-Normal12"/>
              <w:jc w:val="center"/>
              <w:rPr>
                <w:noProof/>
              </w:rPr>
            </w:pPr>
            <w:r>
              <w:rPr>
                <w:noProof/>
              </w:rPr>
              <w:t xml:space="preserve">Ключов етап </w:t>
            </w:r>
          </w:p>
        </w:tc>
        <w:tc>
          <w:tcPr>
            <w:tcW w:w="4166" w:type="dxa"/>
            <w:tcBorders>
              <w:top w:val="nil"/>
              <w:left w:val="nil"/>
              <w:bottom w:val="single" w:sz="4" w:space="0" w:color="auto"/>
              <w:right w:val="single" w:sz="4" w:space="0" w:color="auto"/>
            </w:tcBorders>
            <w:shd w:val="clear" w:color="auto" w:fill="C6EFCE"/>
            <w:noWrap/>
            <w:vAlign w:val="center"/>
          </w:tcPr>
          <w:p w14:paraId="535697ED" w14:textId="77777777" w:rsidR="006054AA" w:rsidRDefault="001F7667">
            <w:pPr>
              <w:pStyle w:val="P68B1DB1-Normal12"/>
              <w:jc w:val="center"/>
              <w:rPr>
                <w:noProof/>
              </w:rPr>
            </w:pPr>
            <w:r>
              <w:rPr>
                <w:noProof/>
              </w:rPr>
              <w:t xml:space="preserve">Министерството приключи прехвърлянето на средства към CDP Venture Capital SGR </w:t>
            </w:r>
          </w:p>
        </w:tc>
      </w:tr>
      <w:tr w:rsidR="006054AA" w14:paraId="1D1E6A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8FCA" w14:textId="77777777" w:rsidR="006054AA" w:rsidRDefault="001F7667">
            <w:pPr>
              <w:pStyle w:val="P68B1DB1-Normal12"/>
              <w:jc w:val="center"/>
              <w:rPr>
                <w:noProof/>
              </w:rPr>
            </w:pPr>
            <w:r>
              <w:rPr>
                <w:noProof/>
              </w:rPr>
              <w:t>M2C2—44</w:t>
            </w:r>
          </w:p>
        </w:tc>
        <w:tc>
          <w:tcPr>
            <w:tcW w:w="3195" w:type="dxa"/>
            <w:tcBorders>
              <w:top w:val="nil"/>
              <w:left w:val="nil"/>
              <w:bottom w:val="single" w:sz="4" w:space="0" w:color="auto"/>
              <w:right w:val="single" w:sz="4" w:space="0" w:color="auto"/>
            </w:tcBorders>
            <w:shd w:val="clear" w:color="auto" w:fill="C6EFCE"/>
            <w:noWrap/>
            <w:vAlign w:val="center"/>
          </w:tcPr>
          <w:p w14:paraId="42300AE1" w14:textId="77777777" w:rsidR="006054AA" w:rsidRDefault="001F7667">
            <w:pPr>
              <w:pStyle w:val="P68B1DB1-Normal12"/>
              <w:jc w:val="center"/>
              <w:rPr>
                <w:noProof/>
              </w:rPr>
            </w:pPr>
            <w:r>
              <w:rPr>
                <w:noProof/>
              </w:rPr>
              <w:t>Инвестиция 1.1 Развитие на агроволтаични системи</w:t>
            </w:r>
          </w:p>
        </w:tc>
        <w:tc>
          <w:tcPr>
            <w:tcW w:w="1378" w:type="dxa"/>
            <w:tcBorders>
              <w:top w:val="nil"/>
              <w:left w:val="nil"/>
              <w:bottom w:val="single" w:sz="4" w:space="0" w:color="auto"/>
              <w:right w:val="single" w:sz="4" w:space="0" w:color="auto"/>
            </w:tcBorders>
            <w:shd w:val="clear" w:color="auto" w:fill="C6EFCE"/>
            <w:noWrap/>
            <w:vAlign w:val="center"/>
          </w:tcPr>
          <w:p w14:paraId="481E330D"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49996758" w14:textId="77777777" w:rsidR="006054AA" w:rsidRDefault="001F7667">
            <w:pPr>
              <w:pStyle w:val="P68B1DB1-Normal12"/>
              <w:jc w:val="center"/>
              <w:rPr>
                <w:noProof/>
              </w:rPr>
            </w:pPr>
            <w:r>
              <w:rPr>
                <w:noProof/>
              </w:rPr>
              <w:t>Възлагане на всички обществени поръчки за инсталиране на фотоволтаични слънчеви панели в агрофотоволтаични системи</w:t>
            </w:r>
          </w:p>
        </w:tc>
      </w:tr>
      <w:tr w:rsidR="006054AA" w14:paraId="06E75A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F5AC13" w14:textId="77777777" w:rsidR="006054AA" w:rsidRDefault="001F7667">
            <w:pPr>
              <w:pStyle w:val="P68B1DB1-Normal12"/>
              <w:jc w:val="center"/>
              <w:rPr>
                <w:noProof/>
              </w:rPr>
            </w:pPr>
            <w:r>
              <w:rPr>
                <w:noProof/>
              </w:rPr>
              <w:t>M2C4—22</w:t>
            </w:r>
          </w:p>
        </w:tc>
        <w:tc>
          <w:tcPr>
            <w:tcW w:w="3195" w:type="dxa"/>
            <w:tcBorders>
              <w:top w:val="nil"/>
              <w:left w:val="nil"/>
              <w:bottom w:val="single" w:sz="4" w:space="0" w:color="auto"/>
              <w:right w:val="single" w:sz="4" w:space="0" w:color="auto"/>
            </w:tcBorders>
            <w:shd w:val="clear" w:color="auto" w:fill="C6EFCE"/>
            <w:noWrap/>
            <w:vAlign w:val="center"/>
          </w:tcPr>
          <w:p w14:paraId="15D712F2" w14:textId="77777777" w:rsidR="006054AA" w:rsidRDefault="001F7667">
            <w:pPr>
              <w:pStyle w:val="P68B1DB1-Normal12"/>
              <w:jc w:val="center"/>
              <w:rPr>
                <w:noProof/>
              </w:rPr>
            </w:pPr>
            <w:r>
              <w:rPr>
                <w:noProof/>
              </w:rPr>
              <w:t>Инвестиция 3.3 — Възстановяване на натурализацията на района на По</w:t>
            </w:r>
          </w:p>
        </w:tc>
        <w:tc>
          <w:tcPr>
            <w:tcW w:w="1378" w:type="dxa"/>
            <w:tcBorders>
              <w:top w:val="nil"/>
              <w:left w:val="nil"/>
              <w:bottom w:val="single" w:sz="4" w:space="0" w:color="auto"/>
              <w:right w:val="single" w:sz="4" w:space="0" w:color="auto"/>
            </w:tcBorders>
            <w:shd w:val="clear" w:color="auto" w:fill="C6EFCE"/>
            <w:noWrap/>
            <w:vAlign w:val="center"/>
          </w:tcPr>
          <w:p w14:paraId="76FE90AC"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1F01109F" w14:textId="77777777" w:rsidR="006054AA" w:rsidRDefault="001F7667">
            <w:pPr>
              <w:pStyle w:val="P68B1DB1-Normal12"/>
              <w:jc w:val="center"/>
              <w:rPr>
                <w:noProof/>
              </w:rPr>
            </w:pPr>
            <w:r>
              <w:rPr>
                <w:noProof/>
              </w:rPr>
              <w:t xml:space="preserve">Намаляване на изкуствеността на речното корито с цел повторно натурализиране на област Po T1 </w:t>
            </w:r>
          </w:p>
        </w:tc>
      </w:tr>
      <w:tr w:rsidR="006054AA" w14:paraId="2C4F62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D8BA8" w14:textId="77777777" w:rsidR="006054AA" w:rsidRDefault="001F7667">
            <w:pPr>
              <w:pStyle w:val="P68B1DB1-Normal12"/>
              <w:jc w:val="center"/>
              <w:rPr>
                <w:noProof/>
              </w:rPr>
            </w:pPr>
            <w:r>
              <w:rPr>
                <w:noProof/>
              </w:rPr>
              <w:t>M2C4—28bis</w:t>
            </w:r>
          </w:p>
        </w:tc>
        <w:tc>
          <w:tcPr>
            <w:tcW w:w="3195" w:type="dxa"/>
            <w:tcBorders>
              <w:top w:val="nil"/>
              <w:left w:val="nil"/>
              <w:bottom w:val="single" w:sz="4" w:space="0" w:color="auto"/>
              <w:right w:val="single" w:sz="4" w:space="0" w:color="auto"/>
            </w:tcBorders>
            <w:shd w:val="clear" w:color="auto" w:fill="C6EFCE"/>
            <w:noWrap/>
            <w:vAlign w:val="center"/>
          </w:tcPr>
          <w:p w14:paraId="0F63A066" w14:textId="77777777" w:rsidR="006054AA" w:rsidRDefault="001F7667">
            <w:pPr>
              <w:pStyle w:val="P68B1DB1-Normal12"/>
              <w:jc w:val="center"/>
              <w:rPr>
                <w:noProof/>
              </w:rPr>
            </w:pPr>
            <w:r>
              <w:rPr>
                <w:noProof/>
              </w:rPr>
              <w:t>Инвестиция 4.1. Инвестиции в първични водни инфраструктури за сигурността на водоснабдяването</w:t>
            </w:r>
          </w:p>
        </w:tc>
        <w:tc>
          <w:tcPr>
            <w:tcW w:w="1378" w:type="dxa"/>
            <w:tcBorders>
              <w:top w:val="nil"/>
              <w:left w:val="nil"/>
              <w:bottom w:val="single" w:sz="4" w:space="0" w:color="auto"/>
              <w:right w:val="single" w:sz="4" w:space="0" w:color="auto"/>
            </w:tcBorders>
            <w:shd w:val="clear" w:color="auto" w:fill="C6EFCE"/>
            <w:noWrap/>
            <w:vAlign w:val="center"/>
          </w:tcPr>
          <w:p w14:paraId="7C0D1FF9"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1E909922" w14:textId="77777777" w:rsidR="006054AA" w:rsidRDefault="001F7667">
            <w:pPr>
              <w:pStyle w:val="P68B1DB1-Normal12"/>
              <w:jc w:val="center"/>
              <w:rPr>
                <w:noProof/>
              </w:rPr>
            </w:pPr>
            <w:r>
              <w:rPr>
                <w:noProof/>
              </w:rPr>
              <w:t xml:space="preserve">Възлагане на (всички) обществени поръчки за инвестиции в първична водна инфраструктура и за сигурност на водоснабдяването </w:t>
            </w:r>
          </w:p>
        </w:tc>
      </w:tr>
      <w:tr w:rsidR="006054AA" w14:paraId="09EBD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877395" w14:textId="77777777" w:rsidR="006054AA" w:rsidRDefault="001F7667">
            <w:pPr>
              <w:pStyle w:val="P68B1DB1-Normal12"/>
              <w:jc w:val="center"/>
              <w:rPr>
                <w:noProof/>
              </w:rPr>
            </w:pPr>
            <w:r>
              <w:rPr>
                <w:noProof/>
              </w:rPr>
              <w:t>M2C4—31</w:t>
            </w:r>
          </w:p>
        </w:tc>
        <w:tc>
          <w:tcPr>
            <w:tcW w:w="3195" w:type="dxa"/>
            <w:tcBorders>
              <w:top w:val="nil"/>
              <w:left w:val="nil"/>
              <w:bottom w:val="single" w:sz="4" w:space="0" w:color="auto"/>
              <w:right w:val="single" w:sz="4" w:space="0" w:color="auto"/>
            </w:tcBorders>
            <w:shd w:val="clear" w:color="auto" w:fill="C6EFCE"/>
            <w:noWrap/>
            <w:vAlign w:val="center"/>
          </w:tcPr>
          <w:p w14:paraId="736A04B3" w14:textId="77777777" w:rsidR="006054AA" w:rsidRDefault="001F7667">
            <w:pPr>
              <w:pStyle w:val="P68B1DB1-Normal12"/>
              <w:jc w:val="center"/>
              <w:rPr>
                <w:noProof/>
              </w:rPr>
            </w:pPr>
            <w:r>
              <w:rPr>
                <w:noProof/>
              </w:rPr>
              <w:t>Инвестиция 4.2. Намаляване на загубите във водоразпределителните мрежи, включително цифровизация и мониторинг на мрежите</w:t>
            </w:r>
          </w:p>
        </w:tc>
        <w:tc>
          <w:tcPr>
            <w:tcW w:w="1378" w:type="dxa"/>
            <w:tcBorders>
              <w:top w:val="nil"/>
              <w:left w:val="nil"/>
              <w:bottom w:val="single" w:sz="4" w:space="0" w:color="auto"/>
              <w:right w:val="single" w:sz="4" w:space="0" w:color="auto"/>
            </w:tcBorders>
            <w:shd w:val="clear" w:color="auto" w:fill="C6EFCE"/>
            <w:noWrap/>
            <w:vAlign w:val="center"/>
          </w:tcPr>
          <w:p w14:paraId="454344AF"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40AEB894" w14:textId="77777777" w:rsidR="006054AA" w:rsidRDefault="001F7667">
            <w:pPr>
              <w:pStyle w:val="P68B1DB1-Normal12"/>
              <w:jc w:val="center"/>
              <w:rPr>
                <w:noProof/>
              </w:rPr>
            </w:pPr>
            <w:r>
              <w:rPr>
                <w:noProof/>
              </w:rPr>
              <w:t>Интервенции във водоразпределителните мрежи, включително цифровизация и мониторинг на мрежите T1</w:t>
            </w:r>
          </w:p>
        </w:tc>
      </w:tr>
      <w:tr w:rsidR="006054AA" w14:paraId="5EF2E2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E87AC0" w14:textId="77777777" w:rsidR="006054AA" w:rsidRDefault="001F7667">
            <w:pPr>
              <w:pStyle w:val="P68B1DB1-Normal12"/>
              <w:jc w:val="center"/>
              <w:rPr>
                <w:noProof/>
              </w:rPr>
            </w:pPr>
            <w:r>
              <w:rPr>
                <w:noProof/>
              </w:rPr>
              <w:t>M2C4—34</w:t>
            </w:r>
          </w:p>
        </w:tc>
        <w:tc>
          <w:tcPr>
            <w:tcW w:w="3195" w:type="dxa"/>
            <w:tcBorders>
              <w:top w:val="nil"/>
              <w:left w:val="nil"/>
              <w:bottom w:val="single" w:sz="4" w:space="0" w:color="auto"/>
              <w:right w:val="single" w:sz="4" w:space="0" w:color="auto"/>
            </w:tcBorders>
            <w:shd w:val="clear" w:color="auto" w:fill="C6EFCE"/>
            <w:noWrap/>
            <w:vAlign w:val="center"/>
          </w:tcPr>
          <w:p w14:paraId="6CB9E885" w14:textId="77777777" w:rsidR="006054AA" w:rsidRDefault="001F7667">
            <w:pPr>
              <w:pStyle w:val="P68B1DB1-Normal12"/>
              <w:jc w:val="center"/>
              <w:rPr>
                <w:noProof/>
              </w:rPr>
            </w:pPr>
            <w:r>
              <w:rPr>
                <w:noProof/>
              </w:rPr>
              <w:t>Инвестиция 4.3 Инвестиции в устойчивостта на напоителната агросистема за по-добро управление на водните ресурси</w:t>
            </w:r>
          </w:p>
        </w:tc>
        <w:tc>
          <w:tcPr>
            <w:tcW w:w="1378" w:type="dxa"/>
            <w:tcBorders>
              <w:top w:val="nil"/>
              <w:left w:val="nil"/>
              <w:bottom w:val="single" w:sz="4" w:space="0" w:color="auto"/>
              <w:right w:val="single" w:sz="4" w:space="0" w:color="auto"/>
            </w:tcBorders>
            <w:shd w:val="clear" w:color="auto" w:fill="C6EFCE"/>
            <w:noWrap/>
            <w:vAlign w:val="center"/>
          </w:tcPr>
          <w:p w14:paraId="331A2F2D"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0E90AABE" w14:textId="77777777" w:rsidR="006054AA" w:rsidRDefault="001F7667">
            <w:pPr>
              <w:pStyle w:val="P68B1DB1-Normal12"/>
              <w:jc w:val="center"/>
              <w:rPr>
                <w:noProof/>
              </w:rPr>
            </w:pPr>
            <w:r>
              <w:rPr>
                <w:noProof/>
              </w:rPr>
              <w:t>Интервенции за устойчивостта на напоителната агросистема за по-добро управление на водните ресурси Т1</w:t>
            </w:r>
          </w:p>
        </w:tc>
      </w:tr>
      <w:tr w:rsidR="006054AA" w14:paraId="707E3F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F6EA38" w14:textId="77777777" w:rsidR="006054AA" w:rsidRDefault="001F7667">
            <w:pPr>
              <w:pStyle w:val="P68B1DB1-Normal12"/>
              <w:jc w:val="center"/>
              <w:rPr>
                <w:noProof/>
              </w:rPr>
            </w:pPr>
            <w:r>
              <w:rPr>
                <w:noProof/>
              </w:rPr>
              <w:t>M2C4—35</w:t>
            </w:r>
          </w:p>
        </w:tc>
        <w:tc>
          <w:tcPr>
            <w:tcW w:w="3195" w:type="dxa"/>
            <w:tcBorders>
              <w:top w:val="nil"/>
              <w:left w:val="nil"/>
              <w:bottom w:val="single" w:sz="4" w:space="0" w:color="auto"/>
              <w:right w:val="single" w:sz="4" w:space="0" w:color="auto"/>
            </w:tcBorders>
            <w:shd w:val="clear" w:color="auto" w:fill="C6EFCE"/>
            <w:noWrap/>
            <w:vAlign w:val="center"/>
          </w:tcPr>
          <w:p w14:paraId="69843252" w14:textId="77777777" w:rsidR="006054AA" w:rsidRDefault="001F7667">
            <w:pPr>
              <w:pStyle w:val="P68B1DB1-Normal12"/>
              <w:jc w:val="center"/>
              <w:rPr>
                <w:noProof/>
              </w:rPr>
            </w:pPr>
            <w:r>
              <w:rPr>
                <w:noProof/>
              </w:rPr>
              <w:t>Инвестиция 4.3 Инвестиции в устойчивостта на напоителната агросистема за по-добро управление на водните ресурси</w:t>
            </w:r>
          </w:p>
        </w:tc>
        <w:tc>
          <w:tcPr>
            <w:tcW w:w="1378" w:type="dxa"/>
            <w:tcBorders>
              <w:top w:val="nil"/>
              <w:left w:val="nil"/>
              <w:bottom w:val="single" w:sz="4" w:space="0" w:color="auto"/>
              <w:right w:val="single" w:sz="4" w:space="0" w:color="auto"/>
            </w:tcBorders>
            <w:shd w:val="clear" w:color="auto" w:fill="C6EFCE"/>
            <w:noWrap/>
            <w:vAlign w:val="center"/>
          </w:tcPr>
          <w:p w14:paraId="0F8B54AD"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6F3C1F00" w14:textId="77777777" w:rsidR="006054AA" w:rsidRDefault="001F7667">
            <w:pPr>
              <w:pStyle w:val="P68B1DB1-Normal12"/>
              <w:jc w:val="center"/>
              <w:rPr>
                <w:noProof/>
              </w:rPr>
            </w:pPr>
            <w:r>
              <w:rPr>
                <w:noProof/>
              </w:rPr>
              <w:t>Интервенции за устойчивостта на напоителната агросистема за по-добро управление на водните ресурси Т1</w:t>
            </w:r>
          </w:p>
        </w:tc>
      </w:tr>
      <w:tr w:rsidR="006054AA" w14:paraId="5080E0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43FAE1" w14:textId="77777777" w:rsidR="006054AA" w:rsidRDefault="001F7667">
            <w:pPr>
              <w:pStyle w:val="P68B1DB1-Normal12"/>
              <w:jc w:val="center"/>
              <w:rPr>
                <w:noProof/>
              </w:rPr>
            </w:pPr>
            <w:r>
              <w:rPr>
                <w:noProof/>
              </w:rPr>
              <w:t>M2C4—37</w:t>
            </w:r>
          </w:p>
        </w:tc>
        <w:tc>
          <w:tcPr>
            <w:tcW w:w="3195" w:type="dxa"/>
            <w:tcBorders>
              <w:top w:val="nil"/>
              <w:left w:val="nil"/>
              <w:bottom w:val="single" w:sz="4" w:space="0" w:color="auto"/>
              <w:right w:val="single" w:sz="4" w:space="0" w:color="auto"/>
            </w:tcBorders>
            <w:shd w:val="clear" w:color="auto" w:fill="C6EFCE"/>
            <w:noWrap/>
            <w:vAlign w:val="center"/>
          </w:tcPr>
          <w:p w14:paraId="68FC6AC5" w14:textId="77777777" w:rsidR="006054AA" w:rsidRDefault="001F7667">
            <w:pPr>
              <w:pStyle w:val="P68B1DB1-Normal12"/>
              <w:jc w:val="center"/>
              <w:rPr>
                <w:noProof/>
              </w:rPr>
            </w:pPr>
            <w:r>
              <w:rPr>
                <w:noProof/>
              </w:rPr>
              <w:t>Инвестиция 4.4 Инвестиции в канализация и пречистване</w:t>
            </w:r>
          </w:p>
        </w:tc>
        <w:tc>
          <w:tcPr>
            <w:tcW w:w="1378" w:type="dxa"/>
            <w:tcBorders>
              <w:top w:val="nil"/>
              <w:left w:val="nil"/>
              <w:bottom w:val="single" w:sz="4" w:space="0" w:color="auto"/>
              <w:right w:val="single" w:sz="4" w:space="0" w:color="auto"/>
            </w:tcBorders>
            <w:shd w:val="clear" w:color="auto" w:fill="C6EFCE"/>
            <w:noWrap/>
            <w:vAlign w:val="center"/>
          </w:tcPr>
          <w:p w14:paraId="3698EA06"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2356B595" w14:textId="77777777" w:rsidR="006054AA" w:rsidRDefault="001F7667">
            <w:pPr>
              <w:pStyle w:val="P68B1DB1-Normal12"/>
              <w:jc w:val="center"/>
              <w:rPr>
                <w:noProof/>
              </w:rPr>
            </w:pPr>
            <w:r>
              <w:rPr>
                <w:noProof/>
              </w:rPr>
              <w:t>Интервенции за канализация и пречистване Т1</w:t>
            </w:r>
          </w:p>
        </w:tc>
      </w:tr>
      <w:tr w:rsidR="006054AA" w14:paraId="72A144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42E9F2" w14:textId="77777777" w:rsidR="006054AA" w:rsidRDefault="001F7667">
            <w:pPr>
              <w:pStyle w:val="P68B1DB1-Normal12"/>
              <w:jc w:val="center"/>
              <w:rPr>
                <w:noProof/>
              </w:rPr>
            </w:pPr>
            <w:r>
              <w:rPr>
                <w:noProof/>
              </w:rPr>
              <w:t>M3C1—15</w:t>
            </w:r>
          </w:p>
        </w:tc>
        <w:tc>
          <w:tcPr>
            <w:tcW w:w="3195" w:type="dxa"/>
            <w:tcBorders>
              <w:top w:val="nil"/>
              <w:left w:val="nil"/>
              <w:bottom w:val="single" w:sz="4" w:space="0" w:color="auto"/>
              <w:right w:val="single" w:sz="4" w:space="0" w:color="auto"/>
            </w:tcBorders>
            <w:shd w:val="clear" w:color="auto" w:fill="C6EFCE"/>
            <w:noWrap/>
            <w:vAlign w:val="center"/>
          </w:tcPr>
          <w:p w14:paraId="5115EC0A" w14:textId="77777777" w:rsidR="006054AA" w:rsidRDefault="001F7667">
            <w:pPr>
              <w:pStyle w:val="P68B1DB1-Normal12"/>
              <w:jc w:val="center"/>
              <w:rPr>
                <w:noProof/>
              </w:rPr>
            </w:pPr>
            <w:r>
              <w:rPr>
                <w:noProof/>
              </w:rPr>
              <w:t>Инвестиция 1.5 — Укрепване на метрополните възли и ключови национални връзки</w:t>
            </w:r>
          </w:p>
        </w:tc>
        <w:tc>
          <w:tcPr>
            <w:tcW w:w="1378" w:type="dxa"/>
            <w:tcBorders>
              <w:top w:val="nil"/>
              <w:left w:val="nil"/>
              <w:bottom w:val="single" w:sz="4" w:space="0" w:color="auto"/>
              <w:right w:val="single" w:sz="4" w:space="0" w:color="auto"/>
            </w:tcBorders>
            <w:shd w:val="clear" w:color="auto" w:fill="C6EFCE"/>
            <w:noWrap/>
            <w:vAlign w:val="center"/>
          </w:tcPr>
          <w:p w14:paraId="510D10AD"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7D459CE7" w14:textId="77777777" w:rsidR="006054AA" w:rsidRDefault="001F7667">
            <w:pPr>
              <w:pStyle w:val="P68B1DB1-Normal12"/>
              <w:jc w:val="center"/>
              <w:rPr>
                <w:noProof/>
              </w:rPr>
            </w:pPr>
            <w:r>
              <w:rPr>
                <w:noProof/>
              </w:rPr>
              <w:t>700 км модернизирани участъци от линии, изградени върху метрополни възли и ключови национални връзки</w:t>
            </w:r>
          </w:p>
        </w:tc>
      </w:tr>
      <w:tr w:rsidR="006054AA" w14:paraId="6D2533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DC2210" w14:textId="77777777" w:rsidR="006054AA" w:rsidRDefault="001F7667">
            <w:pPr>
              <w:pStyle w:val="P68B1DB1-Normal12"/>
              <w:jc w:val="center"/>
              <w:rPr>
                <w:noProof/>
              </w:rPr>
            </w:pPr>
            <w:r>
              <w:rPr>
                <w:noProof/>
              </w:rPr>
              <w:t>M3C1—19</w:t>
            </w:r>
          </w:p>
        </w:tc>
        <w:tc>
          <w:tcPr>
            <w:tcW w:w="3195" w:type="dxa"/>
            <w:tcBorders>
              <w:top w:val="nil"/>
              <w:left w:val="nil"/>
              <w:bottom w:val="single" w:sz="4" w:space="0" w:color="auto"/>
              <w:right w:val="single" w:sz="4" w:space="0" w:color="auto"/>
            </w:tcBorders>
            <w:shd w:val="clear" w:color="auto" w:fill="C6EFCE"/>
            <w:noWrap/>
            <w:vAlign w:val="center"/>
          </w:tcPr>
          <w:p w14:paraId="2B138DD1" w14:textId="77777777" w:rsidR="006054AA" w:rsidRDefault="001F7667">
            <w:pPr>
              <w:pStyle w:val="P68B1DB1-Normal12"/>
              <w:jc w:val="center"/>
              <w:rPr>
                <w:noProof/>
              </w:rPr>
            </w:pPr>
            <w:r>
              <w:rPr>
                <w:noProof/>
              </w:rPr>
              <w:t>Инвестиция 1.8 — Модернизиране на железопътните гари (управление на ИИ; на юг)</w:t>
            </w:r>
          </w:p>
        </w:tc>
        <w:tc>
          <w:tcPr>
            <w:tcW w:w="1378" w:type="dxa"/>
            <w:tcBorders>
              <w:top w:val="nil"/>
              <w:left w:val="nil"/>
              <w:bottom w:val="single" w:sz="4" w:space="0" w:color="auto"/>
              <w:right w:val="single" w:sz="4" w:space="0" w:color="auto"/>
            </w:tcBorders>
            <w:shd w:val="clear" w:color="auto" w:fill="C6EFCE"/>
            <w:noWrap/>
            <w:vAlign w:val="center"/>
          </w:tcPr>
          <w:p w14:paraId="283441C6"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77CC2144" w14:textId="77777777" w:rsidR="006054AA" w:rsidRDefault="001F7667">
            <w:pPr>
              <w:pStyle w:val="P68B1DB1-Normal12"/>
              <w:jc w:val="center"/>
              <w:rPr>
                <w:noProof/>
              </w:rPr>
            </w:pPr>
            <w:r>
              <w:rPr>
                <w:noProof/>
              </w:rPr>
              <w:t>Модернизирани и достъпни железопътни гари</w:t>
            </w:r>
          </w:p>
        </w:tc>
      </w:tr>
      <w:tr w:rsidR="006054AA" w14:paraId="3A4A79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4204E3" w14:textId="77777777" w:rsidR="006054AA" w:rsidRDefault="001F7667">
            <w:pPr>
              <w:pStyle w:val="P68B1DB1-Normal12"/>
              <w:jc w:val="center"/>
              <w:rPr>
                <w:noProof/>
              </w:rPr>
            </w:pPr>
            <w:r>
              <w:rPr>
                <w:noProof/>
              </w:rPr>
              <w:t>M4C2—21bis</w:t>
            </w:r>
          </w:p>
        </w:tc>
        <w:tc>
          <w:tcPr>
            <w:tcW w:w="3195" w:type="dxa"/>
            <w:tcBorders>
              <w:top w:val="nil"/>
              <w:left w:val="nil"/>
              <w:bottom w:val="single" w:sz="4" w:space="0" w:color="auto"/>
              <w:right w:val="single" w:sz="4" w:space="0" w:color="auto"/>
            </w:tcBorders>
            <w:shd w:val="clear" w:color="auto" w:fill="C6EFCE"/>
            <w:noWrap/>
            <w:vAlign w:val="center"/>
          </w:tcPr>
          <w:p w14:paraId="4AC24D35" w14:textId="77777777" w:rsidR="006054AA" w:rsidRDefault="001F7667">
            <w:pPr>
              <w:pStyle w:val="P68B1DB1-Normal12"/>
              <w:jc w:val="center"/>
              <w:rPr>
                <w:noProof/>
              </w:rPr>
            </w:pPr>
            <w:r>
              <w:rPr>
                <w:noProof/>
              </w:rPr>
              <w:t xml:space="preserve">Инвестиция 5.4 — Финансиране на стартиращи предприятия </w:t>
            </w:r>
          </w:p>
        </w:tc>
        <w:tc>
          <w:tcPr>
            <w:tcW w:w="1378" w:type="dxa"/>
            <w:tcBorders>
              <w:top w:val="nil"/>
              <w:left w:val="nil"/>
              <w:bottom w:val="single" w:sz="4" w:space="0" w:color="auto"/>
              <w:right w:val="single" w:sz="4" w:space="0" w:color="auto"/>
            </w:tcBorders>
            <w:shd w:val="clear" w:color="auto" w:fill="C6EFCE"/>
            <w:noWrap/>
            <w:vAlign w:val="center"/>
          </w:tcPr>
          <w:p w14:paraId="1B18D4CE" w14:textId="1C59416A"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22A8A18E" w14:textId="77777777" w:rsidR="006054AA" w:rsidRDefault="001F7667">
            <w:pPr>
              <w:pStyle w:val="P68B1DB1-Normal12"/>
              <w:jc w:val="center"/>
              <w:rPr>
                <w:noProof/>
              </w:rPr>
            </w:pPr>
            <w:r>
              <w:rPr>
                <w:noProof/>
              </w:rPr>
              <w:t>Министерството приключи прехвърлянето на средства към CDP Venture Capital SGR</w:t>
            </w:r>
          </w:p>
        </w:tc>
      </w:tr>
      <w:tr w:rsidR="006054AA" w14:paraId="7E234D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DAD49" w14:textId="77777777" w:rsidR="006054AA" w:rsidRDefault="001F7667">
            <w:pPr>
              <w:pStyle w:val="P68B1DB1-Normal12"/>
              <w:jc w:val="center"/>
              <w:rPr>
                <w:noProof/>
              </w:rPr>
            </w:pPr>
            <w:r>
              <w:rPr>
                <w:noProof/>
              </w:rPr>
              <w:t>M6C1—7</w:t>
            </w:r>
          </w:p>
        </w:tc>
        <w:tc>
          <w:tcPr>
            <w:tcW w:w="3195" w:type="dxa"/>
            <w:tcBorders>
              <w:top w:val="nil"/>
              <w:left w:val="nil"/>
              <w:bottom w:val="single" w:sz="4" w:space="0" w:color="auto"/>
              <w:right w:val="single" w:sz="4" w:space="0" w:color="auto"/>
            </w:tcBorders>
            <w:shd w:val="clear" w:color="auto" w:fill="C6EFCE"/>
            <w:noWrap/>
            <w:vAlign w:val="center"/>
          </w:tcPr>
          <w:p w14:paraId="4B8DA994" w14:textId="77777777" w:rsidR="006054AA" w:rsidRDefault="001F7667">
            <w:pPr>
              <w:pStyle w:val="P68B1DB1-Normal12"/>
              <w:jc w:val="center"/>
              <w:rPr>
                <w:noProof/>
              </w:rPr>
            </w:pPr>
            <w:r>
              <w:rPr>
                <w:noProof/>
              </w:rPr>
              <w:t>Инвестиция 1.2: Дом като първо място за полагане на грижи и телемедицина</w:t>
            </w:r>
          </w:p>
        </w:tc>
        <w:tc>
          <w:tcPr>
            <w:tcW w:w="1378" w:type="dxa"/>
            <w:tcBorders>
              <w:top w:val="nil"/>
              <w:left w:val="nil"/>
              <w:bottom w:val="single" w:sz="4" w:space="0" w:color="auto"/>
              <w:right w:val="single" w:sz="4" w:space="0" w:color="auto"/>
            </w:tcBorders>
            <w:shd w:val="clear" w:color="auto" w:fill="C6EFCE"/>
            <w:noWrap/>
            <w:vAlign w:val="center"/>
          </w:tcPr>
          <w:p w14:paraId="14AF675D" w14:textId="77777777" w:rsidR="006054AA" w:rsidRDefault="001F7667">
            <w:pPr>
              <w:pStyle w:val="P68B1DB1-Normal12"/>
              <w:jc w:val="center"/>
              <w:rPr>
                <w:noProof/>
              </w:rPr>
            </w:pPr>
            <w:r>
              <w:rPr>
                <w:noProof/>
              </w:rPr>
              <w:t>Целеви</w:t>
            </w:r>
          </w:p>
        </w:tc>
        <w:tc>
          <w:tcPr>
            <w:tcW w:w="4166" w:type="dxa"/>
            <w:tcBorders>
              <w:top w:val="nil"/>
              <w:left w:val="nil"/>
              <w:bottom w:val="single" w:sz="4" w:space="0" w:color="auto"/>
              <w:right w:val="single" w:sz="4" w:space="0" w:color="auto"/>
            </w:tcBorders>
            <w:shd w:val="clear" w:color="auto" w:fill="C6EFCE"/>
            <w:noWrap/>
            <w:vAlign w:val="center"/>
          </w:tcPr>
          <w:p w14:paraId="281D1109" w14:textId="77777777" w:rsidR="006054AA" w:rsidRDefault="001F7667">
            <w:pPr>
              <w:pStyle w:val="P68B1DB1-Normal12"/>
              <w:jc w:val="center"/>
              <w:rPr>
                <w:noProof/>
              </w:rPr>
            </w:pPr>
            <w:r>
              <w:rPr>
                <w:noProof/>
              </w:rPr>
              <w:t>Координационните центрове функционират пълноценно (втора партида)</w:t>
            </w:r>
          </w:p>
        </w:tc>
      </w:tr>
      <w:tr w:rsidR="006054AA" w14:paraId="4FA742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56846F" w14:textId="77777777" w:rsidR="006054AA" w:rsidRDefault="001F7667">
            <w:pPr>
              <w:pStyle w:val="P68B1DB1-Normal12"/>
              <w:jc w:val="center"/>
              <w:rPr>
                <w:noProof/>
              </w:rPr>
            </w:pPr>
            <w:r>
              <w:rPr>
                <w:noProof/>
              </w:rPr>
              <w:t>M7—43</w:t>
            </w:r>
          </w:p>
        </w:tc>
        <w:tc>
          <w:tcPr>
            <w:tcW w:w="3195" w:type="dxa"/>
            <w:tcBorders>
              <w:top w:val="nil"/>
              <w:left w:val="nil"/>
              <w:bottom w:val="single" w:sz="4" w:space="0" w:color="auto"/>
              <w:right w:val="single" w:sz="4" w:space="0" w:color="auto"/>
            </w:tcBorders>
            <w:shd w:val="clear" w:color="auto" w:fill="C6EFCE"/>
            <w:noWrap/>
            <w:vAlign w:val="center"/>
          </w:tcPr>
          <w:p w14:paraId="31237290" w14:textId="77777777" w:rsidR="006054AA" w:rsidRDefault="001F7667">
            <w:pPr>
              <w:pStyle w:val="P68B1DB1-Normal12"/>
              <w:jc w:val="center"/>
              <w:rPr>
                <w:noProof/>
              </w:rPr>
            </w:pPr>
            <w:r>
              <w:rPr>
                <w:noProof/>
              </w:rPr>
              <w:t>Инвестиция 16: Подкрепа за МСП за собствено производство от възобновяеми енергийни източници</w:t>
            </w:r>
          </w:p>
        </w:tc>
        <w:tc>
          <w:tcPr>
            <w:tcW w:w="1378" w:type="dxa"/>
            <w:tcBorders>
              <w:top w:val="nil"/>
              <w:left w:val="nil"/>
              <w:bottom w:val="single" w:sz="4" w:space="0" w:color="auto"/>
              <w:right w:val="single" w:sz="4" w:space="0" w:color="auto"/>
            </w:tcBorders>
            <w:shd w:val="clear" w:color="auto" w:fill="C6EFCE"/>
            <w:noWrap/>
            <w:vAlign w:val="center"/>
          </w:tcPr>
          <w:p w14:paraId="37EEC8CB"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5E99DC5A" w14:textId="77777777" w:rsidR="006054AA" w:rsidRDefault="001F7667">
            <w:pPr>
              <w:pStyle w:val="P68B1DB1-Normal12"/>
              <w:jc w:val="center"/>
              <w:rPr>
                <w:noProof/>
              </w:rPr>
            </w:pPr>
            <w:r>
              <w:rPr>
                <w:noProof/>
              </w:rPr>
              <w:t>Споразумение за изпълнение</w:t>
            </w:r>
          </w:p>
        </w:tc>
      </w:tr>
      <w:tr w:rsidR="006054AA" w14:paraId="5C2E78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BEB2CB" w14:textId="77777777" w:rsidR="006054AA" w:rsidRDefault="001F7667">
            <w:pPr>
              <w:pStyle w:val="P68B1DB1-Normal12"/>
              <w:jc w:val="center"/>
              <w:rPr>
                <w:noProof/>
              </w:rPr>
            </w:pPr>
            <w:r>
              <w:rPr>
                <w:noProof/>
              </w:rPr>
              <w:t>M7—44</w:t>
            </w:r>
          </w:p>
        </w:tc>
        <w:tc>
          <w:tcPr>
            <w:tcW w:w="3195" w:type="dxa"/>
            <w:tcBorders>
              <w:top w:val="nil"/>
              <w:left w:val="nil"/>
              <w:bottom w:val="single" w:sz="4" w:space="0" w:color="auto"/>
              <w:right w:val="single" w:sz="4" w:space="0" w:color="auto"/>
            </w:tcBorders>
            <w:shd w:val="clear" w:color="auto" w:fill="C6EFCE"/>
            <w:noWrap/>
            <w:vAlign w:val="center"/>
          </w:tcPr>
          <w:p w14:paraId="54DE00E5" w14:textId="77777777" w:rsidR="006054AA" w:rsidRDefault="001F7667">
            <w:pPr>
              <w:pStyle w:val="P68B1DB1-Normal12"/>
              <w:jc w:val="center"/>
              <w:rPr>
                <w:noProof/>
              </w:rPr>
            </w:pPr>
            <w:r>
              <w:rPr>
                <w:noProof/>
              </w:rPr>
              <w:t>Инвестиция 16: Подкрепа за МСП за собствено производство от възобновяеми енергийни източници</w:t>
            </w:r>
          </w:p>
        </w:tc>
        <w:tc>
          <w:tcPr>
            <w:tcW w:w="1378" w:type="dxa"/>
            <w:tcBorders>
              <w:top w:val="nil"/>
              <w:left w:val="nil"/>
              <w:bottom w:val="single" w:sz="4" w:space="0" w:color="auto"/>
              <w:right w:val="single" w:sz="4" w:space="0" w:color="auto"/>
            </w:tcBorders>
            <w:shd w:val="clear" w:color="auto" w:fill="C6EFCE"/>
            <w:noWrap/>
            <w:vAlign w:val="center"/>
          </w:tcPr>
          <w:p w14:paraId="63D5214A"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026AF465" w14:textId="77777777" w:rsidR="006054AA" w:rsidRDefault="001F7667">
            <w:pPr>
              <w:pStyle w:val="P68B1DB1-Normal12"/>
              <w:jc w:val="center"/>
              <w:rPr>
                <w:noProof/>
              </w:rPr>
            </w:pPr>
            <w:r>
              <w:rPr>
                <w:noProof/>
              </w:rPr>
              <w:t>Министерството на предприятията и производителите в Италия е приключило прехвърлянето на средства към Invitalia</w:t>
            </w:r>
          </w:p>
        </w:tc>
      </w:tr>
      <w:tr w:rsidR="006054AA" w14:paraId="75428B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C9865" w14:textId="77777777" w:rsidR="006054AA" w:rsidRDefault="001F7667">
            <w:pPr>
              <w:pStyle w:val="P68B1DB1-Normal12"/>
              <w:jc w:val="center"/>
              <w:rPr>
                <w:noProof/>
              </w:rPr>
            </w:pPr>
            <w:r>
              <w:rPr>
                <w:noProof/>
              </w:rPr>
              <w:t>M7—48</w:t>
            </w:r>
          </w:p>
        </w:tc>
        <w:tc>
          <w:tcPr>
            <w:tcW w:w="3195" w:type="dxa"/>
            <w:tcBorders>
              <w:top w:val="nil"/>
              <w:left w:val="nil"/>
              <w:bottom w:val="single" w:sz="4" w:space="0" w:color="auto"/>
              <w:right w:val="single" w:sz="4" w:space="0" w:color="auto"/>
            </w:tcBorders>
            <w:shd w:val="clear" w:color="auto" w:fill="C6EFCE"/>
            <w:noWrap/>
            <w:vAlign w:val="center"/>
          </w:tcPr>
          <w:p w14:paraId="2CFF6144" w14:textId="77777777" w:rsidR="006054AA" w:rsidRDefault="001F7667">
            <w:pPr>
              <w:pStyle w:val="P68B1DB1-Normal12"/>
              <w:jc w:val="center"/>
              <w:rPr>
                <w:noProof/>
              </w:rPr>
            </w:pPr>
            <w:r>
              <w:rPr>
                <w:noProof/>
              </w:rPr>
              <w:t>Инвестиция 17: Финансов инструмент за енергийно саниране на обществени и социални жилища</w:t>
            </w:r>
          </w:p>
        </w:tc>
        <w:tc>
          <w:tcPr>
            <w:tcW w:w="1378" w:type="dxa"/>
            <w:tcBorders>
              <w:top w:val="nil"/>
              <w:left w:val="nil"/>
              <w:bottom w:val="single" w:sz="4" w:space="0" w:color="auto"/>
              <w:right w:val="single" w:sz="4" w:space="0" w:color="auto"/>
            </w:tcBorders>
            <w:shd w:val="clear" w:color="auto" w:fill="C6EFCE"/>
            <w:noWrap/>
            <w:vAlign w:val="center"/>
          </w:tcPr>
          <w:p w14:paraId="5C4329DF" w14:textId="77777777" w:rsidR="006054AA" w:rsidRDefault="001F7667">
            <w:pPr>
              <w:pStyle w:val="P68B1DB1-Normal12"/>
              <w:jc w:val="center"/>
              <w:rPr>
                <w:noProof/>
              </w:rPr>
            </w:pPr>
            <w:r>
              <w:rPr>
                <w:noProof/>
              </w:rPr>
              <w:t>Ключов етап</w:t>
            </w:r>
          </w:p>
        </w:tc>
        <w:tc>
          <w:tcPr>
            <w:tcW w:w="4166" w:type="dxa"/>
            <w:tcBorders>
              <w:top w:val="nil"/>
              <w:left w:val="nil"/>
              <w:bottom w:val="single" w:sz="4" w:space="0" w:color="auto"/>
              <w:right w:val="single" w:sz="4" w:space="0" w:color="auto"/>
            </w:tcBorders>
            <w:shd w:val="clear" w:color="auto" w:fill="C6EFCE"/>
            <w:noWrap/>
            <w:vAlign w:val="center"/>
          </w:tcPr>
          <w:p w14:paraId="17AA2462" w14:textId="77777777" w:rsidR="006054AA" w:rsidRDefault="001F7667">
            <w:pPr>
              <w:pStyle w:val="P68B1DB1-Normal12"/>
              <w:jc w:val="center"/>
              <w:rPr>
                <w:noProof/>
              </w:rPr>
            </w:pPr>
            <w:r>
              <w:rPr>
                <w:noProof/>
              </w:rPr>
              <w:t>Министерството е приключило инвестицията</w:t>
            </w:r>
          </w:p>
        </w:tc>
      </w:tr>
      <w:tr w:rsidR="006054AA" w14:paraId="1AC98A4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E72906" w14:textId="77777777" w:rsidR="006054AA" w:rsidRDefault="006054AA">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31D7E0F" w14:textId="77777777" w:rsidR="006054AA" w:rsidRDefault="006054AA">
            <w:pPr>
              <w:rPr>
                <w:noProof/>
                <w:color w:val="006100"/>
                <w:sz w:val="20"/>
              </w:rPr>
            </w:pPr>
          </w:p>
        </w:tc>
        <w:tc>
          <w:tcPr>
            <w:tcW w:w="1378" w:type="dxa"/>
            <w:tcBorders>
              <w:top w:val="single" w:sz="4" w:space="0" w:color="auto"/>
              <w:left w:val="nil"/>
              <w:bottom w:val="single" w:sz="4" w:space="0" w:color="auto"/>
              <w:right w:val="single" w:sz="4" w:space="0" w:color="auto"/>
            </w:tcBorders>
            <w:shd w:val="clear" w:color="auto" w:fill="C6EFCE"/>
            <w:noWrap/>
            <w:vAlign w:val="bottom"/>
          </w:tcPr>
          <w:p w14:paraId="1D79C5BD" w14:textId="77777777" w:rsidR="006054AA" w:rsidRDefault="001F7667">
            <w:pPr>
              <w:pStyle w:val="P68B1DB1-Normal12"/>
              <w:rPr>
                <w:noProof/>
              </w:rPr>
            </w:pPr>
            <w:r>
              <w:rPr>
                <w:noProof/>
              </w:rPr>
              <w:t>Размер на вноската</w:t>
            </w:r>
          </w:p>
        </w:tc>
        <w:tc>
          <w:tcPr>
            <w:tcW w:w="4166" w:type="dxa"/>
            <w:tcBorders>
              <w:top w:val="single" w:sz="4" w:space="0" w:color="auto"/>
              <w:left w:val="nil"/>
              <w:bottom w:val="single" w:sz="4" w:space="0" w:color="auto"/>
              <w:right w:val="single" w:sz="4" w:space="0" w:color="auto"/>
            </w:tcBorders>
            <w:shd w:val="clear" w:color="auto" w:fill="C6EFCE"/>
            <w:noWrap/>
            <w:vAlign w:val="bottom"/>
          </w:tcPr>
          <w:p w14:paraId="63A3B7A8" w14:textId="0CA23C06" w:rsidR="006054AA" w:rsidRDefault="001F7667">
            <w:pPr>
              <w:pStyle w:val="P68B1DB1-Normal12"/>
              <w:rPr>
                <w:noProof/>
              </w:rPr>
            </w:pPr>
            <w:r>
              <w:rPr>
                <w:noProof/>
              </w:rPr>
              <w:t>16 555 710 452 EUR</w:t>
            </w:r>
          </w:p>
        </w:tc>
      </w:tr>
    </w:tbl>
    <w:p w14:paraId="46822EE2" w14:textId="261BB3FE" w:rsidR="006054AA" w:rsidRDefault="001F7667">
      <w:pPr>
        <w:pStyle w:val="P68B1DB1-Normal44"/>
        <w:numPr>
          <w:ilvl w:val="1"/>
          <w:numId w:val="6"/>
        </w:numPr>
        <w:spacing w:before="120" w:after="120"/>
        <w:jc w:val="both"/>
        <w:rPr>
          <w:noProof/>
        </w:rPr>
      </w:pPr>
      <w:r>
        <w:rPr>
          <w:noProof/>
        </w:rPr>
        <w:t>Осма вноска (подкрепа под формата на заем):</w:t>
      </w:r>
    </w:p>
    <w:tbl>
      <w:tblPr>
        <w:tblW w:w="10015" w:type="dxa"/>
        <w:tblInd w:w="113" w:type="dxa"/>
        <w:tblLook w:val="04A0" w:firstRow="1" w:lastRow="0" w:firstColumn="1" w:lastColumn="0" w:noHBand="0" w:noVBand="1"/>
      </w:tblPr>
      <w:tblGrid>
        <w:gridCol w:w="1413"/>
        <w:gridCol w:w="3105"/>
        <w:gridCol w:w="1423"/>
        <w:gridCol w:w="4074"/>
      </w:tblGrid>
      <w:tr w:rsidR="006054AA" w14:paraId="20CB874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CB0B2" w14:textId="77777777" w:rsidR="006054AA" w:rsidRDefault="001F7667">
            <w:pPr>
              <w:pStyle w:val="P68B1DB1-Normal45"/>
              <w:jc w:val="center"/>
              <w:rPr>
                <w:noProof/>
              </w:rPr>
            </w:pPr>
            <w:r>
              <w:rPr>
                <w:noProof/>
              </w:rPr>
              <w:t>Пореден номер</w:t>
            </w:r>
          </w:p>
        </w:tc>
        <w:tc>
          <w:tcPr>
            <w:tcW w:w="31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639B26" w14:textId="77777777" w:rsidR="006054AA" w:rsidRDefault="001F7667">
            <w:pPr>
              <w:pStyle w:val="P68B1DB1-Normal45"/>
              <w:jc w:val="center"/>
              <w:rPr>
                <w:noProof/>
              </w:rPr>
            </w:pPr>
            <w:r>
              <w:rPr>
                <w:noProof/>
              </w:rPr>
              <w:t>Свързана мярка (реформа или инвестиции)</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3A54C" w14:textId="77777777" w:rsidR="006054AA" w:rsidRDefault="001F7667">
            <w:pPr>
              <w:pStyle w:val="P68B1DB1-Normal45"/>
              <w:jc w:val="center"/>
              <w:rPr>
                <w:noProof/>
              </w:rPr>
            </w:pPr>
            <w:r>
              <w:rPr>
                <w:noProof/>
              </w:rPr>
              <w:t>Ключов етап/Цел</w:t>
            </w:r>
          </w:p>
        </w:tc>
        <w:tc>
          <w:tcPr>
            <w:tcW w:w="4074" w:type="dxa"/>
            <w:vMerge w:val="restart"/>
            <w:tcBorders>
              <w:top w:val="single" w:sz="4" w:space="0" w:color="auto"/>
              <w:left w:val="nil"/>
              <w:bottom w:val="single" w:sz="4" w:space="0" w:color="auto"/>
              <w:right w:val="single" w:sz="4" w:space="0" w:color="auto"/>
            </w:tcBorders>
            <w:shd w:val="clear" w:color="auto" w:fill="BDD7EE"/>
            <w:vAlign w:val="center"/>
            <w:hideMark/>
          </w:tcPr>
          <w:p w14:paraId="012919B3" w14:textId="77777777" w:rsidR="006054AA" w:rsidRDefault="001F7667">
            <w:pPr>
              <w:pStyle w:val="P68B1DB1-Normal45"/>
              <w:jc w:val="center"/>
              <w:rPr>
                <w:noProof/>
              </w:rPr>
            </w:pPr>
            <w:r>
              <w:rPr>
                <w:noProof/>
              </w:rPr>
              <w:t>Име</w:t>
            </w:r>
          </w:p>
        </w:tc>
      </w:tr>
      <w:tr w:rsidR="006054AA" w14:paraId="484662C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115874" w14:textId="77777777" w:rsidR="006054AA" w:rsidRDefault="006054AA">
            <w:pPr>
              <w:rPr>
                <w:b/>
                <w:noProof/>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14:paraId="237B3F2F" w14:textId="77777777" w:rsidR="006054AA" w:rsidRDefault="006054AA">
            <w:pPr>
              <w:rPr>
                <w:b/>
                <w:noProof/>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4A33B28F" w14:textId="77777777" w:rsidR="006054AA" w:rsidRDefault="006054AA">
            <w:pPr>
              <w:rPr>
                <w:b/>
                <w:noProof/>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3C55F28A" w14:textId="77777777" w:rsidR="006054AA" w:rsidRDefault="006054AA">
            <w:pPr>
              <w:rPr>
                <w:b/>
                <w:noProof/>
              </w:rPr>
            </w:pPr>
          </w:p>
        </w:tc>
      </w:tr>
      <w:tr w:rsidR="006054AA" w14:paraId="496D468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7A962" w14:textId="77777777" w:rsidR="006054AA" w:rsidRDefault="001F7667">
            <w:pPr>
              <w:pStyle w:val="P68B1DB1-Normal12"/>
              <w:jc w:val="center"/>
              <w:rPr>
                <w:noProof/>
              </w:rPr>
            </w:pPr>
            <w:r>
              <w:rPr>
                <w:noProof/>
              </w:rPr>
              <w:t>M5C2—16</w:t>
            </w:r>
          </w:p>
        </w:tc>
        <w:tc>
          <w:tcPr>
            <w:tcW w:w="3105" w:type="dxa"/>
            <w:tcBorders>
              <w:top w:val="single" w:sz="4" w:space="0" w:color="auto"/>
              <w:left w:val="nil"/>
              <w:bottom w:val="single" w:sz="4" w:space="0" w:color="auto"/>
              <w:right w:val="single" w:sz="4" w:space="0" w:color="auto"/>
            </w:tcBorders>
            <w:shd w:val="clear" w:color="auto" w:fill="C6EFCE"/>
            <w:noWrap/>
            <w:vAlign w:val="center"/>
          </w:tcPr>
          <w:p w14:paraId="0B39E694" w14:textId="77777777" w:rsidR="006054AA" w:rsidRDefault="001F7667">
            <w:pPr>
              <w:pStyle w:val="P68B1DB1-Normal12"/>
              <w:jc w:val="center"/>
              <w:rPr>
                <w:noProof/>
              </w:rPr>
            </w:pPr>
            <w:r>
              <w:rPr>
                <w:noProof/>
              </w:rPr>
              <w:t>Инвестиция 5 — Интегрирани градоустройствени планове — Преодоляване на незаконните селища за борба с трудовата експлоатация в селското стопанство</w:t>
            </w:r>
          </w:p>
        </w:tc>
        <w:tc>
          <w:tcPr>
            <w:tcW w:w="1423" w:type="dxa"/>
            <w:tcBorders>
              <w:top w:val="single" w:sz="4" w:space="0" w:color="auto"/>
              <w:left w:val="nil"/>
              <w:bottom w:val="single" w:sz="4" w:space="0" w:color="auto"/>
              <w:right w:val="single" w:sz="4" w:space="0" w:color="auto"/>
            </w:tcBorders>
            <w:shd w:val="clear" w:color="auto" w:fill="C6EFCE"/>
            <w:noWrap/>
            <w:vAlign w:val="center"/>
          </w:tcPr>
          <w:p w14:paraId="474F644D" w14:textId="77777777" w:rsidR="006054AA" w:rsidRDefault="001F7667">
            <w:pPr>
              <w:pStyle w:val="P68B1DB1-Normal12"/>
              <w:jc w:val="center"/>
              <w:rPr>
                <w:noProof/>
              </w:rPr>
            </w:pPr>
            <w:r>
              <w:rPr>
                <w:noProof/>
              </w:rPr>
              <w:t>Целеви</w:t>
            </w:r>
          </w:p>
        </w:tc>
        <w:tc>
          <w:tcPr>
            <w:tcW w:w="4074" w:type="dxa"/>
            <w:tcBorders>
              <w:top w:val="single" w:sz="4" w:space="0" w:color="auto"/>
              <w:left w:val="nil"/>
              <w:bottom w:val="single" w:sz="4" w:space="0" w:color="auto"/>
              <w:right w:val="single" w:sz="4" w:space="0" w:color="auto"/>
            </w:tcBorders>
            <w:shd w:val="clear" w:color="auto" w:fill="C6EFCE"/>
            <w:noWrap/>
            <w:vAlign w:val="center"/>
          </w:tcPr>
          <w:p w14:paraId="4BC7C214" w14:textId="77777777" w:rsidR="006054AA" w:rsidRDefault="001F7667">
            <w:pPr>
              <w:pStyle w:val="P68B1DB1-Normal12"/>
              <w:jc w:val="center"/>
              <w:rPr>
                <w:noProof/>
              </w:rPr>
            </w:pPr>
            <w:r>
              <w:rPr>
                <w:noProof/>
              </w:rPr>
              <w:t>Дейностите по проекта са завършени в областите, определени като незаконни селища в местните планове</w:t>
            </w:r>
          </w:p>
        </w:tc>
      </w:tr>
      <w:tr w:rsidR="006054AA" w14:paraId="76FFB7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371A36" w14:textId="77777777" w:rsidR="006054AA" w:rsidRDefault="001F7667">
            <w:pPr>
              <w:pStyle w:val="P68B1DB1-Normal12"/>
              <w:jc w:val="center"/>
              <w:rPr>
                <w:noProof/>
              </w:rPr>
            </w:pPr>
            <w:r>
              <w:rPr>
                <w:noProof/>
              </w:rPr>
              <w:t>M7—47</w:t>
            </w:r>
          </w:p>
        </w:tc>
        <w:tc>
          <w:tcPr>
            <w:tcW w:w="3105" w:type="dxa"/>
            <w:tcBorders>
              <w:top w:val="nil"/>
              <w:left w:val="nil"/>
              <w:bottom w:val="single" w:sz="4" w:space="0" w:color="auto"/>
              <w:right w:val="single" w:sz="4" w:space="0" w:color="auto"/>
            </w:tcBorders>
            <w:shd w:val="clear" w:color="auto" w:fill="C6EFCE"/>
            <w:noWrap/>
            <w:vAlign w:val="center"/>
          </w:tcPr>
          <w:p w14:paraId="5CF53E71" w14:textId="77777777" w:rsidR="006054AA" w:rsidRDefault="001F7667">
            <w:pPr>
              <w:pStyle w:val="P68B1DB1-Normal12"/>
              <w:jc w:val="center"/>
              <w:rPr>
                <w:noProof/>
              </w:rPr>
            </w:pPr>
            <w:r>
              <w:rPr>
                <w:noProof/>
              </w:rPr>
              <w:t>Инвестиция 17: Финансов инструмент за енергийно саниране на обществени и социални жилища</w:t>
            </w:r>
          </w:p>
        </w:tc>
        <w:tc>
          <w:tcPr>
            <w:tcW w:w="1423" w:type="dxa"/>
            <w:tcBorders>
              <w:top w:val="nil"/>
              <w:left w:val="nil"/>
              <w:bottom w:val="single" w:sz="4" w:space="0" w:color="auto"/>
              <w:right w:val="single" w:sz="4" w:space="0" w:color="auto"/>
            </w:tcBorders>
            <w:shd w:val="clear" w:color="auto" w:fill="C6EFCE"/>
            <w:noWrap/>
            <w:vAlign w:val="center"/>
          </w:tcPr>
          <w:p w14:paraId="47695110" w14:textId="77777777" w:rsidR="006054AA" w:rsidRDefault="001F7667">
            <w:pPr>
              <w:pStyle w:val="P68B1DB1-Normal12"/>
              <w:jc w:val="center"/>
              <w:rPr>
                <w:noProof/>
              </w:rPr>
            </w:pPr>
            <w:r>
              <w:rPr>
                <w:noProof/>
              </w:rPr>
              <w:t>Ключов етап</w:t>
            </w:r>
          </w:p>
        </w:tc>
        <w:tc>
          <w:tcPr>
            <w:tcW w:w="4074" w:type="dxa"/>
            <w:tcBorders>
              <w:top w:val="nil"/>
              <w:left w:val="nil"/>
              <w:bottom w:val="single" w:sz="4" w:space="0" w:color="auto"/>
              <w:right w:val="single" w:sz="4" w:space="0" w:color="auto"/>
            </w:tcBorders>
            <w:shd w:val="clear" w:color="auto" w:fill="C6EFCE"/>
            <w:noWrap/>
            <w:vAlign w:val="center"/>
          </w:tcPr>
          <w:p w14:paraId="2E57BD23" w14:textId="77777777" w:rsidR="006054AA" w:rsidRDefault="001F7667">
            <w:pPr>
              <w:pStyle w:val="P68B1DB1-Normal12"/>
              <w:jc w:val="center"/>
              <w:rPr>
                <w:noProof/>
              </w:rPr>
            </w:pPr>
            <w:r>
              <w:rPr>
                <w:noProof/>
              </w:rPr>
              <w:t>Споразумение за изпълнение</w:t>
            </w:r>
          </w:p>
        </w:tc>
      </w:tr>
      <w:tr w:rsidR="006054AA" w14:paraId="7E8F06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3E66F1" w14:textId="77777777" w:rsidR="006054AA" w:rsidRDefault="001F7667">
            <w:pPr>
              <w:pStyle w:val="P68B1DB1-Normal12"/>
              <w:jc w:val="center"/>
              <w:rPr>
                <w:noProof/>
              </w:rPr>
            </w:pPr>
            <w:r>
              <w:rPr>
                <w:noProof/>
              </w:rPr>
              <w:t>M1C1—144</w:t>
            </w:r>
          </w:p>
        </w:tc>
        <w:tc>
          <w:tcPr>
            <w:tcW w:w="3105" w:type="dxa"/>
            <w:tcBorders>
              <w:top w:val="nil"/>
              <w:left w:val="nil"/>
              <w:bottom w:val="single" w:sz="4" w:space="0" w:color="auto"/>
              <w:right w:val="single" w:sz="4" w:space="0" w:color="auto"/>
            </w:tcBorders>
            <w:shd w:val="clear" w:color="auto" w:fill="C6EFCE"/>
            <w:noWrap/>
            <w:vAlign w:val="center"/>
          </w:tcPr>
          <w:p w14:paraId="33FFFF8C" w14:textId="77777777" w:rsidR="006054AA" w:rsidRDefault="001F7667">
            <w:pPr>
              <w:pStyle w:val="P68B1DB1-Normal12"/>
              <w:jc w:val="center"/>
              <w:rPr>
                <w:noProof/>
              </w:rPr>
            </w:pPr>
            <w:r>
              <w:rPr>
                <w:noProof/>
              </w:rPr>
              <w:t>Инвестиция 1.4.2 — Приобщаване на гражданите — Подобряване на достъпността на цифровите обществени услуги</w:t>
            </w:r>
          </w:p>
        </w:tc>
        <w:tc>
          <w:tcPr>
            <w:tcW w:w="1423" w:type="dxa"/>
            <w:tcBorders>
              <w:top w:val="nil"/>
              <w:left w:val="nil"/>
              <w:bottom w:val="single" w:sz="4" w:space="0" w:color="auto"/>
              <w:right w:val="single" w:sz="4" w:space="0" w:color="auto"/>
            </w:tcBorders>
            <w:shd w:val="clear" w:color="auto" w:fill="C6EFCE"/>
            <w:noWrap/>
            <w:vAlign w:val="center"/>
          </w:tcPr>
          <w:p w14:paraId="7EFB6915"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0DFB58EC" w14:textId="77777777" w:rsidR="006054AA" w:rsidRDefault="001F7667">
            <w:pPr>
              <w:pStyle w:val="P68B1DB1-Normal12"/>
              <w:jc w:val="center"/>
              <w:rPr>
                <w:noProof/>
              </w:rPr>
            </w:pPr>
            <w:r>
              <w:rPr>
                <w:noProof/>
              </w:rPr>
              <w:t>Подобряване на достъпността на цифровите обществени услуги</w:t>
            </w:r>
          </w:p>
        </w:tc>
      </w:tr>
      <w:tr w:rsidR="006054AA" w14:paraId="051527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05326D" w14:textId="77777777" w:rsidR="006054AA" w:rsidRDefault="001F7667">
            <w:pPr>
              <w:pStyle w:val="P68B1DB1-Normal12"/>
              <w:jc w:val="center"/>
              <w:rPr>
                <w:noProof/>
              </w:rPr>
            </w:pPr>
            <w:r>
              <w:rPr>
                <w:noProof/>
              </w:rPr>
              <w:t>M1C3—16</w:t>
            </w:r>
          </w:p>
        </w:tc>
        <w:tc>
          <w:tcPr>
            <w:tcW w:w="3105" w:type="dxa"/>
            <w:tcBorders>
              <w:top w:val="nil"/>
              <w:left w:val="nil"/>
              <w:bottom w:val="single" w:sz="4" w:space="0" w:color="auto"/>
              <w:right w:val="single" w:sz="4" w:space="0" w:color="auto"/>
            </w:tcBorders>
            <w:shd w:val="clear" w:color="auto" w:fill="C6EFCE"/>
            <w:noWrap/>
            <w:vAlign w:val="center"/>
          </w:tcPr>
          <w:p w14:paraId="726C69EB" w14:textId="77777777" w:rsidR="006054AA" w:rsidRDefault="001F7667">
            <w:pPr>
              <w:pStyle w:val="P68B1DB1-Normal12"/>
              <w:jc w:val="center"/>
              <w:rPr>
                <w:noProof/>
              </w:rPr>
            </w:pPr>
            <w:r>
              <w:rPr>
                <w:noProof/>
              </w:rPr>
              <w:t>Инвестиции — 2.1 привлекателност на малките исторически градове</w:t>
            </w:r>
          </w:p>
        </w:tc>
        <w:tc>
          <w:tcPr>
            <w:tcW w:w="1423" w:type="dxa"/>
            <w:tcBorders>
              <w:top w:val="nil"/>
              <w:left w:val="nil"/>
              <w:bottom w:val="single" w:sz="4" w:space="0" w:color="auto"/>
              <w:right w:val="single" w:sz="4" w:space="0" w:color="auto"/>
            </w:tcBorders>
            <w:shd w:val="clear" w:color="auto" w:fill="C6EFCE"/>
            <w:noWrap/>
            <w:vAlign w:val="center"/>
          </w:tcPr>
          <w:p w14:paraId="442852E8"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5A0175E8" w14:textId="77777777" w:rsidR="006054AA" w:rsidRDefault="001F7667">
            <w:pPr>
              <w:pStyle w:val="P68B1DB1-Normal12"/>
              <w:jc w:val="center"/>
              <w:rPr>
                <w:noProof/>
              </w:rPr>
            </w:pPr>
            <w:r>
              <w:rPr>
                <w:noProof/>
              </w:rPr>
              <w:t>Извършени интервенции за подобряване на културните или туристическите обекти</w:t>
            </w:r>
          </w:p>
        </w:tc>
      </w:tr>
      <w:tr w:rsidR="006054AA" w14:paraId="5D947F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B4C19" w14:textId="77777777" w:rsidR="006054AA" w:rsidRDefault="001F7667">
            <w:pPr>
              <w:pStyle w:val="P68B1DB1-Normal12"/>
              <w:jc w:val="center"/>
              <w:rPr>
                <w:noProof/>
              </w:rPr>
            </w:pPr>
            <w:r>
              <w:rPr>
                <w:noProof/>
              </w:rPr>
              <w:t>M2C1—23</w:t>
            </w:r>
          </w:p>
        </w:tc>
        <w:tc>
          <w:tcPr>
            <w:tcW w:w="3105" w:type="dxa"/>
            <w:tcBorders>
              <w:top w:val="nil"/>
              <w:left w:val="nil"/>
              <w:bottom w:val="single" w:sz="4" w:space="0" w:color="auto"/>
              <w:right w:val="single" w:sz="4" w:space="0" w:color="auto"/>
            </w:tcBorders>
            <w:shd w:val="clear" w:color="auto" w:fill="C6EFCE"/>
            <w:noWrap/>
            <w:vAlign w:val="center"/>
          </w:tcPr>
          <w:p w14:paraId="55F32183" w14:textId="77777777" w:rsidR="006054AA" w:rsidRDefault="001F7667">
            <w:pPr>
              <w:pStyle w:val="P68B1DB1-Normal12"/>
              <w:jc w:val="center"/>
              <w:rPr>
                <w:noProof/>
              </w:rPr>
            </w:pPr>
            <w:r>
              <w:rPr>
                <w:noProof/>
              </w:rPr>
              <w:t>Инвестиция 3.4: Fondo Contratti di Filiera (FCF) за подпомагане на договори за вериги на доставки в секторите на хранително-вкусовата промишленост, рибарството и аквакултурите, горското стопанство, цветарството и растениевъдството</w:t>
            </w:r>
          </w:p>
        </w:tc>
        <w:tc>
          <w:tcPr>
            <w:tcW w:w="1423" w:type="dxa"/>
            <w:tcBorders>
              <w:top w:val="nil"/>
              <w:left w:val="nil"/>
              <w:bottom w:val="single" w:sz="4" w:space="0" w:color="auto"/>
              <w:right w:val="single" w:sz="4" w:space="0" w:color="auto"/>
            </w:tcBorders>
            <w:shd w:val="clear" w:color="auto" w:fill="C6EFCE"/>
            <w:noWrap/>
            <w:vAlign w:val="center"/>
          </w:tcPr>
          <w:p w14:paraId="6B5994E6" w14:textId="4BD4D90E"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66B2347D" w14:textId="77777777" w:rsidR="006054AA" w:rsidRDefault="001F7667">
            <w:pPr>
              <w:pStyle w:val="P68B1DB1-Normal12"/>
              <w:jc w:val="center"/>
              <w:rPr>
                <w:noProof/>
              </w:rPr>
            </w:pPr>
            <w:r>
              <w:rPr>
                <w:noProof/>
              </w:rPr>
              <w:t>Правни споразумения, подписани с крайните бенефициери</w:t>
            </w:r>
          </w:p>
        </w:tc>
      </w:tr>
      <w:tr w:rsidR="006054AA" w14:paraId="158235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F9528B" w14:textId="77777777" w:rsidR="006054AA" w:rsidRDefault="001F7667">
            <w:pPr>
              <w:pStyle w:val="P68B1DB1-Normal12"/>
              <w:jc w:val="center"/>
              <w:rPr>
                <w:noProof/>
              </w:rPr>
            </w:pPr>
            <w:r>
              <w:rPr>
                <w:noProof/>
              </w:rPr>
              <w:t>M2C2—4</w:t>
            </w:r>
          </w:p>
        </w:tc>
        <w:tc>
          <w:tcPr>
            <w:tcW w:w="3105" w:type="dxa"/>
            <w:tcBorders>
              <w:top w:val="nil"/>
              <w:left w:val="nil"/>
              <w:bottom w:val="single" w:sz="4" w:space="0" w:color="auto"/>
              <w:right w:val="single" w:sz="4" w:space="0" w:color="auto"/>
            </w:tcBorders>
            <w:shd w:val="clear" w:color="auto" w:fill="C6EFCE"/>
            <w:noWrap/>
            <w:vAlign w:val="center"/>
          </w:tcPr>
          <w:p w14:paraId="0BE06681" w14:textId="77777777" w:rsidR="006054AA" w:rsidRDefault="001F7667">
            <w:pPr>
              <w:pStyle w:val="P68B1DB1-Normal12"/>
              <w:jc w:val="center"/>
              <w:rPr>
                <w:noProof/>
              </w:rPr>
            </w:pPr>
            <w:r>
              <w:rPr>
                <w:noProof/>
              </w:rPr>
              <w:t>Инвестиция 1.4 Развитие на биометан съгласно критериите за насърчаване на кръговата икономика</w:t>
            </w:r>
          </w:p>
        </w:tc>
        <w:tc>
          <w:tcPr>
            <w:tcW w:w="1423" w:type="dxa"/>
            <w:tcBorders>
              <w:top w:val="nil"/>
              <w:left w:val="nil"/>
              <w:bottom w:val="single" w:sz="4" w:space="0" w:color="auto"/>
              <w:right w:val="single" w:sz="4" w:space="0" w:color="auto"/>
            </w:tcBorders>
            <w:shd w:val="clear" w:color="auto" w:fill="C6EFCE"/>
            <w:noWrap/>
            <w:vAlign w:val="center"/>
          </w:tcPr>
          <w:p w14:paraId="3AC92BB2"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529E146B" w14:textId="77777777" w:rsidR="006054AA" w:rsidRDefault="001F7667">
            <w:pPr>
              <w:pStyle w:val="P68B1DB1-Normal12"/>
              <w:jc w:val="center"/>
              <w:rPr>
                <w:noProof/>
              </w:rPr>
            </w:pPr>
            <w:r>
              <w:rPr>
                <w:noProof/>
              </w:rPr>
              <w:t>Допълнителен капацитет за производство на биометан</w:t>
            </w:r>
          </w:p>
        </w:tc>
      </w:tr>
      <w:tr w:rsidR="006054AA" w14:paraId="65475E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38ED17" w14:textId="77777777" w:rsidR="006054AA" w:rsidRDefault="001F7667">
            <w:pPr>
              <w:pStyle w:val="P68B1DB1-Normal12"/>
              <w:jc w:val="center"/>
              <w:rPr>
                <w:noProof/>
              </w:rPr>
            </w:pPr>
            <w:r>
              <w:rPr>
                <w:noProof/>
              </w:rPr>
              <w:t>M2C4—9</w:t>
            </w:r>
          </w:p>
        </w:tc>
        <w:tc>
          <w:tcPr>
            <w:tcW w:w="3105" w:type="dxa"/>
            <w:tcBorders>
              <w:top w:val="nil"/>
              <w:left w:val="nil"/>
              <w:bottom w:val="single" w:sz="4" w:space="0" w:color="auto"/>
              <w:right w:val="single" w:sz="4" w:space="0" w:color="auto"/>
            </w:tcBorders>
            <w:shd w:val="clear" w:color="auto" w:fill="C6EFCE"/>
            <w:noWrap/>
            <w:vAlign w:val="center"/>
          </w:tcPr>
          <w:p w14:paraId="05EC50E5" w14:textId="77777777" w:rsidR="006054AA" w:rsidRDefault="001F7667">
            <w:pPr>
              <w:pStyle w:val="P68B1DB1-Normal12"/>
              <w:jc w:val="center"/>
              <w:rPr>
                <w:noProof/>
              </w:rPr>
            </w:pPr>
            <w:r>
              <w:rPr>
                <w:noProof/>
              </w:rPr>
              <w:t>Инвестиция 1.1. Въвеждане на усъвършенствана и интегрирана система за мониторинг и прогнозиране</w:t>
            </w:r>
          </w:p>
        </w:tc>
        <w:tc>
          <w:tcPr>
            <w:tcW w:w="1423" w:type="dxa"/>
            <w:tcBorders>
              <w:top w:val="nil"/>
              <w:left w:val="nil"/>
              <w:bottom w:val="single" w:sz="4" w:space="0" w:color="auto"/>
              <w:right w:val="single" w:sz="4" w:space="0" w:color="auto"/>
            </w:tcBorders>
            <w:shd w:val="clear" w:color="auto" w:fill="C6EFCE"/>
            <w:noWrap/>
            <w:vAlign w:val="center"/>
          </w:tcPr>
          <w:p w14:paraId="55E803E2"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40E9D2C3" w14:textId="77777777" w:rsidR="006054AA" w:rsidRDefault="001F7667">
            <w:pPr>
              <w:pStyle w:val="P68B1DB1-Normal12"/>
              <w:jc w:val="center"/>
              <w:rPr>
                <w:noProof/>
              </w:rPr>
            </w:pPr>
            <w:r>
              <w:rPr>
                <w:noProof/>
              </w:rPr>
              <w:t xml:space="preserve">Внедряване на усъвършенствана и интегрирана система за наблюдение и прогнозиране с цел идентифициране на хидроложките рискове </w:t>
            </w:r>
          </w:p>
        </w:tc>
      </w:tr>
      <w:tr w:rsidR="006054AA" w14:paraId="7D69BF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060D84" w14:textId="77777777" w:rsidR="006054AA" w:rsidRDefault="001F7667">
            <w:pPr>
              <w:pStyle w:val="P68B1DB1-Normal12"/>
              <w:jc w:val="center"/>
              <w:rPr>
                <w:noProof/>
              </w:rPr>
            </w:pPr>
            <w:r>
              <w:rPr>
                <w:noProof/>
              </w:rPr>
              <w:t>M2C4—11bis</w:t>
            </w:r>
          </w:p>
        </w:tc>
        <w:tc>
          <w:tcPr>
            <w:tcW w:w="3105" w:type="dxa"/>
            <w:tcBorders>
              <w:top w:val="nil"/>
              <w:left w:val="nil"/>
              <w:bottom w:val="single" w:sz="4" w:space="0" w:color="auto"/>
              <w:right w:val="single" w:sz="4" w:space="0" w:color="auto"/>
            </w:tcBorders>
            <w:shd w:val="clear" w:color="auto" w:fill="C6EFCE"/>
            <w:noWrap/>
            <w:vAlign w:val="center"/>
          </w:tcPr>
          <w:p w14:paraId="494188A6" w14:textId="77777777" w:rsidR="006054AA" w:rsidRDefault="001F7667">
            <w:pPr>
              <w:pStyle w:val="P68B1DB1-Normal12"/>
              <w:jc w:val="center"/>
              <w:rPr>
                <w:noProof/>
              </w:rPr>
            </w:pPr>
            <w:r>
              <w:rPr>
                <w:noProof/>
              </w:rPr>
              <w:t>Инвестиция 2.1.а. Мерки за намаляване на риска от наводнения и хидрогеоложки рискове — Интервенции в Емилия-Романя, Тоскана и Марке</w:t>
            </w:r>
          </w:p>
        </w:tc>
        <w:tc>
          <w:tcPr>
            <w:tcW w:w="1423" w:type="dxa"/>
            <w:tcBorders>
              <w:top w:val="nil"/>
              <w:left w:val="nil"/>
              <w:bottom w:val="single" w:sz="4" w:space="0" w:color="auto"/>
              <w:right w:val="single" w:sz="4" w:space="0" w:color="auto"/>
            </w:tcBorders>
            <w:shd w:val="clear" w:color="auto" w:fill="C6EFCE"/>
            <w:noWrap/>
            <w:vAlign w:val="center"/>
          </w:tcPr>
          <w:p w14:paraId="72242058" w14:textId="77777777" w:rsidR="006054AA" w:rsidRDefault="001F7667">
            <w:pPr>
              <w:pStyle w:val="P68B1DB1-Normal12"/>
              <w:jc w:val="center"/>
              <w:rPr>
                <w:noProof/>
              </w:rPr>
            </w:pPr>
            <w:r>
              <w:rPr>
                <w:noProof/>
              </w:rPr>
              <w:t>Ключов етап</w:t>
            </w:r>
          </w:p>
        </w:tc>
        <w:tc>
          <w:tcPr>
            <w:tcW w:w="4074" w:type="dxa"/>
            <w:tcBorders>
              <w:top w:val="nil"/>
              <w:left w:val="nil"/>
              <w:bottom w:val="single" w:sz="4" w:space="0" w:color="auto"/>
              <w:right w:val="single" w:sz="4" w:space="0" w:color="auto"/>
            </w:tcBorders>
            <w:shd w:val="clear" w:color="auto" w:fill="C6EFCE"/>
            <w:noWrap/>
            <w:vAlign w:val="center"/>
          </w:tcPr>
          <w:p w14:paraId="6EF9BA37" w14:textId="77777777" w:rsidR="006054AA" w:rsidRDefault="001F7667">
            <w:pPr>
              <w:pStyle w:val="P68B1DB1-Normal12"/>
              <w:jc w:val="center"/>
              <w:rPr>
                <w:noProof/>
              </w:rPr>
            </w:pPr>
            <w:r>
              <w:rPr>
                <w:noProof/>
              </w:rPr>
              <w:t>Възлагане на всички обществени поръчки за интервенции в Емилия-Романя, Тоскана и Марке</w:t>
            </w:r>
          </w:p>
        </w:tc>
      </w:tr>
      <w:tr w:rsidR="006054AA" w14:paraId="6E31DC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C0945" w14:textId="77777777" w:rsidR="006054AA" w:rsidRDefault="001F7667">
            <w:pPr>
              <w:pStyle w:val="P68B1DB1-Normal12"/>
              <w:jc w:val="center"/>
              <w:rPr>
                <w:noProof/>
              </w:rPr>
            </w:pPr>
            <w:r>
              <w:rPr>
                <w:noProof/>
              </w:rPr>
              <w:t>M2C4—26</w:t>
            </w:r>
          </w:p>
        </w:tc>
        <w:tc>
          <w:tcPr>
            <w:tcW w:w="3105" w:type="dxa"/>
            <w:tcBorders>
              <w:top w:val="nil"/>
              <w:left w:val="nil"/>
              <w:bottom w:val="single" w:sz="4" w:space="0" w:color="auto"/>
              <w:right w:val="single" w:sz="4" w:space="0" w:color="auto"/>
            </w:tcBorders>
            <w:shd w:val="clear" w:color="auto" w:fill="C6EFCE"/>
            <w:noWrap/>
            <w:vAlign w:val="center"/>
          </w:tcPr>
          <w:p w14:paraId="662C94C6" w14:textId="77777777" w:rsidR="006054AA" w:rsidRDefault="001F7667">
            <w:pPr>
              <w:pStyle w:val="P68B1DB1-Normal12"/>
              <w:jc w:val="center"/>
              <w:rPr>
                <w:noProof/>
              </w:rPr>
            </w:pPr>
            <w:r>
              <w:rPr>
                <w:noProof/>
              </w:rPr>
              <w:t>Инвестиция 3.5. Възстановяване и опазване на морското дъно и морските местообитания</w:t>
            </w:r>
          </w:p>
        </w:tc>
        <w:tc>
          <w:tcPr>
            <w:tcW w:w="1423" w:type="dxa"/>
            <w:tcBorders>
              <w:top w:val="nil"/>
              <w:left w:val="nil"/>
              <w:bottom w:val="single" w:sz="4" w:space="0" w:color="auto"/>
              <w:right w:val="single" w:sz="4" w:space="0" w:color="auto"/>
            </w:tcBorders>
            <w:shd w:val="clear" w:color="auto" w:fill="C6EFCE"/>
            <w:noWrap/>
            <w:vAlign w:val="center"/>
          </w:tcPr>
          <w:p w14:paraId="575461AB"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5B33D2FB" w14:textId="77777777" w:rsidR="006054AA" w:rsidRDefault="001F7667">
            <w:pPr>
              <w:pStyle w:val="P68B1DB1-Normal12"/>
              <w:jc w:val="center"/>
              <w:rPr>
                <w:noProof/>
              </w:rPr>
            </w:pPr>
            <w:r>
              <w:rPr>
                <w:noProof/>
              </w:rPr>
              <w:t xml:space="preserve">Възстановяване и опазване на морското дъно и морските местообитания </w:t>
            </w:r>
          </w:p>
        </w:tc>
      </w:tr>
      <w:tr w:rsidR="006054AA" w14:paraId="01F2D0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B8522" w14:textId="77777777" w:rsidR="006054AA" w:rsidRDefault="001F7667">
            <w:pPr>
              <w:pStyle w:val="P68B1DB1-Normal12"/>
              <w:jc w:val="center"/>
              <w:rPr>
                <w:noProof/>
              </w:rPr>
            </w:pPr>
            <w:r>
              <w:rPr>
                <w:noProof/>
              </w:rPr>
              <w:t>M3C1—13</w:t>
            </w:r>
          </w:p>
        </w:tc>
        <w:tc>
          <w:tcPr>
            <w:tcW w:w="3105" w:type="dxa"/>
            <w:tcBorders>
              <w:top w:val="nil"/>
              <w:left w:val="nil"/>
              <w:bottom w:val="single" w:sz="4" w:space="0" w:color="auto"/>
              <w:right w:val="single" w:sz="4" w:space="0" w:color="auto"/>
            </w:tcBorders>
            <w:shd w:val="clear" w:color="auto" w:fill="C6EFCE"/>
            <w:noWrap/>
            <w:vAlign w:val="center"/>
          </w:tcPr>
          <w:p w14:paraId="2B5F2A51" w14:textId="77777777" w:rsidR="006054AA" w:rsidRDefault="001F7667">
            <w:pPr>
              <w:pStyle w:val="P68B1DB1-Normal12"/>
              <w:jc w:val="center"/>
              <w:rPr>
                <w:noProof/>
              </w:rPr>
            </w:pPr>
            <w:r>
              <w:rPr>
                <w:noProof/>
              </w:rPr>
              <w:t>Инвестиция 1.4 — Въвеждане на Европейската система за управление на железопътния транспорт (ERTMS)</w:t>
            </w:r>
          </w:p>
        </w:tc>
        <w:tc>
          <w:tcPr>
            <w:tcW w:w="1423" w:type="dxa"/>
            <w:tcBorders>
              <w:top w:val="nil"/>
              <w:left w:val="nil"/>
              <w:bottom w:val="single" w:sz="4" w:space="0" w:color="auto"/>
              <w:right w:val="single" w:sz="4" w:space="0" w:color="auto"/>
            </w:tcBorders>
            <w:shd w:val="clear" w:color="auto" w:fill="C6EFCE"/>
            <w:noWrap/>
            <w:vAlign w:val="center"/>
          </w:tcPr>
          <w:p w14:paraId="7CE72B68"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4B7927A5" w14:textId="77777777" w:rsidR="006054AA" w:rsidRDefault="001F7667">
            <w:pPr>
              <w:pStyle w:val="P68B1DB1-Normal12"/>
              <w:jc w:val="center"/>
              <w:rPr>
                <w:noProof/>
              </w:rPr>
            </w:pPr>
            <w:r>
              <w:rPr>
                <w:noProof/>
              </w:rPr>
              <w:t>1 400 км железопътни линии, оборудвани с Европейската система за управление на железопътния транспорт</w:t>
            </w:r>
          </w:p>
        </w:tc>
      </w:tr>
      <w:tr w:rsidR="006054AA" w14:paraId="4F0B98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E7211" w14:textId="77777777" w:rsidR="006054AA" w:rsidRDefault="001F7667">
            <w:pPr>
              <w:pStyle w:val="P68B1DB1-Normal12"/>
              <w:jc w:val="center"/>
              <w:rPr>
                <w:noProof/>
              </w:rPr>
            </w:pPr>
            <w:r>
              <w:rPr>
                <w:noProof/>
              </w:rPr>
              <w:t>M4C2—6</w:t>
            </w:r>
          </w:p>
        </w:tc>
        <w:tc>
          <w:tcPr>
            <w:tcW w:w="3105" w:type="dxa"/>
            <w:tcBorders>
              <w:top w:val="nil"/>
              <w:left w:val="nil"/>
              <w:bottom w:val="single" w:sz="4" w:space="0" w:color="auto"/>
              <w:right w:val="single" w:sz="4" w:space="0" w:color="auto"/>
            </w:tcBorders>
            <w:shd w:val="clear" w:color="auto" w:fill="C6EFCE"/>
            <w:noWrap/>
            <w:vAlign w:val="center"/>
          </w:tcPr>
          <w:p w14:paraId="1FDACA53" w14:textId="77777777" w:rsidR="006054AA" w:rsidRDefault="001F7667">
            <w:pPr>
              <w:pStyle w:val="P68B1DB1-Normal12"/>
              <w:jc w:val="center"/>
              <w:rPr>
                <w:noProof/>
              </w:rPr>
            </w:pPr>
            <w:r>
              <w:rPr>
                <w:noProof/>
              </w:rPr>
              <w:t>Инвестиция 1.1: Научноизследователски проекти от значителен национален интерес (PRIN)</w:t>
            </w:r>
          </w:p>
        </w:tc>
        <w:tc>
          <w:tcPr>
            <w:tcW w:w="1423" w:type="dxa"/>
            <w:tcBorders>
              <w:top w:val="nil"/>
              <w:left w:val="nil"/>
              <w:bottom w:val="single" w:sz="4" w:space="0" w:color="auto"/>
              <w:right w:val="single" w:sz="4" w:space="0" w:color="auto"/>
            </w:tcBorders>
            <w:shd w:val="clear" w:color="auto" w:fill="C6EFCE"/>
            <w:noWrap/>
            <w:vAlign w:val="center"/>
          </w:tcPr>
          <w:p w14:paraId="27909BF5"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71BBDC9E" w14:textId="77777777" w:rsidR="006054AA" w:rsidRDefault="001F7667">
            <w:pPr>
              <w:pStyle w:val="P68B1DB1-Normal12"/>
              <w:jc w:val="center"/>
              <w:rPr>
                <w:noProof/>
              </w:rPr>
            </w:pPr>
            <w:r>
              <w:rPr>
                <w:noProof/>
              </w:rPr>
              <w:t>Брой на възложените научноизследователски проекти</w:t>
            </w:r>
          </w:p>
        </w:tc>
      </w:tr>
      <w:tr w:rsidR="006054AA" w14:paraId="3267F5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DFC3F" w14:textId="77777777" w:rsidR="006054AA" w:rsidRDefault="001F7667">
            <w:pPr>
              <w:pStyle w:val="P68B1DB1-Normal12"/>
              <w:jc w:val="center"/>
              <w:rPr>
                <w:noProof/>
              </w:rPr>
            </w:pPr>
            <w:r>
              <w:rPr>
                <w:noProof/>
              </w:rPr>
              <w:t>M4C2—7</w:t>
            </w:r>
          </w:p>
        </w:tc>
        <w:tc>
          <w:tcPr>
            <w:tcW w:w="3105" w:type="dxa"/>
            <w:tcBorders>
              <w:top w:val="nil"/>
              <w:left w:val="nil"/>
              <w:bottom w:val="single" w:sz="4" w:space="0" w:color="auto"/>
              <w:right w:val="single" w:sz="4" w:space="0" w:color="auto"/>
            </w:tcBorders>
            <w:shd w:val="clear" w:color="auto" w:fill="C6EFCE"/>
            <w:noWrap/>
            <w:vAlign w:val="center"/>
          </w:tcPr>
          <w:p w14:paraId="66F2C1F8" w14:textId="77777777" w:rsidR="006054AA" w:rsidRDefault="001F7667">
            <w:pPr>
              <w:pStyle w:val="P68B1DB1-Normal12"/>
              <w:jc w:val="center"/>
              <w:rPr>
                <w:noProof/>
              </w:rPr>
            </w:pPr>
            <w:r>
              <w:rPr>
                <w:noProof/>
              </w:rPr>
              <w:t>Инвестиция 1.1: Научноизследователски проекти от значителен национален интерес (PRIN)</w:t>
            </w:r>
          </w:p>
        </w:tc>
        <w:tc>
          <w:tcPr>
            <w:tcW w:w="1423" w:type="dxa"/>
            <w:tcBorders>
              <w:top w:val="nil"/>
              <w:left w:val="nil"/>
              <w:bottom w:val="single" w:sz="4" w:space="0" w:color="auto"/>
              <w:right w:val="single" w:sz="4" w:space="0" w:color="auto"/>
            </w:tcBorders>
            <w:shd w:val="clear" w:color="auto" w:fill="C6EFCE"/>
            <w:noWrap/>
            <w:vAlign w:val="center"/>
          </w:tcPr>
          <w:p w14:paraId="0A083312"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779BE332" w14:textId="77777777" w:rsidR="006054AA" w:rsidRDefault="001F7667">
            <w:pPr>
              <w:pStyle w:val="P68B1DB1-Normal12"/>
              <w:jc w:val="center"/>
              <w:rPr>
                <w:noProof/>
              </w:rPr>
            </w:pPr>
            <w:r>
              <w:rPr>
                <w:noProof/>
              </w:rPr>
              <w:t>Брой на наетите изследователи на срочен трудов договор</w:t>
            </w:r>
          </w:p>
        </w:tc>
      </w:tr>
      <w:tr w:rsidR="006054AA" w14:paraId="68B6F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316969" w14:textId="77777777" w:rsidR="006054AA" w:rsidRDefault="001F7667">
            <w:pPr>
              <w:pStyle w:val="P68B1DB1-Normal12"/>
              <w:jc w:val="center"/>
              <w:rPr>
                <w:noProof/>
              </w:rPr>
            </w:pPr>
            <w:r>
              <w:rPr>
                <w:noProof/>
              </w:rPr>
              <w:t>M4C2—8</w:t>
            </w:r>
          </w:p>
        </w:tc>
        <w:tc>
          <w:tcPr>
            <w:tcW w:w="3105" w:type="dxa"/>
            <w:tcBorders>
              <w:top w:val="nil"/>
              <w:left w:val="nil"/>
              <w:bottom w:val="single" w:sz="4" w:space="0" w:color="auto"/>
              <w:right w:val="single" w:sz="4" w:space="0" w:color="auto"/>
            </w:tcBorders>
            <w:shd w:val="clear" w:color="auto" w:fill="C6EFCE"/>
            <w:noWrap/>
            <w:vAlign w:val="center"/>
          </w:tcPr>
          <w:p w14:paraId="57A5D1FC" w14:textId="77777777" w:rsidR="006054AA" w:rsidRDefault="001F7667">
            <w:pPr>
              <w:pStyle w:val="P68B1DB1-Normal12"/>
              <w:jc w:val="center"/>
              <w:rPr>
                <w:noProof/>
              </w:rPr>
            </w:pPr>
            <w:r>
              <w:rPr>
                <w:noProof/>
              </w:rPr>
              <w:t>Инвестиция 1.3: Партньорства, които обхващат университети, научноизследователски центрове, предприятия и финансиране на проекти за фундаментални научни изследвания</w:t>
            </w:r>
          </w:p>
        </w:tc>
        <w:tc>
          <w:tcPr>
            <w:tcW w:w="1423" w:type="dxa"/>
            <w:tcBorders>
              <w:top w:val="nil"/>
              <w:left w:val="nil"/>
              <w:bottom w:val="single" w:sz="4" w:space="0" w:color="auto"/>
              <w:right w:val="single" w:sz="4" w:space="0" w:color="auto"/>
            </w:tcBorders>
            <w:shd w:val="clear" w:color="auto" w:fill="C6EFCE"/>
            <w:noWrap/>
            <w:vAlign w:val="center"/>
          </w:tcPr>
          <w:p w14:paraId="0F759F85"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2E75652B" w14:textId="77777777" w:rsidR="006054AA" w:rsidRDefault="001F7667">
            <w:pPr>
              <w:pStyle w:val="P68B1DB1-Normal12"/>
              <w:jc w:val="center"/>
              <w:rPr>
                <w:noProof/>
              </w:rPr>
            </w:pPr>
            <w:r>
              <w:rPr>
                <w:noProof/>
              </w:rPr>
              <w:t>Брой на назначените изследователи на срочен договор за всяко от предвидените партньорства за фундаментални изследвания, подписани между научноизследователски институти и частни фирми</w:t>
            </w:r>
          </w:p>
        </w:tc>
      </w:tr>
      <w:tr w:rsidR="006054AA" w14:paraId="200D90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3FA0B7" w14:textId="77777777" w:rsidR="006054AA" w:rsidRDefault="001F7667">
            <w:pPr>
              <w:pStyle w:val="P68B1DB1-Normal12"/>
              <w:jc w:val="center"/>
              <w:rPr>
                <w:noProof/>
              </w:rPr>
            </w:pPr>
            <w:r>
              <w:rPr>
                <w:noProof/>
              </w:rPr>
              <w:t>M4C2—22</w:t>
            </w:r>
          </w:p>
        </w:tc>
        <w:tc>
          <w:tcPr>
            <w:tcW w:w="3105" w:type="dxa"/>
            <w:tcBorders>
              <w:top w:val="nil"/>
              <w:left w:val="nil"/>
              <w:bottom w:val="single" w:sz="4" w:space="0" w:color="auto"/>
              <w:right w:val="single" w:sz="4" w:space="0" w:color="auto"/>
            </w:tcBorders>
            <w:shd w:val="clear" w:color="auto" w:fill="C6EFCE"/>
            <w:noWrap/>
            <w:vAlign w:val="center"/>
          </w:tcPr>
          <w:p w14:paraId="1D055C95" w14:textId="77777777" w:rsidR="006054AA" w:rsidRDefault="001F7667">
            <w:pPr>
              <w:pStyle w:val="P68B1DB1-Normal12"/>
              <w:jc w:val="center"/>
              <w:rPr>
                <w:noProof/>
              </w:rPr>
            </w:pPr>
            <w:r>
              <w:rPr>
                <w:noProof/>
              </w:rPr>
              <w:t>Инвестиция 2.1: ВПОИ</w:t>
            </w:r>
          </w:p>
        </w:tc>
        <w:tc>
          <w:tcPr>
            <w:tcW w:w="1423" w:type="dxa"/>
            <w:tcBorders>
              <w:top w:val="nil"/>
              <w:left w:val="nil"/>
              <w:bottom w:val="single" w:sz="4" w:space="0" w:color="auto"/>
              <w:right w:val="single" w:sz="4" w:space="0" w:color="auto"/>
            </w:tcBorders>
            <w:shd w:val="clear" w:color="auto" w:fill="C6EFCE"/>
            <w:noWrap/>
            <w:vAlign w:val="center"/>
          </w:tcPr>
          <w:p w14:paraId="71BD7A45" w14:textId="77777777" w:rsidR="006054AA" w:rsidRDefault="001F7667">
            <w:pPr>
              <w:pStyle w:val="P68B1DB1-Normal12"/>
              <w:jc w:val="center"/>
              <w:rPr>
                <w:noProof/>
              </w:rPr>
            </w:pPr>
            <w:r>
              <w:rPr>
                <w:noProof/>
              </w:rPr>
              <w:t>Целеви</w:t>
            </w:r>
          </w:p>
        </w:tc>
        <w:tc>
          <w:tcPr>
            <w:tcW w:w="4074" w:type="dxa"/>
            <w:tcBorders>
              <w:top w:val="nil"/>
              <w:left w:val="nil"/>
              <w:bottom w:val="single" w:sz="4" w:space="0" w:color="auto"/>
              <w:right w:val="single" w:sz="4" w:space="0" w:color="auto"/>
            </w:tcBorders>
            <w:shd w:val="clear" w:color="auto" w:fill="C6EFCE"/>
            <w:noWrap/>
            <w:vAlign w:val="center"/>
          </w:tcPr>
          <w:p w14:paraId="0D08A779" w14:textId="77777777" w:rsidR="006054AA" w:rsidRDefault="001F7667">
            <w:pPr>
              <w:pStyle w:val="P68B1DB1-Normal12"/>
              <w:jc w:val="center"/>
              <w:rPr>
                <w:noProof/>
              </w:rPr>
            </w:pPr>
            <w:r>
              <w:rPr>
                <w:noProof/>
              </w:rPr>
              <w:t>Брой на проектите, които са получили подкрепа</w:t>
            </w:r>
          </w:p>
        </w:tc>
      </w:tr>
      <w:tr w:rsidR="006054AA" w14:paraId="2680DF2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7D578B" w14:textId="77777777" w:rsidR="006054AA" w:rsidRDefault="006054AA">
            <w:pPr>
              <w:jc w:val="center"/>
              <w:rPr>
                <w:noProof/>
                <w:color w:val="006100"/>
                <w:sz w:val="20"/>
              </w:rPr>
            </w:pPr>
          </w:p>
        </w:tc>
        <w:tc>
          <w:tcPr>
            <w:tcW w:w="3105" w:type="dxa"/>
            <w:tcBorders>
              <w:top w:val="single" w:sz="4" w:space="0" w:color="auto"/>
              <w:left w:val="nil"/>
              <w:bottom w:val="single" w:sz="4" w:space="0" w:color="auto"/>
              <w:right w:val="single" w:sz="4" w:space="0" w:color="auto"/>
            </w:tcBorders>
            <w:shd w:val="clear" w:color="auto" w:fill="C6EFCE"/>
            <w:noWrap/>
            <w:vAlign w:val="bottom"/>
          </w:tcPr>
          <w:p w14:paraId="3A9456F9" w14:textId="77777777" w:rsidR="006054AA" w:rsidRDefault="006054AA">
            <w:pPr>
              <w:rPr>
                <w:noProof/>
                <w:color w:val="006100"/>
                <w:sz w:val="20"/>
              </w:rPr>
            </w:pPr>
          </w:p>
        </w:tc>
        <w:tc>
          <w:tcPr>
            <w:tcW w:w="1423" w:type="dxa"/>
            <w:tcBorders>
              <w:top w:val="single" w:sz="4" w:space="0" w:color="auto"/>
              <w:left w:val="nil"/>
              <w:bottom w:val="single" w:sz="4" w:space="0" w:color="auto"/>
              <w:right w:val="single" w:sz="4" w:space="0" w:color="auto"/>
            </w:tcBorders>
            <w:shd w:val="clear" w:color="auto" w:fill="C6EFCE"/>
            <w:noWrap/>
            <w:vAlign w:val="bottom"/>
          </w:tcPr>
          <w:p w14:paraId="67D96260" w14:textId="77777777" w:rsidR="006054AA" w:rsidRDefault="001F7667">
            <w:pPr>
              <w:pStyle w:val="P68B1DB1-Normal12"/>
              <w:rPr>
                <w:noProof/>
              </w:rPr>
            </w:pPr>
            <w:r>
              <w:rPr>
                <w:noProof/>
              </w:rPr>
              <w:t>Размер на вноската</w:t>
            </w:r>
          </w:p>
        </w:tc>
        <w:tc>
          <w:tcPr>
            <w:tcW w:w="4074" w:type="dxa"/>
            <w:tcBorders>
              <w:top w:val="single" w:sz="4" w:space="0" w:color="auto"/>
              <w:left w:val="nil"/>
              <w:bottom w:val="single" w:sz="4" w:space="0" w:color="auto"/>
              <w:right w:val="single" w:sz="4" w:space="0" w:color="auto"/>
            </w:tcBorders>
            <w:shd w:val="clear" w:color="auto" w:fill="C6EFCE"/>
            <w:noWrap/>
            <w:vAlign w:val="bottom"/>
          </w:tcPr>
          <w:p w14:paraId="199FE780" w14:textId="6E770BC9" w:rsidR="006054AA" w:rsidRDefault="001F7667">
            <w:pPr>
              <w:pStyle w:val="P68B1DB1-Normal12"/>
              <w:rPr>
                <w:noProof/>
              </w:rPr>
            </w:pPr>
            <w:r>
              <w:rPr>
                <w:noProof/>
              </w:rPr>
              <w:t>10 344 827 586 EUR</w:t>
            </w:r>
          </w:p>
        </w:tc>
      </w:tr>
    </w:tbl>
    <w:p w14:paraId="0B4D5CB6" w14:textId="73BD5F09" w:rsidR="006054AA" w:rsidRDefault="001F7667">
      <w:pPr>
        <w:pStyle w:val="P68B1DB1-Normal44"/>
        <w:numPr>
          <w:ilvl w:val="1"/>
          <w:numId w:val="6"/>
        </w:numPr>
        <w:spacing w:before="120" w:after="120"/>
        <w:jc w:val="both"/>
        <w:rPr>
          <w:noProof/>
        </w:rPr>
      </w:pPr>
      <w:r>
        <w:rPr>
          <w:noProof/>
        </w:rPr>
        <w:t>Девета вноска (подкрепа под формата на заем):</w:t>
      </w:r>
    </w:p>
    <w:tbl>
      <w:tblPr>
        <w:tblW w:w="10072" w:type="dxa"/>
        <w:tblInd w:w="113" w:type="dxa"/>
        <w:tblLook w:val="04A0" w:firstRow="1" w:lastRow="0" w:firstColumn="1" w:lastColumn="0" w:noHBand="0" w:noVBand="1"/>
      </w:tblPr>
      <w:tblGrid>
        <w:gridCol w:w="1413"/>
        <w:gridCol w:w="3075"/>
        <w:gridCol w:w="1528"/>
        <w:gridCol w:w="4056"/>
      </w:tblGrid>
      <w:tr w:rsidR="006054AA" w14:paraId="020DF1DC"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DBC9FD" w14:textId="77777777" w:rsidR="006054AA" w:rsidRDefault="001F7667">
            <w:pPr>
              <w:pStyle w:val="P68B1DB1-Normal45"/>
              <w:jc w:val="center"/>
              <w:rPr>
                <w:noProof/>
              </w:rPr>
            </w:pPr>
            <w:r>
              <w:rPr>
                <w:noProof/>
              </w:rPr>
              <w:t>Пореден номер</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E0C0CE" w14:textId="77777777" w:rsidR="006054AA" w:rsidRDefault="001F7667">
            <w:pPr>
              <w:pStyle w:val="P68B1DB1-Normal45"/>
              <w:jc w:val="center"/>
              <w:rPr>
                <w:noProof/>
              </w:rPr>
            </w:pPr>
            <w:r>
              <w:rPr>
                <w:noProof/>
              </w:rPr>
              <w:t>Свързана мярка (реформа или инвестиции)</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518D22" w14:textId="77777777" w:rsidR="006054AA" w:rsidRDefault="001F7667">
            <w:pPr>
              <w:pStyle w:val="P68B1DB1-Normal45"/>
              <w:jc w:val="center"/>
              <w:rPr>
                <w:noProof/>
              </w:rPr>
            </w:pPr>
            <w:r>
              <w:rPr>
                <w:noProof/>
              </w:rPr>
              <w:t>Ключов етап/Цел</w:t>
            </w:r>
          </w:p>
        </w:tc>
        <w:tc>
          <w:tcPr>
            <w:tcW w:w="40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A01336" w14:textId="77777777" w:rsidR="006054AA" w:rsidRDefault="001F7667">
            <w:pPr>
              <w:pStyle w:val="P68B1DB1-Normal45"/>
              <w:jc w:val="center"/>
              <w:rPr>
                <w:noProof/>
              </w:rPr>
            </w:pPr>
            <w:r>
              <w:rPr>
                <w:noProof/>
              </w:rPr>
              <w:t>Име</w:t>
            </w:r>
          </w:p>
        </w:tc>
      </w:tr>
      <w:tr w:rsidR="006054AA" w14:paraId="5D0FD389"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04467B" w14:textId="77777777" w:rsidR="006054AA" w:rsidRDefault="006054AA">
            <w:pPr>
              <w:rPr>
                <w:b/>
                <w:noProof/>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7B10DA6A" w14:textId="77777777" w:rsidR="006054AA" w:rsidRDefault="006054AA">
            <w:pPr>
              <w:rPr>
                <w:b/>
                <w:noProof/>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097FD7B" w14:textId="77777777" w:rsidR="006054AA" w:rsidRDefault="006054AA">
            <w:pPr>
              <w:rPr>
                <w:b/>
                <w:noProof/>
              </w:rPr>
            </w:pPr>
          </w:p>
        </w:tc>
        <w:tc>
          <w:tcPr>
            <w:tcW w:w="4056" w:type="dxa"/>
            <w:vMerge/>
            <w:tcBorders>
              <w:top w:val="single" w:sz="4" w:space="0" w:color="auto"/>
              <w:left w:val="single" w:sz="4" w:space="0" w:color="auto"/>
              <w:bottom w:val="single" w:sz="4" w:space="0" w:color="auto"/>
              <w:right w:val="single" w:sz="4" w:space="0" w:color="auto"/>
            </w:tcBorders>
            <w:vAlign w:val="center"/>
            <w:hideMark/>
          </w:tcPr>
          <w:p w14:paraId="71E443F4" w14:textId="77777777" w:rsidR="006054AA" w:rsidRDefault="006054AA">
            <w:pPr>
              <w:rPr>
                <w:b/>
                <w:noProof/>
              </w:rPr>
            </w:pPr>
          </w:p>
        </w:tc>
      </w:tr>
      <w:tr w:rsidR="006054AA" w14:paraId="7BE7645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31E30" w14:textId="77777777" w:rsidR="006054AA" w:rsidRDefault="001F7667">
            <w:pPr>
              <w:pStyle w:val="P68B1DB1-Normal12"/>
              <w:jc w:val="center"/>
              <w:rPr>
                <w:noProof/>
              </w:rPr>
            </w:pPr>
            <w:r>
              <w:rPr>
                <w:noProof/>
              </w:rPr>
              <w:t>M1C1—145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B19F51A" w14:textId="77777777" w:rsidR="006054AA" w:rsidRDefault="001F7667">
            <w:pPr>
              <w:pStyle w:val="P68B1DB1-Normal12"/>
              <w:jc w:val="center"/>
              <w:rPr>
                <w:noProof/>
              </w:rPr>
            </w:pPr>
            <w:r>
              <w:rPr>
                <w:noProof/>
              </w:rPr>
              <w:t>Инвестиция 1.4.4 — Увеличаване на приемането на националните платформи за цифрова самоличност (SPID, CIE) и националния регистър (ANPR)</w:t>
            </w:r>
          </w:p>
        </w:tc>
        <w:tc>
          <w:tcPr>
            <w:tcW w:w="1528" w:type="dxa"/>
            <w:tcBorders>
              <w:top w:val="single" w:sz="4" w:space="0" w:color="auto"/>
              <w:left w:val="nil"/>
              <w:bottom w:val="single" w:sz="4" w:space="0" w:color="auto"/>
              <w:right w:val="single" w:sz="4" w:space="0" w:color="auto"/>
            </w:tcBorders>
            <w:shd w:val="clear" w:color="auto" w:fill="C6EFCE"/>
            <w:noWrap/>
            <w:vAlign w:val="center"/>
          </w:tcPr>
          <w:p w14:paraId="4DDC9BDE" w14:textId="77777777" w:rsidR="006054AA" w:rsidRDefault="001F7667">
            <w:pPr>
              <w:pStyle w:val="P68B1DB1-Normal12"/>
              <w:jc w:val="center"/>
              <w:rPr>
                <w:noProof/>
              </w:rPr>
            </w:pPr>
            <w:r>
              <w:rPr>
                <w:noProof/>
              </w:rPr>
              <w:t>Целеви</w:t>
            </w:r>
          </w:p>
        </w:tc>
        <w:tc>
          <w:tcPr>
            <w:tcW w:w="4056" w:type="dxa"/>
            <w:tcBorders>
              <w:top w:val="single" w:sz="4" w:space="0" w:color="auto"/>
              <w:left w:val="nil"/>
              <w:bottom w:val="single" w:sz="4" w:space="0" w:color="auto"/>
              <w:right w:val="single" w:sz="4" w:space="0" w:color="auto"/>
            </w:tcBorders>
            <w:shd w:val="clear" w:color="auto" w:fill="C6EFCE"/>
            <w:noWrap/>
            <w:vAlign w:val="center"/>
          </w:tcPr>
          <w:p w14:paraId="2354810C" w14:textId="77777777" w:rsidR="006054AA" w:rsidRDefault="001F7667">
            <w:pPr>
              <w:pStyle w:val="P68B1DB1-Normal12"/>
              <w:jc w:val="center"/>
              <w:rPr>
                <w:noProof/>
              </w:rPr>
            </w:pPr>
            <w:r>
              <w:rPr>
                <w:noProof/>
              </w:rPr>
              <w:t>Национални платформи за цифрова самоличност (SPID, CIE) и национален регистър (ANPR)</w:t>
            </w:r>
          </w:p>
        </w:tc>
      </w:tr>
      <w:tr w:rsidR="006054AA" w14:paraId="27021B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00C27A" w14:textId="77777777" w:rsidR="006054AA" w:rsidRDefault="001F7667">
            <w:pPr>
              <w:pStyle w:val="P68B1DB1-Normal12"/>
              <w:jc w:val="center"/>
              <w:rPr>
                <w:noProof/>
              </w:rPr>
            </w:pPr>
            <w:r>
              <w:rPr>
                <w:noProof/>
              </w:rPr>
              <w:t>M1C3—17</w:t>
            </w:r>
          </w:p>
        </w:tc>
        <w:tc>
          <w:tcPr>
            <w:tcW w:w="3075" w:type="dxa"/>
            <w:tcBorders>
              <w:top w:val="nil"/>
              <w:left w:val="nil"/>
              <w:bottom w:val="single" w:sz="4" w:space="0" w:color="auto"/>
              <w:right w:val="single" w:sz="4" w:space="0" w:color="auto"/>
            </w:tcBorders>
            <w:shd w:val="clear" w:color="auto" w:fill="C6EFCE"/>
            <w:noWrap/>
            <w:vAlign w:val="center"/>
          </w:tcPr>
          <w:p w14:paraId="7331CC1C" w14:textId="77777777" w:rsidR="006054AA" w:rsidRDefault="001F7667">
            <w:pPr>
              <w:pStyle w:val="P68B1DB1-Normal12"/>
              <w:jc w:val="center"/>
              <w:rPr>
                <w:noProof/>
              </w:rPr>
            </w:pPr>
            <w:r>
              <w:rPr>
                <w:noProof/>
              </w:rPr>
              <w:t>Инвестиции — 2.2 Опазване и подобряване на структурата и ландшафта на селските райони</w:t>
            </w:r>
          </w:p>
        </w:tc>
        <w:tc>
          <w:tcPr>
            <w:tcW w:w="1528" w:type="dxa"/>
            <w:tcBorders>
              <w:top w:val="nil"/>
              <w:left w:val="nil"/>
              <w:bottom w:val="single" w:sz="4" w:space="0" w:color="auto"/>
              <w:right w:val="single" w:sz="4" w:space="0" w:color="auto"/>
            </w:tcBorders>
            <w:shd w:val="clear" w:color="auto" w:fill="C6EFCE"/>
            <w:noWrap/>
            <w:vAlign w:val="center"/>
          </w:tcPr>
          <w:p w14:paraId="58704FDF"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67B50808" w14:textId="77777777" w:rsidR="006054AA" w:rsidRDefault="001F7667">
            <w:pPr>
              <w:pStyle w:val="P68B1DB1-Normal12"/>
              <w:jc w:val="center"/>
              <w:rPr>
                <w:noProof/>
              </w:rPr>
            </w:pPr>
            <w:r>
              <w:rPr>
                <w:noProof/>
              </w:rPr>
              <w:t>Приключване на интервенциите за защита и подобряване на структурата и ландшафта на селските райони</w:t>
            </w:r>
          </w:p>
        </w:tc>
      </w:tr>
      <w:tr w:rsidR="006054AA" w14:paraId="2BA47D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F6716D" w14:textId="77777777" w:rsidR="006054AA" w:rsidRDefault="001F7667">
            <w:pPr>
              <w:pStyle w:val="P68B1DB1-Normal12"/>
              <w:jc w:val="center"/>
              <w:rPr>
                <w:noProof/>
              </w:rPr>
            </w:pPr>
            <w:r>
              <w:rPr>
                <w:noProof/>
              </w:rPr>
              <w:t>M1C3—18</w:t>
            </w:r>
          </w:p>
        </w:tc>
        <w:tc>
          <w:tcPr>
            <w:tcW w:w="3075" w:type="dxa"/>
            <w:tcBorders>
              <w:top w:val="nil"/>
              <w:left w:val="nil"/>
              <w:bottom w:val="single" w:sz="4" w:space="0" w:color="auto"/>
              <w:right w:val="single" w:sz="4" w:space="0" w:color="auto"/>
            </w:tcBorders>
            <w:shd w:val="clear" w:color="auto" w:fill="C6EFCE"/>
            <w:noWrap/>
            <w:vAlign w:val="center"/>
          </w:tcPr>
          <w:p w14:paraId="076A0EA9" w14:textId="77777777" w:rsidR="006054AA" w:rsidRDefault="001F7667">
            <w:pPr>
              <w:pStyle w:val="P68B1DB1-Normal12"/>
              <w:jc w:val="center"/>
              <w:rPr>
                <w:noProof/>
              </w:rPr>
            </w:pPr>
            <w:r>
              <w:rPr>
                <w:noProof/>
              </w:rPr>
              <w:t>Програми за инвестиции 2.3 за подобряване на идентичността на местата: паркове и исторически градини</w:t>
            </w:r>
          </w:p>
        </w:tc>
        <w:tc>
          <w:tcPr>
            <w:tcW w:w="1528" w:type="dxa"/>
            <w:tcBorders>
              <w:top w:val="nil"/>
              <w:left w:val="nil"/>
              <w:bottom w:val="single" w:sz="4" w:space="0" w:color="auto"/>
              <w:right w:val="single" w:sz="4" w:space="0" w:color="auto"/>
            </w:tcBorders>
            <w:shd w:val="clear" w:color="auto" w:fill="C6EFCE"/>
            <w:noWrap/>
            <w:vAlign w:val="center"/>
          </w:tcPr>
          <w:p w14:paraId="0AC11562"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2C5DF59E" w14:textId="77777777" w:rsidR="006054AA" w:rsidRDefault="001F7667">
            <w:pPr>
              <w:pStyle w:val="P68B1DB1-Normal12"/>
              <w:jc w:val="center"/>
              <w:rPr>
                <w:noProof/>
              </w:rPr>
            </w:pPr>
            <w:r>
              <w:rPr>
                <w:noProof/>
              </w:rPr>
              <w:t>Брой преустроени паркове и исторически градини</w:t>
            </w:r>
          </w:p>
        </w:tc>
      </w:tr>
      <w:tr w:rsidR="006054AA" w14:paraId="28169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7EAFAD" w14:textId="77777777" w:rsidR="006054AA" w:rsidRDefault="001F7667">
            <w:pPr>
              <w:pStyle w:val="P68B1DB1-Normal12"/>
              <w:jc w:val="center"/>
              <w:rPr>
                <w:noProof/>
              </w:rPr>
            </w:pPr>
            <w:r>
              <w:rPr>
                <w:noProof/>
              </w:rPr>
              <w:t>M1C3—19</w:t>
            </w:r>
          </w:p>
        </w:tc>
        <w:tc>
          <w:tcPr>
            <w:tcW w:w="3075" w:type="dxa"/>
            <w:tcBorders>
              <w:top w:val="nil"/>
              <w:left w:val="nil"/>
              <w:bottom w:val="single" w:sz="4" w:space="0" w:color="auto"/>
              <w:right w:val="single" w:sz="4" w:space="0" w:color="auto"/>
            </w:tcBorders>
            <w:shd w:val="clear" w:color="auto" w:fill="C6EFCE"/>
            <w:noWrap/>
            <w:vAlign w:val="center"/>
          </w:tcPr>
          <w:p w14:paraId="772678DB" w14:textId="77777777" w:rsidR="006054AA" w:rsidRDefault="001F7667">
            <w:pPr>
              <w:pStyle w:val="P68B1DB1-Normal12"/>
              <w:jc w:val="center"/>
              <w:rPr>
                <w:noProof/>
              </w:rPr>
            </w:pPr>
            <w:r>
              <w:rPr>
                <w:noProof/>
              </w:rPr>
              <w:t>Инвестиции — 2.4 сеизмична безопасност на местата за богослужение, реставрация на културното наследство и приютите за произведения на изкуството (Fondo Edifici di Culto) (Възстановяване на изкуство)</w:t>
            </w:r>
          </w:p>
        </w:tc>
        <w:tc>
          <w:tcPr>
            <w:tcW w:w="1528" w:type="dxa"/>
            <w:tcBorders>
              <w:top w:val="nil"/>
              <w:left w:val="nil"/>
              <w:bottom w:val="single" w:sz="4" w:space="0" w:color="auto"/>
              <w:right w:val="single" w:sz="4" w:space="0" w:color="auto"/>
            </w:tcBorders>
            <w:shd w:val="clear" w:color="auto" w:fill="C6EFCE"/>
            <w:noWrap/>
            <w:vAlign w:val="center"/>
          </w:tcPr>
          <w:p w14:paraId="19F750D0"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3FE3FABA" w14:textId="77777777" w:rsidR="006054AA" w:rsidRDefault="001F7667">
            <w:pPr>
              <w:pStyle w:val="P68B1DB1-Normal12"/>
              <w:jc w:val="center"/>
              <w:rPr>
                <w:noProof/>
              </w:rPr>
            </w:pPr>
            <w:r>
              <w:rPr>
                <w:noProof/>
              </w:rPr>
              <w:t>Приключване на интервенциите за сеизмична безопасност на местата за поклонение, реставрация на културното наследство на FEC (Fondo Edifici di Culto) и приюти за произведения на изкуството</w:t>
            </w:r>
          </w:p>
        </w:tc>
      </w:tr>
      <w:tr w:rsidR="006054AA" w14:paraId="442498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A424AC" w14:textId="77777777" w:rsidR="006054AA" w:rsidRDefault="001F7667">
            <w:pPr>
              <w:pStyle w:val="P68B1DB1-Normal12"/>
              <w:jc w:val="center"/>
              <w:rPr>
                <w:noProof/>
              </w:rPr>
            </w:pPr>
            <w:r>
              <w:rPr>
                <w:noProof/>
              </w:rPr>
              <w:t>M1C3—28</w:t>
            </w:r>
          </w:p>
        </w:tc>
        <w:tc>
          <w:tcPr>
            <w:tcW w:w="3075" w:type="dxa"/>
            <w:tcBorders>
              <w:top w:val="nil"/>
              <w:left w:val="nil"/>
              <w:bottom w:val="single" w:sz="4" w:space="0" w:color="auto"/>
              <w:right w:val="single" w:sz="4" w:space="0" w:color="auto"/>
            </w:tcBorders>
            <w:shd w:val="clear" w:color="auto" w:fill="C6EFCE"/>
            <w:noWrap/>
            <w:vAlign w:val="center"/>
          </w:tcPr>
          <w:p w14:paraId="281F966E" w14:textId="77777777" w:rsidR="006054AA" w:rsidRDefault="001F7667">
            <w:pPr>
              <w:pStyle w:val="P68B1DB1-Normal12"/>
              <w:jc w:val="center"/>
              <w:rPr>
                <w:noProof/>
              </w:rPr>
            </w:pPr>
            <w:r>
              <w:rPr>
                <w:noProof/>
              </w:rPr>
              <w:t>Инвестиция 4.2:  Фондове за конкурентоспособността на туристическите предприятия</w:t>
            </w:r>
          </w:p>
        </w:tc>
        <w:tc>
          <w:tcPr>
            <w:tcW w:w="1528" w:type="dxa"/>
            <w:tcBorders>
              <w:top w:val="nil"/>
              <w:left w:val="nil"/>
              <w:bottom w:val="single" w:sz="4" w:space="0" w:color="auto"/>
              <w:right w:val="single" w:sz="4" w:space="0" w:color="auto"/>
            </w:tcBorders>
            <w:shd w:val="clear" w:color="auto" w:fill="C6EFCE"/>
            <w:noWrap/>
            <w:vAlign w:val="center"/>
          </w:tcPr>
          <w:p w14:paraId="5EDAB96C"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08085EAC" w14:textId="77777777" w:rsidR="006054AA" w:rsidRDefault="001F7667">
            <w:pPr>
              <w:pStyle w:val="P68B1DB1-Normal12"/>
              <w:jc w:val="center"/>
              <w:rPr>
                <w:noProof/>
              </w:rPr>
            </w:pPr>
            <w:r>
              <w:rPr>
                <w:noProof/>
              </w:rPr>
              <w:t xml:space="preserve">Брой на туристическите предприятия, подпомагани от данъчния кредит за инфраструктура и/или услуги; </w:t>
            </w:r>
          </w:p>
        </w:tc>
      </w:tr>
      <w:tr w:rsidR="006054AA" w14:paraId="2F320B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F43F3B" w14:textId="77777777" w:rsidR="006054AA" w:rsidRDefault="001F7667">
            <w:pPr>
              <w:pStyle w:val="P68B1DB1-Normal12"/>
              <w:jc w:val="center"/>
              <w:rPr>
                <w:noProof/>
              </w:rPr>
            </w:pPr>
            <w:r>
              <w:rPr>
                <w:noProof/>
              </w:rPr>
              <w:t>M1C3—32</w:t>
            </w:r>
          </w:p>
        </w:tc>
        <w:tc>
          <w:tcPr>
            <w:tcW w:w="3075" w:type="dxa"/>
            <w:tcBorders>
              <w:top w:val="nil"/>
              <w:left w:val="nil"/>
              <w:bottom w:val="single" w:sz="4" w:space="0" w:color="auto"/>
              <w:right w:val="single" w:sz="4" w:space="0" w:color="auto"/>
            </w:tcBorders>
            <w:shd w:val="clear" w:color="auto" w:fill="C6EFCE"/>
            <w:noWrap/>
            <w:vAlign w:val="center"/>
          </w:tcPr>
          <w:p w14:paraId="172A922D" w14:textId="77777777" w:rsidR="006054AA" w:rsidRDefault="001F7667">
            <w:pPr>
              <w:pStyle w:val="P68B1DB1-Normal12"/>
              <w:jc w:val="center"/>
              <w:rPr>
                <w:noProof/>
              </w:rPr>
            </w:pPr>
            <w:r>
              <w:rPr>
                <w:noProof/>
              </w:rPr>
              <w:t xml:space="preserve">Инвестиция 4.2:  Фондове за конкурентоспособността на туристическите предприятия </w:t>
            </w:r>
          </w:p>
        </w:tc>
        <w:tc>
          <w:tcPr>
            <w:tcW w:w="1528" w:type="dxa"/>
            <w:tcBorders>
              <w:top w:val="nil"/>
              <w:left w:val="nil"/>
              <w:bottom w:val="single" w:sz="4" w:space="0" w:color="auto"/>
              <w:right w:val="single" w:sz="4" w:space="0" w:color="auto"/>
            </w:tcBorders>
            <w:shd w:val="clear" w:color="auto" w:fill="C6EFCE"/>
            <w:noWrap/>
            <w:vAlign w:val="center"/>
          </w:tcPr>
          <w:p w14:paraId="573696B9" w14:textId="77777777" w:rsidR="006054AA" w:rsidRDefault="001F7667">
            <w:pPr>
              <w:pStyle w:val="P68B1DB1-Normal12"/>
              <w:jc w:val="center"/>
              <w:rPr>
                <w:noProof/>
              </w:rPr>
            </w:pPr>
            <w:r>
              <w:rPr>
                <w:noProof/>
              </w:rPr>
              <w:t xml:space="preserve">Целеви </w:t>
            </w:r>
          </w:p>
        </w:tc>
        <w:tc>
          <w:tcPr>
            <w:tcW w:w="4056" w:type="dxa"/>
            <w:tcBorders>
              <w:top w:val="nil"/>
              <w:left w:val="nil"/>
              <w:bottom w:val="single" w:sz="4" w:space="0" w:color="auto"/>
              <w:right w:val="single" w:sz="4" w:space="0" w:color="auto"/>
            </w:tcBorders>
            <w:shd w:val="clear" w:color="auto" w:fill="C6EFCE"/>
            <w:noWrap/>
            <w:vAlign w:val="center"/>
          </w:tcPr>
          <w:p w14:paraId="644110E5" w14:textId="77777777" w:rsidR="006054AA" w:rsidRDefault="001F7667">
            <w:pPr>
              <w:pStyle w:val="P68B1DB1-Normal12"/>
              <w:jc w:val="center"/>
              <w:rPr>
                <w:noProof/>
              </w:rPr>
            </w:pPr>
            <w:r>
              <w:rPr>
                <w:noProof/>
              </w:rPr>
              <w:t xml:space="preserve"> Брой на туристическите предприятия, които ще получат подкрепа чрез Гаранционния фонд за МСП </w:t>
            </w:r>
          </w:p>
        </w:tc>
      </w:tr>
      <w:tr w:rsidR="006054AA" w14:paraId="4919F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7F784" w14:textId="77777777" w:rsidR="006054AA" w:rsidRDefault="001F7667">
            <w:pPr>
              <w:pStyle w:val="P68B1DB1-Normal12"/>
              <w:jc w:val="center"/>
              <w:rPr>
                <w:noProof/>
              </w:rPr>
            </w:pPr>
            <w:r>
              <w:rPr>
                <w:noProof/>
              </w:rPr>
              <w:t>M1C3—34</w:t>
            </w:r>
          </w:p>
        </w:tc>
        <w:tc>
          <w:tcPr>
            <w:tcW w:w="3075" w:type="dxa"/>
            <w:tcBorders>
              <w:top w:val="nil"/>
              <w:left w:val="nil"/>
              <w:bottom w:val="single" w:sz="4" w:space="0" w:color="auto"/>
              <w:right w:val="single" w:sz="4" w:space="0" w:color="auto"/>
            </w:tcBorders>
            <w:shd w:val="clear" w:color="auto" w:fill="C6EFCE"/>
            <w:noWrap/>
            <w:vAlign w:val="center"/>
          </w:tcPr>
          <w:p w14:paraId="370F506E" w14:textId="77777777" w:rsidR="006054AA" w:rsidRDefault="001F7667">
            <w:pPr>
              <w:pStyle w:val="P68B1DB1-Normal12"/>
              <w:jc w:val="center"/>
              <w:rPr>
                <w:noProof/>
              </w:rPr>
            </w:pPr>
            <w:r>
              <w:rPr>
                <w:noProof/>
              </w:rPr>
              <w:t>Фонд „Инвестиция 4.2“ за конкурентоспособността на туристическите предприятия</w:t>
            </w:r>
          </w:p>
        </w:tc>
        <w:tc>
          <w:tcPr>
            <w:tcW w:w="1528" w:type="dxa"/>
            <w:tcBorders>
              <w:top w:val="nil"/>
              <w:left w:val="nil"/>
              <w:bottom w:val="single" w:sz="4" w:space="0" w:color="auto"/>
              <w:right w:val="single" w:sz="4" w:space="0" w:color="auto"/>
            </w:tcBorders>
            <w:shd w:val="clear" w:color="auto" w:fill="C6EFCE"/>
            <w:noWrap/>
            <w:vAlign w:val="center"/>
          </w:tcPr>
          <w:p w14:paraId="618D5EC1" w14:textId="77777777" w:rsidR="006054AA" w:rsidRDefault="001F7667">
            <w:pPr>
              <w:pStyle w:val="P68B1DB1-Normal12"/>
              <w:jc w:val="center"/>
              <w:rPr>
                <w:noProof/>
              </w:rPr>
            </w:pPr>
            <w:r>
              <w:rPr>
                <w:noProof/>
              </w:rPr>
              <w:t xml:space="preserve">Целеви </w:t>
            </w:r>
          </w:p>
        </w:tc>
        <w:tc>
          <w:tcPr>
            <w:tcW w:w="4056" w:type="dxa"/>
            <w:tcBorders>
              <w:top w:val="nil"/>
              <w:left w:val="nil"/>
              <w:bottom w:val="single" w:sz="4" w:space="0" w:color="auto"/>
              <w:right w:val="single" w:sz="4" w:space="0" w:color="auto"/>
            </w:tcBorders>
            <w:shd w:val="clear" w:color="auto" w:fill="C6EFCE"/>
            <w:noWrap/>
            <w:vAlign w:val="center"/>
          </w:tcPr>
          <w:p w14:paraId="0779074E" w14:textId="77777777" w:rsidR="006054AA" w:rsidRDefault="001F7667">
            <w:pPr>
              <w:pStyle w:val="P68B1DB1-Normal12"/>
              <w:jc w:val="center"/>
              <w:rPr>
                <w:noProof/>
              </w:rPr>
            </w:pPr>
            <w:r>
              <w:rPr>
                <w:noProof/>
              </w:rPr>
              <w:t xml:space="preserve"> Брой недвижими имоти, преустроени за туризъм от Националния фонд за туризъм  </w:t>
            </w:r>
          </w:p>
        </w:tc>
      </w:tr>
      <w:tr w:rsidR="006054AA" w14:paraId="28B24B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69ED8C" w14:textId="77777777" w:rsidR="006054AA" w:rsidRDefault="001F7667">
            <w:pPr>
              <w:pStyle w:val="P68B1DB1-Normal12"/>
              <w:jc w:val="center"/>
              <w:rPr>
                <w:noProof/>
              </w:rPr>
            </w:pPr>
            <w:r>
              <w:rPr>
                <w:noProof/>
              </w:rPr>
              <w:t>M2C1—17</w:t>
            </w:r>
          </w:p>
        </w:tc>
        <w:tc>
          <w:tcPr>
            <w:tcW w:w="3075" w:type="dxa"/>
            <w:tcBorders>
              <w:top w:val="nil"/>
              <w:left w:val="nil"/>
              <w:bottom w:val="single" w:sz="4" w:space="0" w:color="auto"/>
              <w:right w:val="single" w:sz="4" w:space="0" w:color="auto"/>
            </w:tcBorders>
            <w:shd w:val="clear" w:color="auto" w:fill="C6EFCE"/>
            <w:noWrap/>
            <w:vAlign w:val="center"/>
          </w:tcPr>
          <w:p w14:paraId="11CAD161" w14:textId="77777777" w:rsidR="006054AA" w:rsidRDefault="001F7667">
            <w:pPr>
              <w:pStyle w:val="P68B1DB1-Normal12"/>
              <w:jc w:val="center"/>
              <w:rPr>
                <w:noProof/>
              </w:rPr>
            </w:pPr>
            <w:r>
              <w:rPr>
                <w:noProof/>
              </w:rPr>
              <w:t>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2CCF2E96"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233AFAC0" w14:textId="77777777" w:rsidR="006054AA" w:rsidRDefault="001F7667">
            <w:pPr>
              <w:pStyle w:val="P68B1DB1-Normal12"/>
              <w:jc w:val="center"/>
              <w:rPr>
                <w:noProof/>
              </w:rPr>
            </w:pPr>
            <w:r>
              <w:rPr>
                <w:noProof/>
              </w:rPr>
              <w:t xml:space="preserve">Процент на рециклиране на битовите отпадъци в плана за действие за кръговата икономика  </w:t>
            </w:r>
          </w:p>
        </w:tc>
      </w:tr>
      <w:tr w:rsidR="006054AA" w14:paraId="2E4BDA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5615A" w14:textId="77777777" w:rsidR="006054AA" w:rsidRDefault="001F7667">
            <w:pPr>
              <w:pStyle w:val="P68B1DB1-Normal12"/>
              <w:jc w:val="center"/>
              <w:rPr>
                <w:noProof/>
              </w:rPr>
            </w:pPr>
            <w:r>
              <w:rPr>
                <w:noProof/>
              </w:rPr>
              <w:t>M2C1—17bis</w:t>
            </w:r>
          </w:p>
        </w:tc>
        <w:tc>
          <w:tcPr>
            <w:tcW w:w="3075" w:type="dxa"/>
            <w:tcBorders>
              <w:top w:val="nil"/>
              <w:left w:val="nil"/>
              <w:bottom w:val="single" w:sz="4" w:space="0" w:color="auto"/>
              <w:right w:val="single" w:sz="4" w:space="0" w:color="auto"/>
            </w:tcBorders>
            <w:shd w:val="clear" w:color="auto" w:fill="C6EFCE"/>
            <w:noWrap/>
            <w:vAlign w:val="center"/>
          </w:tcPr>
          <w:p w14:paraId="7874AD15" w14:textId="77777777" w:rsidR="006054AA" w:rsidRDefault="001F7667">
            <w:pPr>
              <w:pStyle w:val="P68B1DB1-Normal12"/>
              <w:jc w:val="center"/>
              <w:rPr>
                <w:noProof/>
              </w:rPr>
            </w:pPr>
            <w:r>
              <w:rPr>
                <w:noProof/>
              </w:rPr>
              <w:t>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2F20F458"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1E4A953C" w14:textId="77777777" w:rsidR="006054AA" w:rsidRDefault="001F7667">
            <w:pPr>
              <w:pStyle w:val="P68B1DB1-Normal12"/>
              <w:jc w:val="center"/>
              <w:rPr>
                <w:noProof/>
              </w:rPr>
            </w:pPr>
            <w:r>
              <w:rPr>
                <w:noProof/>
              </w:rPr>
              <w:t>Процент на рециклиране на отпадъците от опаковки в плана за действие за кръговата икономика</w:t>
            </w:r>
          </w:p>
        </w:tc>
      </w:tr>
      <w:tr w:rsidR="006054AA" w14:paraId="5C4B0A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22B44" w14:textId="77777777" w:rsidR="006054AA" w:rsidRDefault="001F7667">
            <w:pPr>
              <w:pStyle w:val="P68B1DB1-Normal12"/>
              <w:jc w:val="center"/>
              <w:rPr>
                <w:noProof/>
              </w:rPr>
            </w:pPr>
            <w:r>
              <w:rPr>
                <w:noProof/>
              </w:rPr>
              <w:t>M2C1—17ter</w:t>
            </w:r>
          </w:p>
        </w:tc>
        <w:tc>
          <w:tcPr>
            <w:tcW w:w="3075" w:type="dxa"/>
            <w:tcBorders>
              <w:top w:val="nil"/>
              <w:left w:val="nil"/>
              <w:bottom w:val="single" w:sz="4" w:space="0" w:color="auto"/>
              <w:right w:val="single" w:sz="4" w:space="0" w:color="auto"/>
            </w:tcBorders>
            <w:shd w:val="clear" w:color="auto" w:fill="C6EFCE"/>
            <w:noWrap/>
            <w:vAlign w:val="center"/>
          </w:tcPr>
          <w:p w14:paraId="01429624" w14:textId="77777777" w:rsidR="006054AA" w:rsidRDefault="001F7667">
            <w:pPr>
              <w:pStyle w:val="P68B1DB1-Normal12"/>
              <w:jc w:val="center"/>
              <w:rPr>
                <w:noProof/>
              </w:rPr>
            </w:pPr>
            <w:r>
              <w:rPr>
                <w:noProof/>
              </w:rPr>
              <w:t>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72868CA9"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2ECF2855" w14:textId="77777777" w:rsidR="006054AA" w:rsidRDefault="001F7667">
            <w:pPr>
              <w:pStyle w:val="P68B1DB1-Normal12"/>
              <w:jc w:val="center"/>
              <w:rPr>
                <w:noProof/>
              </w:rPr>
            </w:pPr>
            <w:r>
              <w:rPr>
                <w:noProof/>
              </w:rPr>
              <w:t>Процент на рециклиране на опаковки от дървесина в плана за действие за кръговата икономика</w:t>
            </w:r>
          </w:p>
        </w:tc>
      </w:tr>
      <w:tr w:rsidR="006054AA" w14:paraId="25DF6E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D86DB1" w14:textId="77777777" w:rsidR="006054AA" w:rsidRDefault="001F7667">
            <w:pPr>
              <w:pStyle w:val="P68B1DB1-Normal12"/>
              <w:jc w:val="center"/>
              <w:rPr>
                <w:noProof/>
              </w:rPr>
            </w:pPr>
            <w:r>
              <w:rPr>
                <w:noProof/>
              </w:rPr>
              <w:t>M2C1—17quater</w:t>
            </w:r>
          </w:p>
        </w:tc>
        <w:tc>
          <w:tcPr>
            <w:tcW w:w="3075" w:type="dxa"/>
            <w:tcBorders>
              <w:top w:val="nil"/>
              <w:left w:val="nil"/>
              <w:bottom w:val="single" w:sz="4" w:space="0" w:color="auto"/>
              <w:right w:val="single" w:sz="4" w:space="0" w:color="auto"/>
            </w:tcBorders>
            <w:shd w:val="clear" w:color="auto" w:fill="C6EFCE"/>
            <w:noWrap/>
            <w:vAlign w:val="center"/>
          </w:tcPr>
          <w:p w14:paraId="1AF50116" w14:textId="77777777" w:rsidR="006054AA" w:rsidRDefault="001F7667">
            <w:pPr>
              <w:pStyle w:val="P68B1DB1-Normal12"/>
              <w:jc w:val="center"/>
              <w:rPr>
                <w:noProof/>
              </w:rPr>
            </w:pPr>
            <w:r>
              <w:rPr>
                <w:noProof/>
              </w:rPr>
              <w:t>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44375E0B"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1B1F968D" w14:textId="77777777" w:rsidR="006054AA" w:rsidRDefault="001F7667">
            <w:pPr>
              <w:pStyle w:val="P68B1DB1-Normal12"/>
              <w:jc w:val="center"/>
              <w:rPr>
                <w:noProof/>
              </w:rPr>
            </w:pPr>
            <w:r>
              <w:rPr>
                <w:noProof/>
              </w:rPr>
              <w:t>Процент на рециклиране на опаковки от черни метали в плана за действие за кръговата икономика</w:t>
            </w:r>
          </w:p>
        </w:tc>
      </w:tr>
      <w:tr w:rsidR="006054AA" w14:paraId="244C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A5E35" w14:textId="77777777" w:rsidR="006054AA" w:rsidRDefault="001F7667">
            <w:pPr>
              <w:pStyle w:val="P68B1DB1-Normal12"/>
              <w:jc w:val="center"/>
              <w:rPr>
                <w:noProof/>
              </w:rPr>
            </w:pPr>
            <w:r>
              <w:rPr>
                <w:noProof/>
              </w:rPr>
              <w:t>M2C1—17 quinquies</w:t>
            </w:r>
          </w:p>
        </w:tc>
        <w:tc>
          <w:tcPr>
            <w:tcW w:w="3075" w:type="dxa"/>
            <w:tcBorders>
              <w:top w:val="nil"/>
              <w:left w:val="nil"/>
              <w:bottom w:val="single" w:sz="4" w:space="0" w:color="auto"/>
              <w:right w:val="single" w:sz="4" w:space="0" w:color="auto"/>
            </w:tcBorders>
            <w:shd w:val="clear" w:color="auto" w:fill="C6EFCE"/>
            <w:noWrap/>
            <w:vAlign w:val="center"/>
          </w:tcPr>
          <w:p w14:paraId="2DECBF6B" w14:textId="77777777" w:rsidR="006054AA" w:rsidRDefault="001F7667">
            <w:pPr>
              <w:pStyle w:val="P68B1DB1-Normal12"/>
              <w:jc w:val="center"/>
              <w:rPr>
                <w:noProof/>
              </w:rPr>
            </w:pPr>
            <w:r>
              <w:rPr>
                <w:noProof/>
              </w:rPr>
              <w:t>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6E782D22"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13685336" w14:textId="77777777" w:rsidR="006054AA" w:rsidRDefault="001F7667">
            <w:pPr>
              <w:pStyle w:val="P68B1DB1-Normal12"/>
              <w:jc w:val="center"/>
              <w:rPr>
                <w:noProof/>
              </w:rPr>
            </w:pPr>
            <w:r>
              <w:rPr>
                <w:noProof/>
              </w:rPr>
              <w:t>Процент на рециклиране на алуминиевите опаковки — План за действие за кръговата икономика</w:t>
            </w:r>
          </w:p>
        </w:tc>
      </w:tr>
      <w:tr w:rsidR="006054AA" w14:paraId="6D0806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3DC564" w14:textId="77777777" w:rsidR="006054AA" w:rsidRDefault="001F7667">
            <w:pPr>
              <w:pStyle w:val="P68B1DB1-Normal12"/>
              <w:jc w:val="center"/>
              <w:rPr>
                <w:noProof/>
              </w:rPr>
            </w:pPr>
            <w:r>
              <w:rPr>
                <w:noProof/>
              </w:rPr>
              <w:t>M2C1—17 sexies</w:t>
            </w:r>
          </w:p>
        </w:tc>
        <w:tc>
          <w:tcPr>
            <w:tcW w:w="3075" w:type="dxa"/>
            <w:tcBorders>
              <w:top w:val="nil"/>
              <w:left w:val="nil"/>
              <w:bottom w:val="single" w:sz="4" w:space="0" w:color="auto"/>
              <w:right w:val="single" w:sz="4" w:space="0" w:color="auto"/>
            </w:tcBorders>
            <w:shd w:val="clear" w:color="auto" w:fill="C6EFCE"/>
            <w:noWrap/>
            <w:vAlign w:val="center"/>
          </w:tcPr>
          <w:p w14:paraId="34CA5509" w14:textId="77777777" w:rsidR="006054AA" w:rsidRDefault="001F7667">
            <w:pPr>
              <w:pStyle w:val="P68B1DB1-Normal12"/>
              <w:jc w:val="center"/>
              <w:rPr>
                <w:noProof/>
              </w:rPr>
            </w:pPr>
            <w:r>
              <w:rPr>
                <w:noProof/>
              </w:rPr>
              <w:t>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512D0D97"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486F3318" w14:textId="77777777" w:rsidR="006054AA" w:rsidRDefault="001F7667">
            <w:pPr>
              <w:pStyle w:val="P68B1DB1-Normal12"/>
              <w:jc w:val="center"/>
              <w:rPr>
                <w:noProof/>
              </w:rPr>
            </w:pPr>
            <w:r>
              <w:rPr>
                <w:noProof/>
              </w:rPr>
              <w:t>Процент на рециклиране на стъклените опаковки в плана за действие за кръговата икономика</w:t>
            </w:r>
          </w:p>
        </w:tc>
      </w:tr>
      <w:tr w:rsidR="006054AA" w14:paraId="76D0039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E93E81" w14:textId="77777777" w:rsidR="006054AA" w:rsidRDefault="001F7667">
            <w:pPr>
              <w:pStyle w:val="P68B1DB1-Normal12"/>
              <w:jc w:val="center"/>
              <w:rPr>
                <w:noProof/>
              </w:rPr>
            </w:pPr>
            <w:r>
              <w:rPr>
                <w:noProof/>
              </w:rPr>
              <w:t>M2C1—17 septies</w:t>
            </w:r>
          </w:p>
        </w:tc>
        <w:tc>
          <w:tcPr>
            <w:tcW w:w="3075" w:type="dxa"/>
            <w:tcBorders>
              <w:top w:val="nil"/>
              <w:left w:val="nil"/>
              <w:bottom w:val="single" w:sz="4" w:space="0" w:color="auto"/>
              <w:right w:val="single" w:sz="4" w:space="0" w:color="auto"/>
            </w:tcBorders>
            <w:shd w:val="clear" w:color="auto" w:fill="C6EFCE"/>
            <w:noWrap/>
            <w:vAlign w:val="center"/>
          </w:tcPr>
          <w:p w14:paraId="7A0FCC87" w14:textId="77777777" w:rsidR="006054AA" w:rsidRDefault="001F7667">
            <w:pPr>
              <w:pStyle w:val="P68B1DB1-Normal12"/>
              <w:jc w:val="center"/>
              <w:rPr>
                <w:noProof/>
              </w:rPr>
            </w:pPr>
            <w:r>
              <w:rPr>
                <w:noProof/>
              </w:rPr>
              <w:t>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4B2645F0"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1655DB70" w14:textId="77777777" w:rsidR="006054AA" w:rsidRDefault="001F7667">
            <w:pPr>
              <w:pStyle w:val="P68B1DB1-Normal12"/>
              <w:jc w:val="center"/>
              <w:rPr>
                <w:noProof/>
              </w:rPr>
            </w:pPr>
            <w:r>
              <w:rPr>
                <w:noProof/>
              </w:rPr>
              <w:t>Процент на рециклиране на хартия и картон в плана за действие за кръговата икономика</w:t>
            </w:r>
          </w:p>
        </w:tc>
      </w:tr>
      <w:tr w:rsidR="006054AA" w14:paraId="57A90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26C8FE" w14:textId="77777777" w:rsidR="006054AA" w:rsidRDefault="001F7667">
            <w:pPr>
              <w:pStyle w:val="P68B1DB1-Normal12"/>
              <w:jc w:val="center"/>
              <w:rPr>
                <w:noProof/>
              </w:rPr>
            </w:pPr>
            <w:r>
              <w:rPr>
                <w:noProof/>
              </w:rPr>
              <w:t>M2C1—17 octies</w:t>
            </w:r>
          </w:p>
        </w:tc>
        <w:tc>
          <w:tcPr>
            <w:tcW w:w="3075" w:type="dxa"/>
            <w:tcBorders>
              <w:top w:val="nil"/>
              <w:left w:val="nil"/>
              <w:bottom w:val="single" w:sz="4" w:space="0" w:color="auto"/>
              <w:right w:val="single" w:sz="4" w:space="0" w:color="auto"/>
            </w:tcBorders>
            <w:shd w:val="clear" w:color="auto" w:fill="C6EFCE"/>
            <w:noWrap/>
            <w:vAlign w:val="center"/>
          </w:tcPr>
          <w:p w14:paraId="5BF98BF8" w14:textId="77777777" w:rsidR="006054AA" w:rsidRDefault="001F7667">
            <w:pPr>
              <w:pStyle w:val="P68B1DB1-Normal12"/>
              <w:jc w:val="center"/>
              <w:rPr>
                <w:noProof/>
              </w:rPr>
            </w:pPr>
            <w:r>
              <w:rPr>
                <w:noProof/>
              </w:rPr>
              <w:t>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0F7B7ED1"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0FBCC39D" w14:textId="77777777" w:rsidR="006054AA" w:rsidRDefault="001F7667">
            <w:pPr>
              <w:pStyle w:val="P68B1DB1-Normal12"/>
              <w:jc w:val="center"/>
              <w:rPr>
                <w:noProof/>
              </w:rPr>
            </w:pPr>
            <w:r>
              <w:rPr>
                <w:noProof/>
              </w:rPr>
              <w:t>Процент на рециклиране на пластмасовите опаковки в плана за действие за кръговата икономика</w:t>
            </w:r>
          </w:p>
        </w:tc>
      </w:tr>
      <w:tr w:rsidR="006054AA" w14:paraId="5A9B85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9471F" w14:textId="77777777" w:rsidR="006054AA" w:rsidRDefault="001F7667">
            <w:pPr>
              <w:pStyle w:val="P68B1DB1-Normal12"/>
              <w:jc w:val="center"/>
              <w:rPr>
                <w:noProof/>
              </w:rPr>
            </w:pPr>
            <w:r>
              <w:rPr>
                <w:noProof/>
              </w:rPr>
              <w:t>M2C1—17 Негови</w:t>
            </w:r>
          </w:p>
        </w:tc>
        <w:tc>
          <w:tcPr>
            <w:tcW w:w="3075" w:type="dxa"/>
            <w:tcBorders>
              <w:top w:val="nil"/>
              <w:left w:val="nil"/>
              <w:bottom w:val="single" w:sz="4" w:space="0" w:color="auto"/>
              <w:right w:val="single" w:sz="4" w:space="0" w:color="auto"/>
            </w:tcBorders>
            <w:shd w:val="clear" w:color="auto" w:fill="C6EFCE"/>
            <w:noWrap/>
            <w:vAlign w:val="center"/>
          </w:tcPr>
          <w:p w14:paraId="46AA1786" w14:textId="77777777" w:rsidR="006054AA" w:rsidRDefault="001F7667">
            <w:pPr>
              <w:pStyle w:val="P68B1DB1-Normal12"/>
              <w:jc w:val="center"/>
              <w:rPr>
                <w:noProof/>
              </w:rPr>
            </w:pPr>
            <w:r>
              <w:rPr>
                <w:noProof/>
              </w:rPr>
              <w:t>Реформа на националната програма за кръгова икономика за 1.1 г.; Инвестиция 1.2 — водещи проекти в областта на кръговата икономика</w:t>
            </w:r>
          </w:p>
        </w:tc>
        <w:tc>
          <w:tcPr>
            <w:tcW w:w="1528" w:type="dxa"/>
            <w:tcBorders>
              <w:top w:val="nil"/>
              <w:left w:val="nil"/>
              <w:bottom w:val="single" w:sz="4" w:space="0" w:color="auto"/>
              <w:right w:val="single" w:sz="4" w:space="0" w:color="auto"/>
            </w:tcBorders>
            <w:shd w:val="clear" w:color="auto" w:fill="C6EFCE"/>
            <w:noWrap/>
            <w:vAlign w:val="center"/>
          </w:tcPr>
          <w:p w14:paraId="0655506A" w14:textId="77777777" w:rsidR="006054AA" w:rsidRDefault="001F7667">
            <w:pPr>
              <w:pStyle w:val="P68B1DB1-Normal12"/>
              <w:jc w:val="center"/>
              <w:rPr>
                <w:noProof/>
              </w:rPr>
            </w:pPr>
            <w:r>
              <w:rPr>
                <w:noProof/>
              </w:rPr>
              <w:t>Ключов етап</w:t>
            </w:r>
          </w:p>
        </w:tc>
        <w:tc>
          <w:tcPr>
            <w:tcW w:w="4056" w:type="dxa"/>
            <w:tcBorders>
              <w:top w:val="nil"/>
              <w:left w:val="nil"/>
              <w:bottom w:val="single" w:sz="4" w:space="0" w:color="auto"/>
              <w:right w:val="single" w:sz="4" w:space="0" w:color="auto"/>
            </w:tcBorders>
            <w:shd w:val="clear" w:color="auto" w:fill="C6EFCE"/>
            <w:noWrap/>
            <w:vAlign w:val="center"/>
          </w:tcPr>
          <w:p w14:paraId="11FAB918" w14:textId="77777777" w:rsidR="006054AA" w:rsidRDefault="001F7667">
            <w:pPr>
              <w:pStyle w:val="P68B1DB1-Normal12"/>
              <w:jc w:val="center"/>
              <w:rPr>
                <w:noProof/>
              </w:rPr>
            </w:pPr>
            <w:r>
              <w:rPr>
                <w:noProof/>
              </w:rPr>
              <w:t>Влизане в сила на разделно събиране на опасни отпадъчни фракции, произведени от домакинства и текстил</w:t>
            </w:r>
          </w:p>
        </w:tc>
      </w:tr>
      <w:tr w:rsidR="006054AA" w14:paraId="39C165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365DB" w14:textId="77777777" w:rsidR="006054AA" w:rsidRDefault="001F7667">
            <w:pPr>
              <w:pStyle w:val="P68B1DB1-Normal12"/>
              <w:jc w:val="center"/>
              <w:rPr>
                <w:noProof/>
              </w:rPr>
            </w:pPr>
            <w:r>
              <w:rPr>
                <w:noProof/>
              </w:rPr>
              <w:t>M2C2—40</w:t>
            </w:r>
          </w:p>
        </w:tc>
        <w:tc>
          <w:tcPr>
            <w:tcW w:w="3075" w:type="dxa"/>
            <w:tcBorders>
              <w:top w:val="nil"/>
              <w:left w:val="nil"/>
              <w:bottom w:val="single" w:sz="4" w:space="0" w:color="auto"/>
              <w:right w:val="single" w:sz="4" w:space="0" w:color="auto"/>
            </w:tcBorders>
            <w:shd w:val="clear" w:color="auto" w:fill="C6EFCE"/>
            <w:noWrap/>
            <w:vAlign w:val="center"/>
          </w:tcPr>
          <w:p w14:paraId="69773D3A" w14:textId="77777777" w:rsidR="006054AA" w:rsidRDefault="001F7667">
            <w:pPr>
              <w:pStyle w:val="P68B1DB1-Normal12"/>
              <w:jc w:val="center"/>
              <w:rPr>
                <w:noProof/>
              </w:rPr>
            </w:pPr>
            <w:r>
              <w:rPr>
                <w:noProof/>
              </w:rPr>
              <w:t>Инвестиция 5.1.1:  Възобновяеми енергийни източници и акумулаторни батерии</w:t>
            </w:r>
          </w:p>
        </w:tc>
        <w:tc>
          <w:tcPr>
            <w:tcW w:w="1528" w:type="dxa"/>
            <w:tcBorders>
              <w:top w:val="nil"/>
              <w:left w:val="nil"/>
              <w:bottom w:val="single" w:sz="4" w:space="0" w:color="auto"/>
              <w:right w:val="single" w:sz="4" w:space="0" w:color="auto"/>
            </w:tcBorders>
            <w:shd w:val="clear" w:color="auto" w:fill="C6EFCE"/>
            <w:noWrap/>
            <w:vAlign w:val="center"/>
          </w:tcPr>
          <w:p w14:paraId="1E74BC87"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7F715471" w14:textId="77777777" w:rsidR="006054AA" w:rsidRDefault="001F7667">
            <w:pPr>
              <w:pStyle w:val="P68B1DB1-Normal12"/>
              <w:jc w:val="center"/>
              <w:rPr>
                <w:noProof/>
              </w:rPr>
            </w:pPr>
            <w:r>
              <w:rPr>
                <w:noProof/>
              </w:rPr>
              <w:t>Правни споразумения, подписани с крайни бенефициери, съответстващи на капацитета за производство на енергия от фотоволтаични или вятърни технологии</w:t>
            </w:r>
          </w:p>
        </w:tc>
      </w:tr>
      <w:tr w:rsidR="006054AA" w14:paraId="5A9284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55CE78" w14:textId="77777777" w:rsidR="006054AA" w:rsidRDefault="001F7667">
            <w:pPr>
              <w:pStyle w:val="P68B1DB1-Normal12"/>
              <w:jc w:val="center"/>
              <w:rPr>
                <w:noProof/>
              </w:rPr>
            </w:pPr>
            <w:r>
              <w:rPr>
                <w:noProof/>
              </w:rPr>
              <w:t>M2C2—46</w:t>
            </w:r>
          </w:p>
        </w:tc>
        <w:tc>
          <w:tcPr>
            <w:tcW w:w="3075" w:type="dxa"/>
            <w:tcBorders>
              <w:top w:val="nil"/>
              <w:left w:val="nil"/>
              <w:bottom w:val="single" w:sz="4" w:space="0" w:color="auto"/>
              <w:right w:val="single" w:sz="4" w:space="0" w:color="auto"/>
            </w:tcBorders>
            <w:shd w:val="clear" w:color="auto" w:fill="C6EFCE"/>
            <w:noWrap/>
            <w:vAlign w:val="center"/>
          </w:tcPr>
          <w:p w14:paraId="35DEAE5B" w14:textId="77777777" w:rsidR="006054AA" w:rsidRDefault="001F7667">
            <w:pPr>
              <w:pStyle w:val="P68B1DB1-Normal12"/>
              <w:jc w:val="center"/>
              <w:rPr>
                <w:noProof/>
              </w:rPr>
            </w:pPr>
            <w:r>
              <w:rPr>
                <w:noProof/>
              </w:rPr>
              <w:t>Инвестиция 1.2 Насърчаване на възобновяемите енергийни източници за енергийните общности и съвместно действащите потребители на собствена електроенергия от възобновяеми източници</w:t>
            </w:r>
          </w:p>
        </w:tc>
        <w:tc>
          <w:tcPr>
            <w:tcW w:w="1528" w:type="dxa"/>
            <w:tcBorders>
              <w:top w:val="nil"/>
              <w:left w:val="nil"/>
              <w:bottom w:val="single" w:sz="4" w:space="0" w:color="auto"/>
              <w:right w:val="single" w:sz="4" w:space="0" w:color="auto"/>
            </w:tcBorders>
            <w:shd w:val="clear" w:color="auto" w:fill="C6EFCE"/>
            <w:noWrap/>
            <w:vAlign w:val="center"/>
          </w:tcPr>
          <w:p w14:paraId="3AD3ADF4" w14:textId="77777777" w:rsidR="006054AA" w:rsidRDefault="001F7667">
            <w:pPr>
              <w:pStyle w:val="P68B1DB1-Normal12"/>
              <w:jc w:val="center"/>
              <w:rPr>
                <w:noProof/>
              </w:rPr>
            </w:pPr>
            <w:r>
              <w:rPr>
                <w:noProof/>
              </w:rPr>
              <w:t>Ключов етап</w:t>
            </w:r>
          </w:p>
        </w:tc>
        <w:tc>
          <w:tcPr>
            <w:tcW w:w="4056" w:type="dxa"/>
            <w:tcBorders>
              <w:top w:val="nil"/>
              <w:left w:val="nil"/>
              <w:bottom w:val="single" w:sz="4" w:space="0" w:color="auto"/>
              <w:right w:val="single" w:sz="4" w:space="0" w:color="auto"/>
            </w:tcBorders>
            <w:shd w:val="clear" w:color="auto" w:fill="C6EFCE"/>
            <w:noWrap/>
            <w:vAlign w:val="center"/>
          </w:tcPr>
          <w:p w14:paraId="65C53BC3" w14:textId="77777777" w:rsidR="006054AA" w:rsidRDefault="001F7667">
            <w:pPr>
              <w:pStyle w:val="P68B1DB1-Normal12"/>
              <w:jc w:val="center"/>
              <w:rPr>
                <w:noProof/>
              </w:rPr>
            </w:pPr>
            <w:r>
              <w:rPr>
                <w:noProof/>
              </w:rPr>
              <w:t>Възлагане на всички обществени поръчки за предоставяне на безвъзмездни средства за изпълнение на интервенциите за енергийни общности</w:t>
            </w:r>
          </w:p>
        </w:tc>
      </w:tr>
      <w:tr w:rsidR="006054AA" w14:paraId="70783F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BCB6" w14:textId="77777777" w:rsidR="006054AA" w:rsidRDefault="001F7667">
            <w:pPr>
              <w:pStyle w:val="P68B1DB1-Normal12"/>
              <w:jc w:val="center"/>
              <w:rPr>
                <w:noProof/>
              </w:rPr>
            </w:pPr>
            <w:r>
              <w:rPr>
                <w:noProof/>
              </w:rPr>
              <w:t>M3C1—23</w:t>
            </w:r>
          </w:p>
        </w:tc>
        <w:tc>
          <w:tcPr>
            <w:tcW w:w="3075" w:type="dxa"/>
            <w:tcBorders>
              <w:top w:val="nil"/>
              <w:left w:val="nil"/>
              <w:bottom w:val="single" w:sz="4" w:space="0" w:color="auto"/>
              <w:right w:val="single" w:sz="4" w:space="0" w:color="auto"/>
            </w:tcBorders>
            <w:shd w:val="clear" w:color="auto" w:fill="C6EFCE"/>
            <w:noWrap/>
            <w:vAlign w:val="center"/>
          </w:tcPr>
          <w:p w14:paraId="7E6C601D" w14:textId="77777777" w:rsidR="006054AA" w:rsidRDefault="001F7667">
            <w:pPr>
              <w:pStyle w:val="P68B1DB1-Normal12"/>
              <w:jc w:val="center"/>
              <w:rPr>
                <w:noProof/>
              </w:rPr>
            </w:pPr>
            <w:r>
              <w:rPr>
                <w:noProof/>
              </w:rPr>
              <w:t>Инвестиция 1.9 Междурегионални връзки</w:t>
            </w:r>
          </w:p>
        </w:tc>
        <w:tc>
          <w:tcPr>
            <w:tcW w:w="1528" w:type="dxa"/>
            <w:tcBorders>
              <w:top w:val="nil"/>
              <w:left w:val="nil"/>
              <w:bottom w:val="single" w:sz="4" w:space="0" w:color="auto"/>
              <w:right w:val="single" w:sz="4" w:space="0" w:color="auto"/>
            </w:tcBorders>
            <w:shd w:val="clear" w:color="auto" w:fill="C6EFCE"/>
            <w:noWrap/>
            <w:vAlign w:val="center"/>
          </w:tcPr>
          <w:p w14:paraId="1EB03C1D"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69FED683" w14:textId="77777777" w:rsidR="006054AA" w:rsidRDefault="001F7667">
            <w:pPr>
              <w:pStyle w:val="P68B1DB1-Normal12"/>
              <w:jc w:val="center"/>
              <w:rPr>
                <w:noProof/>
              </w:rPr>
            </w:pPr>
            <w:r>
              <w:rPr>
                <w:noProof/>
              </w:rPr>
              <w:t>Инвестиция 1.9 Междурегионални връзки</w:t>
            </w:r>
          </w:p>
        </w:tc>
      </w:tr>
      <w:tr w:rsidR="006054AA" w14:paraId="1874D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23186A" w14:textId="77777777" w:rsidR="006054AA" w:rsidRDefault="001F7667">
            <w:pPr>
              <w:pStyle w:val="P68B1DB1-Normal12"/>
              <w:jc w:val="center"/>
              <w:rPr>
                <w:noProof/>
              </w:rPr>
            </w:pPr>
            <w:r>
              <w:rPr>
                <w:noProof/>
              </w:rPr>
              <w:t>M4C2—13</w:t>
            </w:r>
          </w:p>
        </w:tc>
        <w:tc>
          <w:tcPr>
            <w:tcW w:w="3075" w:type="dxa"/>
            <w:tcBorders>
              <w:top w:val="nil"/>
              <w:left w:val="nil"/>
              <w:bottom w:val="single" w:sz="4" w:space="0" w:color="auto"/>
              <w:right w:val="single" w:sz="4" w:space="0" w:color="auto"/>
            </w:tcBorders>
            <w:shd w:val="clear" w:color="auto" w:fill="C6EFCE"/>
            <w:noWrap/>
            <w:vAlign w:val="center"/>
          </w:tcPr>
          <w:p w14:paraId="6D6C87AD" w14:textId="77777777" w:rsidR="006054AA" w:rsidRDefault="001F7667">
            <w:pPr>
              <w:pStyle w:val="P68B1DB1-Normal12"/>
              <w:jc w:val="center"/>
              <w:rPr>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tc>
        <w:tc>
          <w:tcPr>
            <w:tcW w:w="1528" w:type="dxa"/>
            <w:tcBorders>
              <w:top w:val="nil"/>
              <w:left w:val="nil"/>
              <w:bottom w:val="single" w:sz="4" w:space="0" w:color="auto"/>
              <w:right w:val="single" w:sz="4" w:space="0" w:color="auto"/>
            </w:tcBorders>
            <w:shd w:val="clear" w:color="auto" w:fill="C6EFCE"/>
            <w:noWrap/>
            <w:vAlign w:val="center"/>
          </w:tcPr>
          <w:p w14:paraId="779DEAA2"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003F538C" w14:textId="77777777" w:rsidR="006054AA" w:rsidRDefault="001F7667">
            <w:pPr>
              <w:pStyle w:val="P68B1DB1-Normal12"/>
              <w:jc w:val="center"/>
              <w:rPr>
                <w:noProof/>
              </w:rPr>
            </w:pPr>
            <w:r>
              <w:rPr>
                <w:noProof/>
              </w:rPr>
              <w:t>Брой на новите центрове, които ще бъдат създадени</w:t>
            </w:r>
          </w:p>
        </w:tc>
      </w:tr>
      <w:tr w:rsidR="006054AA" w14:paraId="455C90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6B076E" w14:textId="77777777" w:rsidR="006054AA" w:rsidRDefault="001F7667">
            <w:pPr>
              <w:pStyle w:val="P68B1DB1-Normal12"/>
              <w:jc w:val="center"/>
              <w:rPr>
                <w:noProof/>
              </w:rPr>
            </w:pPr>
            <w:r>
              <w:rPr>
                <w:noProof/>
              </w:rPr>
              <w:t>M6C1—9</w:t>
            </w:r>
          </w:p>
        </w:tc>
        <w:tc>
          <w:tcPr>
            <w:tcW w:w="3075" w:type="dxa"/>
            <w:tcBorders>
              <w:top w:val="nil"/>
              <w:left w:val="nil"/>
              <w:bottom w:val="single" w:sz="4" w:space="0" w:color="auto"/>
              <w:right w:val="single" w:sz="4" w:space="0" w:color="auto"/>
            </w:tcBorders>
            <w:shd w:val="clear" w:color="auto" w:fill="C6EFCE"/>
            <w:noWrap/>
            <w:vAlign w:val="center"/>
          </w:tcPr>
          <w:p w14:paraId="6308ED84" w14:textId="77777777" w:rsidR="006054AA" w:rsidRDefault="001F7667">
            <w:pPr>
              <w:pStyle w:val="P68B1DB1-Normal12"/>
              <w:jc w:val="center"/>
              <w:rPr>
                <w:noProof/>
              </w:rPr>
            </w:pPr>
            <w:r>
              <w:rPr>
                <w:noProof/>
              </w:rPr>
              <w:t>Инвестиция 1.2: Дом като първо място за полагане на грижи и телемедицина</w:t>
            </w:r>
          </w:p>
        </w:tc>
        <w:tc>
          <w:tcPr>
            <w:tcW w:w="1528" w:type="dxa"/>
            <w:tcBorders>
              <w:top w:val="nil"/>
              <w:left w:val="nil"/>
              <w:bottom w:val="single" w:sz="4" w:space="0" w:color="auto"/>
              <w:right w:val="single" w:sz="4" w:space="0" w:color="auto"/>
            </w:tcBorders>
            <w:shd w:val="clear" w:color="auto" w:fill="C6EFCE"/>
            <w:noWrap/>
            <w:vAlign w:val="center"/>
          </w:tcPr>
          <w:p w14:paraId="688CDC35"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7EE8D5BC" w14:textId="77777777" w:rsidR="006054AA" w:rsidRDefault="001F7667">
            <w:pPr>
              <w:pStyle w:val="P68B1DB1-Normal12"/>
              <w:jc w:val="center"/>
              <w:rPr>
                <w:noProof/>
              </w:rPr>
            </w:pPr>
            <w:r>
              <w:rPr>
                <w:noProof/>
              </w:rPr>
              <w:t>Брой на хората, подпомогнати от телемедицински инструменти (трета партида)</w:t>
            </w:r>
          </w:p>
        </w:tc>
      </w:tr>
      <w:tr w:rsidR="006054AA" w14:paraId="0F932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03414" w14:textId="77777777" w:rsidR="006054AA" w:rsidRDefault="001F7667">
            <w:pPr>
              <w:pStyle w:val="P68B1DB1-Normal12"/>
              <w:jc w:val="center"/>
              <w:rPr>
                <w:noProof/>
              </w:rPr>
            </w:pPr>
            <w:r>
              <w:rPr>
                <w:noProof/>
              </w:rPr>
              <w:t>M6C2—8</w:t>
            </w:r>
          </w:p>
        </w:tc>
        <w:tc>
          <w:tcPr>
            <w:tcW w:w="3075" w:type="dxa"/>
            <w:tcBorders>
              <w:top w:val="nil"/>
              <w:left w:val="nil"/>
              <w:bottom w:val="single" w:sz="4" w:space="0" w:color="auto"/>
              <w:right w:val="single" w:sz="4" w:space="0" w:color="auto"/>
            </w:tcBorders>
            <w:shd w:val="clear" w:color="auto" w:fill="C6EFCE"/>
            <w:noWrap/>
            <w:vAlign w:val="center"/>
          </w:tcPr>
          <w:p w14:paraId="6D7A91DE" w14:textId="77777777" w:rsidR="006054AA" w:rsidRDefault="001F7667">
            <w:pPr>
              <w:pStyle w:val="P68B1DB1-Normal48"/>
              <w:jc w:val="center"/>
              <w:rPr>
                <w:noProof/>
              </w:rPr>
            </w:pPr>
            <w:r>
              <w:rPr>
                <w:noProof/>
              </w:rPr>
              <w:t>Инвестиция 1.1: Цифрова актуализация на технологичното оборудване на болниците</w:t>
            </w:r>
          </w:p>
        </w:tc>
        <w:tc>
          <w:tcPr>
            <w:tcW w:w="1528" w:type="dxa"/>
            <w:tcBorders>
              <w:top w:val="nil"/>
              <w:left w:val="nil"/>
              <w:bottom w:val="single" w:sz="4" w:space="0" w:color="auto"/>
              <w:right w:val="single" w:sz="4" w:space="0" w:color="auto"/>
            </w:tcBorders>
            <w:shd w:val="clear" w:color="auto" w:fill="C6EFCE"/>
            <w:noWrap/>
            <w:vAlign w:val="center"/>
          </w:tcPr>
          <w:p w14:paraId="123AF11B" w14:textId="77777777" w:rsidR="006054AA" w:rsidRDefault="001F7667">
            <w:pPr>
              <w:pStyle w:val="P68B1DB1-Normal48"/>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7A404B3B" w14:textId="77777777" w:rsidR="006054AA" w:rsidRDefault="001F7667">
            <w:pPr>
              <w:pStyle w:val="P68B1DB1-Normal48"/>
              <w:jc w:val="center"/>
              <w:rPr>
                <w:noProof/>
              </w:rPr>
            </w:pPr>
            <w:r>
              <w:rPr>
                <w:noProof/>
              </w:rPr>
              <w:t>Болниците са цифровизирани (DEA — отдел „Спешна помощ и приемане“ — ниво I и ниво II)</w:t>
            </w:r>
          </w:p>
        </w:tc>
      </w:tr>
      <w:tr w:rsidR="006054AA" w14:paraId="6CE049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F8CB9" w14:textId="77777777" w:rsidR="006054AA" w:rsidRDefault="001F7667">
            <w:pPr>
              <w:pStyle w:val="P68B1DB1-Normal12"/>
              <w:jc w:val="center"/>
              <w:rPr>
                <w:noProof/>
              </w:rPr>
            </w:pPr>
            <w:r>
              <w:rPr>
                <w:noProof/>
              </w:rPr>
              <w:t>M6C2—11</w:t>
            </w:r>
          </w:p>
        </w:tc>
        <w:tc>
          <w:tcPr>
            <w:tcW w:w="3075" w:type="dxa"/>
            <w:tcBorders>
              <w:top w:val="nil"/>
              <w:left w:val="nil"/>
              <w:bottom w:val="single" w:sz="4" w:space="0" w:color="auto"/>
              <w:right w:val="single" w:sz="4" w:space="0" w:color="auto"/>
            </w:tcBorders>
            <w:shd w:val="clear" w:color="auto" w:fill="C6EFCE"/>
            <w:noWrap/>
            <w:vAlign w:val="center"/>
          </w:tcPr>
          <w:p w14:paraId="13065E31" w14:textId="77777777" w:rsidR="006054AA" w:rsidRDefault="001F7667">
            <w:pPr>
              <w:pStyle w:val="P68B1DB1-Normal48"/>
              <w:jc w:val="center"/>
              <w:rPr>
                <w:noProof/>
              </w:rPr>
            </w:pPr>
            <w:r>
              <w:rPr>
                <w:noProof/>
              </w:rPr>
              <w:t>Инвестиция 1.3: Укрепване на технологичната инфраструктура и на инструментите за събиране, обработка на данни, анализ и симулация на данни</w:t>
            </w:r>
          </w:p>
        </w:tc>
        <w:tc>
          <w:tcPr>
            <w:tcW w:w="1528" w:type="dxa"/>
            <w:tcBorders>
              <w:top w:val="nil"/>
              <w:left w:val="nil"/>
              <w:bottom w:val="single" w:sz="4" w:space="0" w:color="auto"/>
              <w:right w:val="single" w:sz="4" w:space="0" w:color="auto"/>
            </w:tcBorders>
            <w:shd w:val="clear" w:color="auto" w:fill="C6EFCE"/>
            <w:noWrap/>
            <w:vAlign w:val="center"/>
          </w:tcPr>
          <w:p w14:paraId="76582E20" w14:textId="77777777" w:rsidR="006054AA" w:rsidRDefault="001F7667">
            <w:pPr>
              <w:pStyle w:val="P68B1DB1-Normal48"/>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2FEE87E6" w14:textId="77777777" w:rsidR="006054AA" w:rsidRDefault="001F7667">
            <w:pPr>
              <w:pStyle w:val="P68B1DB1-Normal48"/>
              <w:jc w:val="center"/>
              <w:rPr>
                <w:noProof/>
              </w:rPr>
            </w:pPr>
            <w:r>
              <w:rPr>
                <w:noProof/>
              </w:rPr>
              <w:t>Общопрактикуващи лекари, които захранват електронното здравно досие.</w:t>
            </w:r>
          </w:p>
        </w:tc>
      </w:tr>
      <w:tr w:rsidR="006054AA" w14:paraId="6D2DCC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58178" w14:textId="77777777" w:rsidR="006054AA" w:rsidRDefault="001F7667">
            <w:pPr>
              <w:pStyle w:val="P68B1DB1-Normal12"/>
              <w:jc w:val="center"/>
              <w:rPr>
                <w:noProof/>
              </w:rPr>
            </w:pPr>
            <w:r>
              <w:rPr>
                <w:noProof/>
              </w:rPr>
              <w:t>M1C3—33</w:t>
            </w:r>
          </w:p>
        </w:tc>
        <w:tc>
          <w:tcPr>
            <w:tcW w:w="3075" w:type="dxa"/>
            <w:tcBorders>
              <w:top w:val="nil"/>
              <w:left w:val="nil"/>
              <w:bottom w:val="single" w:sz="4" w:space="0" w:color="auto"/>
              <w:right w:val="single" w:sz="4" w:space="0" w:color="auto"/>
            </w:tcBorders>
            <w:shd w:val="clear" w:color="auto" w:fill="C6EFCE"/>
            <w:noWrap/>
            <w:vAlign w:val="center"/>
          </w:tcPr>
          <w:p w14:paraId="1824C551" w14:textId="77777777" w:rsidR="006054AA" w:rsidRDefault="001F7667">
            <w:pPr>
              <w:pStyle w:val="P68B1DB1-Normal12"/>
              <w:jc w:val="center"/>
              <w:rPr>
                <w:noProof/>
              </w:rPr>
            </w:pPr>
            <w:r>
              <w:rPr>
                <w:noProof/>
              </w:rPr>
              <w:t>Фонд „Инвестиция 4.2“ за конкурентоспособността на туристическите предприятия</w:t>
            </w:r>
          </w:p>
        </w:tc>
        <w:tc>
          <w:tcPr>
            <w:tcW w:w="1528" w:type="dxa"/>
            <w:tcBorders>
              <w:top w:val="nil"/>
              <w:left w:val="nil"/>
              <w:bottom w:val="single" w:sz="4" w:space="0" w:color="auto"/>
              <w:right w:val="single" w:sz="4" w:space="0" w:color="auto"/>
            </w:tcBorders>
            <w:shd w:val="clear" w:color="auto" w:fill="C6EFCE"/>
            <w:noWrap/>
            <w:vAlign w:val="center"/>
          </w:tcPr>
          <w:p w14:paraId="55B27D7B" w14:textId="77777777" w:rsidR="006054AA" w:rsidRDefault="001F7667">
            <w:pPr>
              <w:pStyle w:val="P68B1DB1-Normal12"/>
              <w:jc w:val="center"/>
              <w:rPr>
                <w:noProof/>
              </w:rPr>
            </w:pPr>
            <w:r>
              <w:rPr>
                <w:noProof/>
              </w:rPr>
              <w:t>Целеви</w:t>
            </w:r>
          </w:p>
        </w:tc>
        <w:tc>
          <w:tcPr>
            <w:tcW w:w="4056" w:type="dxa"/>
            <w:tcBorders>
              <w:top w:val="nil"/>
              <w:left w:val="nil"/>
              <w:bottom w:val="single" w:sz="4" w:space="0" w:color="auto"/>
              <w:right w:val="single" w:sz="4" w:space="0" w:color="auto"/>
            </w:tcBorders>
            <w:shd w:val="clear" w:color="auto" w:fill="C6EFCE"/>
            <w:noWrap/>
            <w:vAlign w:val="center"/>
          </w:tcPr>
          <w:p w14:paraId="3B84B558" w14:textId="77777777" w:rsidR="006054AA" w:rsidRDefault="001F7667">
            <w:pPr>
              <w:pStyle w:val="P68B1DB1-Normal12"/>
              <w:jc w:val="center"/>
              <w:rPr>
                <w:noProof/>
              </w:rPr>
            </w:pPr>
            <w:r>
              <w:rPr>
                <w:noProof/>
              </w:rPr>
              <w:t xml:space="preserve">Брой на предприятията, които ще бъдат подпомогнати чрез Fondo rotative (първа партида)  </w:t>
            </w:r>
          </w:p>
        </w:tc>
      </w:tr>
      <w:tr w:rsidR="006054AA" w14:paraId="53CB460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14F583" w14:textId="77777777" w:rsidR="006054AA" w:rsidRDefault="006054AA">
            <w:pPr>
              <w:jc w:val="center"/>
              <w:rPr>
                <w:noProof/>
                <w:color w:val="006100"/>
                <w:sz w:val="20"/>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6C1B5D8E" w14:textId="77777777" w:rsidR="006054AA" w:rsidRDefault="006054AA">
            <w:pPr>
              <w:rPr>
                <w:noProof/>
                <w:color w:val="006100"/>
                <w:sz w:val="20"/>
              </w:rPr>
            </w:pPr>
          </w:p>
        </w:tc>
        <w:tc>
          <w:tcPr>
            <w:tcW w:w="1528" w:type="dxa"/>
            <w:tcBorders>
              <w:top w:val="single" w:sz="4" w:space="0" w:color="auto"/>
              <w:left w:val="nil"/>
              <w:bottom w:val="single" w:sz="4" w:space="0" w:color="auto"/>
              <w:right w:val="single" w:sz="4" w:space="0" w:color="auto"/>
            </w:tcBorders>
            <w:shd w:val="clear" w:color="auto" w:fill="C6EFCE"/>
            <w:noWrap/>
            <w:vAlign w:val="bottom"/>
          </w:tcPr>
          <w:p w14:paraId="70E10EEA" w14:textId="77777777" w:rsidR="006054AA" w:rsidRDefault="001F7667">
            <w:pPr>
              <w:pStyle w:val="P68B1DB1-Normal12"/>
              <w:rPr>
                <w:noProof/>
              </w:rPr>
            </w:pPr>
            <w:r>
              <w:rPr>
                <w:noProof/>
              </w:rPr>
              <w:t>Размер на вноската</w:t>
            </w:r>
          </w:p>
        </w:tc>
        <w:tc>
          <w:tcPr>
            <w:tcW w:w="4056" w:type="dxa"/>
            <w:tcBorders>
              <w:top w:val="single" w:sz="4" w:space="0" w:color="auto"/>
              <w:left w:val="nil"/>
              <w:bottom w:val="single" w:sz="4" w:space="0" w:color="auto"/>
              <w:right w:val="single" w:sz="4" w:space="0" w:color="auto"/>
            </w:tcBorders>
            <w:shd w:val="clear" w:color="auto" w:fill="C6EFCE"/>
            <w:noWrap/>
            <w:vAlign w:val="bottom"/>
          </w:tcPr>
          <w:p w14:paraId="05060A71" w14:textId="369D54EE" w:rsidR="006054AA" w:rsidRDefault="001F7667">
            <w:pPr>
              <w:pStyle w:val="P68B1DB1-Normal12"/>
              <w:rPr>
                <w:noProof/>
              </w:rPr>
            </w:pPr>
            <w:r>
              <w:rPr>
                <w:noProof/>
              </w:rPr>
              <w:t>7 118 464 154 EUR</w:t>
            </w:r>
          </w:p>
        </w:tc>
      </w:tr>
    </w:tbl>
    <w:p w14:paraId="559A5619" w14:textId="20CB1ACB" w:rsidR="006054AA" w:rsidRDefault="001F7667">
      <w:pPr>
        <w:pStyle w:val="P68B1DB1-Normal44"/>
        <w:numPr>
          <w:ilvl w:val="1"/>
          <w:numId w:val="6"/>
        </w:numPr>
        <w:spacing w:before="120" w:after="120"/>
        <w:jc w:val="both"/>
        <w:rPr>
          <w:noProof/>
        </w:rPr>
      </w:pPr>
      <w:r>
        <w:rPr>
          <w:noProof/>
        </w:rPr>
        <w:t>Десетата вноска (подкрепа под формата на заем):</w:t>
      </w:r>
    </w:p>
    <w:tbl>
      <w:tblPr>
        <w:tblW w:w="10092" w:type="dxa"/>
        <w:tblInd w:w="113" w:type="dxa"/>
        <w:tblLook w:val="04A0" w:firstRow="1" w:lastRow="0" w:firstColumn="1" w:lastColumn="0" w:noHBand="0" w:noVBand="1"/>
      </w:tblPr>
      <w:tblGrid>
        <w:gridCol w:w="1413"/>
        <w:gridCol w:w="3090"/>
        <w:gridCol w:w="1498"/>
        <w:gridCol w:w="4091"/>
      </w:tblGrid>
      <w:tr w:rsidR="006054AA" w14:paraId="07C6B69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00CAC8" w14:textId="77777777" w:rsidR="006054AA" w:rsidRDefault="001F7667">
            <w:pPr>
              <w:pStyle w:val="P68B1DB1-Normal45"/>
              <w:jc w:val="center"/>
              <w:rPr>
                <w:noProof/>
              </w:rPr>
            </w:pPr>
            <w:r>
              <w:rPr>
                <w:noProof/>
              </w:rPr>
              <w:t>Пореден номер</w:t>
            </w:r>
          </w:p>
        </w:tc>
        <w:tc>
          <w:tcPr>
            <w:tcW w:w="30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04966" w14:textId="77777777" w:rsidR="006054AA" w:rsidRDefault="001F7667">
            <w:pPr>
              <w:pStyle w:val="P68B1DB1-Normal45"/>
              <w:jc w:val="center"/>
              <w:rPr>
                <w:noProof/>
              </w:rPr>
            </w:pPr>
            <w:r>
              <w:rPr>
                <w:noProof/>
              </w:rPr>
              <w:t>Свързана мярка (реформа или инвестиции)</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BCB9DF" w14:textId="77777777" w:rsidR="006054AA" w:rsidRDefault="001F7667">
            <w:pPr>
              <w:pStyle w:val="P68B1DB1-Normal45"/>
              <w:jc w:val="center"/>
              <w:rPr>
                <w:noProof/>
              </w:rPr>
            </w:pPr>
            <w:r>
              <w:rPr>
                <w:noProof/>
              </w:rPr>
              <w:t>Ключов етап/Цел</w:t>
            </w:r>
          </w:p>
        </w:tc>
        <w:tc>
          <w:tcPr>
            <w:tcW w:w="40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3AED4" w14:textId="77777777" w:rsidR="006054AA" w:rsidRDefault="001F7667">
            <w:pPr>
              <w:pStyle w:val="P68B1DB1-Normal45"/>
              <w:jc w:val="center"/>
              <w:rPr>
                <w:noProof/>
              </w:rPr>
            </w:pPr>
            <w:r>
              <w:rPr>
                <w:noProof/>
              </w:rPr>
              <w:t>Име</w:t>
            </w:r>
          </w:p>
        </w:tc>
      </w:tr>
      <w:tr w:rsidR="006054AA" w14:paraId="097EAB7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575B7A" w14:textId="77777777" w:rsidR="006054AA" w:rsidRDefault="006054AA">
            <w:pPr>
              <w:rPr>
                <w:b/>
                <w:noProof/>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14:paraId="4B5D3FFF" w14:textId="77777777" w:rsidR="006054AA" w:rsidRDefault="006054AA">
            <w:pPr>
              <w:rPr>
                <w:b/>
                <w:noProof/>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536CEA09" w14:textId="77777777" w:rsidR="006054AA" w:rsidRDefault="006054AA">
            <w:pPr>
              <w:rPr>
                <w:b/>
                <w:noProof/>
              </w:rPr>
            </w:pPr>
          </w:p>
        </w:tc>
        <w:tc>
          <w:tcPr>
            <w:tcW w:w="4091" w:type="dxa"/>
            <w:vMerge/>
            <w:tcBorders>
              <w:top w:val="single" w:sz="4" w:space="0" w:color="auto"/>
              <w:left w:val="single" w:sz="4" w:space="0" w:color="auto"/>
              <w:bottom w:val="single" w:sz="4" w:space="0" w:color="auto"/>
              <w:right w:val="single" w:sz="4" w:space="0" w:color="auto"/>
            </w:tcBorders>
            <w:vAlign w:val="center"/>
            <w:hideMark/>
          </w:tcPr>
          <w:p w14:paraId="145B314A" w14:textId="77777777" w:rsidR="006054AA" w:rsidRDefault="006054AA">
            <w:pPr>
              <w:rPr>
                <w:b/>
                <w:noProof/>
              </w:rPr>
            </w:pPr>
          </w:p>
        </w:tc>
      </w:tr>
      <w:tr w:rsidR="006054AA" w14:paraId="264BB02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3D36F" w14:textId="77777777" w:rsidR="006054AA" w:rsidRDefault="001F7667">
            <w:pPr>
              <w:pStyle w:val="P68B1DB1-Normal12"/>
              <w:jc w:val="center"/>
              <w:rPr>
                <w:noProof/>
              </w:rPr>
            </w:pPr>
            <w:r>
              <w:rPr>
                <w:noProof/>
              </w:rPr>
              <w:t>M1C1—146</w:t>
            </w:r>
          </w:p>
        </w:tc>
        <w:tc>
          <w:tcPr>
            <w:tcW w:w="3090" w:type="dxa"/>
            <w:tcBorders>
              <w:top w:val="single" w:sz="4" w:space="0" w:color="auto"/>
              <w:left w:val="nil"/>
              <w:bottom w:val="single" w:sz="4" w:space="0" w:color="auto"/>
              <w:right w:val="single" w:sz="4" w:space="0" w:color="auto"/>
            </w:tcBorders>
            <w:shd w:val="clear" w:color="auto" w:fill="C6EFCE"/>
            <w:noWrap/>
            <w:vAlign w:val="center"/>
          </w:tcPr>
          <w:p w14:paraId="6B532ACE" w14:textId="77777777" w:rsidR="006054AA" w:rsidRDefault="001F7667">
            <w:pPr>
              <w:pStyle w:val="P68B1DB1-Normal12"/>
              <w:jc w:val="center"/>
              <w:rPr>
                <w:noProof/>
              </w:rPr>
            </w:pPr>
            <w:r>
              <w:rPr>
                <w:noProof/>
              </w:rPr>
              <w:t>Инвестиция 1.4.4 — Разширяване на националните платформи за цифрова самоличност (SPID, CIE) и националния регистър (ANPR)</w:t>
            </w:r>
          </w:p>
        </w:tc>
        <w:tc>
          <w:tcPr>
            <w:tcW w:w="1498" w:type="dxa"/>
            <w:tcBorders>
              <w:top w:val="single" w:sz="4" w:space="0" w:color="auto"/>
              <w:left w:val="nil"/>
              <w:bottom w:val="single" w:sz="4" w:space="0" w:color="auto"/>
              <w:right w:val="single" w:sz="4" w:space="0" w:color="auto"/>
            </w:tcBorders>
            <w:shd w:val="clear" w:color="auto" w:fill="C6EFCE"/>
            <w:noWrap/>
            <w:vAlign w:val="center"/>
          </w:tcPr>
          <w:p w14:paraId="709E06BC" w14:textId="77777777" w:rsidR="006054AA" w:rsidRDefault="001F7667">
            <w:pPr>
              <w:pStyle w:val="P68B1DB1-Normal12"/>
              <w:jc w:val="center"/>
              <w:rPr>
                <w:noProof/>
              </w:rPr>
            </w:pPr>
            <w:r>
              <w:rPr>
                <w:noProof/>
              </w:rPr>
              <w:t>Целеви</w:t>
            </w:r>
          </w:p>
        </w:tc>
        <w:tc>
          <w:tcPr>
            <w:tcW w:w="4091" w:type="dxa"/>
            <w:tcBorders>
              <w:top w:val="single" w:sz="4" w:space="0" w:color="auto"/>
              <w:left w:val="nil"/>
              <w:bottom w:val="single" w:sz="4" w:space="0" w:color="auto"/>
              <w:right w:val="single" w:sz="4" w:space="0" w:color="auto"/>
            </w:tcBorders>
            <w:shd w:val="clear" w:color="auto" w:fill="C6EFCE"/>
            <w:noWrap/>
            <w:vAlign w:val="center"/>
          </w:tcPr>
          <w:p w14:paraId="79755BB2" w14:textId="77777777" w:rsidR="006054AA" w:rsidRDefault="001F7667">
            <w:pPr>
              <w:pStyle w:val="P68B1DB1-Normal12"/>
              <w:jc w:val="center"/>
              <w:rPr>
                <w:noProof/>
              </w:rPr>
            </w:pPr>
            <w:r>
              <w:rPr>
                <w:noProof/>
              </w:rPr>
              <w:t>Национални платформи за цифрова самоличност (SPID, CIE) и национален регистър (ANPR)</w:t>
            </w:r>
          </w:p>
        </w:tc>
      </w:tr>
      <w:tr w:rsidR="006054AA" w14:paraId="66A3F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B29992" w14:textId="77777777" w:rsidR="006054AA" w:rsidRDefault="001F7667">
            <w:pPr>
              <w:pStyle w:val="P68B1DB1-Normal12"/>
              <w:jc w:val="center"/>
              <w:rPr>
                <w:noProof/>
              </w:rPr>
            </w:pPr>
            <w:r>
              <w:rPr>
                <w:noProof/>
              </w:rPr>
              <w:t>M2C3—6</w:t>
            </w:r>
          </w:p>
        </w:tc>
        <w:tc>
          <w:tcPr>
            <w:tcW w:w="3090" w:type="dxa"/>
            <w:tcBorders>
              <w:top w:val="nil"/>
              <w:left w:val="nil"/>
              <w:bottom w:val="single" w:sz="4" w:space="0" w:color="auto"/>
              <w:right w:val="single" w:sz="4" w:space="0" w:color="auto"/>
            </w:tcBorders>
            <w:shd w:val="clear" w:color="auto" w:fill="C6EFCE"/>
            <w:noWrap/>
            <w:vAlign w:val="center"/>
          </w:tcPr>
          <w:p w14:paraId="1EBA4D1C" w14:textId="77777777" w:rsidR="006054AA" w:rsidRDefault="001F7667">
            <w:pPr>
              <w:pStyle w:val="P68B1DB1-Normal12"/>
              <w:jc w:val="center"/>
              <w:rPr>
                <w:noProof/>
              </w:rPr>
            </w:pPr>
            <w:r>
              <w:rPr>
                <w:noProof/>
              </w:rPr>
              <w:t>Инвестиция 1.1: Изграждане на нови училища чрез подмяна на сгради</w:t>
            </w:r>
          </w:p>
        </w:tc>
        <w:tc>
          <w:tcPr>
            <w:tcW w:w="1498" w:type="dxa"/>
            <w:tcBorders>
              <w:top w:val="nil"/>
              <w:left w:val="nil"/>
              <w:bottom w:val="single" w:sz="4" w:space="0" w:color="auto"/>
              <w:right w:val="single" w:sz="4" w:space="0" w:color="auto"/>
            </w:tcBorders>
            <w:shd w:val="clear" w:color="auto" w:fill="C6EFCE"/>
            <w:noWrap/>
            <w:vAlign w:val="center"/>
          </w:tcPr>
          <w:p w14:paraId="6C2CE13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0C81395" w14:textId="77777777" w:rsidR="006054AA" w:rsidRDefault="001F7667">
            <w:pPr>
              <w:pStyle w:val="P68B1DB1-Normal12"/>
              <w:jc w:val="center"/>
              <w:rPr>
                <w:noProof/>
              </w:rPr>
            </w:pPr>
            <w:r>
              <w:rPr>
                <w:noProof/>
              </w:rPr>
              <w:t>Най-малко 400 000 кв.м. нови училища се изграждат чрез подмяна на сгради.</w:t>
            </w:r>
          </w:p>
        </w:tc>
      </w:tr>
      <w:tr w:rsidR="006054AA" w14:paraId="7368A2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F3EBBD" w14:textId="77777777" w:rsidR="006054AA" w:rsidRDefault="001F7667">
            <w:pPr>
              <w:pStyle w:val="P68B1DB1-Normal12"/>
              <w:jc w:val="center"/>
              <w:rPr>
                <w:noProof/>
              </w:rPr>
            </w:pPr>
            <w:r>
              <w:rPr>
                <w:noProof/>
              </w:rPr>
              <w:t>M2C3—8</w:t>
            </w:r>
          </w:p>
        </w:tc>
        <w:tc>
          <w:tcPr>
            <w:tcW w:w="3090" w:type="dxa"/>
            <w:tcBorders>
              <w:top w:val="nil"/>
              <w:left w:val="nil"/>
              <w:bottom w:val="single" w:sz="4" w:space="0" w:color="auto"/>
              <w:right w:val="single" w:sz="4" w:space="0" w:color="auto"/>
            </w:tcBorders>
            <w:shd w:val="clear" w:color="auto" w:fill="C6EFCE"/>
            <w:noWrap/>
            <w:vAlign w:val="center"/>
          </w:tcPr>
          <w:p w14:paraId="17A778C5" w14:textId="77777777" w:rsidR="006054AA" w:rsidRDefault="001F7667">
            <w:pPr>
              <w:pStyle w:val="P68B1DB1-Normal12"/>
              <w:jc w:val="center"/>
              <w:rPr>
                <w:noProof/>
              </w:rPr>
            </w:pPr>
            <w:r>
              <w:rPr>
                <w:noProof/>
              </w:rPr>
              <w:t>Инвестиция 1.2 — Строителство на сгради, преквалификация и укрепване на недвижимите активи на правораздаването</w:t>
            </w:r>
          </w:p>
        </w:tc>
        <w:tc>
          <w:tcPr>
            <w:tcW w:w="1498" w:type="dxa"/>
            <w:tcBorders>
              <w:top w:val="nil"/>
              <w:left w:val="nil"/>
              <w:bottom w:val="single" w:sz="4" w:space="0" w:color="auto"/>
              <w:right w:val="single" w:sz="4" w:space="0" w:color="auto"/>
            </w:tcBorders>
            <w:shd w:val="clear" w:color="auto" w:fill="C6EFCE"/>
            <w:noWrap/>
            <w:vAlign w:val="center"/>
          </w:tcPr>
          <w:p w14:paraId="0ED0DF82"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E1B2BB4" w14:textId="77777777" w:rsidR="006054AA" w:rsidRDefault="001F7667">
            <w:pPr>
              <w:pStyle w:val="P68B1DB1-Normal12"/>
              <w:jc w:val="center"/>
              <w:rPr>
                <w:noProof/>
              </w:rPr>
            </w:pPr>
            <w:r>
              <w:rPr>
                <w:noProof/>
              </w:rPr>
              <w:t>Строителство на сгради, преквалификация и укрепване на недвижимите имоти на правораздаването</w:t>
            </w:r>
          </w:p>
        </w:tc>
      </w:tr>
      <w:tr w:rsidR="006054AA" w14:paraId="7178D5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B601A" w14:textId="77777777" w:rsidR="006054AA" w:rsidRDefault="001F7667">
            <w:pPr>
              <w:pStyle w:val="P68B1DB1-Normal12"/>
              <w:jc w:val="center"/>
              <w:rPr>
                <w:noProof/>
              </w:rPr>
            </w:pPr>
            <w:r>
              <w:rPr>
                <w:noProof/>
              </w:rPr>
              <w:t>M2C3—10</w:t>
            </w:r>
          </w:p>
        </w:tc>
        <w:tc>
          <w:tcPr>
            <w:tcW w:w="3090" w:type="dxa"/>
            <w:tcBorders>
              <w:top w:val="nil"/>
              <w:left w:val="nil"/>
              <w:bottom w:val="single" w:sz="4" w:space="0" w:color="auto"/>
              <w:right w:val="single" w:sz="4" w:space="0" w:color="auto"/>
            </w:tcBorders>
            <w:shd w:val="clear" w:color="auto" w:fill="C6EFCE"/>
            <w:noWrap/>
            <w:vAlign w:val="center"/>
          </w:tcPr>
          <w:p w14:paraId="6B1283B5" w14:textId="77777777" w:rsidR="006054AA" w:rsidRDefault="001F7667">
            <w:pPr>
              <w:pStyle w:val="P68B1DB1-Normal12"/>
              <w:jc w:val="center"/>
              <w:rPr>
                <w:noProof/>
              </w:rPr>
            </w:pPr>
            <w:r>
              <w:rPr>
                <w:noProof/>
              </w:rPr>
              <w:t>Инвестиция 3.1: Насърчаване на ефективното централно отопление</w:t>
            </w:r>
          </w:p>
        </w:tc>
        <w:tc>
          <w:tcPr>
            <w:tcW w:w="1498" w:type="dxa"/>
            <w:tcBorders>
              <w:top w:val="nil"/>
              <w:left w:val="nil"/>
              <w:bottom w:val="single" w:sz="4" w:space="0" w:color="auto"/>
              <w:right w:val="single" w:sz="4" w:space="0" w:color="auto"/>
            </w:tcBorders>
            <w:shd w:val="clear" w:color="auto" w:fill="C6EFCE"/>
            <w:noWrap/>
            <w:vAlign w:val="center"/>
          </w:tcPr>
          <w:p w14:paraId="4053B4C9"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64B4A93" w14:textId="77777777" w:rsidR="006054AA" w:rsidRDefault="001F7667">
            <w:pPr>
              <w:pStyle w:val="P68B1DB1-Normal12"/>
              <w:jc w:val="center"/>
              <w:rPr>
                <w:noProof/>
              </w:rPr>
            </w:pPr>
            <w:r>
              <w:rPr>
                <w:noProof/>
              </w:rPr>
              <w:t>Изграждане или разширяване на мрежи за централно отопление</w:t>
            </w:r>
          </w:p>
        </w:tc>
      </w:tr>
      <w:tr w:rsidR="006054AA" w14:paraId="267304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95F449" w14:textId="77777777" w:rsidR="006054AA" w:rsidRDefault="001F7667">
            <w:pPr>
              <w:pStyle w:val="P68B1DB1-Normal12"/>
              <w:jc w:val="center"/>
              <w:rPr>
                <w:noProof/>
              </w:rPr>
            </w:pPr>
            <w:r>
              <w:rPr>
                <w:noProof/>
              </w:rPr>
              <w:t>M2C4—23</w:t>
            </w:r>
          </w:p>
        </w:tc>
        <w:tc>
          <w:tcPr>
            <w:tcW w:w="3090" w:type="dxa"/>
            <w:tcBorders>
              <w:top w:val="nil"/>
              <w:left w:val="nil"/>
              <w:bottom w:val="single" w:sz="4" w:space="0" w:color="auto"/>
              <w:right w:val="single" w:sz="4" w:space="0" w:color="auto"/>
            </w:tcBorders>
            <w:shd w:val="clear" w:color="auto" w:fill="C6EFCE"/>
            <w:noWrap/>
            <w:vAlign w:val="center"/>
          </w:tcPr>
          <w:p w14:paraId="6AC97A7F" w14:textId="77777777" w:rsidR="006054AA" w:rsidRDefault="001F7667">
            <w:pPr>
              <w:pStyle w:val="P68B1DB1-Normal12"/>
              <w:jc w:val="center"/>
              <w:rPr>
                <w:noProof/>
              </w:rPr>
            </w:pPr>
            <w:r>
              <w:rPr>
                <w:noProof/>
              </w:rPr>
              <w:t>Инвестиция 3.3 — Възстановяване на натурализацията на района на По</w:t>
            </w:r>
          </w:p>
        </w:tc>
        <w:tc>
          <w:tcPr>
            <w:tcW w:w="1498" w:type="dxa"/>
            <w:tcBorders>
              <w:top w:val="nil"/>
              <w:left w:val="nil"/>
              <w:bottom w:val="single" w:sz="4" w:space="0" w:color="auto"/>
              <w:right w:val="single" w:sz="4" w:space="0" w:color="auto"/>
            </w:tcBorders>
            <w:shd w:val="clear" w:color="auto" w:fill="C6EFCE"/>
            <w:noWrap/>
            <w:vAlign w:val="center"/>
          </w:tcPr>
          <w:p w14:paraId="4E6D3C24"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FA92165" w14:textId="77777777" w:rsidR="006054AA" w:rsidRDefault="001F7667">
            <w:pPr>
              <w:pStyle w:val="P68B1DB1-Normal12"/>
              <w:jc w:val="center"/>
              <w:rPr>
                <w:noProof/>
              </w:rPr>
            </w:pPr>
            <w:r>
              <w:rPr>
                <w:noProof/>
              </w:rPr>
              <w:t>Намаляване на изкуствеността на речното корито с цел повторно натурализиране на област Po T2</w:t>
            </w:r>
          </w:p>
        </w:tc>
      </w:tr>
      <w:tr w:rsidR="006054AA" w14:paraId="789C37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76B596" w14:textId="77777777" w:rsidR="006054AA" w:rsidRDefault="001F7667">
            <w:pPr>
              <w:pStyle w:val="P68B1DB1-Normal12"/>
              <w:jc w:val="center"/>
              <w:rPr>
                <w:noProof/>
              </w:rPr>
            </w:pPr>
            <w:r>
              <w:rPr>
                <w:noProof/>
              </w:rPr>
              <w:t>M2C4—25</w:t>
            </w:r>
          </w:p>
        </w:tc>
        <w:tc>
          <w:tcPr>
            <w:tcW w:w="3090" w:type="dxa"/>
            <w:tcBorders>
              <w:top w:val="nil"/>
              <w:left w:val="nil"/>
              <w:bottom w:val="single" w:sz="4" w:space="0" w:color="auto"/>
              <w:right w:val="single" w:sz="4" w:space="0" w:color="auto"/>
            </w:tcBorders>
            <w:shd w:val="clear" w:color="auto" w:fill="C6EFCE"/>
            <w:noWrap/>
            <w:vAlign w:val="center"/>
          </w:tcPr>
          <w:p w14:paraId="56210705" w14:textId="77777777" w:rsidR="006054AA" w:rsidRDefault="001F7667">
            <w:pPr>
              <w:pStyle w:val="P68B1DB1-Normal12"/>
              <w:jc w:val="center"/>
              <w:rPr>
                <w:noProof/>
              </w:rPr>
            </w:pPr>
            <w:r>
              <w:rPr>
                <w:noProof/>
              </w:rPr>
              <w:t>Инвестиция 3.4. Саниране на „почви сираци“</w:t>
            </w:r>
          </w:p>
        </w:tc>
        <w:tc>
          <w:tcPr>
            <w:tcW w:w="1498" w:type="dxa"/>
            <w:tcBorders>
              <w:top w:val="nil"/>
              <w:left w:val="nil"/>
              <w:bottom w:val="single" w:sz="4" w:space="0" w:color="auto"/>
              <w:right w:val="single" w:sz="4" w:space="0" w:color="auto"/>
            </w:tcBorders>
            <w:shd w:val="clear" w:color="auto" w:fill="C6EFCE"/>
            <w:noWrap/>
            <w:vAlign w:val="center"/>
          </w:tcPr>
          <w:p w14:paraId="4C172840"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2F700C7F" w14:textId="77777777" w:rsidR="006054AA" w:rsidRDefault="001F7667">
            <w:pPr>
              <w:pStyle w:val="P68B1DB1-Normal12"/>
              <w:jc w:val="center"/>
              <w:rPr>
                <w:noProof/>
              </w:rPr>
            </w:pPr>
            <w:r>
              <w:rPr>
                <w:noProof/>
              </w:rPr>
              <w:t xml:space="preserve">Съживяване на обектите сираци </w:t>
            </w:r>
          </w:p>
        </w:tc>
      </w:tr>
      <w:tr w:rsidR="006054AA" w14:paraId="0B1C33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0B3C9E" w14:textId="77777777" w:rsidR="006054AA" w:rsidRDefault="001F7667">
            <w:pPr>
              <w:pStyle w:val="P68B1DB1-Normal12"/>
              <w:jc w:val="center"/>
              <w:rPr>
                <w:noProof/>
              </w:rPr>
            </w:pPr>
            <w:r>
              <w:rPr>
                <w:noProof/>
              </w:rPr>
              <w:t>M2C4—29</w:t>
            </w:r>
          </w:p>
        </w:tc>
        <w:tc>
          <w:tcPr>
            <w:tcW w:w="3090" w:type="dxa"/>
            <w:tcBorders>
              <w:top w:val="nil"/>
              <w:left w:val="nil"/>
              <w:bottom w:val="single" w:sz="4" w:space="0" w:color="auto"/>
              <w:right w:val="single" w:sz="4" w:space="0" w:color="auto"/>
            </w:tcBorders>
            <w:shd w:val="clear" w:color="auto" w:fill="C6EFCE"/>
            <w:noWrap/>
            <w:vAlign w:val="center"/>
          </w:tcPr>
          <w:p w14:paraId="76213590" w14:textId="77777777" w:rsidR="006054AA" w:rsidRDefault="001F7667">
            <w:pPr>
              <w:pStyle w:val="P68B1DB1-Normal12"/>
              <w:jc w:val="center"/>
              <w:rPr>
                <w:noProof/>
              </w:rPr>
            </w:pPr>
            <w:r>
              <w:rPr>
                <w:noProof/>
              </w:rPr>
              <w:t>Инвестиция 4.1. Инвестиции в първични водни инфраструктури за сигурността на водоснабдяването</w:t>
            </w:r>
          </w:p>
        </w:tc>
        <w:tc>
          <w:tcPr>
            <w:tcW w:w="1498" w:type="dxa"/>
            <w:tcBorders>
              <w:top w:val="nil"/>
              <w:left w:val="nil"/>
              <w:bottom w:val="single" w:sz="4" w:space="0" w:color="auto"/>
              <w:right w:val="single" w:sz="4" w:space="0" w:color="auto"/>
            </w:tcBorders>
            <w:shd w:val="clear" w:color="auto" w:fill="C6EFCE"/>
            <w:noWrap/>
            <w:vAlign w:val="center"/>
          </w:tcPr>
          <w:p w14:paraId="7310D00B"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70A2437" w14:textId="77777777" w:rsidR="006054AA" w:rsidRDefault="001F7667">
            <w:pPr>
              <w:pStyle w:val="P68B1DB1-Normal12"/>
              <w:jc w:val="center"/>
              <w:rPr>
                <w:noProof/>
              </w:rPr>
            </w:pPr>
            <w:r>
              <w:rPr>
                <w:noProof/>
              </w:rPr>
              <w:t xml:space="preserve">Инвестиции в първична водна инфраструктура за сигурността на водоснабдяването </w:t>
            </w:r>
          </w:p>
        </w:tc>
      </w:tr>
      <w:tr w:rsidR="006054AA" w14:paraId="394CE1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95C07" w14:textId="77777777" w:rsidR="006054AA" w:rsidRDefault="001F7667">
            <w:pPr>
              <w:pStyle w:val="P68B1DB1-Normal12"/>
              <w:jc w:val="center"/>
              <w:rPr>
                <w:noProof/>
              </w:rPr>
            </w:pPr>
            <w:r>
              <w:rPr>
                <w:noProof/>
              </w:rPr>
              <w:t>M2C4—32</w:t>
            </w:r>
          </w:p>
        </w:tc>
        <w:tc>
          <w:tcPr>
            <w:tcW w:w="3090" w:type="dxa"/>
            <w:tcBorders>
              <w:top w:val="nil"/>
              <w:left w:val="nil"/>
              <w:bottom w:val="single" w:sz="4" w:space="0" w:color="auto"/>
              <w:right w:val="single" w:sz="4" w:space="0" w:color="auto"/>
            </w:tcBorders>
            <w:shd w:val="clear" w:color="auto" w:fill="C6EFCE"/>
            <w:noWrap/>
            <w:vAlign w:val="center"/>
          </w:tcPr>
          <w:p w14:paraId="3A7C5BD3" w14:textId="77777777" w:rsidR="006054AA" w:rsidRDefault="001F7667">
            <w:pPr>
              <w:pStyle w:val="P68B1DB1-Normal12"/>
              <w:jc w:val="center"/>
              <w:rPr>
                <w:noProof/>
              </w:rPr>
            </w:pPr>
            <w:r>
              <w:rPr>
                <w:noProof/>
              </w:rPr>
              <w:t>Инвестиция 4.2. Намаляване на загубите във водоразпределителните мрежи, включително цифровизация и мониторинг на мрежите</w:t>
            </w:r>
          </w:p>
        </w:tc>
        <w:tc>
          <w:tcPr>
            <w:tcW w:w="1498" w:type="dxa"/>
            <w:tcBorders>
              <w:top w:val="nil"/>
              <w:left w:val="nil"/>
              <w:bottom w:val="single" w:sz="4" w:space="0" w:color="auto"/>
              <w:right w:val="single" w:sz="4" w:space="0" w:color="auto"/>
            </w:tcBorders>
            <w:shd w:val="clear" w:color="auto" w:fill="C6EFCE"/>
            <w:noWrap/>
            <w:vAlign w:val="center"/>
          </w:tcPr>
          <w:p w14:paraId="4FDB7AFA"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209B40B" w14:textId="77777777" w:rsidR="006054AA" w:rsidRDefault="001F7667">
            <w:pPr>
              <w:pStyle w:val="P68B1DB1-Normal12"/>
              <w:jc w:val="center"/>
              <w:rPr>
                <w:noProof/>
              </w:rPr>
            </w:pPr>
            <w:r>
              <w:rPr>
                <w:noProof/>
              </w:rPr>
              <w:t>Интервенции във водоразпределителните мрежи, включително цифровизация и мониторинг на мрежите T2</w:t>
            </w:r>
          </w:p>
        </w:tc>
      </w:tr>
      <w:tr w:rsidR="006054AA" w14:paraId="1B885E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2FF33" w14:textId="77777777" w:rsidR="006054AA" w:rsidRDefault="001F7667">
            <w:pPr>
              <w:pStyle w:val="P68B1DB1-Normal12"/>
              <w:jc w:val="center"/>
              <w:rPr>
                <w:noProof/>
              </w:rPr>
            </w:pPr>
            <w:r>
              <w:rPr>
                <w:noProof/>
              </w:rPr>
              <w:t>M2C4—35bis</w:t>
            </w:r>
          </w:p>
        </w:tc>
        <w:tc>
          <w:tcPr>
            <w:tcW w:w="3090" w:type="dxa"/>
            <w:tcBorders>
              <w:top w:val="nil"/>
              <w:left w:val="nil"/>
              <w:bottom w:val="single" w:sz="4" w:space="0" w:color="auto"/>
              <w:right w:val="single" w:sz="4" w:space="0" w:color="auto"/>
            </w:tcBorders>
            <w:shd w:val="clear" w:color="auto" w:fill="C6EFCE"/>
            <w:noWrap/>
            <w:vAlign w:val="center"/>
          </w:tcPr>
          <w:p w14:paraId="51E51FF1" w14:textId="77777777" w:rsidR="006054AA" w:rsidRDefault="001F7667">
            <w:pPr>
              <w:pStyle w:val="P68B1DB1-Normal12"/>
              <w:jc w:val="center"/>
              <w:rPr>
                <w:noProof/>
              </w:rPr>
            </w:pPr>
            <w:r>
              <w:rPr>
                <w:noProof/>
              </w:rPr>
              <w:t>Инвестиция 4.3 Инвестиции в устойчивостта на напоителната агросистема за по-добро управление на водните ресурси</w:t>
            </w:r>
          </w:p>
        </w:tc>
        <w:tc>
          <w:tcPr>
            <w:tcW w:w="1498" w:type="dxa"/>
            <w:tcBorders>
              <w:top w:val="nil"/>
              <w:left w:val="nil"/>
              <w:bottom w:val="single" w:sz="4" w:space="0" w:color="auto"/>
              <w:right w:val="single" w:sz="4" w:space="0" w:color="auto"/>
            </w:tcBorders>
            <w:shd w:val="clear" w:color="auto" w:fill="C6EFCE"/>
            <w:noWrap/>
            <w:vAlign w:val="center"/>
          </w:tcPr>
          <w:p w14:paraId="5E074747"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84649C1" w14:textId="77777777" w:rsidR="006054AA" w:rsidRDefault="001F7667">
            <w:pPr>
              <w:pStyle w:val="P68B1DB1-Normal12"/>
              <w:jc w:val="center"/>
              <w:rPr>
                <w:noProof/>
              </w:rPr>
            </w:pPr>
            <w:r>
              <w:rPr>
                <w:noProof/>
              </w:rPr>
              <w:t>Интервенции за устойчивостта на напоителната агросистема за по-добро управление на водните ресурси Т2</w:t>
            </w:r>
          </w:p>
        </w:tc>
      </w:tr>
      <w:tr w:rsidR="006054AA" w14:paraId="701502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A1626E" w14:textId="77777777" w:rsidR="006054AA" w:rsidRDefault="001F7667">
            <w:pPr>
              <w:pStyle w:val="P68B1DB1-Normal12"/>
              <w:jc w:val="center"/>
              <w:rPr>
                <w:noProof/>
              </w:rPr>
            </w:pPr>
            <w:r>
              <w:rPr>
                <w:noProof/>
              </w:rPr>
              <w:t>M2C4—38</w:t>
            </w:r>
          </w:p>
        </w:tc>
        <w:tc>
          <w:tcPr>
            <w:tcW w:w="3090" w:type="dxa"/>
            <w:tcBorders>
              <w:top w:val="nil"/>
              <w:left w:val="nil"/>
              <w:bottom w:val="single" w:sz="4" w:space="0" w:color="auto"/>
              <w:right w:val="single" w:sz="4" w:space="0" w:color="auto"/>
            </w:tcBorders>
            <w:shd w:val="clear" w:color="auto" w:fill="C6EFCE"/>
            <w:noWrap/>
            <w:vAlign w:val="center"/>
          </w:tcPr>
          <w:p w14:paraId="1F49E9CF" w14:textId="77777777" w:rsidR="006054AA" w:rsidRDefault="001F7667">
            <w:pPr>
              <w:pStyle w:val="P68B1DB1-Normal12"/>
              <w:jc w:val="center"/>
              <w:rPr>
                <w:noProof/>
              </w:rPr>
            </w:pPr>
            <w:r>
              <w:rPr>
                <w:noProof/>
              </w:rPr>
              <w:t>Инвестиция 4.4 Инвестиции в канализация и пречистване</w:t>
            </w:r>
          </w:p>
        </w:tc>
        <w:tc>
          <w:tcPr>
            <w:tcW w:w="1498" w:type="dxa"/>
            <w:tcBorders>
              <w:top w:val="nil"/>
              <w:left w:val="nil"/>
              <w:bottom w:val="single" w:sz="4" w:space="0" w:color="auto"/>
              <w:right w:val="single" w:sz="4" w:space="0" w:color="auto"/>
            </w:tcBorders>
            <w:shd w:val="clear" w:color="auto" w:fill="C6EFCE"/>
            <w:noWrap/>
            <w:vAlign w:val="center"/>
          </w:tcPr>
          <w:p w14:paraId="719B677D"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1DE1693" w14:textId="77777777" w:rsidR="006054AA" w:rsidRDefault="001F7667">
            <w:pPr>
              <w:pStyle w:val="P68B1DB1-Normal12"/>
              <w:jc w:val="center"/>
              <w:rPr>
                <w:noProof/>
              </w:rPr>
            </w:pPr>
            <w:r>
              <w:rPr>
                <w:noProof/>
              </w:rPr>
              <w:t>Интервенции за канализация и пречистване Т2</w:t>
            </w:r>
          </w:p>
        </w:tc>
      </w:tr>
      <w:tr w:rsidR="006054AA" w14:paraId="52B970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C227C" w14:textId="77777777" w:rsidR="006054AA" w:rsidRDefault="001F7667">
            <w:pPr>
              <w:pStyle w:val="P68B1DB1-Normal12"/>
              <w:jc w:val="center"/>
              <w:rPr>
                <w:noProof/>
              </w:rPr>
            </w:pPr>
            <w:r>
              <w:rPr>
                <w:noProof/>
              </w:rPr>
              <w:t>M5C2—20</w:t>
            </w:r>
          </w:p>
        </w:tc>
        <w:tc>
          <w:tcPr>
            <w:tcW w:w="3090" w:type="dxa"/>
            <w:tcBorders>
              <w:top w:val="nil"/>
              <w:left w:val="nil"/>
              <w:bottom w:val="single" w:sz="4" w:space="0" w:color="auto"/>
              <w:right w:val="single" w:sz="4" w:space="0" w:color="auto"/>
            </w:tcBorders>
            <w:shd w:val="clear" w:color="auto" w:fill="C6EFCE"/>
            <w:noWrap/>
            <w:vAlign w:val="center"/>
          </w:tcPr>
          <w:p w14:paraId="7993E31C" w14:textId="77777777" w:rsidR="006054AA" w:rsidRDefault="001F7667">
            <w:pPr>
              <w:pStyle w:val="P68B1DB1-Normal12"/>
              <w:jc w:val="center"/>
              <w:rPr>
                <w:noProof/>
              </w:rPr>
            </w:pPr>
            <w:r>
              <w:rPr>
                <w:noProof/>
              </w:rPr>
              <w:t>Инвестиция 6 — Програма за иновации за качество на жилищата</w:t>
            </w:r>
          </w:p>
        </w:tc>
        <w:tc>
          <w:tcPr>
            <w:tcW w:w="1498" w:type="dxa"/>
            <w:tcBorders>
              <w:top w:val="nil"/>
              <w:left w:val="nil"/>
              <w:bottom w:val="single" w:sz="4" w:space="0" w:color="auto"/>
              <w:right w:val="single" w:sz="4" w:space="0" w:color="auto"/>
            </w:tcBorders>
            <w:shd w:val="clear" w:color="auto" w:fill="C6EFCE"/>
            <w:noWrap/>
            <w:vAlign w:val="center"/>
          </w:tcPr>
          <w:p w14:paraId="397C90F3"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AD183C7" w14:textId="77777777" w:rsidR="006054AA" w:rsidRDefault="001F7667">
            <w:pPr>
              <w:pStyle w:val="P68B1DB1-Normal12"/>
              <w:jc w:val="center"/>
              <w:rPr>
                <w:noProof/>
              </w:rPr>
            </w:pPr>
            <w:r>
              <w:rPr>
                <w:noProof/>
              </w:rPr>
              <w:t>Брой на подпомогнатите жилищни единици (по отношение както на строителството, така и на рехабилитацията) и квадратни метри на подпомаганите обществени пространства</w:t>
            </w:r>
          </w:p>
        </w:tc>
      </w:tr>
      <w:tr w:rsidR="006054AA" w14:paraId="7E8D3D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27D244" w14:textId="77777777" w:rsidR="006054AA" w:rsidRDefault="001F7667">
            <w:pPr>
              <w:pStyle w:val="P68B1DB1-Normal12"/>
              <w:jc w:val="center"/>
              <w:rPr>
                <w:noProof/>
              </w:rPr>
            </w:pPr>
            <w:r>
              <w:rPr>
                <w:noProof/>
              </w:rPr>
              <w:t>M1C1—147</w:t>
            </w:r>
          </w:p>
        </w:tc>
        <w:tc>
          <w:tcPr>
            <w:tcW w:w="3090" w:type="dxa"/>
            <w:tcBorders>
              <w:top w:val="nil"/>
              <w:left w:val="nil"/>
              <w:bottom w:val="single" w:sz="4" w:space="0" w:color="auto"/>
              <w:right w:val="single" w:sz="4" w:space="0" w:color="auto"/>
            </w:tcBorders>
            <w:shd w:val="clear" w:color="auto" w:fill="C6EFCE"/>
            <w:noWrap/>
            <w:vAlign w:val="center"/>
          </w:tcPr>
          <w:p w14:paraId="25BA43FC" w14:textId="77777777" w:rsidR="006054AA" w:rsidRDefault="001F7667">
            <w:pPr>
              <w:pStyle w:val="P68B1DB1-Normal12"/>
              <w:jc w:val="center"/>
              <w:rPr>
                <w:noProof/>
              </w:rPr>
            </w:pPr>
            <w:r>
              <w:rPr>
                <w:noProof/>
              </w:rPr>
              <w:t>Инвестиция 1.2 — Улесняване на изчисленията в облак за местните БКП</w:t>
            </w:r>
          </w:p>
        </w:tc>
        <w:tc>
          <w:tcPr>
            <w:tcW w:w="1498" w:type="dxa"/>
            <w:tcBorders>
              <w:top w:val="nil"/>
              <w:left w:val="nil"/>
              <w:bottom w:val="single" w:sz="4" w:space="0" w:color="auto"/>
              <w:right w:val="single" w:sz="4" w:space="0" w:color="auto"/>
            </w:tcBorders>
            <w:shd w:val="clear" w:color="auto" w:fill="C6EFCE"/>
            <w:noWrap/>
            <w:vAlign w:val="center"/>
          </w:tcPr>
          <w:p w14:paraId="75CEE6BF"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D77232D" w14:textId="77777777" w:rsidR="006054AA" w:rsidRDefault="001F7667">
            <w:pPr>
              <w:pStyle w:val="P68B1DB1-Normal12"/>
              <w:jc w:val="center"/>
              <w:rPr>
                <w:noProof/>
              </w:rPr>
            </w:pPr>
            <w:r>
              <w:rPr>
                <w:noProof/>
              </w:rPr>
              <w:t>Възможност за изчисления в облак за местната публична администрация T2</w:t>
            </w:r>
          </w:p>
        </w:tc>
      </w:tr>
      <w:tr w:rsidR="006054AA" w14:paraId="174876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D54A2" w14:textId="77777777" w:rsidR="006054AA" w:rsidRDefault="001F7667">
            <w:pPr>
              <w:pStyle w:val="P68B1DB1-Normal12"/>
              <w:jc w:val="center"/>
              <w:rPr>
                <w:noProof/>
              </w:rPr>
            </w:pPr>
            <w:r>
              <w:rPr>
                <w:noProof/>
              </w:rPr>
              <w:t>M1C1—148</w:t>
            </w:r>
          </w:p>
        </w:tc>
        <w:tc>
          <w:tcPr>
            <w:tcW w:w="3090" w:type="dxa"/>
            <w:tcBorders>
              <w:top w:val="nil"/>
              <w:left w:val="nil"/>
              <w:bottom w:val="single" w:sz="4" w:space="0" w:color="auto"/>
              <w:right w:val="single" w:sz="4" w:space="0" w:color="auto"/>
            </w:tcBorders>
            <w:shd w:val="clear" w:color="auto" w:fill="C6EFCE"/>
            <w:noWrap/>
            <w:vAlign w:val="center"/>
          </w:tcPr>
          <w:p w14:paraId="62248B83" w14:textId="77777777" w:rsidR="006054AA" w:rsidRDefault="001F7667">
            <w:pPr>
              <w:pStyle w:val="P68B1DB1-Normal12"/>
              <w:jc w:val="center"/>
              <w:rPr>
                <w:noProof/>
              </w:rPr>
            </w:pPr>
            <w:r>
              <w:rPr>
                <w:noProof/>
              </w:rPr>
              <w:t>Инвестиция 1.4.1 — Опитът на гражданите — Подобряване на качеството и използваемостта на цифровите обществени услуги</w:t>
            </w:r>
          </w:p>
        </w:tc>
        <w:tc>
          <w:tcPr>
            <w:tcW w:w="1498" w:type="dxa"/>
            <w:tcBorders>
              <w:top w:val="nil"/>
              <w:left w:val="nil"/>
              <w:bottom w:val="single" w:sz="4" w:space="0" w:color="auto"/>
              <w:right w:val="single" w:sz="4" w:space="0" w:color="auto"/>
            </w:tcBorders>
            <w:shd w:val="clear" w:color="auto" w:fill="C6EFCE"/>
            <w:noWrap/>
            <w:vAlign w:val="center"/>
          </w:tcPr>
          <w:p w14:paraId="2F09176D"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AD48D96" w14:textId="77777777" w:rsidR="006054AA" w:rsidRDefault="001F7667">
            <w:pPr>
              <w:pStyle w:val="P68B1DB1-Normal12"/>
              <w:jc w:val="center"/>
              <w:rPr>
                <w:noProof/>
              </w:rPr>
            </w:pPr>
            <w:r>
              <w:rPr>
                <w:noProof/>
              </w:rPr>
              <w:t>Подобряване на качеството и използваемостта на цифровите обществени услуги T2</w:t>
            </w:r>
          </w:p>
        </w:tc>
      </w:tr>
      <w:tr w:rsidR="006054AA" w14:paraId="48A9F3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074E38" w14:textId="77777777" w:rsidR="006054AA" w:rsidRDefault="001F7667">
            <w:pPr>
              <w:pStyle w:val="P68B1DB1-Normal12"/>
              <w:jc w:val="center"/>
              <w:rPr>
                <w:noProof/>
              </w:rPr>
            </w:pPr>
            <w:r>
              <w:rPr>
                <w:noProof/>
              </w:rPr>
              <w:t>M1C1—149</w:t>
            </w:r>
          </w:p>
        </w:tc>
        <w:tc>
          <w:tcPr>
            <w:tcW w:w="3090" w:type="dxa"/>
            <w:tcBorders>
              <w:top w:val="nil"/>
              <w:left w:val="nil"/>
              <w:bottom w:val="single" w:sz="4" w:space="0" w:color="auto"/>
              <w:right w:val="single" w:sz="4" w:space="0" w:color="auto"/>
            </w:tcBorders>
            <w:shd w:val="clear" w:color="auto" w:fill="C6EFCE"/>
            <w:noWrap/>
            <w:vAlign w:val="center"/>
          </w:tcPr>
          <w:p w14:paraId="7D50984D" w14:textId="77777777" w:rsidR="006054AA" w:rsidRDefault="001F7667">
            <w:pPr>
              <w:pStyle w:val="P68B1DB1-Normal12"/>
              <w:jc w:val="center"/>
              <w:rPr>
                <w:noProof/>
              </w:rPr>
            </w:pPr>
            <w:r>
              <w:rPr>
                <w:noProof/>
              </w:rPr>
              <w:t>Инвестиция 1.4.3 — Приемане на разширяването на услугите на платформата PagoPA и приложението IO</w:t>
            </w:r>
          </w:p>
        </w:tc>
        <w:tc>
          <w:tcPr>
            <w:tcW w:w="1498" w:type="dxa"/>
            <w:tcBorders>
              <w:top w:val="nil"/>
              <w:left w:val="nil"/>
              <w:bottom w:val="single" w:sz="4" w:space="0" w:color="auto"/>
              <w:right w:val="single" w:sz="4" w:space="0" w:color="auto"/>
            </w:tcBorders>
            <w:shd w:val="clear" w:color="auto" w:fill="C6EFCE"/>
            <w:noWrap/>
            <w:vAlign w:val="center"/>
          </w:tcPr>
          <w:p w14:paraId="17EFB9A3"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2B158D6" w14:textId="77777777" w:rsidR="006054AA" w:rsidRDefault="001F7667">
            <w:pPr>
              <w:pStyle w:val="P68B1DB1-Normal12"/>
              <w:jc w:val="center"/>
              <w:rPr>
                <w:noProof/>
              </w:rPr>
            </w:pPr>
            <w:r>
              <w:rPr>
                <w:noProof/>
              </w:rPr>
              <w:t>Приемане на разширяване на услугите на платформата PagoPA T2</w:t>
            </w:r>
          </w:p>
        </w:tc>
      </w:tr>
      <w:tr w:rsidR="006054AA" w14:paraId="2720BD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F0E141" w14:textId="77777777" w:rsidR="006054AA" w:rsidRDefault="001F7667">
            <w:pPr>
              <w:pStyle w:val="P68B1DB1-Normal12"/>
              <w:jc w:val="center"/>
              <w:rPr>
                <w:noProof/>
              </w:rPr>
            </w:pPr>
            <w:r>
              <w:rPr>
                <w:noProof/>
              </w:rPr>
              <w:t>M1C1—150</w:t>
            </w:r>
          </w:p>
        </w:tc>
        <w:tc>
          <w:tcPr>
            <w:tcW w:w="3090" w:type="dxa"/>
            <w:tcBorders>
              <w:top w:val="nil"/>
              <w:left w:val="nil"/>
              <w:bottom w:val="single" w:sz="4" w:space="0" w:color="auto"/>
              <w:right w:val="single" w:sz="4" w:space="0" w:color="auto"/>
            </w:tcBorders>
            <w:shd w:val="clear" w:color="auto" w:fill="C6EFCE"/>
            <w:noWrap/>
            <w:vAlign w:val="center"/>
          </w:tcPr>
          <w:p w14:paraId="45FE5893" w14:textId="77777777" w:rsidR="006054AA" w:rsidRDefault="001F7667">
            <w:pPr>
              <w:pStyle w:val="P68B1DB1-Normal12"/>
              <w:jc w:val="center"/>
              <w:rPr>
                <w:noProof/>
              </w:rPr>
            </w:pPr>
            <w:r>
              <w:rPr>
                <w:noProof/>
              </w:rPr>
              <w:t>Инвестиция 1.4.3 — Приемане на разширяването на услугите на платформата PagoPA и приложението IO</w:t>
            </w:r>
          </w:p>
        </w:tc>
        <w:tc>
          <w:tcPr>
            <w:tcW w:w="1498" w:type="dxa"/>
            <w:tcBorders>
              <w:top w:val="nil"/>
              <w:left w:val="nil"/>
              <w:bottom w:val="single" w:sz="4" w:space="0" w:color="auto"/>
              <w:right w:val="single" w:sz="4" w:space="0" w:color="auto"/>
            </w:tcBorders>
            <w:shd w:val="clear" w:color="auto" w:fill="C6EFCE"/>
            <w:noWrap/>
            <w:vAlign w:val="center"/>
          </w:tcPr>
          <w:p w14:paraId="4998D0B3"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68B3FF1" w14:textId="77777777" w:rsidR="006054AA" w:rsidRDefault="001F7667">
            <w:pPr>
              <w:pStyle w:val="P68B1DB1-Normal12"/>
              <w:jc w:val="center"/>
              <w:rPr>
                <w:noProof/>
              </w:rPr>
            </w:pPr>
            <w:r>
              <w:rPr>
                <w:noProof/>
              </w:rPr>
              <w:t>Приемане на приложение „IO“ T2</w:t>
            </w:r>
          </w:p>
        </w:tc>
      </w:tr>
      <w:tr w:rsidR="006054AA" w14:paraId="2E8920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0032B2" w14:textId="77777777" w:rsidR="006054AA" w:rsidRDefault="001F7667">
            <w:pPr>
              <w:pStyle w:val="P68B1DB1-Normal12"/>
              <w:jc w:val="center"/>
              <w:rPr>
                <w:noProof/>
              </w:rPr>
            </w:pPr>
            <w:r>
              <w:rPr>
                <w:noProof/>
              </w:rPr>
              <w:t>M1C1—151</w:t>
            </w:r>
          </w:p>
        </w:tc>
        <w:tc>
          <w:tcPr>
            <w:tcW w:w="3090" w:type="dxa"/>
            <w:tcBorders>
              <w:top w:val="nil"/>
              <w:left w:val="nil"/>
              <w:bottom w:val="single" w:sz="4" w:space="0" w:color="auto"/>
              <w:right w:val="single" w:sz="4" w:space="0" w:color="auto"/>
            </w:tcBorders>
            <w:shd w:val="clear" w:color="auto" w:fill="C6EFCE"/>
            <w:noWrap/>
            <w:vAlign w:val="center"/>
          </w:tcPr>
          <w:p w14:paraId="58A5B440" w14:textId="77777777" w:rsidR="006054AA" w:rsidRDefault="001F7667">
            <w:pPr>
              <w:pStyle w:val="P68B1DB1-Normal12"/>
              <w:jc w:val="center"/>
              <w:rPr>
                <w:noProof/>
              </w:rPr>
            </w:pPr>
            <w:r>
              <w:rPr>
                <w:noProof/>
              </w:rPr>
              <w:t>Инвестиция 1.4.5 — Цифровизация на публични обявления</w:t>
            </w:r>
          </w:p>
        </w:tc>
        <w:tc>
          <w:tcPr>
            <w:tcW w:w="1498" w:type="dxa"/>
            <w:tcBorders>
              <w:top w:val="nil"/>
              <w:left w:val="nil"/>
              <w:bottom w:val="single" w:sz="4" w:space="0" w:color="auto"/>
              <w:right w:val="single" w:sz="4" w:space="0" w:color="auto"/>
            </w:tcBorders>
            <w:shd w:val="clear" w:color="auto" w:fill="C6EFCE"/>
            <w:noWrap/>
            <w:vAlign w:val="center"/>
          </w:tcPr>
          <w:p w14:paraId="6800D01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23B0DB2" w14:textId="77777777" w:rsidR="006054AA" w:rsidRDefault="001F7667">
            <w:pPr>
              <w:pStyle w:val="P68B1DB1-Normal12"/>
              <w:jc w:val="center"/>
              <w:rPr>
                <w:noProof/>
              </w:rPr>
            </w:pPr>
            <w:r>
              <w:rPr>
                <w:noProof/>
              </w:rPr>
              <w:t>Приемане на разрастване на цифровите публични обявления T2</w:t>
            </w:r>
          </w:p>
        </w:tc>
      </w:tr>
      <w:tr w:rsidR="006054AA" w14:paraId="2DB36D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75F77" w14:textId="77777777" w:rsidR="006054AA" w:rsidRDefault="001F7667">
            <w:pPr>
              <w:pStyle w:val="P68B1DB1-Normal12"/>
              <w:jc w:val="center"/>
              <w:rPr>
                <w:noProof/>
              </w:rPr>
            </w:pPr>
            <w:r>
              <w:rPr>
                <w:noProof/>
              </w:rPr>
              <w:t>M1C1—152</w:t>
            </w:r>
          </w:p>
        </w:tc>
        <w:tc>
          <w:tcPr>
            <w:tcW w:w="3090" w:type="dxa"/>
            <w:tcBorders>
              <w:top w:val="nil"/>
              <w:left w:val="nil"/>
              <w:bottom w:val="single" w:sz="4" w:space="0" w:color="auto"/>
              <w:right w:val="single" w:sz="4" w:space="0" w:color="auto"/>
            </w:tcBorders>
            <w:shd w:val="clear" w:color="auto" w:fill="C6EFCE"/>
            <w:noWrap/>
            <w:vAlign w:val="center"/>
          </w:tcPr>
          <w:p w14:paraId="790640C1" w14:textId="77777777" w:rsidR="006054AA" w:rsidRDefault="001F7667">
            <w:pPr>
              <w:pStyle w:val="P68B1DB1-Normal12"/>
              <w:jc w:val="center"/>
              <w:rPr>
                <w:noProof/>
              </w:rPr>
            </w:pPr>
            <w:r>
              <w:rPr>
                <w:noProof/>
              </w:rPr>
              <w:t>Инвестиция 1.6.1 — Цифровизация на Министерството на вътрешните работи</w:t>
            </w:r>
          </w:p>
        </w:tc>
        <w:tc>
          <w:tcPr>
            <w:tcW w:w="1498" w:type="dxa"/>
            <w:tcBorders>
              <w:top w:val="nil"/>
              <w:left w:val="nil"/>
              <w:bottom w:val="single" w:sz="4" w:space="0" w:color="auto"/>
              <w:right w:val="single" w:sz="4" w:space="0" w:color="auto"/>
            </w:tcBorders>
            <w:shd w:val="clear" w:color="auto" w:fill="C6EFCE"/>
            <w:noWrap/>
            <w:vAlign w:val="center"/>
          </w:tcPr>
          <w:p w14:paraId="7FEF14DC"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20039BB" w14:textId="77777777" w:rsidR="006054AA" w:rsidRDefault="001F7667">
            <w:pPr>
              <w:pStyle w:val="P68B1DB1-Normal12"/>
              <w:jc w:val="center"/>
              <w:rPr>
                <w:noProof/>
              </w:rPr>
            </w:pPr>
            <w:r>
              <w:rPr>
                <w:noProof/>
              </w:rPr>
              <w:t>Министерство на вътрешните работи — изцяло реконструирани и цифровизирани процеси Т2</w:t>
            </w:r>
          </w:p>
        </w:tc>
      </w:tr>
      <w:tr w:rsidR="006054AA" w14:paraId="412125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7D055E" w14:textId="77777777" w:rsidR="006054AA" w:rsidRDefault="001F7667">
            <w:pPr>
              <w:pStyle w:val="P68B1DB1-Normal12"/>
              <w:jc w:val="center"/>
              <w:rPr>
                <w:noProof/>
              </w:rPr>
            </w:pPr>
            <w:r>
              <w:rPr>
                <w:noProof/>
              </w:rPr>
              <w:t>M1C1—153</w:t>
            </w:r>
          </w:p>
        </w:tc>
        <w:tc>
          <w:tcPr>
            <w:tcW w:w="3090" w:type="dxa"/>
            <w:tcBorders>
              <w:top w:val="nil"/>
              <w:left w:val="nil"/>
              <w:bottom w:val="single" w:sz="4" w:space="0" w:color="auto"/>
              <w:right w:val="single" w:sz="4" w:space="0" w:color="auto"/>
            </w:tcBorders>
            <w:shd w:val="clear" w:color="auto" w:fill="C6EFCE"/>
            <w:noWrap/>
            <w:vAlign w:val="center"/>
          </w:tcPr>
          <w:p w14:paraId="7243CBA0" w14:textId="77777777" w:rsidR="006054AA" w:rsidRDefault="001F7667">
            <w:pPr>
              <w:pStyle w:val="P68B1DB1-Normal12"/>
              <w:jc w:val="center"/>
              <w:rPr>
                <w:noProof/>
              </w:rPr>
            </w:pPr>
            <w:r>
              <w:rPr>
                <w:noProof/>
              </w:rPr>
              <w:t>Инвестиция 1.6.2 — Цифровизация на Министерството на правосъдието</w:t>
            </w:r>
          </w:p>
        </w:tc>
        <w:tc>
          <w:tcPr>
            <w:tcW w:w="1498" w:type="dxa"/>
            <w:tcBorders>
              <w:top w:val="nil"/>
              <w:left w:val="nil"/>
              <w:bottom w:val="single" w:sz="4" w:space="0" w:color="auto"/>
              <w:right w:val="single" w:sz="4" w:space="0" w:color="auto"/>
            </w:tcBorders>
            <w:shd w:val="clear" w:color="auto" w:fill="C6EFCE"/>
            <w:noWrap/>
            <w:vAlign w:val="center"/>
          </w:tcPr>
          <w:p w14:paraId="2DE7A938"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2B5398FE" w14:textId="77777777" w:rsidR="006054AA" w:rsidRDefault="001F7667">
            <w:pPr>
              <w:pStyle w:val="P68B1DB1-Normal12"/>
              <w:jc w:val="center"/>
              <w:rPr>
                <w:noProof/>
              </w:rPr>
            </w:pPr>
            <w:r>
              <w:rPr>
                <w:noProof/>
              </w:rPr>
              <w:t>Цифровизирани съдебни досиета T2</w:t>
            </w:r>
          </w:p>
        </w:tc>
      </w:tr>
      <w:tr w:rsidR="006054AA" w14:paraId="33FBF2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A21EA6" w14:textId="77777777" w:rsidR="006054AA" w:rsidRDefault="001F7667">
            <w:pPr>
              <w:pStyle w:val="P68B1DB1-Normal12"/>
              <w:jc w:val="center"/>
              <w:rPr>
                <w:noProof/>
              </w:rPr>
            </w:pPr>
            <w:r>
              <w:rPr>
                <w:noProof/>
              </w:rPr>
              <w:t>M1C1—154</w:t>
            </w:r>
          </w:p>
        </w:tc>
        <w:tc>
          <w:tcPr>
            <w:tcW w:w="3090" w:type="dxa"/>
            <w:tcBorders>
              <w:top w:val="nil"/>
              <w:left w:val="nil"/>
              <w:bottom w:val="single" w:sz="4" w:space="0" w:color="auto"/>
              <w:right w:val="single" w:sz="4" w:space="0" w:color="auto"/>
            </w:tcBorders>
            <w:shd w:val="clear" w:color="auto" w:fill="C6EFCE"/>
            <w:noWrap/>
            <w:vAlign w:val="center"/>
          </w:tcPr>
          <w:p w14:paraId="797E87F0" w14:textId="77777777" w:rsidR="006054AA" w:rsidRDefault="001F7667">
            <w:pPr>
              <w:pStyle w:val="P68B1DB1-Normal12"/>
              <w:jc w:val="center"/>
              <w:rPr>
                <w:noProof/>
              </w:rPr>
            </w:pPr>
            <w:r>
              <w:rPr>
                <w:noProof/>
              </w:rPr>
              <w:t>Инвестиция 1.6.2 — Цифровизация на Министерството на правосъдието</w:t>
            </w:r>
          </w:p>
        </w:tc>
        <w:tc>
          <w:tcPr>
            <w:tcW w:w="1498" w:type="dxa"/>
            <w:tcBorders>
              <w:top w:val="nil"/>
              <w:left w:val="nil"/>
              <w:bottom w:val="single" w:sz="4" w:space="0" w:color="auto"/>
              <w:right w:val="single" w:sz="4" w:space="0" w:color="auto"/>
            </w:tcBorders>
            <w:shd w:val="clear" w:color="auto" w:fill="C6EFCE"/>
            <w:noWrap/>
            <w:vAlign w:val="center"/>
          </w:tcPr>
          <w:p w14:paraId="063206E4"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83F0051" w14:textId="77777777" w:rsidR="006054AA" w:rsidRDefault="001F7667">
            <w:pPr>
              <w:pStyle w:val="P68B1DB1-Normal12"/>
              <w:jc w:val="center"/>
              <w:rPr>
                <w:noProof/>
              </w:rPr>
            </w:pPr>
            <w:r>
              <w:rPr>
                <w:noProof/>
              </w:rPr>
              <w:t>Системи за знания в областта на данните в областта на правосъдието за езерото Т2</w:t>
            </w:r>
          </w:p>
        </w:tc>
      </w:tr>
      <w:tr w:rsidR="006054AA" w14:paraId="13888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9A9D9C" w14:textId="77777777" w:rsidR="006054AA" w:rsidRDefault="001F7667">
            <w:pPr>
              <w:pStyle w:val="P68B1DB1-Normal12"/>
              <w:jc w:val="center"/>
              <w:rPr>
                <w:noProof/>
              </w:rPr>
            </w:pPr>
            <w:r>
              <w:rPr>
                <w:noProof/>
              </w:rPr>
              <w:t>M1C1—155</w:t>
            </w:r>
          </w:p>
        </w:tc>
        <w:tc>
          <w:tcPr>
            <w:tcW w:w="3090" w:type="dxa"/>
            <w:tcBorders>
              <w:top w:val="nil"/>
              <w:left w:val="nil"/>
              <w:bottom w:val="single" w:sz="4" w:space="0" w:color="auto"/>
              <w:right w:val="single" w:sz="4" w:space="0" w:color="auto"/>
            </w:tcBorders>
            <w:shd w:val="clear" w:color="auto" w:fill="C6EFCE"/>
            <w:noWrap/>
            <w:vAlign w:val="center"/>
          </w:tcPr>
          <w:p w14:paraId="3D9D48AE" w14:textId="77777777" w:rsidR="006054AA" w:rsidRDefault="001F7667">
            <w:pPr>
              <w:pStyle w:val="P68B1DB1-Normal12"/>
              <w:jc w:val="center"/>
              <w:rPr>
                <w:noProof/>
              </w:rPr>
            </w:pPr>
            <w:r>
              <w:rPr>
                <w:noProof/>
              </w:rPr>
              <w:t>Инвестиция 1.6.3 — Цифровизация на Националния осигурителен институт (INPS) и Националния осигурителен институт за трудови злополуки (INAIL)</w:t>
            </w:r>
          </w:p>
        </w:tc>
        <w:tc>
          <w:tcPr>
            <w:tcW w:w="1498" w:type="dxa"/>
            <w:tcBorders>
              <w:top w:val="nil"/>
              <w:left w:val="nil"/>
              <w:bottom w:val="single" w:sz="4" w:space="0" w:color="auto"/>
              <w:right w:val="single" w:sz="4" w:space="0" w:color="auto"/>
            </w:tcBorders>
            <w:shd w:val="clear" w:color="auto" w:fill="C6EFCE"/>
            <w:noWrap/>
            <w:vAlign w:val="center"/>
          </w:tcPr>
          <w:p w14:paraId="55FA2156"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7DDD02F" w14:textId="77777777" w:rsidR="006054AA" w:rsidRDefault="001F7667">
            <w:pPr>
              <w:pStyle w:val="P68B1DB1-Normal12"/>
              <w:jc w:val="center"/>
              <w:rPr>
                <w:noProof/>
              </w:rPr>
            </w:pPr>
            <w:r>
              <w:rPr>
                <w:noProof/>
              </w:rPr>
              <w:t>INAIL — Пълно реконструирани и цифровизирани процеси/услуги T2</w:t>
            </w:r>
          </w:p>
        </w:tc>
      </w:tr>
      <w:tr w:rsidR="006054AA" w14:paraId="4C1E89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1C2E2E" w14:textId="77777777" w:rsidR="006054AA" w:rsidRDefault="001F7667">
            <w:pPr>
              <w:pStyle w:val="P68B1DB1-Normal12"/>
              <w:jc w:val="center"/>
              <w:rPr>
                <w:noProof/>
              </w:rPr>
            </w:pPr>
            <w:r>
              <w:rPr>
                <w:noProof/>
              </w:rPr>
              <w:t>M1C2—15</w:t>
            </w:r>
          </w:p>
        </w:tc>
        <w:tc>
          <w:tcPr>
            <w:tcW w:w="3090" w:type="dxa"/>
            <w:tcBorders>
              <w:top w:val="nil"/>
              <w:left w:val="nil"/>
              <w:bottom w:val="single" w:sz="4" w:space="0" w:color="auto"/>
              <w:right w:val="single" w:sz="4" w:space="0" w:color="auto"/>
            </w:tcBorders>
            <w:shd w:val="clear" w:color="auto" w:fill="C6EFCE"/>
            <w:noWrap/>
            <w:vAlign w:val="center"/>
          </w:tcPr>
          <w:p w14:paraId="0F2491B3" w14:textId="77777777" w:rsidR="006054AA" w:rsidRDefault="001F7667">
            <w:pPr>
              <w:pStyle w:val="P68B1DB1-Normal12"/>
              <w:jc w:val="center"/>
              <w:rPr>
                <w:noProof/>
              </w:rPr>
            </w:pPr>
            <w:r>
              <w:rPr>
                <w:noProof/>
              </w:rPr>
              <w:t>Инвестиция 2: Иновации и технологии в областта на микроелектрониката</w:t>
            </w:r>
          </w:p>
        </w:tc>
        <w:tc>
          <w:tcPr>
            <w:tcW w:w="1498" w:type="dxa"/>
            <w:tcBorders>
              <w:top w:val="nil"/>
              <w:left w:val="nil"/>
              <w:bottom w:val="single" w:sz="4" w:space="0" w:color="auto"/>
              <w:right w:val="single" w:sz="4" w:space="0" w:color="auto"/>
            </w:tcBorders>
            <w:shd w:val="clear" w:color="auto" w:fill="C6EFCE"/>
            <w:noWrap/>
            <w:vAlign w:val="center"/>
          </w:tcPr>
          <w:p w14:paraId="08F64497"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AB2100C" w14:textId="77777777" w:rsidR="006054AA" w:rsidRDefault="001F7667">
            <w:pPr>
              <w:pStyle w:val="P68B1DB1-Normal12"/>
              <w:jc w:val="center"/>
              <w:rPr>
                <w:noProof/>
              </w:rPr>
            </w:pPr>
            <w:r>
              <w:rPr>
                <w:noProof/>
              </w:rPr>
              <w:t>Производствен капацитет за субстрати от силициев карбид</w:t>
            </w:r>
          </w:p>
        </w:tc>
      </w:tr>
      <w:tr w:rsidR="006054AA" w14:paraId="537D38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83735A" w14:textId="77777777" w:rsidR="006054AA" w:rsidRDefault="001F7667">
            <w:pPr>
              <w:pStyle w:val="P68B1DB1-Normal12"/>
              <w:jc w:val="center"/>
              <w:rPr>
                <w:noProof/>
              </w:rPr>
            </w:pPr>
            <w:r>
              <w:rPr>
                <w:noProof/>
              </w:rPr>
              <w:t>M1C2—17</w:t>
            </w:r>
          </w:p>
        </w:tc>
        <w:tc>
          <w:tcPr>
            <w:tcW w:w="3090" w:type="dxa"/>
            <w:tcBorders>
              <w:top w:val="nil"/>
              <w:left w:val="nil"/>
              <w:bottom w:val="single" w:sz="4" w:space="0" w:color="auto"/>
              <w:right w:val="single" w:sz="4" w:space="0" w:color="auto"/>
            </w:tcBorders>
            <w:shd w:val="clear" w:color="auto" w:fill="C6EFCE"/>
            <w:noWrap/>
            <w:vAlign w:val="center"/>
          </w:tcPr>
          <w:p w14:paraId="2FED1226" w14:textId="77777777" w:rsidR="006054AA" w:rsidRDefault="001F7667">
            <w:pPr>
              <w:pStyle w:val="P68B1DB1-Normal12"/>
              <w:jc w:val="center"/>
              <w:rPr>
                <w:noProof/>
              </w:rPr>
            </w:pPr>
            <w:r>
              <w:rPr>
                <w:noProof/>
              </w:rPr>
              <w:t>Инвестиция 3: Бързи интернет връзки (свръхшироколентов достъп и 5G)</w:t>
            </w:r>
          </w:p>
        </w:tc>
        <w:tc>
          <w:tcPr>
            <w:tcW w:w="1498" w:type="dxa"/>
            <w:tcBorders>
              <w:top w:val="nil"/>
              <w:left w:val="nil"/>
              <w:bottom w:val="single" w:sz="4" w:space="0" w:color="auto"/>
              <w:right w:val="single" w:sz="4" w:space="0" w:color="auto"/>
            </w:tcBorders>
            <w:shd w:val="clear" w:color="auto" w:fill="C6EFCE"/>
            <w:noWrap/>
            <w:vAlign w:val="center"/>
          </w:tcPr>
          <w:p w14:paraId="34DDF61A"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237030F" w14:textId="77777777" w:rsidR="006054AA" w:rsidRDefault="001F7667">
            <w:pPr>
              <w:pStyle w:val="P68B1DB1-Normal12"/>
              <w:jc w:val="center"/>
              <w:rPr>
                <w:noProof/>
              </w:rPr>
            </w:pPr>
            <w:r>
              <w:rPr>
                <w:noProof/>
              </w:rPr>
              <w:t>Номера на къщи, снабдени със свързаност от 1 Gbps</w:t>
            </w:r>
          </w:p>
        </w:tc>
      </w:tr>
      <w:tr w:rsidR="006054AA" w14:paraId="078E7E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EBAA76" w14:textId="77777777" w:rsidR="006054AA" w:rsidRDefault="001F7667">
            <w:pPr>
              <w:pStyle w:val="P68B1DB1-Normal12"/>
              <w:jc w:val="center"/>
              <w:rPr>
                <w:noProof/>
              </w:rPr>
            </w:pPr>
            <w:r>
              <w:rPr>
                <w:noProof/>
              </w:rPr>
              <w:t>M1C2—18</w:t>
            </w:r>
          </w:p>
        </w:tc>
        <w:tc>
          <w:tcPr>
            <w:tcW w:w="3090" w:type="dxa"/>
            <w:tcBorders>
              <w:top w:val="nil"/>
              <w:left w:val="nil"/>
              <w:bottom w:val="single" w:sz="4" w:space="0" w:color="auto"/>
              <w:right w:val="single" w:sz="4" w:space="0" w:color="auto"/>
            </w:tcBorders>
            <w:shd w:val="clear" w:color="auto" w:fill="C6EFCE"/>
            <w:noWrap/>
            <w:vAlign w:val="center"/>
          </w:tcPr>
          <w:p w14:paraId="3CF72F0F" w14:textId="77777777" w:rsidR="006054AA" w:rsidRDefault="001F7667">
            <w:pPr>
              <w:pStyle w:val="P68B1DB1-Normal12"/>
              <w:jc w:val="center"/>
              <w:rPr>
                <w:noProof/>
              </w:rPr>
            </w:pPr>
            <w:r>
              <w:rPr>
                <w:noProof/>
              </w:rPr>
              <w:t>Инвестиция 3: Бързи интернет връзки (свръхшироколентов достъп и 5G)</w:t>
            </w:r>
          </w:p>
        </w:tc>
        <w:tc>
          <w:tcPr>
            <w:tcW w:w="1498" w:type="dxa"/>
            <w:tcBorders>
              <w:top w:val="nil"/>
              <w:left w:val="nil"/>
              <w:bottom w:val="single" w:sz="4" w:space="0" w:color="auto"/>
              <w:right w:val="single" w:sz="4" w:space="0" w:color="auto"/>
            </w:tcBorders>
            <w:shd w:val="clear" w:color="auto" w:fill="C6EFCE"/>
            <w:noWrap/>
            <w:vAlign w:val="center"/>
          </w:tcPr>
          <w:p w14:paraId="71D52325"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8B23456" w14:textId="77777777" w:rsidR="006054AA" w:rsidRDefault="001F7667">
            <w:pPr>
              <w:pStyle w:val="P68B1DB1-Normal12"/>
              <w:jc w:val="center"/>
              <w:rPr>
                <w:noProof/>
              </w:rPr>
            </w:pPr>
            <w:r>
              <w:rPr>
                <w:noProof/>
              </w:rPr>
              <w:t>Училищни сгради и здравни заведения, снабдени със свързаност от 1 Gbps</w:t>
            </w:r>
          </w:p>
        </w:tc>
      </w:tr>
      <w:tr w:rsidR="006054AA" w14:paraId="345709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90B050" w14:textId="77777777" w:rsidR="006054AA" w:rsidRDefault="001F7667">
            <w:pPr>
              <w:pStyle w:val="P68B1DB1-Normal12"/>
              <w:jc w:val="center"/>
              <w:rPr>
                <w:noProof/>
              </w:rPr>
            </w:pPr>
            <w:r>
              <w:rPr>
                <w:noProof/>
              </w:rPr>
              <w:t>M1C2—20</w:t>
            </w:r>
          </w:p>
        </w:tc>
        <w:tc>
          <w:tcPr>
            <w:tcW w:w="3090" w:type="dxa"/>
            <w:tcBorders>
              <w:top w:val="nil"/>
              <w:left w:val="nil"/>
              <w:bottom w:val="single" w:sz="4" w:space="0" w:color="auto"/>
              <w:right w:val="single" w:sz="4" w:space="0" w:color="auto"/>
            </w:tcBorders>
            <w:shd w:val="clear" w:color="auto" w:fill="C6EFCE"/>
            <w:noWrap/>
            <w:vAlign w:val="center"/>
          </w:tcPr>
          <w:p w14:paraId="49C89A18" w14:textId="77777777" w:rsidR="006054AA" w:rsidRDefault="001F7667">
            <w:pPr>
              <w:pStyle w:val="P68B1DB1-Normal12"/>
              <w:jc w:val="center"/>
              <w:rPr>
                <w:noProof/>
              </w:rPr>
            </w:pPr>
            <w:r>
              <w:rPr>
                <w:noProof/>
              </w:rPr>
              <w:t>Инвестиция 3: Бързи интернет връзки (свръхшироколентов достъп и 5G)</w:t>
            </w:r>
          </w:p>
        </w:tc>
        <w:tc>
          <w:tcPr>
            <w:tcW w:w="1498" w:type="dxa"/>
            <w:tcBorders>
              <w:top w:val="nil"/>
              <w:left w:val="nil"/>
              <w:bottom w:val="single" w:sz="4" w:space="0" w:color="auto"/>
              <w:right w:val="single" w:sz="4" w:space="0" w:color="auto"/>
            </w:tcBorders>
            <w:shd w:val="clear" w:color="auto" w:fill="C6EFCE"/>
            <w:noWrap/>
            <w:vAlign w:val="center"/>
          </w:tcPr>
          <w:p w14:paraId="2FCC6AEE"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02EF417" w14:textId="77777777" w:rsidR="006054AA" w:rsidRDefault="001F7667">
            <w:pPr>
              <w:pStyle w:val="P68B1DB1-Normal12"/>
              <w:jc w:val="center"/>
              <w:rPr>
                <w:noProof/>
              </w:rPr>
            </w:pPr>
            <w:r>
              <w:rPr>
                <w:noProof/>
              </w:rPr>
              <w:t>Извънградски пътища и коридори, създадени с 5G покритие</w:t>
            </w:r>
          </w:p>
        </w:tc>
      </w:tr>
      <w:tr w:rsidR="006054AA" w14:paraId="02D7D0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03D4E7" w14:textId="77777777" w:rsidR="006054AA" w:rsidRDefault="001F7667">
            <w:pPr>
              <w:pStyle w:val="P68B1DB1-Normal12"/>
              <w:jc w:val="center"/>
              <w:rPr>
                <w:noProof/>
              </w:rPr>
            </w:pPr>
            <w:r>
              <w:rPr>
                <w:noProof/>
              </w:rPr>
              <w:t>M1C2—21</w:t>
            </w:r>
          </w:p>
        </w:tc>
        <w:tc>
          <w:tcPr>
            <w:tcW w:w="3090" w:type="dxa"/>
            <w:tcBorders>
              <w:top w:val="nil"/>
              <w:left w:val="nil"/>
              <w:bottom w:val="single" w:sz="4" w:space="0" w:color="auto"/>
              <w:right w:val="single" w:sz="4" w:space="0" w:color="auto"/>
            </w:tcBorders>
            <w:shd w:val="clear" w:color="auto" w:fill="C6EFCE"/>
            <w:noWrap/>
            <w:vAlign w:val="center"/>
          </w:tcPr>
          <w:p w14:paraId="500B61D5" w14:textId="77777777" w:rsidR="006054AA" w:rsidRDefault="001F7667">
            <w:pPr>
              <w:pStyle w:val="P68B1DB1-Normal12"/>
              <w:jc w:val="center"/>
              <w:rPr>
                <w:noProof/>
              </w:rPr>
            </w:pPr>
            <w:r>
              <w:rPr>
                <w:noProof/>
              </w:rPr>
              <w:t>Инвестиция 3: Бързи интернет връзки (свръхшироколентов достъп и 5G)</w:t>
            </w:r>
          </w:p>
        </w:tc>
        <w:tc>
          <w:tcPr>
            <w:tcW w:w="1498" w:type="dxa"/>
            <w:tcBorders>
              <w:top w:val="nil"/>
              <w:left w:val="nil"/>
              <w:bottom w:val="single" w:sz="4" w:space="0" w:color="auto"/>
              <w:right w:val="single" w:sz="4" w:space="0" w:color="auto"/>
            </w:tcBorders>
            <w:shd w:val="clear" w:color="auto" w:fill="C6EFCE"/>
            <w:noWrap/>
            <w:vAlign w:val="center"/>
          </w:tcPr>
          <w:p w14:paraId="5FB4FFE5"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DC9D406" w14:textId="77777777" w:rsidR="006054AA" w:rsidRDefault="001F7667">
            <w:pPr>
              <w:pStyle w:val="P68B1DB1-Normal12"/>
              <w:jc w:val="center"/>
              <w:rPr>
                <w:noProof/>
              </w:rPr>
            </w:pPr>
            <w:r>
              <w:rPr>
                <w:noProof/>
              </w:rPr>
              <w:t>Области на неефективност на пазара с покритие от 5G мрежи</w:t>
            </w:r>
          </w:p>
        </w:tc>
      </w:tr>
      <w:tr w:rsidR="006054AA" w14:paraId="4B096F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5C5069" w14:textId="77777777" w:rsidR="006054AA" w:rsidRDefault="001F7667">
            <w:pPr>
              <w:pStyle w:val="P68B1DB1-Normal12"/>
              <w:jc w:val="center"/>
              <w:rPr>
                <w:noProof/>
              </w:rPr>
            </w:pPr>
            <w:r>
              <w:rPr>
                <w:noProof/>
              </w:rPr>
              <w:t>M1C2—23</w:t>
            </w:r>
          </w:p>
        </w:tc>
        <w:tc>
          <w:tcPr>
            <w:tcW w:w="3090" w:type="dxa"/>
            <w:tcBorders>
              <w:top w:val="nil"/>
              <w:left w:val="nil"/>
              <w:bottom w:val="single" w:sz="4" w:space="0" w:color="auto"/>
              <w:right w:val="single" w:sz="4" w:space="0" w:color="auto"/>
            </w:tcBorders>
            <w:shd w:val="clear" w:color="auto" w:fill="C6EFCE"/>
            <w:noWrap/>
            <w:vAlign w:val="center"/>
          </w:tcPr>
          <w:p w14:paraId="6C8591FA" w14:textId="77777777" w:rsidR="006054AA" w:rsidRDefault="001F7667">
            <w:pPr>
              <w:pStyle w:val="P68B1DB1-Normal12"/>
              <w:jc w:val="center"/>
              <w:rPr>
                <w:noProof/>
              </w:rPr>
            </w:pPr>
            <w:r>
              <w:rPr>
                <w:noProof/>
              </w:rPr>
              <w:t>Инвестиция 4: Сателитни технологии и космическа икономика</w:t>
            </w:r>
          </w:p>
        </w:tc>
        <w:tc>
          <w:tcPr>
            <w:tcW w:w="1498" w:type="dxa"/>
            <w:tcBorders>
              <w:top w:val="nil"/>
              <w:left w:val="nil"/>
              <w:bottom w:val="single" w:sz="4" w:space="0" w:color="auto"/>
              <w:right w:val="single" w:sz="4" w:space="0" w:color="auto"/>
            </w:tcBorders>
            <w:shd w:val="clear" w:color="auto" w:fill="C6EFCE"/>
            <w:noWrap/>
            <w:vAlign w:val="center"/>
          </w:tcPr>
          <w:p w14:paraId="5B3E1FC0"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954F35F" w14:textId="77777777" w:rsidR="006054AA" w:rsidRDefault="001F7667">
            <w:pPr>
              <w:pStyle w:val="P68B1DB1-Normal12"/>
              <w:jc w:val="center"/>
              <w:rPr>
                <w:noProof/>
              </w:rPr>
            </w:pPr>
            <w:r>
              <w:rPr>
                <w:noProof/>
              </w:rPr>
              <w:t>Разположени наземни телескопи, оперативен център за КНП, космически фабрика и демонстратор за задвижване с течно гориво</w:t>
            </w:r>
          </w:p>
        </w:tc>
      </w:tr>
      <w:tr w:rsidR="006054AA" w14:paraId="4914AA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99817" w14:textId="77777777" w:rsidR="006054AA" w:rsidRDefault="001F7667">
            <w:pPr>
              <w:pStyle w:val="P68B1DB1-Normal12"/>
              <w:jc w:val="center"/>
              <w:rPr>
                <w:noProof/>
              </w:rPr>
            </w:pPr>
            <w:r>
              <w:rPr>
                <w:noProof/>
              </w:rPr>
              <w:t>M1C2—24</w:t>
            </w:r>
          </w:p>
        </w:tc>
        <w:tc>
          <w:tcPr>
            <w:tcW w:w="3090" w:type="dxa"/>
            <w:tcBorders>
              <w:top w:val="nil"/>
              <w:left w:val="nil"/>
              <w:bottom w:val="single" w:sz="4" w:space="0" w:color="auto"/>
              <w:right w:val="single" w:sz="4" w:space="0" w:color="auto"/>
            </w:tcBorders>
            <w:shd w:val="clear" w:color="auto" w:fill="C6EFCE"/>
            <w:noWrap/>
            <w:vAlign w:val="center"/>
          </w:tcPr>
          <w:p w14:paraId="3F1C8DB6" w14:textId="77777777" w:rsidR="006054AA" w:rsidRDefault="001F7667">
            <w:pPr>
              <w:pStyle w:val="P68B1DB1-Normal12"/>
              <w:jc w:val="center"/>
              <w:rPr>
                <w:noProof/>
              </w:rPr>
            </w:pPr>
            <w:r>
              <w:rPr>
                <w:noProof/>
              </w:rPr>
              <w:t>Инвестиция 4: Сателитни технологии и космическа икономика</w:t>
            </w:r>
          </w:p>
        </w:tc>
        <w:tc>
          <w:tcPr>
            <w:tcW w:w="1498" w:type="dxa"/>
            <w:tcBorders>
              <w:top w:val="nil"/>
              <w:left w:val="nil"/>
              <w:bottom w:val="single" w:sz="4" w:space="0" w:color="auto"/>
              <w:right w:val="single" w:sz="4" w:space="0" w:color="auto"/>
            </w:tcBorders>
            <w:shd w:val="clear" w:color="auto" w:fill="C6EFCE"/>
            <w:noWrap/>
            <w:vAlign w:val="center"/>
          </w:tcPr>
          <w:p w14:paraId="45755369"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10DCA3F" w14:textId="77777777" w:rsidR="006054AA" w:rsidRDefault="001F7667">
            <w:pPr>
              <w:pStyle w:val="P68B1DB1-Normal12"/>
              <w:jc w:val="center"/>
              <w:rPr>
                <w:noProof/>
              </w:rPr>
            </w:pPr>
            <w:r>
              <w:rPr>
                <w:noProof/>
              </w:rPr>
              <w:t>Разполагане на групи от спътници или доказване на концепцията за спътници</w:t>
            </w:r>
          </w:p>
        </w:tc>
      </w:tr>
      <w:tr w:rsidR="006054AA" w14:paraId="47FC18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73162" w14:textId="77777777" w:rsidR="006054AA" w:rsidRDefault="001F7667">
            <w:pPr>
              <w:pStyle w:val="P68B1DB1-Normal12"/>
              <w:jc w:val="center"/>
              <w:rPr>
                <w:noProof/>
              </w:rPr>
            </w:pPr>
            <w:r>
              <w:rPr>
                <w:noProof/>
              </w:rPr>
              <w:t>M1C2—25</w:t>
            </w:r>
          </w:p>
        </w:tc>
        <w:tc>
          <w:tcPr>
            <w:tcW w:w="3090" w:type="dxa"/>
            <w:tcBorders>
              <w:top w:val="nil"/>
              <w:left w:val="nil"/>
              <w:bottom w:val="single" w:sz="4" w:space="0" w:color="auto"/>
              <w:right w:val="single" w:sz="4" w:space="0" w:color="auto"/>
            </w:tcBorders>
            <w:shd w:val="clear" w:color="auto" w:fill="C6EFCE"/>
            <w:noWrap/>
            <w:vAlign w:val="center"/>
          </w:tcPr>
          <w:p w14:paraId="328E406A" w14:textId="77777777" w:rsidR="006054AA" w:rsidRDefault="001F7667">
            <w:pPr>
              <w:pStyle w:val="P68B1DB1-Normal12"/>
              <w:jc w:val="center"/>
              <w:rPr>
                <w:noProof/>
              </w:rPr>
            </w:pPr>
            <w:r>
              <w:rPr>
                <w:noProof/>
              </w:rPr>
              <w:t>Инвестиция 4: Сателитни технологии и космическа икономика</w:t>
            </w:r>
          </w:p>
        </w:tc>
        <w:tc>
          <w:tcPr>
            <w:tcW w:w="1498" w:type="dxa"/>
            <w:tcBorders>
              <w:top w:val="nil"/>
              <w:left w:val="nil"/>
              <w:bottom w:val="single" w:sz="4" w:space="0" w:color="auto"/>
              <w:right w:val="single" w:sz="4" w:space="0" w:color="auto"/>
            </w:tcBorders>
            <w:shd w:val="clear" w:color="auto" w:fill="C6EFCE"/>
            <w:noWrap/>
            <w:vAlign w:val="center"/>
          </w:tcPr>
          <w:p w14:paraId="1649E4BF"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2BD93CBE" w14:textId="77777777" w:rsidR="006054AA" w:rsidRDefault="001F7667">
            <w:pPr>
              <w:pStyle w:val="P68B1DB1-Normal12"/>
              <w:jc w:val="center"/>
              <w:rPr>
                <w:noProof/>
              </w:rPr>
            </w:pPr>
            <w:r>
              <w:rPr>
                <w:noProof/>
              </w:rPr>
              <w:t>Услуги, предоставяни на публичните администрации</w:t>
            </w:r>
          </w:p>
        </w:tc>
      </w:tr>
      <w:tr w:rsidR="006054AA" w14:paraId="141A70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90178" w14:textId="77777777" w:rsidR="006054AA" w:rsidRDefault="001F7667">
            <w:pPr>
              <w:pStyle w:val="P68B1DB1-Normal12"/>
              <w:jc w:val="center"/>
              <w:rPr>
                <w:noProof/>
              </w:rPr>
            </w:pPr>
            <w:r>
              <w:rPr>
                <w:noProof/>
              </w:rPr>
              <w:t>M1C2—32</w:t>
            </w:r>
          </w:p>
        </w:tc>
        <w:tc>
          <w:tcPr>
            <w:tcW w:w="3090" w:type="dxa"/>
            <w:tcBorders>
              <w:top w:val="nil"/>
              <w:left w:val="nil"/>
              <w:bottom w:val="single" w:sz="4" w:space="0" w:color="auto"/>
              <w:right w:val="single" w:sz="4" w:space="0" w:color="auto"/>
            </w:tcBorders>
            <w:shd w:val="clear" w:color="auto" w:fill="C6EFCE"/>
            <w:noWrap/>
            <w:vAlign w:val="center"/>
          </w:tcPr>
          <w:p w14:paraId="7EFA211F" w14:textId="77777777" w:rsidR="006054AA" w:rsidRDefault="001F7667">
            <w:pPr>
              <w:pStyle w:val="P68B1DB1-Normal12"/>
              <w:jc w:val="center"/>
              <w:rPr>
                <w:noProof/>
              </w:rPr>
            </w:pPr>
            <w:r>
              <w:rPr>
                <w:noProof/>
              </w:rPr>
              <w:t>Инвестиция 7. Подкрепа за производствената система за екологичния преход, технологиите с нулеви нетни емисии и конкурентоспособността и устойчивостта на стратегическите вериги на доставки</w:t>
            </w:r>
          </w:p>
        </w:tc>
        <w:tc>
          <w:tcPr>
            <w:tcW w:w="1498" w:type="dxa"/>
            <w:tcBorders>
              <w:top w:val="nil"/>
              <w:left w:val="nil"/>
              <w:bottom w:val="single" w:sz="4" w:space="0" w:color="auto"/>
              <w:right w:val="single" w:sz="4" w:space="0" w:color="auto"/>
            </w:tcBorders>
            <w:shd w:val="clear" w:color="auto" w:fill="C6EFCE"/>
            <w:noWrap/>
            <w:vAlign w:val="center"/>
          </w:tcPr>
          <w:p w14:paraId="5CD59BDE" w14:textId="77777777" w:rsidR="006054AA" w:rsidRDefault="001F7667">
            <w:pPr>
              <w:pStyle w:val="P68B1DB1-Normal12"/>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9C98C5D" w14:textId="77777777" w:rsidR="006054AA" w:rsidRDefault="001F7667">
            <w:pPr>
              <w:pStyle w:val="P68B1DB1-Normal12"/>
              <w:rPr>
                <w:noProof/>
              </w:rPr>
            </w:pPr>
            <w:r>
              <w:rPr>
                <w:noProof/>
              </w:rPr>
              <w:t>Правни споразумения, подписани с крайните бенефициери</w:t>
            </w:r>
          </w:p>
        </w:tc>
      </w:tr>
      <w:tr w:rsidR="006054AA" w14:paraId="5CCA8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637F8" w14:textId="77777777" w:rsidR="006054AA" w:rsidRDefault="001F7667">
            <w:pPr>
              <w:pStyle w:val="P68B1DB1-Normal12"/>
              <w:jc w:val="center"/>
              <w:rPr>
                <w:noProof/>
              </w:rPr>
            </w:pPr>
            <w:r>
              <w:rPr>
                <w:noProof/>
              </w:rPr>
              <w:t>M1C3—21</w:t>
            </w:r>
          </w:p>
        </w:tc>
        <w:tc>
          <w:tcPr>
            <w:tcW w:w="3090" w:type="dxa"/>
            <w:tcBorders>
              <w:top w:val="nil"/>
              <w:left w:val="nil"/>
              <w:bottom w:val="single" w:sz="4" w:space="0" w:color="auto"/>
              <w:right w:val="single" w:sz="4" w:space="0" w:color="auto"/>
            </w:tcBorders>
            <w:shd w:val="clear" w:color="auto" w:fill="C6EFCE"/>
            <w:noWrap/>
            <w:vAlign w:val="center"/>
          </w:tcPr>
          <w:p w14:paraId="4D7E1A95" w14:textId="77777777" w:rsidR="006054AA" w:rsidRDefault="001F7667">
            <w:pPr>
              <w:pStyle w:val="P68B1DB1-Normal12"/>
              <w:jc w:val="center"/>
              <w:rPr>
                <w:noProof/>
              </w:rPr>
            </w:pPr>
            <w:r>
              <w:rPr>
                <w:noProof/>
              </w:rPr>
              <w:t>Инвестиции — 3.2 Развитие на филмовата индустрия (проект Cinecittà)</w:t>
            </w:r>
          </w:p>
        </w:tc>
        <w:tc>
          <w:tcPr>
            <w:tcW w:w="1498" w:type="dxa"/>
            <w:tcBorders>
              <w:top w:val="nil"/>
              <w:left w:val="nil"/>
              <w:bottom w:val="single" w:sz="4" w:space="0" w:color="auto"/>
              <w:right w:val="single" w:sz="4" w:space="0" w:color="auto"/>
            </w:tcBorders>
            <w:shd w:val="clear" w:color="auto" w:fill="C6EFCE"/>
            <w:noWrap/>
            <w:vAlign w:val="center"/>
          </w:tcPr>
          <w:p w14:paraId="79CE98C6"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5C7CB2F" w14:textId="77777777" w:rsidR="006054AA" w:rsidRDefault="001F7667">
            <w:pPr>
              <w:pStyle w:val="P68B1DB1-Normal12"/>
              <w:jc w:val="center"/>
              <w:rPr>
                <w:noProof/>
              </w:rPr>
            </w:pPr>
            <w:r>
              <w:rPr>
                <w:noProof/>
              </w:rPr>
              <w:t>Брой студиа, чиито строителни работи по преквалифициране, модернизация, строителство са завършени</w:t>
            </w:r>
          </w:p>
        </w:tc>
      </w:tr>
      <w:tr w:rsidR="006054AA" w14:paraId="3A2C82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FFC7B8" w14:textId="77777777" w:rsidR="006054AA" w:rsidRDefault="001F7667">
            <w:pPr>
              <w:pStyle w:val="P68B1DB1-Normal12"/>
              <w:jc w:val="center"/>
              <w:rPr>
                <w:noProof/>
              </w:rPr>
            </w:pPr>
            <w:r>
              <w:rPr>
                <w:noProof/>
              </w:rPr>
              <w:t>M1C3—36</w:t>
            </w:r>
          </w:p>
        </w:tc>
        <w:tc>
          <w:tcPr>
            <w:tcW w:w="3090" w:type="dxa"/>
            <w:tcBorders>
              <w:top w:val="nil"/>
              <w:left w:val="nil"/>
              <w:bottom w:val="single" w:sz="4" w:space="0" w:color="auto"/>
              <w:right w:val="single" w:sz="4" w:space="0" w:color="auto"/>
            </w:tcBorders>
            <w:shd w:val="clear" w:color="auto" w:fill="C6EFCE"/>
            <w:noWrap/>
            <w:vAlign w:val="center"/>
          </w:tcPr>
          <w:p w14:paraId="4F9DC086" w14:textId="77777777" w:rsidR="006054AA" w:rsidRDefault="001F7667">
            <w:pPr>
              <w:pStyle w:val="P68B1DB1-Normal12"/>
              <w:jc w:val="center"/>
              <w:rPr>
                <w:noProof/>
              </w:rPr>
            </w:pPr>
            <w:r>
              <w:rPr>
                <w:noProof/>
              </w:rPr>
              <w:t>— Инвестиции — 4.3 Caput Mundi-Next Generation EU за големи туристически прояви</w:t>
            </w:r>
          </w:p>
        </w:tc>
        <w:tc>
          <w:tcPr>
            <w:tcW w:w="1498" w:type="dxa"/>
            <w:tcBorders>
              <w:top w:val="nil"/>
              <w:left w:val="nil"/>
              <w:bottom w:val="single" w:sz="4" w:space="0" w:color="auto"/>
              <w:right w:val="single" w:sz="4" w:space="0" w:color="auto"/>
            </w:tcBorders>
            <w:shd w:val="clear" w:color="auto" w:fill="C6EFCE"/>
            <w:noWrap/>
            <w:vAlign w:val="center"/>
          </w:tcPr>
          <w:p w14:paraId="71EFB6FC"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44BC761" w14:textId="77777777" w:rsidR="006054AA" w:rsidRDefault="001F7667">
            <w:pPr>
              <w:pStyle w:val="P68B1DB1-Normal12"/>
              <w:jc w:val="center"/>
              <w:rPr>
                <w:noProof/>
              </w:rPr>
            </w:pPr>
            <w:r>
              <w:rPr>
                <w:noProof/>
              </w:rPr>
              <w:t xml:space="preserve">Брой на културните и туристическите обекти, чието преквалифициране е приключило </w:t>
            </w:r>
          </w:p>
        </w:tc>
      </w:tr>
      <w:tr w:rsidR="006054AA" w14:paraId="2346208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4D2FB" w14:textId="77777777" w:rsidR="006054AA" w:rsidRDefault="001F7667">
            <w:pPr>
              <w:pStyle w:val="P68B1DB1-Normal12"/>
              <w:jc w:val="center"/>
              <w:rPr>
                <w:noProof/>
              </w:rPr>
            </w:pPr>
            <w:r>
              <w:rPr>
                <w:noProof/>
              </w:rPr>
              <w:t>M2C1—16</w:t>
            </w:r>
          </w:p>
        </w:tc>
        <w:tc>
          <w:tcPr>
            <w:tcW w:w="3090" w:type="dxa"/>
            <w:tcBorders>
              <w:top w:val="nil"/>
              <w:left w:val="nil"/>
              <w:bottom w:val="single" w:sz="4" w:space="0" w:color="auto"/>
              <w:right w:val="single" w:sz="4" w:space="0" w:color="auto"/>
            </w:tcBorders>
            <w:shd w:val="clear" w:color="auto" w:fill="C6EFCE"/>
            <w:noWrap/>
            <w:vAlign w:val="center"/>
          </w:tcPr>
          <w:p w14:paraId="7A9EC6DD" w14:textId="77777777" w:rsidR="006054AA" w:rsidRDefault="001F7667">
            <w:pPr>
              <w:pStyle w:val="P68B1DB1-Normal12"/>
              <w:jc w:val="center"/>
              <w:rPr>
                <w:noProof/>
              </w:rPr>
            </w:pPr>
            <w:r>
              <w:rPr>
                <w:noProof/>
              </w:rPr>
              <w:t xml:space="preserve">  Инвестиция 1.1 — Осъществяване на нови инсталации за управление на отпадъците и модернизация на съществуващи инсталации</w:t>
            </w:r>
          </w:p>
        </w:tc>
        <w:tc>
          <w:tcPr>
            <w:tcW w:w="1498" w:type="dxa"/>
            <w:tcBorders>
              <w:top w:val="nil"/>
              <w:left w:val="nil"/>
              <w:bottom w:val="single" w:sz="4" w:space="0" w:color="auto"/>
              <w:right w:val="single" w:sz="4" w:space="0" w:color="auto"/>
            </w:tcBorders>
            <w:shd w:val="clear" w:color="auto" w:fill="C6EFCE"/>
            <w:noWrap/>
            <w:vAlign w:val="center"/>
          </w:tcPr>
          <w:p w14:paraId="38400AC4"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BE9CC0F" w14:textId="77777777" w:rsidR="006054AA" w:rsidRDefault="001F7667">
            <w:pPr>
              <w:pStyle w:val="P68B1DB1-Normal12"/>
              <w:jc w:val="center"/>
              <w:rPr>
                <w:noProof/>
              </w:rPr>
            </w:pPr>
            <w:r>
              <w:rPr>
                <w:noProof/>
              </w:rPr>
              <w:t xml:space="preserve">  Незаконни депа за отпадъци</w:t>
            </w:r>
          </w:p>
        </w:tc>
      </w:tr>
      <w:tr w:rsidR="006054AA" w14:paraId="40233D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5AED61" w14:textId="77777777" w:rsidR="006054AA" w:rsidRDefault="001F7667">
            <w:pPr>
              <w:pStyle w:val="P68B1DB1-Normal12"/>
              <w:jc w:val="center"/>
              <w:rPr>
                <w:noProof/>
              </w:rPr>
            </w:pPr>
            <w:r>
              <w:rPr>
                <w:noProof/>
              </w:rPr>
              <w:t>M2C1—19</w:t>
            </w:r>
          </w:p>
        </w:tc>
        <w:tc>
          <w:tcPr>
            <w:tcW w:w="3090" w:type="dxa"/>
            <w:tcBorders>
              <w:top w:val="nil"/>
              <w:left w:val="nil"/>
              <w:bottom w:val="single" w:sz="4" w:space="0" w:color="auto"/>
              <w:right w:val="single" w:sz="4" w:space="0" w:color="auto"/>
            </w:tcBorders>
            <w:shd w:val="clear" w:color="auto" w:fill="C6EFCE"/>
            <w:noWrap/>
            <w:vAlign w:val="center"/>
          </w:tcPr>
          <w:p w14:paraId="3F517243" w14:textId="77777777" w:rsidR="006054AA" w:rsidRDefault="001F7667">
            <w:pPr>
              <w:pStyle w:val="P68B1DB1-Normal12"/>
              <w:jc w:val="center"/>
              <w:rPr>
                <w:noProof/>
              </w:rPr>
            </w:pPr>
            <w:r>
              <w:rPr>
                <w:noProof/>
              </w:rPr>
              <w:t>Инвестиция 3.1: Зелени острови</w:t>
            </w:r>
          </w:p>
        </w:tc>
        <w:tc>
          <w:tcPr>
            <w:tcW w:w="1498" w:type="dxa"/>
            <w:tcBorders>
              <w:top w:val="nil"/>
              <w:left w:val="nil"/>
              <w:bottom w:val="single" w:sz="4" w:space="0" w:color="auto"/>
              <w:right w:val="single" w:sz="4" w:space="0" w:color="auto"/>
            </w:tcBorders>
            <w:shd w:val="clear" w:color="auto" w:fill="C6EFCE"/>
            <w:noWrap/>
            <w:vAlign w:val="center"/>
          </w:tcPr>
          <w:p w14:paraId="32994DE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E4D8CE7" w14:textId="77777777" w:rsidR="006054AA" w:rsidRDefault="001F7667">
            <w:pPr>
              <w:pStyle w:val="P68B1DB1-Normal12"/>
              <w:jc w:val="center"/>
              <w:rPr>
                <w:noProof/>
              </w:rPr>
            </w:pPr>
            <w:r>
              <w:rPr>
                <w:noProof/>
              </w:rPr>
              <w:t>Изпълнение на интегрирани проекти на малки острови</w:t>
            </w:r>
          </w:p>
        </w:tc>
      </w:tr>
      <w:tr w:rsidR="006054AA" w14:paraId="186515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F871B1" w14:textId="77777777" w:rsidR="006054AA" w:rsidRDefault="001F7667">
            <w:pPr>
              <w:pStyle w:val="P68B1DB1-Normal12"/>
              <w:jc w:val="center"/>
              <w:rPr>
                <w:noProof/>
              </w:rPr>
            </w:pPr>
            <w:r>
              <w:rPr>
                <w:noProof/>
              </w:rPr>
              <w:t>M2C1—21</w:t>
            </w:r>
          </w:p>
        </w:tc>
        <w:tc>
          <w:tcPr>
            <w:tcW w:w="3090" w:type="dxa"/>
            <w:tcBorders>
              <w:top w:val="nil"/>
              <w:left w:val="nil"/>
              <w:bottom w:val="single" w:sz="4" w:space="0" w:color="auto"/>
              <w:right w:val="single" w:sz="4" w:space="0" w:color="auto"/>
            </w:tcBorders>
            <w:shd w:val="clear" w:color="auto" w:fill="C6EFCE"/>
            <w:noWrap/>
            <w:vAlign w:val="center"/>
          </w:tcPr>
          <w:p w14:paraId="302E46C7" w14:textId="77777777" w:rsidR="006054AA" w:rsidRDefault="001F7667">
            <w:pPr>
              <w:pStyle w:val="P68B1DB1-Normal12"/>
              <w:jc w:val="center"/>
              <w:rPr>
                <w:noProof/>
              </w:rPr>
            </w:pPr>
            <w:r>
              <w:rPr>
                <w:noProof/>
              </w:rPr>
              <w:t>Инвестиция 3.2: Зелени общности</w:t>
            </w:r>
          </w:p>
        </w:tc>
        <w:tc>
          <w:tcPr>
            <w:tcW w:w="1498" w:type="dxa"/>
            <w:tcBorders>
              <w:top w:val="nil"/>
              <w:left w:val="nil"/>
              <w:bottom w:val="single" w:sz="4" w:space="0" w:color="auto"/>
              <w:right w:val="single" w:sz="4" w:space="0" w:color="auto"/>
            </w:tcBorders>
            <w:shd w:val="clear" w:color="auto" w:fill="C6EFCE"/>
            <w:noWrap/>
            <w:vAlign w:val="center"/>
          </w:tcPr>
          <w:p w14:paraId="7A5E11F6"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5E40A20" w14:textId="77777777" w:rsidR="006054AA" w:rsidRDefault="001F7667">
            <w:pPr>
              <w:pStyle w:val="P68B1DB1-Normal12"/>
              <w:jc w:val="center"/>
              <w:rPr>
                <w:noProof/>
              </w:rPr>
            </w:pPr>
            <w:r>
              <w:rPr>
                <w:noProof/>
              </w:rPr>
              <w:t>Изпълнение на интервенциите, представени в плановете на зелените общности</w:t>
            </w:r>
          </w:p>
        </w:tc>
      </w:tr>
      <w:tr w:rsidR="006054AA" w14:paraId="31B8DC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F90808" w14:textId="77777777" w:rsidR="006054AA" w:rsidRDefault="001F7667">
            <w:pPr>
              <w:pStyle w:val="P68B1DB1-Normal12"/>
              <w:jc w:val="center"/>
              <w:rPr>
                <w:noProof/>
              </w:rPr>
            </w:pPr>
            <w:r>
              <w:rPr>
                <w:noProof/>
              </w:rPr>
              <w:t>M2C1—24</w:t>
            </w:r>
          </w:p>
        </w:tc>
        <w:tc>
          <w:tcPr>
            <w:tcW w:w="3090" w:type="dxa"/>
            <w:tcBorders>
              <w:top w:val="nil"/>
              <w:left w:val="nil"/>
              <w:bottom w:val="single" w:sz="4" w:space="0" w:color="auto"/>
              <w:right w:val="single" w:sz="4" w:space="0" w:color="auto"/>
            </w:tcBorders>
            <w:shd w:val="clear" w:color="auto" w:fill="C6EFCE"/>
            <w:noWrap/>
            <w:vAlign w:val="center"/>
          </w:tcPr>
          <w:p w14:paraId="04B60921" w14:textId="77777777" w:rsidR="006054AA" w:rsidRDefault="001F7667">
            <w:pPr>
              <w:pStyle w:val="P68B1DB1-Normal12"/>
              <w:jc w:val="center"/>
              <w:rPr>
                <w:noProof/>
              </w:rPr>
            </w:pPr>
            <w:r>
              <w:rPr>
                <w:noProof/>
              </w:rPr>
              <w:t>Инвестиция 3.4: Fondo Contratti di Filiera (FCF) за подпомагане на договори за вериги на доставки в секторите на хранително-вкусовата промишленост, рибарството и аквакултурите, горското стопанство, цветарството и растениевъдството</w:t>
            </w:r>
          </w:p>
        </w:tc>
        <w:tc>
          <w:tcPr>
            <w:tcW w:w="1498" w:type="dxa"/>
            <w:tcBorders>
              <w:top w:val="nil"/>
              <w:left w:val="nil"/>
              <w:bottom w:val="single" w:sz="4" w:space="0" w:color="auto"/>
              <w:right w:val="single" w:sz="4" w:space="0" w:color="auto"/>
            </w:tcBorders>
            <w:shd w:val="clear" w:color="auto" w:fill="C6EFCE"/>
            <w:noWrap/>
            <w:vAlign w:val="center"/>
          </w:tcPr>
          <w:p w14:paraId="5688F1F5" w14:textId="767723FB"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EB71BF8" w14:textId="77777777" w:rsidR="006054AA" w:rsidRDefault="001F7667">
            <w:pPr>
              <w:pStyle w:val="P68B1DB1-Normal12"/>
              <w:jc w:val="center"/>
              <w:rPr>
                <w:noProof/>
              </w:rPr>
            </w:pPr>
            <w:r>
              <w:rPr>
                <w:noProof/>
              </w:rPr>
              <w:t>Правни споразумения, подписани с крайните бенефициери</w:t>
            </w:r>
          </w:p>
        </w:tc>
      </w:tr>
      <w:tr w:rsidR="006054AA" w14:paraId="5025A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EB1C34" w14:textId="77777777" w:rsidR="006054AA" w:rsidRDefault="001F7667">
            <w:pPr>
              <w:pStyle w:val="P68B1DB1-Normal12"/>
              <w:jc w:val="center"/>
              <w:rPr>
                <w:noProof/>
              </w:rPr>
            </w:pPr>
            <w:r>
              <w:rPr>
                <w:noProof/>
              </w:rPr>
              <w:t>M2C2—3</w:t>
            </w:r>
          </w:p>
        </w:tc>
        <w:tc>
          <w:tcPr>
            <w:tcW w:w="3090" w:type="dxa"/>
            <w:tcBorders>
              <w:top w:val="nil"/>
              <w:left w:val="nil"/>
              <w:bottom w:val="single" w:sz="4" w:space="0" w:color="auto"/>
              <w:right w:val="single" w:sz="4" w:space="0" w:color="auto"/>
            </w:tcBorders>
            <w:shd w:val="clear" w:color="auto" w:fill="C6EFCE"/>
            <w:noWrap/>
            <w:vAlign w:val="center"/>
          </w:tcPr>
          <w:p w14:paraId="25A5BBC0" w14:textId="77777777" w:rsidR="006054AA" w:rsidRDefault="001F7667">
            <w:pPr>
              <w:pStyle w:val="P68B1DB1-Normal12"/>
              <w:jc w:val="center"/>
              <w:rPr>
                <w:noProof/>
              </w:rPr>
            </w:pPr>
            <w:r>
              <w:rPr>
                <w:noProof/>
              </w:rPr>
              <w:t>Инвестиция 1.4 Развитие на биометан съгласно критериите за насърчаване на кръговата икономика</w:t>
            </w:r>
          </w:p>
        </w:tc>
        <w:tc>
          <w:tcPr>
            <w:tcW w:w="1498" w:type="dxa"/>
            <w:tcBorders>
              <w:top w:val="nil"/>
              <w:left w:val="nil"/>
              <w:bottom w:val="single" w:sz="4" w:space="0" w:color="auto"/>
              <w:right w:val="single" w:sz="4" w:space="0" w:color="auto"/>
            </w:tcBorders>
            <w:shd w:val="clear" w:color="auto" w:fill="C6EFCE"/>
            <w:noWrap/>
            <w:vAlign w:val="center"/>
          </w:tcPr>
          <w:p w14:paraId="62208BD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5A0AD51" w14:textId="77777777" w:rsidR="006054AA" w:rsidRDefault="001F7667">
            <w:pPr>
              <w:pStyle w:val="P68B1DB1-Normal12"/>
              <w:jc w:val="center"/>
              <w:rPr>
                <w:noProof/>
              </w:rPr>
            </w:pPr>
            <w:r>
              <w:rPr>
                <w:noProof/>
              </w:rPr>
              <w:t>Подмяна на селскостопански трактори</w:t>
            </w:r>
          </w:p>
        </w:tc>
      </w:tr>
      <w:tr w:rsidR="006054AA" w14:paraId="13D87A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A3650C" w14:textId="77777777" w:rsidR="006054AA" w:rsidRDefault="001F7667">
            <w:pPr>
              <w:pStyle w:val="P68B1DB1-Normal12"/>
              <w:jc w:val="center"/>
              <w:rPr>
                <w:noProof/>
              </w:rPr>
            </w:pPr>
            <w:r>
              <w:rPr>
                <w:noProof/>
              </w:rPr>
              <w:t>M2C2—5</w:t>
            </w:r>
          </w:p>
        </w:tc>
        <w:tc>
          <w:tcPr>
            <w:tcW w:w="3090" w:type="dxa"/>
            <w:tcBorders>
              <w:top w:val="nil"/>
              <w:left w:val="nil"/>
              <w:bottom w:val="single" w:sz="4" w:space="0" w:color="auto"/>
              <w:right w:val="single" w:sz="4" w:space="0" w:color="auto"/>
            </w:tcBorders>
            <w:shd w:val="clear" w:color="auto" w:fill="C6EFCE"/>
            <w:noWrap/>
            <w:vAlign w:val="center"/>
          </w:tcPr>
          <w:p w14:paraId="27685853" w14:textId="77777777" w:rsidR="006054AA" w:rsidRDefault="001F7667">
            <w:pPr>
              <w:pStyle w:val="P68B1DB1-Normal12"/>
              <w:jc w:val="center"/>
              <w:rPr>
                <w:noProof/>
              </w:rPr>
            </w:pPr>
            <w:r>
              <w:rPr>
                <w:noProof/>
              </w:rPr>
              <w:t>Инвестиция 1.4 Развитие на биометан съгласно критериите за насърчаване на кръговата икономика</w:t>
            </w:r>
          </w:p>
        </w:tc>
        <w:tc>
          <w:tcPr>
            <w:tcW w:w="1498" w:type="dxa"/>
            <w:tcBorders>
              <w:top w:val="nil"/>
              <w:left w:val="nil"/>
              <w:bottom w:val="single" w:sz="4" w:space="0" w:color="auto"/>
              <w:right w:val="single" w:sz="4" w:space="0" w:color="auto"/>
            </w:tcBorders>
            <w:shd w:val="clear" w:color="auto" w:fill="C6EFCE"/>
            <w:noWrap/>
            <w:vAlign w:val="center"/>
          </w:tcPr>
          <w:p w14:paraId="69112F42"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34EDF47" w14:textId="77777777" w:rsidR="006054AA" w:rsidRDefault="001F7667">
            <w:pPr>
              <w:pStyle w:val="P68B1DB1-Normal12"/>
              <w:jc w:val="center"/>
              <w:rPr>
                <w:noProof/>
              </w:rPr>
            </w:pPr>
            <w:r>
              <w:rPr>
                <w:noProof/>
              </w:rPr>
              <w:t>Допълнително производство на биометан</w:t>
            </w:r>
          </w:p>
        </w:tc>
      </w:tr>
      <w:tr w:rsidR="006054AA" w14:paraId="19B264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E5A2DE" w14:textId="77777777" w:rsidR="006054AA" w:rsidRDefault="001F7667">
            <w:pPr>
              <w:pStyle w:val="P68B1DB1-Normal12"/>
              <w:jc w:val="center"/>
              <w:rPr>
                <w:noProof/>
              </w:rPr>
            </w:pPr>
            <w:r>
              <w:rPr>
                <w:noProof/>
              </w:rPr>
              <w:t>M2C2—10</w:t>
            </w:r>
          </w:p>
        </w:tc>
        <w:tc>
          <w:tcPr>
            <w:tcW w:w="3090" w:type="dxa"/>
            <w:tcBorders>
              <w:top w:val="nil"/>
              <w:left w:val="nil"/>
              <w:bottom w:val="single" w:sz="4" w:space="0" w:color="auto"/>
              <w:right w:val="single" w:sz="4" w:space="0" w:color="auto"/>
            </w:tcBorders>
            <w:shd w:val="clear" w:color="auto" w:fill="C6EFCE"/>
            <w:noWrap/>
            <w:vAlign w:val="center"/>
          </w:tcPr>
          <w:p w14:paraId="6EA60ED0" w14:textId="77777777" w:rsidR="006054AA" w:rsidRDefault="001F7667">
            <w:pPr>
              <w:pStyle w:val="P68B1DB1-Normal12"/>
              <w:jc w:val="center"/>
              <w:rPr>
                <w:noProof/>
              </w:rPr>
            </w:pPr>
            <w:r>
              <w:rPr>
                <w:noProof/>
              </w:rPr>
              <w:t>Инвестиция 2.1 Укрепване на интелигентните мрежи</w:t>
            </w:r>
          </w:p>
        </w:tc>
        <w:tc>
          <w:tcPr>
            <w:tcW w:w="1498" w:type="dxa"/>
            <w:tcBorders>
              <w:top w:val="nil"/>
              <w:left w:val="nil"/>
              <w:bottom w:val="single" w:sz="4" w:space="0" w:color="auto"/>
              <w:right w:val="single" w:sz="4" w:space="0" w:color="auto"/>
            </w:tcBorders>
            <w:shd w:val="clear" w:color="auto" w:fill="C6EFCE"/>
            <w:noWrap/>
            <w:vAlign w:val="center"/>
          </w:tcPr>
          <w:p w14:paraId="73933E9D"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2D61361" w14:textId="77777777" w:rsidR="006054AA" w:rsidRDefault="001F7667">
            <w:pPr>
              <w:pStyle w:val="P68B1DB1-Normal12"/>
              <w:jc w:val="center"/>
              <w:rPr>
                <w:noProof/>
              </w:rPr>
            </w:pPr>
            <w:r>
              <w:rPr>
                <w:noProof/>
              </w:rPr>
              <w:t>Интелигентни коридори — увеличаване на капацитета на мрежата за разпределение на енергия от възобновяеми източници</w:t>
            </w:r>
          </w:p>
        </w:tc>
      </w:tr>
      <w:tr w:rsidR="006054AA" w14:paraId="05D98A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BEC5BF" w14:textId="77777777" w:rsidR="006054AA" w:rsidRDefault="001F7667">
            <w:pPr>
              <w:pStyle w:val="P68B1DB1-Normal12"/>
              <w:jc w:val="center"/>
              <w:rPr>
                <w:noProof/>
              </w:rPr>
            </w:pPr>
            <w:r>
              <w:rPr>
                <w:noProof/>
              </w:rPr>
              <w:t>M2C2—11</w:t>
            </w:r>
          </w:p>
        </w:tc>
        <w:tc>
          <w:tcPr>
            <w:tcW w:w="3090" w:type="dxa"/>
            <w:tcBorders>
              <w:top w:val="nil"/>
              <w:left w:val="nil"/>
              <w:bottom w:val="single" w:sz="4" w:space="0" w:color="auto"/>
              <w:right w:val="single" w:sz="4" w:space="0" w:color="auto"/>
            </w:tcBorders>
            <w:shd w:val="clear" w:color="auto" w:fill="C6EFCE"/>
            <w:noWrap/>
            <w:vAlign w:val="center"/>
          </w:tcPr>
          <w:p w14:paraId="10B5202F" w14:textId="77777777" w:rsidR="006054AA" w:rsidRDefault="001F7667">
            <w:pPr>
              <w:pStyle w:val="P68B1DB1-Normal12"/>
              <w:jc w:val="center"/>
              <w:rPr>
                <w:noProof/>
              </w:rPr>
            </w:pPr>
            <w:r>
              <w:rPr>
                <w:noProof/>
              </w:rPr>
              <w:t>Инвестиция 2.1 Укрепване на интелигентните мрежи</w:t>
            </w:r>
          </w:p>
        </w:tc>
        <w:tc>
          <w:tcPr>
            <w:tcW w:w="1498" w:type="dxa"/>
            <w:tcBorders>
              <w:top w:val="nil"/>
              <w:left w:val="nil"/>
              <w:bottom w:val="single" w:sz="4" w:space="0" w:color="auto"/>
              <w:right w:val="single" w:sz="4" w:space="0" w:color="auto"/>
            </w:tcBorders>
            <w:shd w:val="clear" w:color="auto" w:fill="C6EFCE"/>
            <w:noWrap/>
            <w:vAlign w:val="center"/>
          </w:tcPr>
          <w:p w14:paraId="0FA05EDA"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6639861" w14:textId="77777777" w:rsidR="006054AA" w:rsidRDefault="001F7667">
            <w:pPr>
              <w:pStyle w:val="P68B1DB1-Normal12"/>
              <w:jc w:val="center"/>
              <w:rPr>
                <w:noProof/>
              </w:rPr>
            </w:pPr>
            <w:r>
              <w:rPr>
                <w:noProof/>
              </w:rPr>
              <w:t>Интелигентни коридори — електрификация на потреблението на енергия</w:t>
            </w:r>
          </w:p>
        </w:tc>
      </w:tr>
      <w:tr w:rsidR="006054AA" w14:paraId="270425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957D2B" w14:textId="77777777" w:rsidR="006054AA" w:rsidRDefault="001F7667">
            <w:pPr>
              <w:pStyle w:val="P68B1DB1-Normal12"/>
              <w:jc w:val="center"/>
              <w:rPr>
                <w:noProof/>
              </w:rPr>
            </w:pPr>
            <w:r>
              <w:rPr>
                <w:noProof/>
              </w:rPr>
              <w:t>M2C2—13</w:t>
            </w:r>
          </w:p>
        </w:tc>
        <w:tc>
          <w:tcPr>
            <w:tcW w:w="3090" w:type="dxa"/>
            <w:tcBorders>
              <w:top w:val="nil"/>
              <w:left w:val="nil"/>
              <w:bottom w:val="single" w:sz="4" w:space="0" w:color="auto"/>
              <w:right w:val="single" w:sz="4" w:space="0" w:color="auto"/>
            </w:tcBorders>
            <w:shd w:val="clear" w:color="auto" w:fill="C6EFCE"/>
            <w:noWrap/>
            <w:vAlign w:val="center"/>
          </w:tcPr>
          <w:p w14:paraId="52EF9849" w14:textId="77777777" w:rsidR="006054AA" w:rsidRDefault="001F7667">
            <w:pPr>
              <w:pStyle w:val="P68B1DB1-Normal12"/>
              <w:jc w:val="center"/>
              <w:rPr>
                <w:noProof/>
              </w:rPr>
            </w:pPr>
            <w:r>
              <w:rPr>
                <w:noProof/>
              </w:rPr>
              <w:t>Инвестиция 2.2 Интервенции за повишаване на устойчивостта на електроенергийната мрежа</w:t>
            </w:r>
          </w:p>
        </w:tc>
        <w:tc>
          <w:tcPr>
            <w:tcW w:w="1498" w:type="dxa"/>
            <w:tcBorders>
              <w:top w:val="nil"/>
              <w:left w:val="nil"/>
              <w:bottom w:val="single" w:sz="4" w:space="0" w:color="auto"/>
              <w:right w:val="single" w:sz="4" w:space="0" w:color="auto"/>
            </w:tcBorders>
            <w:shd w:val="clear" w:color="auto" w:fill="C6EFCE"/>
            <w:noWrap/>
            <w:vAlign w:val="center"/>
          </w:tcPr>
          <w:p w14:paraId="4CB2152A"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6E2D4A2" w14:textId="77777777" w:rsidR="006054AA" w:rsidRDefault="001F7667">
            <w:pPr>
              <w:pStyle w:val="P68B1DB1-Normal12"/>
              <w:jc w:val="center"/>
              <w:rPr>
                <w:noProof/>
              </w:rPr>
            </w:pPr>
            <w:r>
              <w:rPr>
                <w:noProof/>
              </w:rPr>
              <w:t>Повишаване на устойчивостта на мрежата на електроенергийната система</w:t>
            </w:r>
          </w:p>
        </w:tc>
      </w:tr>
      <w:tr w:rsidR="006054AA" w14:paraId="15A62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CA4A" w14:textId="77777777" w:rsidR="006054AA" w:rsidRDefault="001F7667">
            <w:pPr>
              <w:pStyle w:val="P68B1DB1-Normal12"/>
              <w:jc w:val="center"/>
              <w:rPr>
                <w:noProof/>
              </w:rPr>
            </w:pPr>
            <w:r>
              <w:rPr>
                <w:noProof/>
              </w:rPr>
              <w:t>M2C2—15</w:t>
            </w:r>
          </w:p>
        </w:tc>
        <w:tc>
          <w:tcPr>
            <w:tcW w:w="3090" w:type="dxa"/>
            <w:tcBorders>
              <w:top w:val="nil"/>
              <w:left w:val="nil"/>
              <w:bottom w:val="single" w:sz="4" w:space="0" w:color="auto"/>
              <w:right w:val="single" w:sz="4" w:space="0" w:color="auto"/>
            </w:tcBorders>
            <w:shd w:val="clear" w:color="auto" w:fill="C6EFCE"/>
            <w:noWrap/>
            <w:vAlign w:val="center"/>
          </w:tcPr>
          <w:p w14:paraId="75CE696C" w14:textId="77777777" w:rsidR="006054AA" w:rsidRDefault="001F7667">
            <w:pPr>
              <w:pStyle w:val="P68B1DB1-Normal12"/>
              <w:jc w:val="center"/>
              <w:rPr>
                <w:noProof/>
              </w:rPr>
            </w:pPr>
            <w:r>
              <w:rPr>
                <w:noProof/>
              </w:rPr>
              <w:t>Инвестиция 3.3 Изпитване на водород за автомобилния транспорт</w:t>
            </w:r>
          </w:p>
        </w:tc>
        <w:tc>
          <w:tcPr>
            <w:tcW w:w="1498" w:type="dxa"/>
            <w:tcBorders>
              <w:top w:val="nil"/>
              <w:left w:val="nil"/>
              <w:bottom w:val="single" w:sz="4" w:space="0" w:color="auto"/>
              <w:right w:val="single" w:sz="4" w:space="0" w:color="auto"/>
            </w:tcBorders>
            <w:shd w:val="clear" w:color="auto" w:fill="C6EFCE"/>
            <w:noWrap/>
            <w:vAlign w:val="center"/>
          </w:tcPr>
          <w:p w14:paraId="0AAF4DB2"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2446A14" w14:textId="77777777" w:rsidR="006054AA" w:rsidRDefault="001F7667">
            <w:pPr>
              <w:pStyle w:val="P68B1DB1-Normal12"/>
              <w:jc w:val="center"/>
              <w:rPr>
                <w:noProof/>
              </w:rPr>
            </w:pPr>
            <w:r>
              <w:rPr>
                <w:noProof/>
              </w:rPr>
              <w:t>Разработване на станции за презареждане, основани на водород</w:t>
            </w:r>
          </w:p>
        </w:tc>
      </w:tr>
      <w:tr w:rsidR="006054AA" w14:paraId="0976CD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53996F" w14:textId="77777777" w:rsidR="006054AA" w:rsidRDefault="001F7667">
            <w:pPr>
              <w:pStyle w:val="P68B1DB1-Normal12"/>
              <w:jc w:val="center"/>
              <w:rPr>
                <w:noProof/>
              </w:rPr>
            </w:pPr>
            <w:r>
              <w:rPr>
                <w:noProof/>
              </w:rPr>
              <w:t>M2C2—17</w:t>
            </w:r>
          </w:p>
        </w:tc>
        <w:tc>
          <w:tcPr>
            <w:tcW w:w="3090" w:type="dxa"/>
            <w:tcBorders>
              <w:top w:val="nil"/>
              <w:left w:val="nil"/>
              <w:bottom w:val="single" w:sz="4" w:space="0" w:color="auto"/>
              <w:right w:val="single" w:sz="4" w:space="0" w:color="auto"/>
            </w:tcBorders>
            <w:shd w:val="clear" w:color="auto" w:fill="C6EFCE"/>
            <w:noWrap/>
            <w:vAlign w:val="center"/>
          </w:tcPr>
          <w:p w14:paraId="5931FE21" w14:textId="77777777" w:rsidR="006054AA" w:rsidRDefault="001F7667">
            <w:pPr>
              <w:pStyle w:val="P68B1DB1-Normal12"/>
              <w:jc w:val="center"/>
              <w:rPr>
                <w:noProof/>
              </w:rPr>
            </w:pPr>
            <w:r>
              <w:rPr>
                <w:noProof/>
              </w:rPr>
              <w:t>Инвестиция 3.4 Изпитване на водород за железопътна мобилност</w:t>
            </w:r>
          </w:p>
        </w:tc>
        <w:tc>
          <w:tcPr>
            <w:tcW w:w="1498" w:type="dxa"/>
            <w:tcBorders>
              <w:top w:val="nil"/>
              <w:left w:val="nil"/>
              <w:bottom w:val="single" w:sz="4" w:space="0" w:color="auto"/>
              <w:right w:val="single" w:sz="4" w:space="0" w:color="auto"/>
            </w:tcBorders>
            <w:shd w:val="clear" w:color="auto" w:fill="C6EFCE"/>
            <w:noWrap/>
            <w:vAlign w:val="center"/>
          </w:tcPr>
          <w:p w14:paraId="6DEF2AC7"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B48F8A0" w14:textId="77777777" w:rsidR="006054AA" w:rsidRDefault="001F7667">
            <w:pPr>
              <w:pStyle w:val="P68B1DB1-Normal12"/>
              <w:jc w:val="center"/>
              <w:rPr>
                <w:noProof/>
              </w:rPr>
            </w:pPr>
            <w:r>
              <w:rPr>
                <w:noProof/>
              </w:rPr>
              <w:t>Брой станции за презареждане с водород</w:t>
            </w:r>
          </w:p>
        </w:tc>
      </w:tr>
      <w:tr w:rsidR="006054AA" w14:paraId="6ED742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96822" w14:textId="77777777" w:rsidR="006054AA" w:rsidRDefault="001F7667">
            <w:pPr>
              <w:pStyle w:val="P68B1DB1-Normal12"/>
              <w:jc w:val="center"/>
              <w:rPr>
                <w:noProof/>
              </w:rPr>
            </w:pPr>
            <w:r>
              <w:rPr>
                <w:noProof/>
              </w:rPr>
              <w:t>M2C2—19</w:t>
            </w:r>
          </w:p>
        </w:tc>
        <w:tc>
          <w:tcPr>
            <w:tcW w:w="3090" w:type="dxa"/>
            <w:tcBorders>
              <w:top w:val="nil"/>
              <w:left w:val="nil"/>
              <w:bottom w:val="single" w:sz="4" w:space="0" w:color="auto"/>
              <w:right w:val="single" w:sz="4" w:space="0" w:color="auto"/>
            </w:tcBorders>
            <w:shd w:val="clear" w:color="auto" w:fill="C6EFCE"/>
            <w:noWrap/>
            <w:vAlign w:val="center"/>
          </w:tcPr>
          <w:p w14:paraId="22ACB88B" w14:textId="77777777" w:rsidR="006054AA" w:rsidRDefault="001F7667">
            <w:pPr>
              <w:pStyle w:val="P68B1DB1-Normal12"/>
              <w:jc w:val="center"/>
              <w:rPr>
                <w:noProof/>
              </w:rPr>
            </w:pPr>
            <w:r>
              <w:rPr>
                <w:noProof/>
              </w:rPr>
              <w:t>Инвестиция 3.5 Научноизследователска и развойна дейност в областта на водорода</w:t>
            </w:r>
          </w:p>
        </w:tc>
        <w:tc>
          <w:tcPr>
            <w:tcW w:w="1498" w:type="dxa"/>
            <w:tcBorders>
              <w:top w:val="nil"/>
              <w:left w:val="nil"/>
              <w:bottom w:val="single" w:sz="4" w:space="0" w:color="auto"/>
              <w:right w:val="single" w:sz="4" w:space="0" w:color="auto"/>
            </w:tcBorders>
            <w:shd w:val="clear" w:color="auto" w:fill="C6EFCE"/>
            <w:noWrap/>
            <w:vAlign w:val="center"/>
          </w:tcPr>
          <w:p w14:paraId="57307E5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A6AD0C0" w14:textId="77777777" w:rsidR="006054AA" w:rsidRDefault="001F7667">
            <w:pPr>
              <w:pStyle w:val="P68B1DB1-Normal12"/>
              <w:jc w:val="center"/>
              <w:rPr>
                <w:noProof/>
              </w:rPr>
            </w:pPr>
            <w:r>
              <w:rPr>
                <w:noProof/>
              </w:rPr>
              <w:t>Брой проекти за научноизследователска и развойна дейност в областта на водорода</w:t>
            </w:r>
          </w:p>
        </w:tc>
      </w:tr>
      <w:tr w:rsidR="006054AA" w14:paraId="1C6074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0F85BC" w14:textId="77777777" w:rsidR="006054AA" w:rsidRDefault="001F7667">
            <w:pPr>
              <w:pStyle w:val="P68B1DB1-Normal12"/>
              <w:jc w:val="center"/>
              <w:rPr>
                <w:noProof/>
              </w:rPr>
            </w:pPr>
            <w:r>
              <w:rPr>
                <w:noProof/>
              </w:rPr>
              <w:t>M2C2—25bis</w:t>
            </w:r>
          </w:p>
        </w:tc>
        <w:tc>
          <w:tcPr>
            <w:tcW w:w="3090" w:type="dxa"/>
            <w:tcBorders>
              <w:top w:val="nil"/>
              <w:left w:val="nil"/>
              <w:bottom w:val="single" w:sz="4" w:space="0" w:color="auto"/>
              <w:right w:val="single" w:sz="4" w:space="0" w:color="auto"/>
            </w:tcBorders>
            <w:shd w:val="clear" w:color="auto" w:fill="C6EFCE"/>
            <w:noWrap/>
            <w:vAlign w:val="center"/>
          </w:tcPr>
          <w:p w14:paraId="158A503F" w14:textId="77777777" w:rsidR="006054AA" w:rsidRDefault="001F7667">
            <w:pPr>
              <w:pStyle w:val="P68B1DB1-Normal12"/>
              <w:jc w:val="center"/>
              <w:rPr>
                <w:noProof/>
              </w:rPr>
            </w:pPr>
            <w:r>
              <w:rPr>
                <w:noProof/>
              </w:rPr>
              <w:t>Инвестиция 4.2 Разработване на системи за бърз масов транспорт (метро, улици, BRT)</w:t>
            </w:r>
          </w:p>
        </w:tc>
        <w:tc>
          <w:tcPr>
            <w:tcW w:w="1498" w:type="dxa"/>
            <w:tcBorders>
              <w:top w:val="nil"/>
              <w:left w:val="nil"/>
              <w:bottom w:val="single" w:sz="4" w:space="0" w:color="auto"/>
              <w:right w:val="single" w:sz="4" w:space="0" w:color="auto"/>
            </w:tcBorders>
            <w:shd w:val="clear" w:color="auto" w:fill="C6EFCE"/>
            <w:noWrap/>
            <w:vAlign w:val="center"/>
          </w:tcPr>
          <w:p w14:paraId="76353748"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296C069" w14:textId="77777777" w:rsidR="006054AA" w:rsidRDefault="001F7667">
            <w:pPr>
              <w:pStyle w:val="P68B1DB1-Normal12"/>
              <w:jc w:val="center"/>
              <w:rPr>
                <w:noProof/>
              </w:rPr>
            </w:pPr>
            <w:r>
              <w:rPr>
                <w:noProof/>
              </w:rPr>
              <w:t>Най-малко 5 интервенции за модернизиране на инфраструктурата на системите за бърз масов транспорт</w:t>
            </w:r>
          </w:p>
        </w:tc>
      </w:tr>
      <w:tr w:rsidR="006054AA" w14:paraId="49637E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6A0145" w14:textId="77777777" w:rsidR="006054AA" w:rsidRDefault="001F7667">
            <w:pPr>
              <w:pStyle w:val="P68B1DB1-Normal12"/>
              <w:jc w:val="center"/>
              <w:rPr>
                <w:noProof/>
              </w:rPr>
            </w:pPr>
            <w:r>
              <w:rPr>
                <w:noProof/>
              </w:rPr>
              <w:t>M2C2—25ter</w:t>
            </w:r>
          </w:p>
        </w:tc>
        <w:tc>
          <w:tcPr>
            <w:tcW w:w="3090" w:type="dxa"/>
            <w:tcBorders>
              <w:top w:val="nil"/>
              <w:left w:val="nil"/>
              <w:bottom w:val="single" w:sz="4" w:space="0" w:color="auto"/>
              <w:right w:val="single" w:sz="4" w:space="0" w:color="auto"/>
            </w:tcBorders>
            <w:shd w:val="clear" w:color="auto" w:fill="C6EFCE"/>
            <w:noWrap/>
            <w:vAlign w:val="center"/>
          </w:tcPr>
          <w:p w14:paraId="6CBF92C6" w14:textId="77777777" w:rsidR="006054AA" w:rsidRDefault="001F7667">
            <w:pPr>
              <w:pStyle w:val="P68B1DB1-Normal12"/>
              <w:jc w:val="center"/>
              <w:rPr>
                <w:noProof/>
              </w:rPr>
            </w:pPr>
            <w:r>
              <w:rPr>
                <w:noProof/>
              </w:rPr>
              <w:t>Инвестиция 4.2 Разработване на системи за бърз масов транспорт (метро, улици, BRT)</w:t>
            </w:r>
          </w:p>
        </w:tc>
        <w:tc>
          <w:tcPr>
            <w:tcW w:w="1498" w:type="dxa"/>
            <w:tcBorders>
              <w:top w:val="nil"/>
              <w:left w:val="nil"/>
              <w:bottom w:val="single" w:sz="4" w:space="0" w:color="auto"/>
              <w:right w:val="single" w:sz="4" w:space="0" w:color="auto"/>
            </w:tcBorders>
            <w:shd w:val="clear" w:color="auto" w:fill="C6EFCE"/>
            <w:noWrap/>
            <w:vAlign w:val="center"/>
          </w:tcPr>
          <w:p w14:paraId="0C6EA68D"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BF82300" w14:textId="77777777" w:rsidR="006054AA" w:rsidRDefault="001F7667">
            <w:pPr>
              <w:pStyle w:val="P68B1DB1-Normal12"/>
              <w:jc w:val="center"/>
              <w:rPr>
                <w:noProof/>
              </w:rPr>
            </w:pPr>
            <w:r>
              <w:rPr>
                <w:noProof/>
              </w:rPr>
              <w:t>Закупуване на най-малко 85 единици подвижен състав за масов бърз транспорт</w:t>
            </w:r>
          </w:p>
        </w:tc>
      </w:tr>
      <w:tr w:rsidR="006054AA" w14:paraId="0A94BC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C99FC" w14:textId="77777777" w:rsidR="006054AA" w:rsidRDefault="001F7667">
            <w:pPr>
              <w:pStyle w:val="P68B1DB1-Normal12"/>
              <w:jc w:val="center"/>
              <w:rPr>
                <w:noProof/>
              </w:rPr>
            </w:pPr>
            <w:r>
              <w:rPr>
                <w:noProof/>
              </w:rPr>
              <w:t>M2C2—26</w:t>
            </w:r>
          </w:p>
        </w:tc>
        <w:tc>
          <w:tcPr>
            <w:tcW w:w="3090" w:type="dxa"/>
            <w:tcBorders>
              <w:top w:val="nil"/>
              <w:left w:val="nil"/>
              <w:bottom w:val="single" w:sz="4" w:space="0" w:color="auto"/>
              <w:right w:val="single" w:sz="4" w:space="0" w:color="auto"/>
            </w:tcBorders>
            <w:shd w:val="clear" w:color="auto" w:fill="C6EFCE"/>
            <w:noWrap/>
            <w:vAlign w:val="center"/>
          </w:tcPr>
          <w:p w14:paraId="77DC01E7" w14:textId="77777777" w:rsidR="006054AA" w:rsidRDefault="001F7667">
            <w:pPr>
              <w:pStyle w:val="P68B1DB1-Normal12"/>
              <w:jc w:val="center"/>
              <w:rPr>
                <w:noProof/>
              </w:rPr>
            </w:pPr>
            <w:r>
              <w:rPr>
                <w:noProof/>
              </w:rPr>
              <w:t>Инвестиция 4.2 Развитие на системи за бърз масов транспорт (метро, уличен автомобил, автобусен бърз транзит)</w:t>
            </w:r>
          </w:p>
        </w:tc>
        <w:tc>
          <w:tcPr>
            <w:tcW w:w="1498" w:type="dxa"/>
            <w:tcBorders>
              <w:top w:val="nil"/>
              <w:left w:val="nil"/>
              <w:bottom w:val="single" w:sz="4" w:space="0" w:color="auto"/>
              <w:right w:val="single" w:sz="4" w:space="0" w:color="auto"/>
            </w:tcBorders>
            <w:shd w:val="clear" w:color="auto" w:fill="C6EFCE"/>
            <w:noWrap/>
            <w:vAlign w:val="center"/>
          </w:tcPr>
          <w:p w14:paraId="4E42054F"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5D2946B" w14:textId="77777777" w:rsidR="006054AA" w:rsidRDefault="001F7667">
            <w:pPr>
              <w:pStyle w:val="P68B1DB1-Normal12"/>
              <w:jc w:val="center"/>
              <w:rPr>
                <w:noProof/>
              </w:rPr>
            </w:pPr>
            <w:r>
              <w:rPr>
                <w:noProof/>
              </w:rPr>
              <w:t>Брой километри инфраструктура за обществен транспорт</w:t>
            </w:r>
          </w:p>
        </w:tc>
      </w:tr>
      <w:tr w:rsidR="006054AA" w14:paraId="03C3D5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0560AD" w14:textId="77777777" w:rsidR="006054AA" w:rsidRDefault="001F7667">
            <w:pPr>
              <w:pStyle w:val="P68B1DB1-Normal12"/>
              <w:jc w:val="center"/>
              <w:rPr>
                <w:noProof/>
              </w:rPr>
            </w:pPr>
            <w:r>
              <w:rPr>
                <w:noProof/>
              </w:rPr>
              <w:t>M2C2—35</w:t>
            </w:r>
          </w:p>
        </w:tc>
        <w:tc>
          <w:tcPr>
            <w:tcW w:w="3090" w:type="dxa"/>
            <w:tcBorders>
              <w:top w:val="nil"/>
              <w:left w:val="nil"/>
              <w:bottom w:val="single" w:sz="4" w:space="0" w:color="auto"/>
              <w:right w:val="single" w:sz="4" w:space="0" w:color="auto"/>
            </w:tcBorders>
            <w:shd w:val="clear" w:color="auto" w:fill="C6EFCE"/>
            <w:noWrap/>
            <w:vAlign w:val="center"/>
          </w:tcPr>
          <w:p w14:paraId="745A8664" w14:textId="77777777" w:rsidR="006054AA" w:rsidRDefault="001F7667">
            <w:pPr>
              <w:pStyle w:val="P68B1DB1-Normal26"/>
              <w:jc w:val="center"/>
              <w:rPr>
                <w:noProof/>
                <w:color w:val="006100"/>
              </w:rPr>
            </w:pPr>
            <w:r>
              <w:rPr>
                <w:noProof/>
                <w:color w:val="006100"/>
              </w:rPr>
              <w:t>Инвестиция 4.4.1: Укрепване на регионалния автобусен парк на обществения транспорт с автобуси</w:t>
            </w:r>
            <w:r>
              <w:rPr>
                <w:noProof/>
                <w:color w:val="000000" w:themeColor="text1"/>
              </w:rPr>
              <w:t xml:space="preserve"> </w:t>
            </w:r>
            <w:r>
              <w:rPr>
                <w:noProof/>
                <w:color w:val="006100"/>
              </w:rPr>
              <w:t>с ниски емисии —</w:t>
            </w:r>
          </w:p>
        </w:tc>
        <w:tc>
          <w:tcPr>
            <w:tcW w:w="1498" w:type="dxa"/>
            <w:tcBorders>
              <w:top w:val="nil"/>
              <w:left w:val="nil"/>
              <w:bottom w:val="single" w:sz="4" w:space="0" w:color="auto"/>
              <w:right w:val="single" w:sz="4" w:space="0" w:color="auto"/>
            </w:tcBorders>
            <w:shd w:val="clear" w:color="auto" w:fill="C6EFCE"/>
            <w:noWrap/>
            <w:vAlign w:val="center"/>
          </w:tcPr>
          <w:p w14:paraId="4FE29759"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2D51643" w14:textId="77777777" w:rsidR="006054AA" w:rsidRDefault="001F7667">
            <w:pPr>
              <w:pStyle w:val="P68B1DB1-Normal12"/>
              <w:jc w:val="center"/>
              <w:rPr>
                <w:noProof/>
              </w:rPr>
            </w:pPr>
            <w:r>
              <w:rPr>
                <w:noProof/>
              </w:rPr>
              <w:t>Брой на нискоетажните автобуси с нулеви емисии, влезли в сила T2</w:t>
            </w:r>
          </w:p>
        </w:tc>
      </w:tr>
      <w:tr w:rsidR="006054AA" w14:paraId="518FF6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3063E" w14:textId="77777777" w:rsidR="006054AA" w:rsidRDefault="001F7667">
            <w:pPr>
              <w:pStyle w:val="P68B1DB1-Normal12"/>
              <w:jc w:val="center"/>
              <w:rPr>
                <w:noProof/>
              </w:rPr>
            </w:pPr>
            <w:r>
              <w:rPr>
                <w:noProof/>
              </w:rPr>
              <w:t>M2C2—35 ter</w:t>
            </w:r>
          </w:p>
        </w:tc>
        <w:tc>
          <w:tcPr>
            <w:tcW w:w="3090" w:type="dxa"/>
            <w:tcBorders>
              <w:top w:val="nil"/>
              <w:left w:val="nil"/>
              <w:bottom w:val="single" w:sz="4" w:space="0" w:color="auto"/>
              <w:right w:val="single" w:sz="4" w:space="0" w:color="auto"/>
            </w:tcBorders>
            <w:shd w:val="clear" w:color="auto" w:fill="C6EFCE"/>
            <w:noWrap/>
            <w:vAlign w:val="center"/>
          </w:tcPr>
          <w:p w14:paraId="42733178" w14:textId="77777777" w:rsidR="006054AA" w:rsidRDefault="001F7667">
            <w:pPr>
              <w:pStyle w:val="P68B1DB1-Normal12"/>
              <w:jc w:val="center"/>
              <w:rPr>
                <w:noProof/>
              </w:rPr>
            </w:pPr>
            <w:r>
              <w:rPr>
                <w:noProof/>
              </w:rPr>
              <w:t>Инвестиция 4.4.1: Укрепване на регионалния автобусен парк на обществения транспорт с превозни средства, използващи чисти горива</w:t>
            </w:r>
          </w:p>
        </w:tc>
        <w:tc>
          <w:tcPr>
            <w:tcW w:w="1498" w:type="dxa"/>
            <w:tcBorders>
              <w:top w:val="nil"/>
              <w:left w:val="nil"/>
              <w:bottom w:val="single" w:sz="4" w:space="0" w:color="auto"/>
              <w:right w:val="single" w:sz="4" w:space="0" w:color="auto"/>
            </w:tcBorders>
            <w:shd w:val="clear" w:color="auto" w:fill="C6EFCE"/>
            <w:noWrap/>
            <w:vAlign w:val="center"/>
          </w:tcPr>
          <w:p w14:paraId="583DA43B"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FD24AE4" w14:textId="77777777" w:rsidR="006054AA" w:rsidRDefault="001F7667">
            <w:pPr>
              <w:pStyle w:val="P68B1DB1-Normal12"/>
              <w:jc w:val="center"/>
              <w:rPr>
                <w:noProof/>
              </w:rPr>
            </w:pPr>
            <w:r>
              <w:rPr>
                <w:noProof/>
              </w:rPr>
              <w:t>Брой станции за зареждане на нискоетажни автобуси с нулеви и ниски емисии</w:t>
            </w:r>
          </w:p>
        </w:tc>
      </w:tr>
      <w:tr w:rsidR="006054AA" w14:paraId="2416F7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CA4A3" w14:textId="77777777" w:rsidR="006054AA" w:rsidRDefault="001F7667">
            <w:pPr>
              <w:pStyle w:val="P68B1DB1-Normal12"/>
              <w:jc w:val="center"/>
              <w:rPr>
                <w:noProof/>
              </w:rPr>
            </w:pPr>
            <w:r>
              <w:rPr>
                <w:noProof/>
              </w:rPr>
              <w:t xml:space="preserve">M2C2—35 bis </w:t>
            </w:r>
          </w:p>
        </w:tc>
        <w:tc>
          <w:tcPr>
            <w:tcW w:w="3090" w:type="dxa"/>
            <w:tcBorders>
              <w:top w:val="nil"/>
              <w:left w:val="nil"/>
              <w:bottom w:val="single" w:sz="4" w:space="0" w:color="auto"/>
              <w:right w:val="single" w:sz="4" w:space="0" w:color="auto"/>
            </w:tcBorders>
            <w:shd w:val="clear" w:color="auto" w:fill="C6EFCE"/>
            <w:noWrap/>
            <w:vAlign w:val="center"/>
          </w:tcPr>
          <w:p w14:paraId="0374C52E" w14:textId="77777777" w:rsidR="006054AA" w:rsidRDefault="001F7667">
            <w:pPr>
              <w:pStyle w:val="P68B1DB1-Normal12"/>
              <w:jc w:val="center"/>
              <w:rPr>
                <w:noProof/>
              </w:rPr>
            </w:pPr>
            <w:r>
              <w:rPr>
                <w:noProof/>
              </w:rPr>
              <w:t>Инвестиция 4.4.2:  Укрепване на регионалния железопътен парк от обществен транспорт с влакове с нулеви емисии и универсална услуга</w:t>
            </w:r>
          </w:p>
        </w:tc>
        <w:tc>
          <w:tcPr>
            <w:tcW w:w="1498" w:type="dxa"/>
            <w:tcBorders>
              <w:top w:val="nil"/>
              <w:left w:val="nil"/>
              <w:bottom w:val="single" w:sz="4" w:space="0" w:color="auto"/>
              <w:right w:val="single" w:sz="4" w:space="0" w:color="auto"/>
            </w:tcBorders>
            <w:shd w:val="clear" w:color="auto" w:fill="C6EFCE"/>
            <w:noWrap/>
            <w:vAlign w:val="center"/>
          </w:tcPr>
          <w:p w14:paraId="31BD1F86"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F6F18CB" w14:textId="77777777" w:rsidR="006054AA" w:rsidRDefault="001F7667">
            <w:pPr>
              <w:pStyle w:val="P68B1DB1-Normal12"/>
              <w:jc w:val="center"/>
              <w:rPr>
                <w:noProof/>
              </w:rPr>
            </w:pPr>
            <w:r>
              <w:rPr>
                <w:noProof/>
              </w:rPr>
              <w:t xml:space="preserve">Брой влакове с нулеви емисии и брой на превозите за универсалната услуга </w:t>
            </w:r>
          </w:p>
        </w:tc>
      </w:tr>
      <w:tr w:rsidR="006054AA" w14:paraId="43443B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81F62" w14:textId="77777777" w:rsidR="006054AA" w:rsidRDefault="001F7667">
            <w:pPr>
              <w:pStyle w:val="P68B1DB1-Normal12"/>
              <w:jc w:val="center"/>
              <w:rPr>
                <w:noProof/>
              </w:rPr>
            </w:pPr>
            <w:r>
              <w:rPr>
                <w:noProof/>
              </w:rPr>
              <w:t>M2C2—36</w:t>
            </w:r>
          </w:p>
        </w:tc>
        <w:tc>
          <w:tcPr>
            <w:tcW w:w="3090" w:type="dxa"/>
            <w:tcBorders>
              <w:top w:val="nil"/>
              <w:left w:val="nil"/>
              <w:bottom w:val="single" w:sz="4" w:space="0" w:color="auto"/>
              <w:right w:val="single" w:sz="4" w:space="0" w:color="auto"/>
            </w:tcBorders>
            <w:shd w:val="clear" w:color="auto" w:fill="C6EFCE"/>
            <w:noWrap/>
            <w:vAlign w:val="center"/>
          </w:tcPr>
          <w:p w14:paraId="3E48B849" w14:textId="77777777" w:rsidR="006054AA" w:rsidRDefault="001F7667">
            <w:pPr>
              <w:pStyle w:val="P68B1DB1-Normal12"/>
              <w:jc w:val="center"/>
              <w:rPr>
                <w:noProof/>
              </w:rPr>
            </w:pPr>
            <w:r>
              <w:rPr>
                <w:noProof/>
              </w:rPr>
              <w:t>Инвестиция 4.4.3: Обновителен парк за командването на националната противопожарна служба</w:t>
            </w:r>
          </w:p>
        </w:tc>
        <w:tc>
          <w:tcPr>
            <w:tcW w:w="1498" w:type="dxa"/>
            <w:tcBorders>
              <w:top w:val="nil"/>
              <w:left w:val="nil"/>
              <w:bottom w:val="single" w:sz="4" w:space="0" w:color="auto"/>
              <w:right w:val="single" w:sz="4" w:space="0" w:color="auto"/>
            </w:tcBorders>
            <w:shd w:val="clear" w:color="auto" w:fill="C6EFCE"/>
            <w:noWrap/>
            <w:vAlign w:val="center"/>
          </w:tcPr>
          <w:p w14:paraId="06D29F84"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93E3A02" w14:textId="77777777" w:rsidR="006054AA" w:rsidRDefault="001F7667">
            <w:pPr>
              <w:pStyle w:val="P68B1DB1-Normal12"/>
              <w:jc w:val="center"/>
              <w:rPr>
                <w:noProof/>
              </w:rPr>
            </w:pPr>
            <w:r>
              <w:rPr>
                <w:noProof/>
              </w:rPr>
              <w:t>Брой чисти превозни средства за обновителния парк за командването на националната противопожарна служба</w:t>
            </w:r>
          </w:p>
        </w:tc>
      </w:tr>
      <w:tr w:rsidR="006054AA" w14:paraId="2EFE37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25FB2" w14:textId="77777777" w:rsidR="006054AA" w:rsidRDefault="001F7667">
            <w:pPr>
              <w:pStyle w:val="P68B1DB1-Normal12"/>
              <w:jc w:val="center"/>
              <w:rPr>
                <w:noProof/>
              </w:rPr>
            </w:pPr>
            <w:r>
              <w:rPr>
                <w:noProof/>
              </w:rPr>
              <w:t>M2C2—43</w:t>
            </w:r>
          </w:p>
        </w:tc>
        <w:tc>
          <w:tcPr>
            <w:tcW w:w="3090" w:type="dxa"/>
            <w:tcBorders>
              <w:top w:val="nil"/>
              <w:left w:val="nil"/>
              <w:bottom w:val="single" w:sz="4" w:space="0" w:color="auto"/>
              <w:right w:val="single" w:sz="4" w:space="0" w:color="auto"/>
            </w:tcBorders>
            <w:shd w:val="clear" w:color="auto" w:fill="C6EFCE"/>
            <w:noWrap/>
            <w:vAlign w:val="center"/>
          </w:tcPr>
          <w:p w14:paraId="0F3DE7CA" w14:textId="77777777" w:rsidR="006054AA" w:rsidRDefault="001F7667">
            <w:pPr>
              <w:pStyle w:val="P68B1DB1-Normal12"/>
              <w:jc w:val="center"/>
              <w:rPr>
                <w:noProof/>
              </w:rPr>
            </w:pPr>
            <w:r>
              <w:rPr>
                <w:noProof/>
              </w:rPr>
              <w:t xml:space="preserve">Инвестиция 5.4 — Подкрепа за стартиращи предприятия и рисков капитал, активен в екологичния преход. </w:t>
            </w:r>
          </w:p>
        </w:tc>
        <w:tc>
          <w:tcPr>
            <w:tcW w:w="1498" w:type="dxa"/>
            <w:tcBorders>
              <w:top w:val="nil"/>
              <w:left w:val="nil"/>
              <w:bottom w:val="single" w:sz="4" w:space="0" w:color="auto"/>
              <w:right w:val="single" w:sz="4" w:space="0" w:color="auto"/>
            </w:tcBorders>
            <w:shd w:val="clear" w:color="auto" w:fill="C6EFCE"/>
            <w:noWrap/>
            <w:vAlign w:val="center"/>
          </w:tcPr>
          <w:p w14:paraId="54F1E5BB"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F071D5C" w14:textId="77777777" w:rsidR="006054AA" w:rsidRDefault="001F7667">
            <w:pPr>
              <w:pStyle w:val="P68B1DB1-Normal12"/>
              <w:jc w:val="center"/>
              <w:rPr>
                <w:noProof/>
              </w:rPr>
            </w:pPr>
            <w:r>
              <w:rPr>
                <w:noProof/>
              </w:rPr>
              <w:t>Правни споразумения, подписани с фондове за рисков капитал и стартиращи предприятия</w:t>
            </w:r>
          </w:p>
        </w:tc>
      </w:tr>
      <w:tr w:rsidR="006054AA" w14:paraId="75A385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263F7" w14:textId="77777777" w:rsidR="006054AA" w:rsidRDefault="001F7667">
            <w:pPr>
              <w:pStyle w:val="P68B1DB1-Normal12"/>
              <w:jc w:val="center"/>
              <w:rPr>
                <w:noProof/>
              </w:rPr>
            </w:pPr>
            <w:r>
              <w:rPr>
                <w:noProof/>
              </w:rPr>
              <w:t>M2C2—45</w:t>
            </w:r>
          </w:p>
        </w:tc>
        <w:tc>
          <w:tcPr>
            <w:tcW w:w="3090" w:type="dxa"/>
            <w:tcBorders>
              <w:top w:val="nil"/>
              <w:left w:val="nil"/>
              <w:bottom w:val="single" w:sz="4" w:space="0" w:color="auto"/>
              <w:right w:val="single" w:sz="4" w:space="0" w:color="auto"/>
            </w:tcBorders>
            <w:shd w:val="clear" w:color="auto" w:fill="C6EFCE"/>
            <w:noWrap/>
            <w:vAlign w:val="center"/>
          </w:tcPr>
          <w:p w14:paraId="7BB1E187" w14:textId="77777777" w:rsidR="006054AA" w:rsidRDefault="001F7667">
            <w:pPr>
              <w:pStyle w:val="P68B1DB1-Normal12"/>
              <w:jc w:val="center"/>
              <w:rPr>
                <w:noProof/>
              </w:rPr>
            </w:pPr>
            <w:r>
              <w:rPr>
                <w:noProof/>
              </w:rPr>
              <w:t>Инвестиция 1.1 Развитие на агроволтаични системи</w:t>
            </w:r>
          </w:p>
        </w:tc>
        <w:tc>
          <w:tcPr>
            <w:tcW w:w="1498" w:type="dxa"/>
            <w:tcBorders>
              <w:top w:val="nil"/>
              <w:left w:val="nil"/>
              <w:bottom w:val="single" w:sz="4" w:space="0" w:color="auto"/>
              <w:right w:val="single" w:sz="4" w:space="0" w:color="auto"/>
            </w:tcBorders>
            <w:shd w:val="clear" w:color="auto" w:fill="C6EFCE"/>
            <w:noWrap/>
            <w:vAlign w:val="center"/>
          </w:tcPr>
          <w:p w14:paraId="72260056"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6E7CCAB" w14:textId="77777777" w:rsidR="006054AA" w:rsidRDefault="001F7667">
            <w:pPr>
              <w:pStyle w:val="P68B1DB1-Normal12"/>
              <w:jc w:val="center"/>
              <w:rPr>
                <w:noProof/>
              </w:rPr>
            </w:pPr>
            <w:r>
              <w:rPr>
                <w:noProof/>
              </w:rPr>
              <w:t xml:space="preserve">Инсталиране на фотоволтаични слънчеви панели в агрофотоволтаични системи </w:t>
            </w:r>
          </w:p>
        </w:tc>
      </w:tr>
      <w:tr w:rsidR="006054AA" w14:paraId="19D992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46C7E" w14:textId="77777777" w:rsidR="006054AA" w:rsidRDefault="001F7667">
            <w:pPr>
              <w:pStyle w:val="P68B1DB1-Normal12"/>
              <w:jc w:val="center"/>
              <w:rPr>
                <w:noProof/>
              </w:rPr>
            </w:pPr>
            <w:r>
              <w:rPr>
                <w:noProof/>
              </w:rPr>
              <w:t>M2C2—47</w:t>
            </w:r>
          </w:p>
        </w:tc>
        <w:tc>
          <w:tcPr>
            <w:tcW w:w="3090" w:type="dxa"/>
            <w:tcBorders>
              <w:top w:val="nil"/>
              <w:left w:val="nil"/>
              <w:bottom w:val="single" w:sz="4" w:space="0" w:color="auto"/>
              <w:right w:val="single" w:sz="4" w:space="0" w:color="auto"/>
            </w:tcBorders>
            <w:shd w:val="clear" w:color="auto" w:fill="C6EFCE"/>
            <w:noWrap/>
            <w:vAlign w:val="center"/>
          </w:tcPr>
          <w:p w14:paraId="6502E939" w14:textId="77777777" w:rsidR="006054AA" w:rsidRDefault="001F7667">
            <w:pPr>
              <w:pStyle w:val="P68B1DB1-Normal12"/>
              <w:jc w:val="center"/>
              <w:rPr>
                <w:noProof/>
              </w:rPr>
            </w:pPr>
            <w:r>
              <w:rPr>
                <w:noProof/>
              </w:rPr>
              <w:t>Инвестиция 1.2 Насърчаване на ВЕИ за енергийните общности и съвместно действащите потребители на собствена електроенергия от възобновяеми източници</w:t>
            </w:r>
          </w:p>
        </w:tc>
        <w:tc>
          <w:tcPr>
            <w:tcW w:w="1498" w:type="dxa"/>
            <w:tcBorders>
              <w:top w:val="nil"/>
              <w:left w:val="nil"/>
              <w:bottom w:val="single" w:sz="4" w:space="0" w:color="auto"/>
              <w:right w:val="single" w:sz="4" w:space="0" w:color="auto"/>
            </w:tcBorders>
            <w:shd w:val="clear" w:color="auto" w:fill="C6EFCE"/>
            <w:noWrap/>
            <w:vAlign w:val="center"/>
          </w:tcPr>
          <w:p w14:paraId="3BBA2C8A"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04B7522" w14:textId="77777777" w:rsidR="006054AA" w:rsidRDefault="001F7667">
            <w:pPr>
              <w:pStyle w:val="P68B1DB1-Normal12"/>
              <w:jc w:val="center"/>
              <w:rPr>
                <w:noProof/>
              </w:rPr>
            </w:pPr>
            <w:r>
              <w:rPr>
                <w:noProof/>
              </w:rPr>
              <w:t>Производство на енергия от възобновяеми източници на енергийни общности и съвместно действащи потребители на собствена електроенергия от възобновяеми източници</w:t>
            </w:r>
          </w:p>
        </w:tc>
      </w:tr>
      <w:tr w:rsidR="006054AA" w14:paraId="48C07C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DF1A07" w14:textId="77777777" w:rsidR="006054AA" w:rsidRDefault="001F7667">
            <w:pPr>
              <w:pStyle w:val="P68B1DB1-Normal12"/>
              <w:jc w:val="center"/>
              <w:rPr>
                <w:noProof/>
              </w:rPr>
            </w:pPr>
            <w:r>
              <w:rPr>
                <w:noProof/>
              </w:rPr>
              <w:t>M2C2—49</w:t>
            </w:r>
          </w:p>
        </w:tc>
        <w:tc>
          <w:tcPr>
            <w:tcW w:w="3090" w:type="dxa"/>
            <w:tcBorders>
              <w:top w:val="nil"/>
              <w:left w:val="nil"/>
              <w:bottom w:val="single" w:sz="4" w:space="0" w:color="auto"/>
              <w:right w:val="single" w:sz="4" w:space="0" w:color="auto"/>
            </w:tcBorders>
            <w:shd w:val="clear" w:color="auto" w:fill="C6EFCE"/>
            <w:noWrap/>
            <w:vAlign w:val="center"/>
          </w:tcPr>
          <w:p w14:paraId="6BF64F50" w14:textId="77777777" w:rsidR="006054AA" w:rsidRDefault="001F7667">
            <w:pPr>
              <w:pStyle w:val="P68B1DB1-Normal12"/>
              <w:jc w:val="center"/>
              <w:rPr>
                <w:noProof/>
              </w:rPr>
            </w:pPr>
            <w:r>
              <w:rPr>
                <w:noProof/>
              </w:rPr>
              <w:t>Инвестиция 3.1 Производство на водород в изоставени промишлени терени (водородни долини)</w:t>
            </w:r>
          </w:p>
        </w:tc>
        <w:tc>
          <w:tcPr>
            <w:tcW w:w="1498" w:type="dxa"/>
            <w:tcBorders>
              <w:top w:val="nil"/>
              <w:left w:val="nil"/>
              <w:bottom w:val="single" w:sz="4" w:space="0" w:color="auto"/>
              <w:right w:val="single" w:sz="4" w:space="0" w:color="auto"/>
            </w:tcBorders>
            <w:shd w:val="clear" w:color="auto" w:fill="C6EFCE"/>
            <w:noWrap/>
            <w:vAlign w:val="center"/>
          </w:tcPr>
          <w:p w14:paraId="634DA8EC"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5563F20" w14:textId="77777777" w:rsidR="006054AA" w:rsidRDefault="001F7667">
            <w:pPr>
              <w:pStyle w:val="P68B1DB1-Normal12"/>
              <w:jc w:val="center"/>
              <w:rPr>
                <w:noProof/>
              </w:rPr>
            </w:pPr>
            <w:r>
              <w:rPr>
                <w:noProof/>
              </w:rPr>
              <w:t>Приключване на проекта за производство на водород в промишлени райони</w:t>
            </w:r>
          </w:p>
        </w:tc>
      </w:tr>
      <w:tr w:rsidR="006054AA" w14:paraId="3DCC0C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282F3" w14:textId="77777777" w:rsidR="006054AA" w:rsidRDefault="001F7667">
            <w:pPr>
              <w:pStyle w:val="P68B1DB1-Normal12"/>
              <w:jc w:val="center"/>
              <w:rPr>
                <w:noProof/>
              </w:rPr>
            </w:pPr>
            <w:r>
              <w:rPr>
                <w:noProof/>
              </w:rPr>
              <w:t>M2C2—51</w:t>
            </w:r>
          </w:p>
        </w:tc>
        <w:tc>
          <w:tcPr>
            <w:tcW w:w="3090" w:type="dxa"/>
            <w:tcBorders>
              <w:top w:val="nil"/>
              <w:left w:val="nil"/>
              <w:bottom w:val="single" w:sz="4" w:space="0" w:color="auto"/>
              <w:right w:val="single" w:sz="4" w:space="0" w:color="auto"/>
            </w:tcBorders>
            <w:shd w:val="clear" w:color="auto" w:fill="C6EFCE"/>
            <w:noWrap/>
            <w:vAlign w:val="center"/>
          </w:tcPr>
          <w:p w14:paraId="78E67040" w14:textId="77777777" w:rsidR="006054AA" w:rsidRDefault="001F7667">
            <w:pPr>
              <w:pStyle w:val="P68B1DB1-Normal12"/>
              <w:jc w:val="center"/>
              <w:rPr>
                <w:noProof/>
              </w:rPr>
            </w:pPr>
            <w:r>
              <w:rPr>
                <w:noProof/>
              </w:rPr>
              <w:t>Инвестиция 3.2 — Използване на водород в трудна за намаляване на емисиите промишленост</w:t>
            </w:r>
          </w:p>
        </w:tc>
        <w:tc>
          <w:tcPr>
            <w:tcW w:w="1498" w:type="dxa"/>
            <w:tcBorders>
              <w:top w:val="nil"/>
              <w:left w:val="nil"/>
              <w:bottom w:val="single" w:sz="4" w:space="0" w:color="auto"/>
              <w:right w:val="single" w:sz="4" w:space="0" w:color="auto"/>
            </w:tcBorders>
            <w:shd w:val="clear" w:color="auto" w:fill="C6EFCE"/>
            <w:noWrap/>
            <w:vAlign w:val="center"/>
          </w:tcPr>
          <w:p w14:paraId="3B6D4E7F"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B6932BA" w14:textId="77777777" w:rsidR="006054AA" w:rsidRDefault="001F7667">
            <w:pPr>
              <w:pStyle w:val="P68B1DB1-Normal12"/>
              <w:jc w:val="center"/>
              <w:rPr>
                <w:noProof/>
              </w:rPr>
            </w:pPr>
            <w:r>
              <w:rPr>
                <w:noProof/>
              </w:rPr>
              <w:t>Въвеждане на водорода в промишления процес</w:t>
            </w:r>
          </w:p>
        </w:tc>
      </w:tr>
      <w:tr w:rsidR="006054AA" w14:paraId="4BCA14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0A1DD1" w14:textId="77777777" w:rsidR="006054AA" w:rsidRDefault="001F7667">
            <w:pPr>
              <w:pStyle w:val="P68B1DB1-Normal12"/>
              <w:jc w:val="center"/>
              <w:rPr>
                <w:noProof/>
              </w:rPr>
            </w:pPr>
            <w:r>
              <w:rPr>
                <w:noProof/>
              </w:rPr>
              <w:t>M2C2—53</w:t>
            </w:r>
          </w:p>
        </w:tc>
        <w:tc>
          <w:tcPr>
            <w:tcW w:w="3090" w:type="dxa"/>
            <w:tcBorders>
              <w:top w:val="nil"/>
              <w:left w:val="nil"/>
              <w:bottom w:val="single" w:sz="4" w:space="0" w:color="auto"/>
              <w:right w:val="single" w:sz="4" w:space="0" w:color="auto"/>
            </w:tcBorders>
            <w:shd w:val="clear" w:color="auto" w:fill="C6EFCE"/>
            <w:noWrap/>
            <w:vAlign w:val="center"/>
          </w:tcPr>
          <w:p w14:paraId="1726B54B" w14:textId="77777777" w:rsidR="006054AA" w:rsidRDefault="001F7667">
            <w:pPr>
              <w:pStyle w:val="P68B1DB1-Normal12"/>
              <w:jc w:val="center"/>
              <w:rPr>
                <w:noProof/>
              </w:rPr>
            </w:pPr>
            <w:r>
              <w:rPr>
                <w:noProof/>
              </w:rPr>
              <w:t>Инвестиция 5.2 Водород</w:t>
            </w:r>
          </w:p>
        </w:tc>
        <w:tc>
          <w:tcPr>
            <w:tcW w:w="1498" w:type="dxa"/>
            <w:tcBorders>
              <w:top w:val="nil"/>
              <w:left w:val="nil"/>
              <w:bottom w:val="single" w:sz="4" w:space="0" w:color="auto"/>
              <w:right w:val="single" w:sz="4" w:space="0" w:color="auto"/>
            </w:tcBorders>
            <w:shd w:val="clear" w:color="auto" w:fill="C6EFCE"/>
            <w:noWrap/>
            <w:vAlign w:val="center"/>
          </w:tcPr>
          <w:p w14:paraId="4305B3F8"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CD61400" w14:textId="77777777" w:rsidR="006054AA" w:rsidRDefault="001F7667">
            <w:pPr>
              <w:pStyle w:val="P68B1DB1-Normal12"/>
              <w:jc w:val="center"/>
              <w:rPr>
                <w:noProof/>
              </w:rPr>
            </w:pPr>
            <w:r>
              <w:rPr>
                <w:noProof/>
              </w:rPr>
              <w:t xml:space="preserve">Възлагане на всички обществени поръчки за завършване на промишлено предприятие за производство на електролизьори </w:t>
            </w:r>
          </w:p>
        </w:tc>
      </w:tr>
      <w:tr w:rsidR="006054AA" w14:paraId="64961C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8EA24C" w14:textId="77777777" w:rsidR="006054AA" w:rsidRDefault="001F7667">
            <w:pPr>
              <w:pStyle w:val="P68B1DB1-Normal12"/>
              <w:jc w:val="center"/>
              <w:rPr>
                <w:noProof/>
              </w:rPr>
            </w:pPr>
            <w:r>
              <w:rPr>
                <w:noProof/>
              </w:rPr>
              <w:t>M2C4—11ter</w:t>
            </w:r>
          </w:p>
        </w:tc>
        <w:tc>
          <w:tcPr>
            <w:tcW w:w="3090" w:type="dxa"/>
            <w:tcBorders>
              <w:top w:val="nil"/>
              <w:left w:val="nil"/>
              <w:bottom w:val="single" w:sz="4" w:space="0" w:color="auto"/>
              <w:right w:val="single" w:sz="4" w:space="0" w:color="auto"/>
            </w:tcBorders>
            <w:shd w:val="clear" w:color="auto" w:fill="C6EFCE"/>
            <w:noWrap/>
            <w:vAlign w:val="center"/>
          </w:tcPr>
          <w:p w14:paraId="54F512CD" w14:textId="77777777" w:rsidR="006054AA" w:rsidRDefault="001F7667">
            <w:pPr>
              <w:pStyle w:val="P68B1DB1-Normal12"/>
              <w:jc w:val="center"/>
              <w:rPr>
                <w:noProof/>
              </w:rPr>
            </w:pPr>
            <w:r>
              <w:rPr>
                <w:noProof/>
              </w:rPr>
              <w:t>Инвестиция 2.1.а. Мерки за намаляване на риска от наводнения и хидрогеоложки рискове — Интервенции в Емилия-Романя, Тоскана и Марке</w:t>
            </w:r>
          </w:p>
        </w:tc>
        <w:tc>
          <w:tcPr>
            <w:tcW w:w="1498" w:type="dxa"/>
            <w:tcBorders>
              <w:top w:val="nil"/>
              <w:left w:val="nil"/>
              <w:bottom w:val="single" w:sz="4" w:space="0" w:color="auto"/>
              <w:right w:val="single" w:sz="4" w:space="0" w:color="auto"/>
            </w:tcBorders>
            <w:shd w:val="clear" w:color="auto" w:fill="C6EFCE"/>
            <w:noWrap/>
            <w:vAlign w:val="center"/>
          </w:tcPr>
          <w:p w14:paraId="58DF3077" w14:textId="77777777" w:rsidR="006054AA" w:rsidRDefault="001F7667">
            <w:pPr>
              <w:pStyle w:val="P68B1DB1-Normal12"/>
              <w:jc w:val="center"/>
              <w:rPr>
                <w:noProof/>
              </w:rPr>
            </w:pPr>
            <w:r>
              <w:rPr>
                <w:noProof/>
              </w:rPr>
              <w:t>Ключов етап</w:t>
            </w:r>
          </w:p>
        </w:tc>
        <w:tc>
          <w:tcPr>
            <w:tcW w:w="4091" w:type="dxa"/>
            <w:tcBorders>
              <w:top w:val="nil"/>
              <w:left w:val="nil"/>
              <w:bottom w:val="single" w:sz="4" w:space="0" w:color="auto"/>
              <w:right w:val="single" w:sz="4" w:space="0" w:color="auto"/>
            </w:tcBorders>
            <w:shd w:val="clear" w:color="auto" w:fill="C6EFCE"/>
            <w:noWrap/>
            <w:vAlign w:val="center"/>
          </w:tcPr>
          <w:p w14:paraId="055337F3" w14:textId="77777777" w:rsidR="006054AA" w:rsidRDefault="001F7667">
            <w:pPr>
              <w:pStyle w:val="P68B1DB1-Normal12"/>
              <w:jc w:val="center"/>
              <w:rPr>
                <w:noProof/>
              </w:rPr>
            </w:pPr>
            <w:r>
              <w:rPr>
                <w:noProof/>
              </w:rPr>
              <w:t>Приключване на проекти</w:t>
            </w:r>
          </w:p>
        </w:tc>
      </w:tr>
      <w:tr w:rsidR="006054AA" w14:paraId="5572E4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C78FB4" w14:textId="77777777" w:rsidR="006054AA" w:rsidRDefault="001F7667">
            <w:pPr>
              <w:pStyle w:val="P68B1DB1-Normal12"/>
              <w:jc w:val="center"/>
              <w:rPr>
                <w:noProof/>
              </w:rPr>
            </w:pPr>
            <w:r>
              <w:rPr>
                <w:noProof/>
              </w:rPr>
              <w:t>M2C4—13</w:t>
            </w:r>
          </w:p>
        </w:tc>
        <w:tc>
          <w:tcPr>
            <w:tcW w:w="3090" w:type="dxa"/>
            <w:tcBorders>
              <w:top w:val="nil"/>
              <w:left w:val="nil"/>
              <w:bottom w:val="single" w:sz="4" w:space="0" w:color="auto"/>
              <w:right w:val="single" w:sz="4" w:space="0" w:color="auto"/>
            </w:tcBorders>
            <w:shd w:val="clear" w:color="auto" w:fill="C6EFCE"/>
            <w:noWrap/>
            <w:vAlign w:val="center"/>
          </w:tcPr>
          <w:p w14:paraId="1BE0EA46" w14:textId="77777777" w:rsidR="006054AA" w:rsidRDefault="001F7667">
            <w:pPr>
              <w:pStyle w:val="P68B1DB1-Normal12"/>
              <w:jc w:val="center"/>
              <w:rPr>
                <w:noProof/>
              </w:rPr>
            </w:pPr>
            <w:r>
              <w:rPr>
                <w:noProof/>
              </w:rPr>
              <w:t>Инвестиция 2.1б — Мерки за намаляване на риска от наводнения и хидрогеоложки рискове</w:t>
            </w:r>
          </w:p>
        </w:tc>
        <w:tc>
          <w:tcPr>
            <w:tcW w:w="1498" w:type="dxa"/>
            <w:tcBorders>
              <w:top w:val="nil"/>
              <w:left w:val="nil"/>
              <w:bottom w:val="single" w:sz="4" w:space="0" w:color="auto"/>
              <w:right w:val="single" w:sz="4" w:space="0" w:color="auto"/>
            </w:tcBorders>
            <w:shd w:val="clear" w:color="auto" w:fill="C6EFCE"/>
            <w:noWrap/>
            <w:vAlign w:val="center"/>
          </w:tcPr>
          <w:p w14:paraId="1E8838E7"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AFBB59B" w14:textId="77777777" w:rsidR="006054AA" w:rsidRDefault="001F7667">
            <w:pPr>
              <w:pStyle w:val="P68B1DB1-Normal12"/>
              <w:jc w:val="center"/>
              <w:rPr>
                <w:noProof/>
              </w:rPr>
            </w:pPr>
            <w:r>
              <w:rPr>
                <w:noProof/>
              </w:rPr>
              <w:t>Приключване на интервенции от тип Г и тип Д</w:t>
            </w:r>
          </w:p>
        </w:tc>
      </w:tr>
      <w:tr w:rsidR="006054AA" w14:paraId="7A5BB3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AC8A6E" w14:textId="77777777" w:rsidR="006054AA" w:rsidRDefault="001F7667">
            <w:pPr>
              <w:pStyle w:val="P68B1DB1-Normal12"/>
              <w:jc w:val="center"/>
              <w:rPr>
                <w:noProof/>
              </w:rPr>
            </w:pPr>
            <w:r>
              <w:rPr>
                <w:noProof/>
              </w:rPr>
              <w:t>M2C4—20bis</w:t>
            </w:r>
          </w:p>
        </w:tc>
        <w:tc>
          <w:tcPr>
            <w:tcW w:w="3090" w:type="dxa"/>
            <w:tcBorders>
              <w:top w:val="nil"/>
              <w:left w:val="nil"/>
              <w:bottom w:val="single" w:sz="4" w:space="0" w:color="auto"/>
              <w:right w:val="single" w:sz="4" w:space="0" w:color="auto"/>
            </w:tcBorders>
            <w:shd w:val="clear" w:color="auto" w:fill="C6EFCE"/>
            <w:noWrap/>
            <w:vAlign w:val="center"/>
          </w:tcPr>
          <w:p w14:paraId="7D47637E" w14:textId="77777777" w:rsidR="006054AA" w:rsidRDefault="001F7667">
            <w:pPr>
              <w:pStyle w:val="P68B1DB1-Normal12"/>
              <w:jc w:val="center"/>
              <w:rPr>
                <w:noProof/>
              </w:rPr>
            </w:pPr>
            <w:r>
              <w:rPr>
                <w:noProof/>
              </w:rPr>
              <w:t>Инвестиции. 3.1: Опазване и подобряване на градските и крайградските гори</w:t>
            </w:r>
          </w:p>
        </w:tc>
        <w:tc>
          <w:tcPr>
            <w:tcW w:w="1498" w:type="dxa"/>
            <w:tcBorders>
              <w:top w:val="nil"/>
              <w:left w:val="nil"/>
              <w:bottom w:val="single" w:sz="4" w:space="0" w:color="auto"/>
              <w:right w:val="single" w:sz="4" w:space="0" w:color="auto"/>
            </w:tcBorders>
            <w:shd w:val="clear" w:color="auto" w:fill="C6EFCE"/>
            <w:noWrap/>
            <w:vAlign w:val="center"/>
          </w:tcPr>
          <w:p w14:paraId="36C0C83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CCCDD8A" w14:textId="77777777" w:rsidR="006054AA" w:rsidRDefault="001F7667">
            <w:pPr>
              <w:pStyle w:val="P68B1DB1-Normal12"/>
              <w:jc w:val="center"/>
              <w:rPr>
                <w:noProof/>
              </w:rPr>
            </w:pPr>
            <w:r>
              <w:rPr>
                <w:noProof/>
              </w:rPr>
              <w:t xml:space="preserve">Растителни дървета за защита и валоризация на градски и крайградски зелени площи T3 </w:t>
            </w:r>
          </w:p>
        </w:tc>
      </w:tr>
      <w:tr w:rsidR="006054AA" w14:paraId="3260E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304F5" w14:textId="77777777" w:rsidR="006054AA" w:rsidRDefault="001F7667">
            <w:pPr>
              <w:pStyle w:val="P68B1DB1-Normal12"/>
              <w:jc w:val="center"/>
              <w:rPr>
                <w:noProof/>
              </w:rPr>
            </w:pPr>
            <w:r>
              <w:rPr>
                <w:noProof/>
              </w:rPr>
              <w:t>M2C4—34bis</w:t>
            </w:r>
          </w:p>
        </w:tc>
        <w:tc>
          <w:tcPr>
            <w:tcW w:w="3090" w:type="dxa"/>
            <w:tcBorders>
              <w:top w:val="nil"/>
              <w:left w:val="nil"/>
              <w:bottom w:val="single" w:sz="4" w:space="0" w:color="auto"/>
              <w:right w:val="single" w:sz="4" w:space="0" w:color="auto"/>
            </w:tcBorders>
            <w:shd w:val="clear" w:color="auto" w:fill="C6EFCE"/>
            <w:noWrap/>
            <w:vAlign w:val="center"/>
          </w:tcPr>
          <w:p w14:paraId="2DE1E66C" w14:textId="77777777" w:rsidR="006054AA" w:rsidRDefault="001F7667">
            <w:pPr>
              <w:pStyle w:val="P68B1DB1-Normal12"/>
              <w:jc w:val="center"/>
              <w:rPr>
                <w:noProof/>
              </w:rPr>
            </w:pPr>
            <w:r>
              <w:rPr>
                <w:noProof/>
              </w:rPr>
              <w:t>Инвестиция 4.3 Инвестиции в устойчивостта на напоителната агросистема за по-добро управление на водните ресурси</w:t>
            </w:r>
          </w:p>
        </w:tc>
        <w:tc>
          <w:tcPr>
            <w:tcW w:w="1498" w:type="dxa"/>
            <w:tcBorders>
              <w:top w:val="nil"/>
              <w:left w:val="nil"/>
              <w:bottom w:val="single" w:sz="4" w:space="0" w:color="auto"/>
              <w:right w:val="single" w:sz="4" w:space="0" w:color="auto"/>
            </w:tcBorders>
            <w:shd w:val="clear" w:color="auto" w:fill="C6EFCE"/>
            <w:noWrap/>
            <w:vAlign w:val="center"/>
          </w:tcPr>
          <w:p w14:paraId="4E5198A5"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2B59E2DC" w14:textId="77777777" w:rsidR="006054AA" w:rsidRDefault="001F7667">
            <w:pPr>
              <w:pStyle w:val="P68B1DB1-Normal12"/>
              <w:jc w:val="center"/>
              <w:rPr>
                <w:noProof/>
              </w:rPr>
            </w:pPr>
            <w:r>
              <w:rPr>
                <w:noProof/>
              </w:rPr>
              <w:t>Интервенции за устойчивостта на напоителната агросистема за по-добро управление на водните ресурси Т1</w:t>
            </w:r>
          </w:p>
        </w:tc>
      </w:tr>
      <w:tr w:rsidR="006054AA" w14:paraId="31099E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B79B3B" w14:textId="77777777" w:rsidR="006054AA" w:rsidRDefault="001F7667">
            <w:pPr>
              <w:pStyle w:val="P68B1DB1-Normal12"/>
              <w:jc w:val="center"/>
              <w:rPr>
                <w:noProof/>
              </w:rPr>
            </w:pPr>
            <w:r>
              <w:rPr>
                <w:noProof/>
              </w:rPr>
              <w:t>M3C1—6</w:t>
            </w:r>
          </w:p>
        </w:tc>
        <w:tc>
          <w:tcPr>
            <w:tcW w:w="3090" w:type="dxa"/>
            <w:tcBorders>
              <w:top w:val="nil"/>
              <w:left w:val="nil"/>
              <w:bottom w:val="single" w:sz="4" w:space="0" w:color="auto"/>
              <w:right w:val="single" w:sz="4" w:space="0" w:color="auto"/>
            </w:tcBorders>
            <w:shd w:val="clear" w:color="auto" w:fill="C6EFCE"/>
            <w:noWrap/>
            <w:vAlign w:val="center"/>
          </w:tcPr>
          <w:p w14:paraId="23CAF4F6" w14:textId="77777777" w:rsidR="006054AA" w:rsidRDefault="001F7667">
            <w:pPr>
              <w:pStyle w:val="P68B1DB1-Normal12"/>
              <w:jc w:val="center"/>
              <w:rPr>
                <w:noProof/>
              </w:rPr>
            </w:pPr>
            <w:r>
              <w:rPr>
                <w:noProof/>
              </w:rPr>
              <w:t>Инвестиция 1.1 — Високоскоростни железопътни връзки на юг за пътници и товари</w:t>
            </w:r>
          </w:p>
        </w:tc>
        <w:tc>
          <w:tcPr>
            <w:tcW w:w="1498" w:type="dxa"/>
            <w:tcBorders>
              <w:top w:val="nil"/>
              <w:left w:val="nil"/>
              <w:bottom w:val="single" w:sz="4" w:space="0" w:color="auto"/>
              <w:right w:val="single" w:sz="4" w:space="0" w:color="auto"/>
            </w:tcBorders>
            <w:shd w:val="clear" w:color="auto" w:fill="C6EFCE"/>
            <w:noWrap/>
            <w:vAlign w:val="center"/>
          </w:tcPr>
          <w:p w14:paraId="3C2442A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61CFC58" w14:textId="77777777" w:rsidR="006054AA" w:rsidRDefault="001F7667">
            <w:pPr>
              <w:pStyle w:val="P68B1DB1-Normal12"/>
              <w:jc w:val="center"/>
              <w:rPr>
                <w:noProof/>
              </w:rPr>
            </w:pPr>
            <w:r>
              <w:rPr>
                <w:noProof/>
              </w:rPr>
              <w:t>Високоскоростен железопътен транспорт както за пътници, така и за товари по линиите Наполи-Бари, Салерно-Реджо Калабрия, Палермо-Катания</w:t>
            </w:r>
          </w:p>
        </w:tc>
      </w:tr>
      <w:tr w:rsidR="006054AA" w14:paraId="6C7B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CA920" w14:textId="77777777" w:rsidR="006054AA" w:rsidRDefault="001F7667">
            <w:pPr>
              <w:pStyle w:val="P68B1DB1-Normal12"/>
              <w:jc w:val="center"/>
              <w:rPr>
                <w:noProof/>
              </w:rPr>
            </w:pPr>
            <w:r>
              <w:rPr>
                <w:noProof/>
              </w:rPr>
              <w:t>M3C1—24</w:t>
            </w:r>
          </w:p>
        </w:tc>
        <w:tc>
          <w:tcPr>
            <w:tcW w:w="3090" w:type="dxa"/>
            <w:tcBorders>
              <w:top w:val="nil"/>
              <w:left w:val="nil"/>
              <w:bottom w:val="single" w:sz="4" w:space="0" w:color="auto"/>
              <w:right w:val="single" w:sz="4" w:space="0" w:color="auto"/>
            </w:tcBorders>
            <w:shd w:val="clear" w:color="auto" w:fill="C6EFCE"/>
            <w:noWrap/>
            <w:vAlign w:val="center"/>
          </w:tcPr>
          <w:p w14:paraId="55C126F0" w14:textId="77777777" w:rsidR="006054AA" w:rsidRDefault="001F7667">
            <w:pPr>
              <w:pStyle w:val="P68B1DB1-Normal12"/>
              <w:jc w:val="center"/>
              <w:rPr>
                <w:noProof/>
              </w:rPr>
            </w:pPr>
            <w:r>
              <w:rPr>
                <w:noProof/>
              </w:rPr>
              <w:t>Инвестиция 1.9 Междурегионални връзки</w:t>
            </w:r>
          </w:p>
        </w:tc>
        <w:tc>
          <w:tcPr>
            <w:tcW w:w="1498" w:type="dxa"/>
            <w:tcBorders>
              <w:top w:val="nil"/>
              <w:left w:val="nil"/>
              <w:bottom w:val="single" w:sz="4" w:space="0" w:color="auto"/>
              <w:right w:val="single" w:sz="4" w:space="0" w:color="auto"/>
            </w:tcBorders>
            <w:shd w:val="clear" w:color="auto" w:fill="C6EFCE"/>
            <w:noWrap/>
            <w:vAlign w:val="center"/>
          </w:tcPr>
          <w:p w14:paraId="6DFF97C2"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16DCDC3" w14:textId="77777777" w:rsidR="006054AA" w:rsidRDefault="001F7667">
            <w:pPr>
              <w:pStyle w:val="P68B1DB1-Normal12"/>
              <w:jc w:val="center"/>
              <w:rPr>
                <w:noProof/>
              </w:rPr>
            </w:pPr>
            <w:r>
              <w:rPr>
                <w:noProof/>
              </w:rPr>
              <w:t>Инвестиция 1.9 Междурегионални връзки</w:t>
            </w:r>
          </w:p>
        </w:tc>
      </w:tr>
      <w:tr w:rsidR="006054AA" w14:paraId="37D95E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64AF0" w14:textId="77777777" w:rsidR="006054AA" w:rsidRDefault="001F7667">
            <w:pPr>
              <w:pStyle w:val="P68B1DB1-Normal12"/>
              <w:jc w:val="center"/>
              <w:rPr>
                <w:noProof/>
              </w:rPr>
            </w:pPr>
            <w:r>
              <w:rPr>
                <w:noProof/>
              </w:rPr>
              <w:t>M3C1—9</w:t>
            </w:r>
          </w:p>
        </w:tc>
        <w:tc>
          <w:tcPr>
            <w:tcW w:w="3090" w:type="dxa"/>
            <w:tcBorders>
              <w:top w:val="nil"/>
              <w:left w:val="nil"/>
              <w:bottom w:val="single" w:sz="4" w:space="0" w:color="auto"/>
              <w:right w:val="single" w:sz="4" w:space="0" w:color="auto"/>
            </w:tcBorders>
            <w:shd w:val="clear" w:color="auto" w:fill="C6EFCE"/>
            <w:noWrap/>
            <w:vAlign w:val="center"/>
          </w:tcPr>
          <w:p w14:paraId="3EB5CF0D" w14:textId="77777777" w:rsidR="006054AA" w:rsidRDefault="001F7667">
            <w:pPr>
              <w:pStyle w:val="P68B1DB1-Normal12"/>
              <w:jc w:val="center"/>
              <w:rPr>
                <w:noProof/>
              </w:rPr>
            </w:pPr>
            <w:r>
              <w:rPr>
                <w:noProof/>
              </w:rPr>
              <w:t>Инвестиция 1.2 — Високоскоростни линии на север, свързващи със сцената на Европа</w:t>
            </w:r>
          </w:p>
        </w:tc>
        <w:tc>
          <w:tcPr>
            <w:tcW w:w="1498" w:type="dxa"/>
            <w:tcBorders>
              <w:top w:val="nil"/>
              <w:left w:val="nil"/>
              <w:bottom w:val="single" w:sz="4" w:space="0" w:color="auto"/>
              <w:right w:val="single" w:sz="4" w:space="0" w:color="auto"/>
            </w:tcBorders>
            <w:shd w:val="clear" w:color="auto" w:fill="C6EFCE"/>
            <w:noWrap/>
            <w:vAlign w:val="center"/>
          </w:tcPr>
          <w:p w14:paraId="5FD4F4D8"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7C1FB7B" w14:textId="77777777" w:rsidR="006054AA" w:rsidRDefault="001F7667">
            <w:pPr>
              <w:pStyle w:val="P68B1DB1-Normal12"/>
              <w:jc w:val="center"/>
              <w:rPr>
                <w:noProof/>
              </w:rPr>
            </w:pPr>
            <w:r>
              <w:rPr>
                <w:noProof/>
              </w:rPr>
              <w:t>Високоскоростен железопътен транспорт както за пътници, така и за товари по линиите Brescia-Verona-Vicenza-Padova; Лигурия — Алпи.</w:t>
            </w:r>
          </w:p>
        </w:tc>
      </w:tr>
      <w:tr w:rsidR="006054AA" w14:paraId="5B84FC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0DEC6B" w14:textId="77777777" w:rsidR="006054AA" w:rsidRDefault="001F7667">
            <w:pPr>
              <w:pStyle w:val="P68B1DB1-Normal12"/>
              <w:jc w:val="center"/>
              <w:rPr>
                <w:noProof/>
              </w:rPr>
            </w:pPr>
            <w:r>
              <w:rPr>
                <w:noProof/>
              </w:rPr>
              <w:t>M3C1—11</w:t>
            </w:r>
          </w:p>
        </w:tc>
        <w:tc>
          <w:tcPr>
            <w:tcW w:w="3090" w:type="dxa"/>
            <w:tcBorders>
              <w:top w:val="nil"/>
              <w:left w:val="nil"/>
              <w:bottom w:val="single" w:sz="4" w:space="0" w:color="auto"/>
              <w:right w:val="single" w:sz="4" w:space="0" w:color="auto"/>
            </w:tcBorders>
            <w:shd w:val="clear" w:color="auto" w:fill="C6EFCE"/>
            <w:noWrap/>
            <w:vAlign w:val="center"/>
          </w:tcPr>
          <w:p w14:paraId="1633957F" w14:textId="77777777" w:rsidR="006054AA" w:rsidRDefault="001F7667">
            <w:pPr>
              <w:pStyle w:val="P68B1DB1-Normal12"/>
              <w:jc w:val="center"/>
              <w:rPr>
                <w:noProof/>
              </w:rPr>
            </w:pPr>
            <w:r>
              <w:rPr>
                <w:noProof/>
              </w:rPr>
              <w:t>Инвестиция 1.3 — Диагонални връзки</w:t>
            </w:r>
          </w:p>
        </w:tc>
        <w:tc>
          <w:tcPr>
            <w:tcW w:w="1498" w:type="dxa"/>
            <w:tcBorders>
              <w:top w:val="nil"/>
              <w:left w:val="nil"/>
              <w:bottom w:val="single" w:sz="4" w:space="0" w:color="auto"/>
              <w:right w:val="single" w:sz="4" w:space="0" w:color="auto"/>
            </w:tcBorders>
            <w:shd w:val="clear" w:color="auto" w:fill="C6EFCE"/>
            <w:noWrap/>
            <w:vAlign w:val="center"/>
          </w:tcPr>
          <w:p w14:paraId="53FAEDB2"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C7DA738" w14:textId="77777777" w:rsidR="006054AA" w:rsidRDefault="001F7667">
            <w:pPr>
              <w:pStyle w:val="P68B1DB1-Normal12"/>
              <w:jc w:val="center"/>
              <w:rPr>
                <w:noProof/>
              </w:rPr>
            </w:pPr>
            <w:r>
              <w:rPr>
                <w:noProof/>
              </w:rPr>
              <w:t>Високоскоростен железопътен транспорт както за пътници, така и за товари по линията Орте-Фалконара и Таранто — Метапонто-Потенца-Батипалия</w:t>
            </w:r>
          </w:p>
        </w:tc>
      </w:tr>
      <w:tr w:rsidR="006054AA" w14:paraId="750EBB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CCA0E6" w14:textId="77777777" w:rsidR="006054AA" w:rsidRDefault="001F7667">
            <w:pPr>
              <w:pStyle w:val="P68B1DB1-Normal12"/>
              <w:jc w:val="center"/>
              <w:rPr>
                <w:noProof/>
              </w:rPr>
            </w:pPr>
            <w:r>
              <w:rPr>
                <w:noProof/>
              </w:rPr>
              <w:t>M3C1—14</w:t>
            </w:r>
          </w:p>
        </w:tc>
        <w:tc>
          <w:tcPr>
            <w:tcW w:w="3090" w:type="dxa"/>
            <w:tcBorders>
              <w:top w:val="nil"/>
              <w:left w:val="nil"/>
              <w:bottom w:val="single" w:sz="4" w:space="0" w:color="auto"/>
              <w:right w:val="single" w:sz="4" w:space="0" w:color="auto"/>
            </w:tcBorders>
            <w:shd w:val="clear" w:color="auto" w:fill="C6EFCE"/>
            <w:noWrap/>
            <w:vAlign w:val="center"/>
          </w:tcPr>
          <w:p w14:paraId="20456602" w14:textId="77777777" w:rsidR="006054AA" w:rsidRDefault="001F7667">
            <w:pPr>
              <w:pStyle w:val="P68B1DB1-Normal12"/>
              <w:jc w:val="center"/>
              <w:rPr>
                <w:noProof/>
              </w:rPr>
            </w:pPr>
            <w:r>
              <w:rPr>
                <w:noProof/>
              </w:rPr>
              <w:t>Инвестиция 1.4 — Въвеждане на Европейската система за управление на железопътния транспорт (ERTMS)</w:t>
            </w:r>
          </w:p>
        </w:tc>
        <w:tc>
          <w:tcPr>
            <w:tcW w:w="1498" w:type="dxa"/>
            <w:tcBorders>
              <w:top w:val="nil"/>
              <w:left w:val="nil"/>
              <w:bottom w:val="single" w:sz="4" w:space="0" w:color="auto"/>
              <w:right w:val="single" w:sz="4" w:space="0" w:color="auto"/>
            </w:tcBorders>
            <w:shd w:val="clear" w:color="auto" w:fill="C6EFCE"/>
            <w:noWrap/>
            <w:vAlign w:val="center"/>
          </w:tcPr>
          <w:p w14:paraId="21671506"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A9E46CC" w14:textId="77777777" w:rsidR="006054AA" w:rsidRDefault="001F7667">
            <w:pPr>
              <w:pStyle w:val="P68B1DB1-Normal12"/>
              <w:jc w:val="center"/>
              <w:rPr>
                <w:noProof/>
              </w:rPr>
            </w:pPr>
            <w:r>
              <w:rPr>
                <w:noProof/>
              </w:rPr>
              <w:t>2 785 км железопътни линии, оборудвани с Европейската система за управление на железопътния транспорт</w:t>
            </w:r>
          </w:p>
        </w:tc>
      </w:tr>
      <w:tr w:rsidR="006054AA" w14:paraId="04AAEB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45A511" w14:textId="77777777" w:rsidR="006054AA" w:rsidRDefault="001F7667">
            <w:pPr>
              <w:pStyle w:val="P68B1DB1-Normal12"/>
              <w:jc w:val="center"/>
              <w:rPr>
                <w:noProof/>
              </w:rPr>
            </w:pPr>
            <w:r>
              <w:rPr>
                <w:noProof/>
              </w:rPr>
              <w:t>M3C1—16</w:t>
            </w:r>
          </w:p>
        </w:tc>
        <w:tc>
          <w:tcPr>
            <w:tcW w:w="3090" w:type="dxa"/>
            <w:tcBorders>
              <w:top w:val="nil"/>
              <w:left w:val="nil"/>
              <w:bottom w:val="single" w:sz="4" w:space="0" w:color="auto"/>
              <w:right w:val="single" w:sz="4" w:space="0" w:color="auto"/>
            </w:tcBorders>
            <w:shd w:val="clear" w:color="auto" w:fill="C6EFCE"/>
            <w:noWrap/>
            <w:vAlign w:val="center"/>
          </w:tcPr>
          <w:p w14:paraId="77DA61CD" w14:textId="77777777" w:rsidR="006054AA" w:rsidRDefault="001F7667">
            <w:pPr>
              <w:pStyle w:val="P68B1DB1-Normal12"/>
              <w:jc w:val="center"/>
              <w:rPr>
                <w:noProof/>
              </w:rPr>
            </w:pPr>
            <w:r>
              <w:rPr>
                <w:noProof/>
              </w:rPr>
              <w:t>Инвестиция 1.5 — Укрепване на метрополните възли и ключови национални връзки</w:t>
            </w:r>
          </w:p>
        </w:tc>
        <w:tc>
          <w:tcPr>
            <w:tcW w:w="1498" w:type="dxa"/>
            <w:tcBorders>
              <w:top w:val="nil"/>
              <w:left w:val="nil"/>
              <w:bottom w:val="single" w:sz="4" w:space="0" w:color="auto"/>
              <w:right w:val="single" w:sz="4" w:space="0" w:color="auto"/>
            </w:tcBorders>
            <w:shd w:val="clear" w:color="auto" w:fill="C6EFCE"/>
            <w:noWrap/>
            <w:vAlign w:val="center"/>
          </w:tcPr>
          <w:p w14:paraId="0FE6F38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2A18636C" w14:textId="77777777" w:rsidR="006054AA" w:rsidRDefault="001F7667">
            <w:pPr>
              <w:pStyle w:val="P68B1DB1-Normal12"/>
              <w:jc w:val="center"/>
              <w:rPr>
                <w:noProof/>
              </w:rPr>
            </w:pPr>
            <w:r>
              <w:rPr>
                <w:noProof/>
              </w:rPr>
              <w:t>1 280 км модернизирани участъци от линии, изградени върху метрополни възли и ключови национални връзки</w:t>
            </w:r>
          </w:p>
        </w:tc>
      </w:tr>
      <w:tr w:rsidR="006054AA" w14:paraId="6E95A1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1DEDE2" w14:textId="77777777" w:rsidR="006054AA" w:rsidRDefault="001F7667">
            <w:pPr>
              <w:pStyle w:val="P68B1DB1-Normal12"/>
              <w:jc w:val="center"/>
              <w:rPr>
                <w:noProof/>
              </w:rPr>
            </w:pPr>
            <w:r>
              <w:rPr>
                <w:noProof/>
              </w:rPr>
              <w:t>M3C1—17bis</w:t>
            </w:r>
          </w:p>
        </w:tc>
        <w:tc>
          <w:tcPr>
            <w:tcW w:w="3090" w:type="dxa"/>
            <w:tcBorders>
              <w:top w:val="nil"/>
              <w:left w:val="nil"/>
              <w:bottom w:val="single" w:sz="4" w:space="0" w:color="auto"/>
              <w:right w:val="single" w:sz="4" w:space="0" w:color="auto"/>
            </w:tcBorders>
            <w:shd w:val="clear" w:color="auto" w:fill="C6EFCE"/>
            <w:noWrap/>
            <w:vAlign w:val="center"/>
          </w:tcPr>
          <w:p w14:paraId="133BB6A5" w14:textId="77777777" w:rsidR="006054AA" w:rsidRDefault="001F7667">
            <w:pPr>
              <w:pStyle w:val="P68B1DB1-Normal12"/>
              <w:jc w:val="center"/>
              <w:rPr>
                <w:noProof/>
              </w:rPr>
            </w:pPr>
            <w:r>
              <w:rPr>
                <w:noProof/>
              </w:rPr>
              <w:t>Инвестиция 1.7 — Осъвременяване, електрификация и устойчивост на железопътния транспорт на юг</w:t>
            </w:r>
          </w:p>
        </w:tc>
        <w:tc>
          <w:tcPr>
            <w:tcW w:w="1498" w:type="dxa"/>
            <w:tcBorders>
              <w:top w:val="nil"/>
              <w:left w:val="nil"/>
              <w:bottom w:val="single" w:sz="4" w:space="0" w:color="auto"/>
              <w:right w:val="single" w:sz="4" w:space="0" w:color="auto"/>
            </w:tcBorders>
            <w:shd w:val="clear" w:color="auto" w:fill="C6EFCE"/>
            <w:noWrap/>
            <w:vAlign w:val="center"/>
          </w:tcPr>
          <w:p w14:paraId="74DA8C9D"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F515778" w14:textId="77777777" w:rsidR="006054AA" w:rsidRDefault="001F7667">
            <w:pPr>
              <w:pStyle w:val="P68B1DB1-Normal12"/>
              <w:jc w:val="center"/>
              <w:rPr>
                <w:noProof/>
              </w:rPr>
            </w:pPr>
            <w:r>
              <w:rPr>
                <w:noProof/>
              </w:rPr>
              <w:t>Завършени са 650 км строителни работи, свързани с модернизирането, електрификацията и устойчивостта на железопътните линии на юг, готови за етапите на разрешаване и експлоатация.</w:t>
            </w:r>
          </w:p>
        </w:tc>
      </w:tr>
      <w:tr w:rsidR="006054AA" w14:paraId="735E88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594FBF" w14:textId="77777777" w:rsidR="006054AA" w:rsidRDefault="001F7667">
            <w:pPr>
              <w:pStyle w:val="P68B1DB1-Normal12"/>
              <w:jc w:val="center"/>
              <w:rPr>
                <w:noProof/>
              </w:rPr>
            </w:pPr>
            <w:r>
              <w:rPr>
                <w:noProof/>
              </w:rPr>
              <w:t>M3C1—18</w:t>
            </w:r>
          </w:p>
        </w:tc>
        <w:tc>
          <w:tcPr>
            <w:tcW w:w="3090" w:type="dxa"/>
            <w:tcBorders>
              <w:top w:val="nil"/>
              <w:left w:val="nil"/>
              <w:bottom w:val="single" w:sz="4" w:space="0" w:color="auto"/>
              <w:right w:val="single" w:sz="4" w:space="0" w:color="auto"/>
            </w:tcBorders>
            <w:shd w:val="clear" w:color="auto" w:fill="C6EFCE"/>
            <w:noWrap/>
            <w:vAlign w:val="center"/>
          </w:tcPr>
          <w:p w14:paraId="665557AF" w14:textId="77777777" w:rsidR="006054AA" w:rsidRDefault="001F7667">
            <w:pPr>
              <w:pStyle w:val="P68B1DB1-Normal12"/>
              <w:jc w:val="center"/>
              <w:rPr>
                <w:noProof/>
              </w:rPr>
            </w:pPr>
            <w:r>
              <w:rPr>
                <w:noProof/>
              </w:rPr>
              <w:t>Инвестиция 1.6 — Укрепване на регионалните линии — модернизиране на регионалните железопътни линии (управление на ИИ)</w:t>
            </w:r>
          </w:p>
        </w:tc>
        <w:tc>
          <w:tcPr>
            <w:tcW w:w="1498" w:type="dxa"/>
            <w:tcBorders>
              <w:top w:val="nil"/>
              <w:left w:val="nil"/>
              <w:bottom w:val="single" w:sz="4" w:space="0" w:color="auto"/>
              <w:right w:val="single" w:sz="4" w:space="0" w:color="auto"/>
            </w:tcBorders>
            <w:shd w:val="clear" w:color="auto" w:fill="C6EFCE"/>
            <w:noWrap/>
            <w:vAlign w:val="center"/>
          </w:tcPr>
          <w:p w14:paraId="7311B3CE"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92BE0DF" w14:textId="77777777" w:rsidR="006054AA" w:rsidRDefault="001F7667">
            <w:pPr>
              <w:pStyle w:val="P68B1DB1-Normal12"/>
              <w:jc w:val="center"/>
              <w:rPr>
                <w:noProof/>
              </w:rPr>
            </w:pPr>
            <w:r>
              <w:rPr>
                <w:noProof/>
              </w:rPr>
              <w:t>Модернизирани регионални линии, готови за разрешаване и оперативни фази</w:t>
            </w:r>
          </w:p>
        </w:tc>
      </w:tr>
      <w:tr w:rsidR="006054AA" w14:paraId="2203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2C204" w14:textId="77777777" w:rsidR="006054AA" w:rsidRDefault="001F7667">
            <w:pPr>
              <w:pStyle w:val="P68B1DB1-Normal12"/>
              <w:jc w:val="center"/>
              <w:rPr>
                <w:noProof/>
              </w:rPr>
            </w:pPr>
            <w:r>
              <w:rPr>
                <w:noProof/>
              </w:rPr>
              <w:t>M3C1—20</w:t>
            </w:r>
          </w:p>
        </w:tc>
        <w:tc>
          <w:tcPr>
            <w:tcW w:w="3090" w:type="dxa"/>
            <w:tcBorders>
              <w:top w:val="nil"/>
              <w:left w:val="nil"/>
              <w:bottom w:val="single" w:sz="4" w:space="0" w:color="auto"/>
              <w:right w:val="single" w:sz="4" w:space="0" w:color="auto"/>
            </w:tcBorders>
            <w:shd w:val="clear" w:color="auto" w:fill="C6EFCE"/>
            <w:noWrap/>
            <w:vAlign w:val="center"/>
          </w:tcPr>
          <w:p w14:paraId="5AF9BFBC" w14:textId="77777777" w:rsidR="006054AA" w:rsidRDefault="001F7667">
            <w:pPr>
              <w:pStyle w:val="P68B1DB1-Normal12"/>
              <w:jc w:val="center"/>
              <w:rPr>
                <w:noProof/>
              </w:rPr>
            </w:pPr>
            <w:r>
              <w:rPr>
                <w:noProof/>
              </w:rPr>
              <w:t>Инвестиция 1.8 — Модернизиране на железопътните гари (управление на ИИ; на юг)</w:t>
            </w:r>
          </w:p>
        </w:tc>
        <w:tc>
          <w:tcPr>
            <w:tcW w:w="1498" w:type="dxa"/>
            <w:tcBorders>
              <w:top w:val="nil"/>
              <w:left w:val="nil"/>
              <w:bottom w:val="single" w:sz="4" w:space="0" w:color="auto"/>
              <w:right w:val="single" w:sz="4" w:space="0" w:color="auto"/>
            </w:tcBorders>
            <w:shd w:val="clear" w:color="auto" w:fill="C6EFCE"/>
            <w:noWrap/>
            <w:vAlign w:val="center"/>
          </w:tcPr>
          <w:p w14:paraId="3A3D768C"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2F9BE3C" w14:textId="77777777" w:rsidR="006054AA" w:rsidRDefault="001F7667">
            <w:pPr>
              <w:pStyle w:val="P68B1DB1-Normal12"/>
              <w:jc w:val="center"/>
              <w:rPr>
                <w:noProof/>
              </w:rPr>
            </w:pPr>
            <w:r>
              <w:rPr>
                <w:noProof/>
              </w:rPr>
              <w:t>Модернизирани и достъпни железопътни гари</w:t>
            </w:r>
          </w:p>
        </w:tc>
      </w:tr>
      <w:tr w:rsidR="006054AA" w14:paraId="3CE19A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B8B595" w14:textId="77777777" w:rsidR="006054AA" w:rsidRDefault="001F7667">
            <w:pPr>
              <w:pStyle w:val="P68B1DB1-Normal12"/>
              <w:jc w:val="center"/>
              <w:rPr>
                <w:noProof/>
              </w:rPr>
            </w:pPr>
            <w:r>
              <w:rPr>
                <w:noProof/>
              </w:rPr>
              <w:t>M4C1—30</w:t>
            </w:r>
          </w:p>
        </w:tc>
        <w:tc>
          <w:tcPr>
            <w:tcW w:w="3090" w:type="dxa"/>
            <w:tcBorders>
              <w:top w:val="nil"/>
              <w:left w:val="nil"/>
              <w:bottom w:val="single" w:sz="4" w:space="0" w:color="auto"/>
              <w:right w:val="single" w:sz="4" w:space="0" w:color="auto"/>
            </w:tcBorders>
            <w:shd w:val="clear" w:color="auto" w:fill="C6EFCE"/>
            <w:noWrap/>
            <w:vAlign w:val="center"/>
          </w:tcPr>
          <w:p w14:paraId="021AD054" w14:textId="77777777" w:rsidR="006054AA" w:rsidRDefault="001F7667">
            <w:pPr>
              <w:pStyle w:val="P68B1DB1-Normal12"/>
              <w:jc w:val="center"/>
              <w:rPr>
                <w:noProof/>
              </w:rPr>
            </w:pPr>
            <w:r>
              <w:rPr>
                <w:noProof/>
              </w:rPr>
              <w:t>Реформа 1.7: Реформа на регулирането на студентското жилищно настаняване и инвестиции в студентски жилища</w:t>
            </w:r>
          </w:p>
        </w:tc>
        <w:tc>
          <w:tcPr>
            <w:tcW w:w="1498" w:type="dxa"/>
            <w:tcBorders>
              <w:top w:val="nil"/>
              <w:left w:val="nil"/>
              <w:bottom w:val="single" w:sz="4" w:space="0" w:color="auto"/>
              <w:right w:val="single" w:sz="4" w:space="0" w:color="auto"/>
            </w:tcBorders>
            <w:shd w:val="clear" w:color="auto" w:fill="C6EFCE"/>
            <w:noWrap/>
            <w:vAlign w:val="center"/>
          </w:tcPr>
          <w:p w14:paraId="59B6C6A9"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3F01850" w14:textId="77777777" w:rsidR="006054AA" w:rsidRDefault="001F7667">
            <w:pPr>
              <w:pStyle w:val="P68B1DB1-Normal12"/>
              <w:jc w:val="center"/>
              <w:rPr>
                <w:noProof/>
              </w:rPr>
            </w:pPr>
            <w:r>
              <w:rPr>
                <w:noProof/>
              </w:rPr>
              <w:t>Създадени са студентски спални отделения съгласно съответното законодателство</w:t>
            </w:r>
          </w:p>
        </w:tc>
      </w:tr>
      <w:tr w:rsidR="006054AA" w14:paraId="7D0B67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1918C" w14:textId="77777777" w:rsidR="006054AA" w:rsidRDefault="001F7667">
            <w:pPr>
              <w:pStyle w:val="P68B1DB1-Normal12"/>
              <w:jc w:val="center"/>
              <w:rPr>
                <w:noProof/>
              </w:rPr>
            </w:pPr>
            <w:r>
              <w:rPr>
                <w:noProof/>
              </w:rPr>
              <w:t>M4C2—9</w:t>
            </w:r>
          </w:p>
        </w:tc>
        <w:tc>
          <w:tcPr>
            <w:tcW w:w="3090" w:type="dxa"/>
            <w:tcBorders>
              <w:top w:val="nil"/>
              <w:left w:val="nil"/>
              <w:bottom w:val="single" w:sz="4" w:space="0" w:color="auto"/>
              <w:right w:val="single" w:sz="4" w:space="0" w:color="auto"/>
            </w:tcBorders>
            <w:shd w:val="clear" w:color="auto" w:fill="C6EFCE"/>
            <w:noWrap/>
            <w:vAlign w:val="center"/>
          </w:tcPr>
          <w:p w14:paraId="0F69684D" w14:textId="77777777" w:rsidR="006054AA" w:rsidRDefault="001F7667">
            <w:pPr>
              <w:pStyle w:val="P68B1DB1-Normal12"/>
              <w:jc w:val="center"/>
              <w:rPr>
                <w:noProof/>
              </w:rPr>
            </w:pPr>
            <w:r>
              <w:rPr>
                <w:noProof/>
              </w:rPr>
              <w:t>Инвестиция 1.4: Укрепване на научноизследователските структури и подкрепа за създаването на „национални лидери в областта на НИРД“ по отношение на някои главни базови технологии</w:t>
            </w:r>
          </w:p>
        </w:tc>
        <w:tc>
          <w:tcPr>
            <w:tcW w:w="1498" w:type="dxa"/>
            <w:tcBorders>
              <w:top w:val="nil"/>
              <w:left w:val="nil"/>
              <w:bottom w:val="single" w:sz="4" w:space="0" w:color="auto"/>
              <w:right w:val="single" w:sz="4" w:space="0" w:color="auto"/>
            </w:tcBorders>
            <w:shd w:val="clear" w:color="auto" w:fill="C6EFCE"/>
            <w:noWrap/>
            <w:vAlign w:val="center"/>
          </w:tcPr>
          <w:p w14:paraId="59D30D8A"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0BB507C" w14:textId="77777777" w:rsidR="006054AA" w:rsidRDefault="001F7667">
            <w:pPr>
              <w:pStyle w:val="P68B1DB1-Normal12"/>
              <w:jc w:val="center"/>
              <w:rPr>
                <w:noProof/>
              </w:rPr>
            </w:pPr>
            <w:r>
              <w:rPr>
                <w:noProof/>
              </w:rPr>
              <w:t xml:space="preserve">Националните центрове функционират и дейностите се изпълняват от националните центрове в областта на главните базови технологии </w:t>
            </w:r>
          </w:p>
        </w:tc>
      </w:tr>
      <w:tr w:rsidR="006054AA" w14:paraId="260B10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8904BF" w14:textId="77777777" w:rsidR="006054AA" w:rsidRDefault="001F7667">
            <w:pPr>
              <w:pStyle w:val="P68B1DB1-Normal12"/>
              <w:jc w:val="center"/>
              <w:rPr>
                <w:noProof/>
              </w:rPr>
            </w:pPr>
            <w:r>
              <w:rPr>
                <w:noProof/>
              </w:rPr>
              <w:t>M4C2—14</w:t>
            </w:r>
          </w:p>
        </w:tc>
        <w:tc>
          <w:tcPr>
            <w:tcW w:w="3090" w:type="dxa"/>
            <w:tcBorders>
              <w:top w:val="nil"/>
              <w:left w:val="nil"/>
              <w:bottom w:val="single" w:sz="4" w:space="0" w:color="auto"/>
              <w:right w:val="single" w:sz="4" w:space="0" w:color="auto"/>
            </w:tcBorders>
            <w:shd w:val="clear" w:color="auto" w:fill="C6EFCE"/>
            <w:noWrap/>
            <w:vAlign w:val="center"/>
          </w:tcPr>
          <w:p w14:paraId="5887E26F" w14:textId="77777777" w:rsidR="006054AA" w:rsidRDefault="001F7667">
            <w:pPr>
              <w:pStyle w:val="P68B1DB1-Normal12"/>
              <w:jc w:val="center"/>
              <w:rPr>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tc>
        <w:tc>
          <w:tcPr>
            <w:tcW w:w="1498" w:type="dxa"/>
            <w:tcBorders>
              <w:top w:val="nil"/>
              <w:left w:val="nil"/>
              <w:bottom w:val="single" w:sz="4" w:space="0" w:color="auto"/>
              <w:right w:val="single" w:sz="4" w:space="0" w:color="auto"/>
            </w:tcBorders>
            <w:shd w:val="clear" w:color="auto" w:fill="C6EFCE"/>
            <w:noWrap/>
            <w:vAlign w:val="center"/>
          </w:tcPr>
          <w:p w14:paraId="7006AE5D"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B5C1128" w14:textId="77777777" w:rsidR="006054AA" w:rsidRDefault="001F7667">
            <w:pPr>
              <w:pStyle w:val="P68B1DB1-Normal12"/>
              <w:jc w:val="center"/>
              <w:rPr>
                <w:noProof/>
              </w:rPr>
            </w:pPr>
            <w:r>
              <w:rPr>
                <w:noProof/>
              </w:rPr>
              <w:t xml:space="preserve">Изплащане на финансова стойност от 307 000 000 EUR. </w:t>
            </w:r>
          </w:p>
        </w:tc>
      </w:tr>
      <w:tr w:rsidR="006054AA" w14:paraId="5EFEE5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890BCA" w14:textId="77777777" w:rsidR="006054AA" w:rsidRDefault="001F7667">
            <w:pPr>
              <w:pStyle w:val="P68B1DB1-Normal12"/>
              <w:jc w:val="center"/>
              <w:rPr>
                <w:noProof/>
              </w:rPr>
            </w:pPr>
            <w:r>
              <w:rPr>
                <w:noProof/>
              </w:rPr>
              <w:t>M4C2—15</w:t>
            </w:r>
          </w:p>
        </w:tc>
        <w:tc>
          <w:tcPr>
            <w:tcW w:w="3090" w:type="dxa"/>
            <w:tcBorders>
              <w:top w:val="nil"/>
              <w:left w:val="nil"/>
              <w:bottom w:val="single" w:sz="4" w:space="0" w:color="auto"/>
              <w:right w:val="single" w:sz="4" w:space="0" w:color="auto"/>
            </w:tcBorders>
            <w:shd w:val="clear" w:color="auto" w:fill="C6EFCE"/>
            <w:noWrap/>
            <w:vAlign w:val="center"/>
          </w:tcPr>
          <w:p w14:paraId="5195F310" w14:textId="77777777" w:rsidR="006054AA" w:rsidRDefault="001F7667">
            <w:pPr>
              <w:pStyle w:val="P68B1DB1-Normal12"/>
              <w:jc w:val="center"/>
              <w:rPr>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tc>
        <w:tc>
          <w:tcPr>
            <w:tcW w:w="1498" w:type="dxa"/>
            <w:tcBorders>
              <w:top w:val="nil"/>
              <w:left w:val="nil"/>
              <w:bottom w:val="single" w:sz="4" w:space="0" w:color="auto"/>
              <w:right w:val="single" w:sz="4" w:space="0" w:color="auto"/>
            </w:tcBorders>
            <w:shd w:val="clear" w:color="auto" w:fill="C6EFCE"/>
            <w:noWrap/>
            <w:vAlign w:val="center"/>
          </w:tcPr>
          <w:p w14:paraId="009A8CE0"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41B1B9B" w14:textId="77777777" w:rsidR="006054AA" w:rsidRDefault="001F7667">
            <w:pPr>
              <w:pStyle w:val="P68B1DB1-Normal12"/>
              <w:jc w:val="center"/>
              <w:rPr>
                <w:noProof/>
              </w:rPr>
            </w:pPr>
            <w:r>
              <w:rPr>
                <w:noProof/>
              </w:rPr>
              <w:t>Брой на подпомогнатите МСП</w:t>
            </w:r>
          </w:p>
        </w:tc>
      </w:tr>
      <w:tr w:rsidR="006054AA" w14:paraId="6326F4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76127" w14:textId="77777777" w:rsidR="006054AA" w:rsidRDefault="001F7667">
            <w:pPr>
              <w:pStyle w:val="P68B1DB1-Normal12"/>
              <w:jc w:val="center"/>
              <w:rPr>
                <w:noProof/>
              </w:rPr>
            </w:pPr>
            <w:r>
              <w:rPr>
                <w:noProof/>
              </w:rPr>
              <w:t>M4C2—15 bis</w:t>
            </w:r>
          </w:p>
        </w:tc>
        <w:tc>
          <w:tcPr>
            <w:tcW w:w="3090" w:type="dxa"/>
            <w:tcBorders>
              <w:top w:val="nil"/>
              <w:left w:val="nil"/>
              <w:bottom w:val="single" w:sz="4" w:space="0" w:color="auto"/>
              <w:right w:val="single" w:sz="4" w:space="0" w:color="auto"/>
            </w:tcBorders>
            <w:shd w:val="clear" w:color="auto" w:fill="C6EFCE"/>
            <w:noWrap/>
            <w:vAlign w:val="center"/>
          </w:tcPr>
          <w:p w14:paraId="42E70DE1" w14:textId="77777777" w:rsidR="006054AA" w:rsidRDefault="001F7667">
            <w:pPr>
              <w:pStyle w:val="P68B1DB1-Normal12"/>
              <w:jc w:val="center"/>
              <w:rPr>
                <w:noProof/>
              </w:rPr>
            </w:pPr>
            <w:r>
              <w:rPr>
                <w:noProof/>
              </w:rPr>
              <w:t>Инвестиция 2.3: Укрепване и секторно/териториално разширяване на центровете за трансфер на технологии по промишлени сегменти</w:t>
            </w:r>
          </w:p>
        </w:tc>
        <w:tc>
          <w:tcPr>
            <w:tcW w:w="1498" w:type="dxa"/>
            <w:tcBorders>
              <w:top w:val="nil"/>
              <w:left w:val="nil"/>
              <w:bottom w:val="single" w:sz="4" w:space="0" w:color="auto"/>
              <w:right w:val="single" w:sz="4" w:space="0" w:color="auto"/>
            </w:tcBorders>
            <w:shd w:val="clear" w:color="auto" w:fill="C6EFCE"/>
            <w:noWrap/>
            <w:vAlign w:val="center"/>
          </w:tcPr>
          <w:p w14:paraId="350C3C31" w14:textId="77777777" w:rsidR="006054AA" w:rsidRDefault="001F7667">
            <w:pPr>
              <w:pStyle w:val="P68B1DB1-Normal12"/>
              <w:jc w:val="center"/>
              <w:rPr>
                <w:noProof/>
              </w:rPr>
            </w:pPr>
            <w:r>
              <w:rPr>
                <w:noProof/>
              </w:rPr>
              <w:t>Ключов етап</w:t>
            </w:r>
          </w:p>
        </w:tc>
        <w:tc>
          <w:tcPr>
            <w:tcW w:w="4091" w:type="dxa"/>
            <w:tcBorders>
              <w:top w:val="nil"/>
              <w:left w:val="nil"/>
              <w:bottom w:val="single" w:sz="4" w:space="0" w:color="auto"/>
              <w:right w:val="single" w:sz="4" w:space="0" w:color="auto"/>
            </w:tcBorders>
            <w:shd w:val="clear" w:color="auto" w:fill="C6EFCE"/>
            <w:noWrap/>
            <w:vAlign w:val="center"/>
          </w:tcPr>
          <w:p w14:paraId="316DFA45" w14:textId="77777777" w:rsidR="006054AA" w:rsidRDefault="001F7667">
            <w:pPr>
              <w:pStyle w:val="P68B1DB1-Normal12"/>
              <w:jc w:val="center"/>
              <w:rPr>
                <w:noProof/>
              </w:rPr>
            </w:pPr>
            <w:r>
              <w:rPr>
                <w:noProof/>
              </w:rPr>
              <w:t>Приключване на работните пакети на EDIH и TEF</w:t>
            </w:r>
          </w:p>
        </w:tc>
      </w:tr>
      <w:tr w:rsidR="006054AA" w14:paraId="313446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E298F" w14:textId="77777777" w:rsidR="006054AA" w:rsidRDefault="001F7667">
            <w:pPr>
              <w:pStyle w:val="P68B1DB1-Normal12"/>
              <w:jc w:val="center"/>
              <w:rPr>
                <w:noProof/>
              </w:rPr>
            </w:pPr>
            <w:r>
              <w:rPr>
                <w:noProof/>
              </w:rPr>
              <w:t xml:space="preserve">M4C2—16 bis </w:t>
            </w:r>
          </w:p>
        </w:tc>
        <w:tc>
          <w:tcPr>
            <w:tcW w:w="3090" w:type="dxa"/>
            <w:tcBorders>
              <w:top w:val="nil"/>
              <w:left w:val="nil"/>
              <w:bottom w:val="single" w:sz="4" w:space="0" w:color="auto"/>
              <w:right w:val="single" w:sz="4" w:space="0" w:color="auto"/>
            </w:tcBorders>
            <w:shd w:val="clear" w:color="auto" w:fill="C6EFCE"/>
            <w:noWrap/>
            <w:vAlign w:val="center"/>
          </w:tcPr>
          <w:p w14:paraId="653D36AD" w14:textId="77777777" w:rsidR="006054AA" w:rsidRDefault="001F7667">
            <w:pPr>
              <w:pStyle w:val="P68B1DB1-Normal12"/>
              <w:jc w:val="center"/>
              <w:rPr>
                <w:noProof/>
              </w:rPr>
            </w:pPr>
            <w:r>
              <w:rPr>
                <w:noProof/>
              </w:rPr>
              <w:t>Инвестиция 3.1: Фонд за изграждане на интегрирана система от инфраструктури за научни изследвания и иновации</w:t>
            </w:r>
          </w:p>
        </w:tc>
        <w:tc>
          <w:tcPr>
            <w:tcW w:w="1498" w:type="dxa"/>
            <w:tcBorders>
              <w:top w:val="nil"/>
              <w:left w:val="nil"/>
              <w:bottom w:val="single" w:sz="4" w:space="0" w:color="auto"/>
              <w:right w:val="single" w:sz="4" w:space="0" w:color="auto"/>
            </w:tcBorders>
            <w:shd w:val="clear" w:color="auto" w:fill="C6EFCE"/>
            <w:noWrap/>
            <w:vAlign w:val="center"/>
          </w:tcPr>
          <w:p w14:paraId="786781FB"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5F2730B" w14:textId="77777777" w:rsidR="006054AA" w:rsidRDefault="001F7667">
            <w:pPr>
              <w:pStyle w:val="P68B1DB1-Normal12"/>
              <w:jc w:val="center"/>
              <w:rPr>
                <w:noProof/>
              </w:rPr>
            </w:pPr>
            <w:r>
              <w:rPr>
                <w:noProof/>
              </w:rPr>
              <w:t xml:space="preserve">Брой на научноизследователските и иновационните инфраструктури, които са създадени или които са приключили своите дейности </w:t>
            </w:r>
          </w:p>
        </w:tc>
      </w:tr>
      <w:tr w:rsidR="006054AA" w14:paraId="17D536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D1231" w14:textId="77777777" w:rsidR="006054AA" w:rsidRDefault="001F7667">
            <w:pPr>
              <w:pStyle w:val="P68B1DB1-Normal12"/>
              <w:jc w:val="center"/>
              <w:rPr>
                <w:noProof/>
              </w:rPr>
            </w:pPr>
            <w:r>
              <w:rPr>
                <w:noProof/>
              </w:rPr>
              <w:t>M4C2—18 Bis</w:t>
            </w:r>
          </w:p>
        </w:tc>
        <w:tc>
          <w:tcPr>
            <w:tcW w:w="3090" w:type="dxa"/>
            <w:tcBorders>
              <w:top w:val="nil"/>
              <w:left w:val="nil"/>
              <w:bottom w:val="single" w:sz="4" w:space="0" w:color="auto"/>
              <w:right w:val="single" w:sz="4" w:space="0" w:color="auto"/>
            </w:tcBorders>
            <w:shd w:val="clear" w:color="auto" w:fill="C6EFCE"/>
            <w:noWrap/>
            <w:vAlign w:val="center"/>
          </w:tcPr>
          <w:p w14:paraId="022FAD8F" w14:textId="77777777" w:rsidR="006054AA" w:rsidRDefault="001F7667">
            <w:pPr>
              <w:pStyle w:val="P68B1DB1-Normal12"/>
              <w:jc w:val="center"/>
              <w:rPr>
                <w:noProof/>
              </w:rPr>
            </w:pPr>
            <w:r>
              <w:rPr>
                <w:noProof/>
              </w:rPr>
              <w:t>Invesment1.5: Създаване и укрепване на „екосистеми за иновации за устойчивост „, изграждане на „териториални лидери на научноизследователската и развойната дейност“</w:t>
            </w:r>
          </w:p>
        </w:tc>
        <w:tc>
          <w:tcPr>
            <w:tcW w:w="1498" w:type="dxa"/>
            <w:tcBorders>
              <w:top w:val="nil"/>
              <w:left w:val="nil"/>
              <w:bottom w:val="single" w:sz="4" w:space="0" w:color="auto"/>
              <w:right w:val="single" w:sz="4" w:space="0" w:color="auto"/>
            </w:tcBorders>
            <w:shd w:val="clear" w:color="auto" w:fill="C6EFCE"/>
            <w:noWrap/>
            <w:vAlign w:val="center"/>
          </w:tcPr>
          <w:p w14:paraId="7A21EC8F"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27D3134" w14:textId="77777777" w:rsidR="006054AA" w:rsidRDefault="001F7667">
            <w:pPr>
              <w:pStyle w:val="P68B1DB1-Normal12"/>
              <w:jc w:val="center"/>
              <w:rPr>
                <w:noProof/>
              </w:rPr>
            </w:pPr>
            <w:r>
              <w:rPr>
                <w:noProof/>
              </w:rPr>
              <w:t>Дейности, изпълнявани от иновационните екосистеми</w:t>
            </w:r>
          </w:p>
        </w:tc>
      </w:tr>
      <w:tr w:rsidR="006054AA" w14:paraId="0F53CF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9FCA84" w14:textId="77777777" w:rsidR="006054AA" w:rsidRDefault="001F7667">
            <w:pPr>
              <w:pStyle w:val="P68B1DB1-Normal12"/>
              <w:jc w:val="center"/>
              <w:rPr>
                <w:noProof/>
              </w:rPr>
            </w:pPr>
            <w:r>
              <w:rPr>
                <w:noProof/>
              </w:rPr>
              <w:t>M4C2—21</w:t>
            </w:r>
          </w:p>
        </w:tc>
        <w:tc>
          <w:tcPr>
            <w:tcW w:w="3090" w:type="dxa"/>
            <w:tcBorders>
              <w:top w:val="nil"/>
              <w:left w:val="nil"/>
              <w:bottom w:val="single" w:sz="4" w:space="0" w:color="auto"/>
              <w:right w:val="single" w:sz="4" w:space="0" w:color="auto"/>
            </w:tcBorders>
            <w:shd w:val="clear" w:color="auto" w:fill="C6EFCE"/>
            <w:noWrap/>
            <w:vAlign w:val="center"/>
          </w:tcPr>
          <w:p w14:paraId="32290CDC" w14:textId="77777777" w:rsidR="006054AA" w:rsidRDefault="001F7667">
            <w:pPr>
              <w:pStyle w:val="P68B1DB1-Normal12"/>
              <w:jc w:val="center"/>
              <w:rPr>
                <w:noProof/>
              </w:rPr>
            </w:pPr>
            <w:r>
              <w:rPr>
                <w:noProof/>
              </w:rPr>
              <w:t xml:space="preserve">Инвестиция 5.4 — Финансиране на стартиращи предприятия.  </w:t>
            </w:r>
          </w:p>
        </w:tc>
        <w:tc>
          <w:tcPr>
            <w:tcW w:w="1498" w:type="dxa"/>
            <w:tcBorders>
              <w:top w:val="nil"/>
              <w:left w:val="nil"/>
              <w:bottom w:val="single" w:sz="4" w:space="0" w:color="auto"/>
              <w:right w:val="single" w:sz="4" w:space="0" w:color="auto"/>
            </w:tcBorders>
            <w:shd w:val="clear" w:color="auto" w:fill="C6EFCE"/>
            <w:noWrap/>
            <w:vAlign w:val="center"/>
          </w:tcPr>
          <w:p w14:paraId="6BDF24C4" w14:textId="41E7266B"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A927307" w14:textId="77777777" w:rsidR="006054AA" w:rsidRDefault="001F7667">
            <w:pPr>
              <w:pStyle w:val="P68B1DB1-Normal12"/>
              <w:jc w:val="center"/>
              <w:rPr>
                <w:noProof/>
              </w:rPr>
            </w:pPr>
            <w:r>
              <w:rPr>
                <w:noProof/>
              </w:rPr>
              <w:t xml:space="preserve">Правни споразумения, подписани със стартиращи предприятия или фондове за рисков капитал </w:t>
            </w:r>
          </w:p>
        </w:tc>
      </w:tr>
      <w:tr w:rsidR="006054AA" w14:paraId="105192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29FD2" w14:textId="77777777" w:rsidR="006054AA" w:rsidRDefault="001F7667">
            <w:pPr>
              <w:pStyle w:val="P68B1DB1-Normal12"/>
              <w:jc w:val="center"/>
              <w:rPr>
                <w:noProof/>
              </w:rPr>
            </w:pPr>
            <w:r>
              <w:rPr>
                <w:noProof/>
              </w:rPr>
              <w:t>M5C1—19</w:t>
            </w:r>
          </w:p>
        </w:tc>
        <w:tc>
          <w:tcPr>
            <w:tcW w:w="3090" w:type="dxa"/>
            <w:tcBorders>
              <w:top w:val="nil"/>
              <w:left w:val="nil"/>
              <w:bottom w:val="single" w:sz="4" w:space="0" w:color="auto"/>
              <w:right w:val="single" w:sz="4" w:space="0" w:color="auto"/>
            </w:tcBorders>
            <w:shd w:val="clear" w:color="auto" w:fill="C6EFCE"/>
            <w:noWrap/>
            <w:vAlign w:val="center"/>
          </w:tcPr>
          <w:p w14:paraId="1FF9FF67" w14:textId="77777777" w:rsidR="006054AA" w:rsidRDefault="001F7667">
            <w:pPr>
              <w:pStyle w:val="P68B1DB1-Normal12"/>
              <w:jc w:val="center"/>
              <w:rPr>
                <w:noProof/>
              </w:rPr>
            </w:pPr>
            <w:r>
              <w:rPr>
                <w:noProof/>
              </w:rPr>
              <w:t>Инвестиция 5 — Създаване на женски предприятия</w:t>
            </w:r>
          </w:p>
        </w:tc>
        <w:tc>
          <w:tcPr>
            <w:tcW w:w="1498" w:type="dxa"/>
            <w:tcBorders>
              <w:top w:val="nil"/>
              <w:left w:val="nil"/>
              <w:bottom w:val="single" w:sz="4" w:space="0" w:color="auto"/>
              <w:right w:val="single" w:sz="4" w:space="0" w:color="auto"/>
            </w:tcBorders>
            <w:shd w:val="clear" w:color="auto" w:fill="C6EFCE"/>
            <w:noWrap/>
            <w:vAlign w:val="center"/>
          </w:tcPr>
          <w:p w14:paraId="54C7CA2A"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FA38C7F" w14:textId="77777777" w:rsidR="006054AA" w:rsidRDefault="001F7667">
            <w:pPr>
              <w:pStyle w:val="P68B1DB1-Normal12"/>
              <w:jc w:val="center"/>
              <w:rPr>
                <w:noProof/>
              </w:rPr>
            </w:pPr>
            <w:r>
              <w:rPr>
                <w:noProof/>
              </w:rPr>
              <w:t>Предприятията, определени в съответната инвестиционна политика, са получили финансова подкрепа</w:t>
            </w:r>
          </w:p>
        </w:tc>
      </w:tr>
      <w:tr w:rsidR="006054AA" w14:paraId="4A629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6BDCA2" w14:textId="77777777" w:rsidR="006054AA" w:rsidRDefault="001F7667">
            <w:pPr>
              <w:pStyle w:val="P68B1DB1-Normal12"/>
              <w:jc w:val="center"/>
              <w:rPr>
                <w:noProof/>
              </w:rPr>
            </w:pPr>
            <w:r>
              <w:rPr>
                <w:noProof/>
              </w:rPr>
              <w:t>M5C2—12</w:t>
            </w:r>
          </w:p>
        </w:tc>
        <w:tc>
          <w:tcPr>
            <w:tcW w:w="3090" w:type="dxa"/>
            <w:tcBorders>
              <w:top w:val="nil"/>
              <w:left w:val="nil"/>
              <w:bottom w:val="single" w:sz="4" w:space="0" w:color="auto"/>
              <w:right w:val="single" w:sz="4" w:space="0" w:color="auto"/>
            </w:tcBorders>
            <w:shd w:val="clear" w:color="auto" w:fill="C6EFCE"/>
            <w:noWrap/>
            <w:vAlign w:val="center"/>
          </w:tcPr>
          <w:p w14:paraId="58FBF5B0" w14:textId="77777777" w:rsidR="006054AA" w:rsidRDefault="001F7667">
            <w:pPr>
              <w:pStyle w:val="P68B1DB1-Normal12"/>
              <w:jc w:val="center"/>
              <w:rPr>
                <w:noProof/>
              </w:rPr>
            </w:pPr>
            <w:r>
              <w:rPr>
                <w:noProof/>
              </w:rPr>
              <w:t>Инвестиция 4 — Инвестиции в проекти за обновяване на градската среда, насочени към намаляване на ситуациите на маргинализация и социално влошаване</w:t>
            </w:r>
          </w:p>
        </w:tc>
        <w:tc>
          <w:tcPr>
            <w:tcW w:w="1498" w:type="dxa"/>
            <w:tcBorders>
              <w:top w:val="nil"/>
              <w:left w:val="nil"/>
              <w:bottom w:val="single" w:sz="4" w:space="0" w:color="auto"/>
              <w:right w:val="single" w:sz="4" w:space="0" w:color="auto"/>
            </w:tcBorders>
            <w:shd w:val="clear" w:color="auto" w:fill="C6EFCE"/>
            <w:noWrap/>
            <w:vAlign w:val="center"/>
          </w:tcPr>
          <w:p w14:paraId="550D3BAD"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7B73469" w14:textId="77777777" w:rsidR="006054AA" w:rsidRDefault="001F7667">
            <w:pPr>
              <w:pStyle w:val="P68B1DB1-Normal12"/>
              <w:jc w:val="center"/>
              <w:rPr>
                <w:noProof/>
              </w:rPr>
            </w:pPr>
            <w:r>
              <w:rPr>
                <w:noProof/>
              </w:rPr>
              <w:t>Проекти за интервенции за градско обновление, обхващащи общини</w:t>
            </w:r>
          </w:p>
        </w:tc>
      </w:tr>
      <w:tr w:rsidR="006054AA" w14:paraId="37065B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F39BFF" w14:textId="77777777" w:rsidR="006054AA" w:rsidRDefault="001F7667">
            <w:pPr>
              <w:pStyle w:val="P68B1DB1-Normal12"/>
              <w:jc w:val="center"/>
              <w:rPr>
                <w:noProof/>
              </w:rPr>
            </w:pPr>
            <w:r>
              <w:rPr>
                <w:noProof/>
              </w:rPr>
              <w:t>M5C2—14</w:t>
            </w:r>
          </w:p>
        </w:tc>
        <w:tc>
          <w:tcPr>
            <w:tcW w:w="3090" w:type="dxa"/>
            <w:tcBorders>
              <w:top w:val="nil"/>
              <w:left w:val="nil"/>
              <w:bottom w:val="single" w:sz="4" w:space="0" w:color="auto"/>
              <w:right w:val="single" w:sz="4" w:space="0" w:color="auto"/>
            </w:tcBorders>
            <w:shd w:val="clear" w:color="auto" w:fill="C6EFCE"/>
            <w:noWrap/>
            <w:vAlign w:val="center"/>
          </w:tcPr>
          <w:p w14:paraId="16B45477" w14:textId="77777777" w:rsidR="006054AA" w:rsidRDefault="001F7667">
            <w:pPr>
              <w:pStyle w:val="P68B1DB1-Normal12"/>
              <w:jc w:val="center"/>
              <w:rPr>
                <w:noProof/>
              </w:rPr>
            </w:pPr>
            <w:r>
              <w:rPr>
                <w:noProof/>
              </w:rPr>
              <w:t>Инвестиция 5 — Интегрирани градоустройствени планове — общи проекти</w:t>
            </w:r>
          </w:p>
        </w:tc>
        <w:tc>
          <w:tcPr>
            <w:tcW w:w="1498" w:type="dxa"/>
            <w:tcBorders>
              <w:top w:val="nil"/>
              <w:left w:val="nil"/>
              <w:bottom w:val="single" w:sz="4" w:space="0" w:color="auto"/>
              <w:right w:val="single" w:sz="4" w:space="0" w:color="auto"/>
            </w:tcBorders>
            <w:shd w:val="clear" w:color="auto" w:fill="C6EFCE"/>
            <w:noWrap/>
            <w:vAlign w:val="center"/>
          </w:tcPr>
          <w:p w14:paraId="1F19100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F87C7BD" w14:textId="77777777" w:rsidR="006054AA" w:rsidRDefault="001F7667">
            <w:pPr>
              <w:pStyle w:val="P68B1DB1-Normal12"/>
              <w:jc w:val="center"/>
              <w:rPr>
                <w:noProof/>
              </w:rPr>
            </w:pPr>
            <w:r>
              <w:rPr>
                <w:noProof/>
              </w:rPr>
              <w:t>Завършване на проекти за интегрирано планиране в метрополните градове</w:t>
            </w:r>
          </w:p>
        </w:tc>
      </w:tr>
      <w:tr w:rsidR="006054AA" w14:paraId="601BCB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4AC10" w14:textId="77777777" w:rsidR="006054AA" w:rsidRDefault="001F7667">
            <w:pPr>
              <w:pStyle w:val="P68B1DB1-Normal12"/>
              <w:jc w:val="center"/>
              <w:rPr>
                <w:noProof/>
              </w:rPr>
            </w:pPr>
            <w:r>
              <w:rPr>
                <w:noProof/>
              </w:rPr>
              <w:t>M5C2—18</w:t>
            </w:r>
          </w:p>
        </w:tc>
        <w:tc>
          <w:tcPr>
            <w:tcW w:w="3090" w:type="dxa"/>
            <w:tcBorders>
              <w:top w:val="nil"/>
              <w:left w:val="nil"/>
              <w:bottom w:val="single" w:sz="4" w:space="0" w:color="auto"/>
              <w:right w:val="single" w:sz="4" w:space="0" w:color="auto"/>
            </w:tcBorders>
            <w:shd w:val="clear" w:color="auto" w:fill="C6EFCE"/>
            <w:noWrap/>
            <w:vAlign w:val="center"/>
          </w:tcPr>
          <w:p w14:paraId="24A985B5" w14:textId="77777777" w:rsidR="006054AA" w:rsidRDefault="001F7667">
            <w:pPr>
              <w:pStyle w:val="P68B1DB1-Normal12"/>
              <w:jc w:val="center"/>
              <w:rPr>
                <w:noProof/>
              </w:rPr>
            </w:pPr>
            <w:r>
              <w:rPr>
                <w:noProof/>
              </w:rPr>
              <w:t>Инвестиция 5 — Интегрирани планове за градско развитие — Фонд на ЕИБ</w:t>
            </w:r>
          </w:p>
        </w:tc>
        <w:tc>
          <w:tcPr>
            <w:tcW w:w="1498" w:type="dxa"/>
            <w:tcBorders>
              <w:top w:val="nil"/>
              <w:left w:val="nil"/>
              <w:bottom w:val="single" w:sz="4" w:space="0" w:color="auto"/>
              <w:right w:val="single" w:sz="4" w:space="0" w:color="auto"/>
            </w:tcBorders>
            <w:shd w:val="clear" w:color="auto" w:fill="C6EFCE"/>
            <w:noWrap/>
            <w:vAlign w:val="center"/>
          </w:tcPr>
          <w:p w14:paraId="167B2475"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D325CB9" w14:textId="77777777" w:rsidR="006054AA" w:rsidRDefault="001F7667">
            <w:pPr>
              <w:pStyle w:val="P68B1DB1-Normal12"/>
              <w:jc w:val="center"/>
              <w:rPr>
                <w:noProof/>
              </w:rPr>
            </w:pPr>
            <w:r>
              <w:rPr>
                <w:noProof/>
              </w:rPr>
              <w:t>Парична стойност на приноса към тематичния фонд и подкрепа за градски проекти</w:t>
            </w:r>
          </w:p>
        </w:tc>
      </w:tr>
      <w:tr w:rsidR="006054AA" w14:paraId="23E762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68F95D" w14:textId="77777777" w:rsidR="006054AA" w:rsidRDefault="001F7667">
            <w:pPr>
              <w:pStyle w:val="P68B1DB1-Normal12"/>
              <w:jc w:val="center"/>
              <w:rPr>
                <w:noProof/>
              </w:rPr>
            </w:pPr>
            <w:r>
              <w:rPr>
                <w:noProof/>
              </w:rPr>
              <w:t>M5C2—22</w:t>
            </w:r>
          </w:p>
        </w:tc>
        <w:tc>
          <w:tcPr>
            <w:tcW w:w="3090" w:type="dxa"/>
            <w:tcBorders>
              <w:top w:val="nil"/>
              <w:left w:val="nil"/>
              <w:bottom w:val="single" w:sz="4" w:space="0" w:color="auto"/>
              <w:right w:val="single" w:sz="4" w:space="0" w:color="auto"/>
            </w:tcBorders>
            <w:shd w:val="clear" w:color="auto" w:fill="C6EFCE"/>
            <w:noWrap/>
            <w:vAlign w:val="center"/>
          </w:tcPr>
          <w:p w14:paraId="473325F9" w14:textId="77777777" w:rsidR="006054AA" w:rsidRDefault="001F7667">
            <w:pPr>
              <w:pStyle w:val="P68B1DB1-Normal12"/>
              <w:jc w:val="center"/>
              <w:rPr>
                <w:noProof/>
              </w:rPr>
            </w:pPr>
            <w:r>
              <w:rPr>
                <w:noProof/>
              </w:rPr>
              <w:t>Инвестиция 7 — Проектът „Спорт и социално приобщаване“</w:t>
            </w:r>
          </w:p>
        </w:tc>
        <w:tc>
          <w:tcPr>
            <w:tcW w:w="1498" w:type="dxa"/>
            <w:tcBorders>
              <w:top w:val="nil"/>
              <w:left w:val="nil"/>
              <w:bottom w:val="single" w:sz="4" w:space="0" w:color="auto"/>
              <w:right w:val="single" w:sz="4" w:space="0" w:color="auto"/>
            </w:tcBorders>
            <w:shd w:val="clear" w:color="auto" w:fill="C6EFCE"/>
            <w:noWrap/>
            <w:vAlign w:val="center"/>
          </w:tcPr>
          <w:p w14:paraId="10449C59"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32EC279" w14:textId="77777777" w:rsidR="006054AA" w:rsidRDefault="001F7667">
            <w:pPr>
              <w:pStyle w:val="P68B1DB1-Normal12"/>
              <w:jc w:val="center"/>
              <w:rPr>
                <w:noProof/>
              </w:rPr>
            </w:pPr>
            <w:r>
              <w:rPr>
                <w:noProof/>
              </w:rPr>
              <w:t>Интервенции, свързани с договорите за спортни съоръжения</w:t>
            </w:r>
          </w:p>
        </w:tc>
      </w:tr>
      <w:tr w:rsidR="006054AA" w14:paraId="369F3D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06EB" w14:textId="77777777" w:rsidR="006054AA" w:rsidRDefault="001F7667">
            <w:pPr>
              <w:pStyle w:val="P68B1DB1-Normal12"/>
              <w:jc w:val="center"/>
              <w:rPr>
                <w:noProof/>
              </w:rPr>
            </w:pPr>
            <w:r>
              <w:rPr>
                <w:noProof/>
              </w:rPr>
              <w:t>M5C3—13</w:t>
            </w:r>
          </w:p>
        </w:tc>
        <w:tc>
          <w:tcPr>
            <w:tcW w:w="3090" w:type="dxa"/>
            <w:tcBorders>
              <w:top w:val="nil"/>
              <w:left w:val="nil"/>
              <w:bottom w:val="single" w:sz="4" w:space="0" w:color="auto"/>
              <w:right w:val="single" w:sz="4" w:space="0" w:color="auto"/>
            </w:tcBorders>
            <w:shd w:val="clear" w:color="auto" w:fill="C6EFCE"/>
            <w:noWrap/>
            <w:vAlign w:val="center"/>
          </w:tcPr>
          <w:p w14:paraId="0F1E72EA" w14:textId="77777777" w:rsidR="006054AA" w:rsidRDefault="001F7667">
            <w:pPr>
              <w:pStyle w:val="P68B1DB1-Normal12"/>
              <w:jc w:val="center"/>
              <w:rPr>
                <w:noProof/>
              </w:rPr>
            </w:pPr>
            <w:r>
              <w:rPr>
                <w:noProof/>
              </w:rPr>
              <w:t>Инвестиция 1.4: Инфраструктурни инвестиции за специалната икономическа зона</w:t>
            </w:r>
          </w:p>
        </w:tc>
        <w:tc>
          <w:tcPr>
            <w:tcW w:w="1498" w:type="dxa"/>
            <w:tcBorders>
              <w:top w:val="nil"/>
              <w:left w:val="nil"/>
              <w:bottom w:val="single" w:sz="4" w:space="0" w:color="auto"/>
              <w:right w:val="single" w:sz="4" w:space="0" w:color="auto"/>
            </w:tcBorders>
            <w:shd w:val="clear" w:color="auto" w:fill="C6EFCE"/>
            <w:noWrap/>
            <w:vAlign w:val="center"/>
          </w:tcPr>
          <w:p w14:paraId="1E2B3322"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A5554B3" w14:textId="77777777" w:rsidR="006054AA" w:rsidRDefault="001F7667">
            <w:pPr>
              <w:pStyle w:val="P68B1DB1-Normal12"/>
              <w:jc w:val="center"/>
              <w:rPr>
                <w:noProof/>
              </w:rPr>
            </w:pPr>
            <w:r>
              <w:rPr>
                <w:noProof/>
              </w:rPr>
              <w:t>Приключване на инфраструктурните интервенции в специалните икономически зони.</w:t>
            </w:r>
          </w:p>
        </w:tc>
      </w:tr>
      <w:tr w:rsidR="006054AA" w14:paraId="753FFA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0570AC" w14:textId="77777777" w:rsidR="006054AA" w:rsidRDefault="001F7667">
            <w:pPr>
              <w:pStyle w:val="P68B1DB1-Normal12"/>
              <w:jc w:val="center"/>
              <w:rPr>
                <w:noProof/>
              </w:rPr>
            </w:pPr>
            <w:r>
              <w:rPr>
                <w:noProof/>
              </w:rPr>
              <w:t>M6C1—3</w:t>
            </w:r>
          </w:p>
        </w:tc>
        <w:tc>
          <w:tcPr>
            <w:tcW w:w="3090" w:type="dxa"/>
            <w:tcBorders>
              <w:top w:val="nil"/>
              <w:left w:val="nil"/>
              <w:bottom w:val="single" w:sz="4" w:space="0" w:color="auto"/>
              <w:right w:val="single" w:sz="4" w:space="0" w:color="auto"/>
            </w:tcBorders>
            <w:shd w:val="clear" w:color="auto" w:fill="C6EFCE"/>
            <w:noWrap/>
            <w:vAlign w:val="center"/>
          </w:tcPr>
          <w:p w14:paraId="69C02EAE" w14:textId="77777777" w:rsidR="006054AA" w:rsidRDefault="001F7667">
            <w:pPr>
              <w:pStyle w:val="P68B1DB1-Normal12"/>
              <w:jc w:val="center"/>
              <w:rPr>
                <w:noProof/>
              </w:rPr>
            </w:pPr>
            <w:r>
              <w:rPr>
                <w:noProof/>
              </w:rPr>
              <w:t>Инвестиция 1.1: Общински здравни домове за подобряване на териториалното здравно подпомагане</w:t>
            </w:r>
          </w:p>
        </w:tc>
        <w:tc>
          <w:tcPr>
            <w:tcW w:w="1498" w:type="dxa"/>
            <w:tcBorders>
              <w:top w:val="nil"/>
              <w:left w:val="nil"/>
              <w:bottom w:val="single" w:sz="4" w:space="0" w:color="auto"/>
              <w:right w:val="single" w:sz="4" w:space="0" w:color="auto"/>
            </w:tcBorders>
            <w:shd w:val="clear" w:color="auto" w:fill="C6EFCE"/>
            <w:noWrap/>
            <w:vAlign w:val="center"/>
          </w:tcPr>
          <w:p w14:paraId="0CCBABE5"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C8E2C21" w14:textId="77777777" w:rsidR="006054AA" w:rsidRDefault="001F7667">
            <w:pPr>
              <w:pStyle w:val="P68B1DB1-Normal12"/>
              <w:jc w:val="center"/>
              <w:rPr>
                <w:noProof/>
              </w:rPr>
            </w:pPr>
            <w:r>
              <w:rPr>
                <w:noProof/>
              </w:rPr>
              <w:t>Предоставени и технологично оборудвани домове за обществено здравеопазване (първа партида)</w:t>
            </w:r>
          </w:p>
        </w:tc>
      </w:tr>
      <w:tr w:rsidR="006054AA" w14:paraId="7C9C6C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6D8ADB" w14:textId="77777777" w:rsidR="006054AA" w:rsidRDefault="001F7667">
            <w:pPr>
              <w:pStyle w:val="P68B1DB1-Normal12"/>
              <w:jc w:val="center"/>
              <w:rPr>
                <w:noProof/>
              </w:rPr>
            </w:pPr>
            <w:r>
              <w:rPr>
                <w:noProof/>
              </w:rPr>
              <w:t>M6C1—6</w:t>
            </w:r>
          </w:p>
        </w:tc>
        <w:tc>
          <w:tcPr>
            <w:tcW w:w="3090" w:type="dxa"/>
            <w:tcBorders>
              <w:top w:val="nil"/>
              <w:left w:val="nil"/>
              <w:bottom w:val="single" w:sz="4" w:space="0" w:color="auto"/>
              <w:right w:val="single" w:sz="4" w:space="0" w:color="auto"/>
            </w:tcBorders>
            <w:shd w:val="clear" w:color="auto" w:fill="C6EFCE"/>
            <w:noWrap/>
            <w:vAlign w:val="center"/>
          </w:tcPr>
          <w:p w14:paraId="2F74CCCD" w14:textId="77777777" w:rsidR="006054AA" w:rsidRDefault="001F7667">
            <w:pPr>
              <w:pStyle w:val="P68B1DB1-Normal12"/>
              <w:jc w:val="center"/>
              <w:rPr>
                <w:noProof/>
              </w:rPr>
            </w:pPr>
            <w:r>
              <w:rPr>
                <w:noProof/>
              </w:rPr>
              <w:t>Инвестиция 1.2: Дом като първо място за полагане на грижи и телемедицина</w:t>
            </w:r>
          </w:p>
        </w:tc>
        <w:tc>
          <w:tcPr>
            <w:tcW w:w="1498" w:type="dxa"/>
            <w:tcBorders>
              <w:top w:val="nil"/>
              <w:left w:val="nil"/>
              <w:bottom w:val="single" w:sz="4" w:space="0" w:color="auto"/>
              <w:right w:val="single" w:sz="4" w:space="0" w:color="auto"/>
            </w:tcBorders>
            <w:shd w:val="clear" w:color="auto" w:fill="C6EFCE"/>
            <w:noWrap/>
            <w:vAlign w:val="center"/>
          </w:tcPr>
          <w:p w14:paraId="2EE194C3"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F14D0D6" w14:textId="77777777" w:rsidR="006054AA" w:rsidRDefault="001F7667">
            <w:pPr>
              <w:pStyle w:val="P68B1DB1-Normal12"/>
              <w:jc w:val="center"/>
              <w:rPr>
                <w:noProof/>
              </w:rPr>
            </w:pPr>
            <w:r>
              <w:rPr>
                <w:noProof/>
              </w:rPr>
              <w:t>Допълнителни хора, лекувани в домашни условия (първа партида)</w:t>
            </w:r>
          </w:p>
        </w:tc>
      </w:tr>
      <w:tr w:rsidR="006054AA" w14:paraId="56A923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0D4E06" w14:textId="77777777" w:rsidR="006054AA" w:rsidRDefault="001F7667">
            <w:pPr>
              <w:pStyle w:val="P68B1DB1-Normal12"/>
              <w:jc w:val="center"/>
              <w:rPr>
                <w:noProof/>
              </w:rPr>
            </w:pPr>
            <w:r>
              <w:rPr>
                <w:noProof/>
              </w:rPr>
              <w:t>M6C1—11</w:t>
            </w:r>
          </w:p>
        </w:tc>
        <w:tc>
          <w:tcPr>
            <w:tcW w:w="3090" w:type="dxa"/>
            <w:tcBorders>
              <w:top w:val="nil"/>
              <w:left w:val="nil"/>
              <w:bottom w:val="single" w:sz="4" w:space="0" w:color="auto"/>
              <w:right w:val="single" w:sz="4" w:space="0" w:color="auto"/>
            </w:tcBorders>
            <w:shd w:val="clear" w:color="auto" w:fill="C6EFCE"/>
            <w:noWrap/>
            <w:vAlign w:val="center"/>
          </w:tcPr>
          <w:p w14:paraId="5176ED42" w14:textId="77777777" w:rsidR="006054AA" w:rsidRDefault="001F7667">
            <w:pPr>
              <w:pStyle w:val="P68B1DB1-Normal12"/>
              <w:jc w:val="center"/>
              <w:rPr>
                <w:noProof/>
              </w:rPr>
            </w:pPr>
            <w:r>
              <w:rPr>
                <w:noProof/>
              </w:rPr>
              <w:t>Инвестиция 1.3: Укрепване на междинното здравно обслужване и неговите заведения (общински болници)</w:t>
            </w:r>
          </w:p>
        </w:tc>
        <w:tc>
          <w:tcPr>
            <w:tcW w:w="1498" w:type="dxa"/>
            <w:tcBorders>
              <w:top w:val="nil"/>
              <w:left w:val="nil"/>
              <w:bottom w:val="single" w:sz="4" w:space="0" w:color="auto"/>
              <w:right w:val="single" w:sz="4" w:space="0" w:color="auto"/>
            </w:tcBorders>
            <w:shd w:val="clear" w:color="auto" w:fill="C6EFCE"/>
            <w:noWrap/>
            <w:vAlign w:val="center"/>
          </w:tcPr>
          <w:p w14:paraId="5A78D5D7"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8B08347" w14:textId="77777777" w:rsidR="006054AA" w:rsidRDefault="001F7667">
            <w:pPr>
              <w:pStyle w:val="P68B1DB1-Normal12"/>
              <w:jc w:val="center"/>
              <w:rPr>
                <w:noProof/>
              </w:rPr>
            </w:pPr>
            <w:r>
              <w:rPr>
                <w:noProof/>
              </w:rPr>
              <w:t>Санирани, взаимосвързани и технологично оборудвани болници на Общността (първа партида)</w:t>
            </w:r>
          </w:p>
        </w:tc>
      </w:tr>
      <w:tr w:rsidR="006054AA" w14:paraId="21D8838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FA30C" w14:textId="77777777" w:rsidR="006054AA" w:rsidRDefault="001F7667">
            <w:pPr>
              <w:pStyle w:val="P68B1DB1-Normal12"/>
              <w:jc w:val="center"/>
              <w:rPr>
                <w:noProof/>
              </w:rPr>
            </w:pPr>
            <w:r>
              <w:rPr>
                <w:noProof/>
              </w:rPr>
              <w:t>M6C2—6</w:t>
            </w:r>
          </w:p>
        </w:tc>
        <w:tc>
          <w:tcPr>
            <w:tcW w:w="3090" w:type="dxa"/>
            <w:tcBorders>
              <w:top w:val="nil"/>
              <w:left w:val="nil"/>
              <w:bottom w:val="single" w:sz="4" w:space="0" w:color="auto"/>
              <w:right w:val="single" w:sz="4" w:space="0" w:color="auto"/>
            </w:tcBorders>
            <w:shd w:val="clear" w:color="auto" w:fill="C6EFCE"/>
            <w:noWrap/>
            <w:vAlign w:val="center"/>
          </w:tcPr>
          <w:p w14:paraId="1FDED688" w14:textId="77777777" w:rsidR="006054AA" w:rsidRDefault="001F7667">
            <w:pPr>
              <w:pStyle w:val="P68B1DB1-Normal48"/>
              <w:jc w:val="center"/>
              <w:rPr>
                <w:noProof/>
              </w:rPr>
            </w:pPr>
            <w:r>
              <w:rPr>
                <w:noProof/>
              </w:rPr>
              <w:t>Инвестиция 1.1: Цифрова актуализация на технологичното оборудване на болниците</w:t>
            </w:r>
          </w:p>
        </w:tc>
        <w:tc>
          <w:tcPr>
            <w:tcW w:w="1498" w:type="dxa"/>
            <w:tcBorders>
              <w:top w:val="nil"/>
              <w:left w:val="nil"/>
              <w:bottom w:val="single" w:sz="4" w:space="0" w:color="auto"/>
              <w:right w:val="single" w:sz="4" w:space="0" w:color="auto"/>
            </w:tcBorders>
            <w:shd w:val="clear" w:color="auto" w:fill="C6EFCE"/>
            <w:noWrap/>
            <w:vAlign w:val="center"/>
          </w:tcPr>
          <w:p w14:paraId="42D8EAB6" w14:textId="77777777" w:rsidR="006054AA" w:rsidRDefault="001F7667">
            <w:pPr>
              <w:pStyle w:val="P68B1DB1-Normal48"/>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16B110A7" w14:textId="77777777" w:rsidR="006054AA" w:rsidRDefault="001F7667">
            <w:pPr>
              <w:pStyle w:val="P68B1DB1-Normal48"/>
              <w:jc w:val="center"/>
              <w:rPr>
                <w:noProof/>
              </w:rPr>
            </w:pPr>
            <w:r>
              <w:rPr>
                <w:noProof/>
              </w:rPr>
              <w:t>Експлоатация на голямо санитарно оборудване</w:t>
            </w:r>
          </w:p>
        </w:tc>
      </w:tr>
      <w:tr w:rsidR="006054AA" w14:paraId="1F4605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3B8A7F" w14:textId="77777777" w:rsidR="006054AA" w:rsidRDefault="001F7667">
            <w:pPr>
              <w:pStyle w:val="P68B1DB1-Normal12"/>
              <w:jc w:val="center"/>
              <w:rPr>
                <w:noProof/>
              </w:rPr>
            </w:pPr>
            <w:r>
              <w:rPr>
                <w:noProof/>
              </w:rPr>
              <w:t>M6C2—9</w:t>
            </w:r>
          </w:p>
        </w:tc>
        <w:tc>
          <w:tcPr>
            <w:tcW w:w="3090" w:type="dxa"/>
            <w:tcBorders>
              <w:top w:val="nil"/>
              <w:left w:val="nil"/>
              <w:bottom w:val="single" w:sz="4" w:space="0" w:color="auto"/>
              <w:right w:val="single" w:sz="4" w:space="0" w:color="auto"/>
            </w:tcBorders>
            <w:shd w:val="clear" w:color="auto" w:fill="C6EFCE"/>
            <w:noWrap/>
            <w:vAlign w:val="center"/>
          </w:tcPr>
          <w:p w14:paraId="293CEE8C" w14:textId="77777777" w:rsidR="006054AA" w:rsidRDefault="001F7667">
            <w:pPr>
              <w:pStyle w:val="P68B1DB1-Normal48"/>
              <w:jc w:val="center"/>
              <w:rPr>
                <w:noProof/>
              </w:rPr>
            </w:pPr>
            <w:r>
              <w:rPr>
                <w:noProof/>
              </w:rPr>
              <w:t>Инвестиция 1.1: Цифрова актуализация на технологичното оборудване на болниците</w:t>
            </w:r>
          </w:p>
        </w:tc>
        <w:tc>
          <w:tcPr>
            <w:tcW w:w="1498" w:type="dxa"/>
            <w:tcBorders>
              <w:top w:val="nil"/>
              <w:left w:val="nil"/>
              <w:bottom w:val="single" w:sz="4" w:space="0" w:color="auto"/>
              <w:right w:val="single" w:sz="4" w:space="0" w:color="auto"/>
            </w:tcBorders>
            <w:shd w:val="clear" w:color="auto" w:fill="C6EFCE"/>
            <w:noWrap/>
            <w:vAlign w:val="center"/>
          </w:tcPr>
          <w:p w14:paraId="2198447B" w14:textId="77777777" w:rsidR="006054AA" w:rsidRDefault="001F7667">
            <w:pPr>
              <w:pStyle w:val="P68B1DB1-Normal48"/>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6987F16E" w14:textId="77777777" w:rsidR="006054AA" w:rsidRDefault="001F7667">
            <w:pPr>
              <w:pStyle w:val="P68B1DB1-Normal48"/>
              <w:jc w:val="center"/>
              <w:rPr>
                <w:noProof/>
              </w:rPr>
            </w:pPr>
            <w:r>
              <w:rPr>
                <w:noProof/>
              </w:rPr>
              <w:t>Допълнителни легла, осигурени в интензивните отделения за интензивно лечение</w:t>
            </w:r>
          </w:p>
        </w:tc>
      </w:tr>
      <w:tr w:rsidR="006054AA" w14:paraId="48E67A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D8844" w14:textId="77777777" w:rsidR="006054AA" w:rsidRDefault="001F7667">
            <w:pPr>
              <w:pStyle w:val="P68B1DB1-Normal12"/>
              <w:jc w:val="center"/>
              <w:rPr>
                <w:noProof/>
              </w:rPr>
            </w:pPr>
            <w:r>
              <w:rPr>
                <w:noProof/>
              </w:rPr>
              <w:t>M6C2—10</w:t>
            </w:r>
          </w:p>
        </w:tc>
        <w:tc>
          <w:tcPr>
            <w:tcW w:w="3090" w:type="dxa"/>
            <w:tcBorders>
              <w:top w:val="nil"/>
              <w:left w:val="nil"/>
              <w:bottom w:val="single" w:sz="4" w:space="0" w:color="auto"/>
              <w:right w:val="single" w:sz="4" w:space="0" w:color="auto"/>
            </w:tcBorders>
            <w:shd w:val="clear" w:color="auto" w:fill="C6EFCE"/>
            <w:noWrap/>
            <w:vAlign w:val="center"/>
          </w:tcPr>
          <w:p w14:paraId="25717C36" w14:textId="77777777" w:rsidR="006054AA" w:rsidRDefault="001F7667">
            <w:pPr>
              <w:pStyle w:val="P68B1DB1-Normal48"/>
              <w:jc w:val="center"/>
              <w:rPr>
                <w:noProof/>
              </w:rPr>
            </w:pPr>
            <w:r>
              <w:rPr>
                <w:noProof/>
              </w:rPr>
              <w:t>Инвестиция 1.2: Към безопасна и устойчива болница</w:t>
            </w:r>
          </w:p>
        </w:tc>
        <w:tc>
          <w:tcPr>
            <w:tcW w:w="1498" w:type="dxa"/>
            <w:tcBorders>
              <w:top w:val="nil"/>
              <w:left w:val="nil"/>
              <w:bottom w:val="single" w:sz="4" w:space="0" w:color="auto"/>
              <w:right w:val="single" w:sz="4" w:space="0" w:color="auto"/>
            </w:tcBorders>
            <w:shd w:val="clear" w:color="auto" w:fill="C6EFCE"/>
            <w:noWrap/>
            <w:vAlign w:val="center"/>
          </w:tcPr>
          <w:p w14:paraId="0DB6DF7D" w14:textId="77777777" w:rsidR="006054AA" w:rsidRDefault="001F7667">
            <w:pPr>
              <w:pStyle w:val="P68B1DB1-Normal48"/>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BA876E8" w14:textId="77777777" w:rsidR="006054AA" w:rsidRDefault="001F7667">
            <w:pPr>
              <w:pStyle w:val="P68B1DB1-Normal48"/>
              <w:jc w:val="center"/>
              <w:rPr>
                <w:noProof/>
              </w:rPr>
            </w:pPr>
            <w:r>
              <w:rPr>
                <w:noProof/>
              </w:rPr>
              <w:t>Приключват се антисеизмичните интервенции в болнични заведения</w:t>
            </w:r>
          </w:p>
        </w:tc>
      </w:tr>
      <w:tr w:rsidR="006054AA" w14:paraId="2131A1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F545C7" w14:textId="77777777" w:rsidR="006054AA" w:rsidRDefault="001F7667">
            <w:pPr>
              <w:pStyle w:val="P68B1DB1-Normal12"/>
              <w:jc w:val="center"/>
              <w:rPr>
                <w:noProof/>
              </w:rPr>
            </w:pPr>
            <w:r>
              <w:rPr>
                <w:noProof/>
              </w:rPr>
              <w:t>M6C2—10 bis</w:t>
            </w:r>
          </w:p>
        </w:tc>
        <w:tc>
          <w:tcPr>
            <w:tcW w:w="3090" w:type="dxa"/>
            <w:tcBorders>
              <w:top w:val="nil"/>
              <w:left w:val="nil"/>
              <w:bottom w:val="single" w:sz="4" w:space="0" w:color="auto"/>
              <w:right w:val="single" w:sz="4" w:space="0" w:color="auto"/>
            </w:tcBorders>
            <w:shd w:val="clear" w:color="auto" w:fill="C6EFCE"/>
            <w:noWrap/>
            <w:vAlign w:val="center"/>
          </w:tcPr>
          <w:p w14:paraId="7882CA9E" w14:textId="77777777" w:rsidR="006054AA" w:rsidRDefault="001F7667">
            <w:pPr>
              <w:pStyle w:val="P68B1DB1-Normal48"/>
              <w:jc w:val="center"/>
              <w:rPr>
                <w:noProof/>
              </w:rPr>
            </w:pPr>
            <w:r>
              <w:rPr>
                <w:noProof/>
              </w:rPr>
              <w:t>Инвестиция 1.2: Към безопасна и устойчива болница</w:t>
            </w:r>
          </w:p>
        </w:tc>
        <w:tc>
          <w:tcPr>
            <w:tcW w:w="1498" w:type="dxa"/>
            <w:tcBorders>
              <w:top w:val="nil"/>
              <w:left w:val="nil"/>
              <w:bottom w:val="single" w:sz="4" w:space="0" w:color="auto"/>
              <w:right w:val="single" w:sz="4" w:space="0" w:color="auto"/>
            </w:tcBorders>
            <w:shd w:val="clear" w:color="auto" w:fill="C6EFCE"/>
            <w:noWrap/>
            <w:vAlign w:val="center"/>
          </w:tcPr>
          <w:p w14:paraId="4CA3FBBF" w14:textId="77777777" w:rsidR="006054AA" w:rsidRDefault="001F7667">
            <w:pPr>
              <w:pStyle w:val="P68B1DB1-Normal48"/>
              <w:jc w:val="center"/>
              <w:rPr>
                <w:noProof/>
              </w:rPr>
            </w:pPr>
            <w:r>
              <w:rPr>
                <w:noProof/>
              </w:rPr>
              <w:t xml:space="preserve">Целеви </w:t>
            </w:r>
          </w:p>
        </w:tc>
        <w:tc>
          <w:tcPr>
            <w:tcW w:w="4091" w:type="dxa"/>
            <w:tcBorders>
              <w:top w:val="nil"/>
              <w:left w:val="nil"/>
              <w:bottom w:val="single" w:sz="4" w:space="0" w:color="auto"/>
              <w:right w:val="single" w:sz="4" w:space="0" w:color="auto"/>
            </w:tcBorders>
            <w:shd w:val="clear" w:color="auto" w:fill="C6EFCE"/>
            <w:noWrap/>
            <w:vAlign w:val="center"/>
          </w:tcPr>
          <w:p w14:paraId="49FD9B0A" w14:textId="77777777" w:rsidR="006054AA" w:rsidRDefault="001F7667">
            <w:pPr>
              <w:pStyle w:val="P68B1DB1-Normal48"/>
              <w:jc w:val="center"/>
              <w:rPr>
                <w:noProof/>
              </w:rPr>
            </w:pPr>
            <w:r>
              <w:rPr>
                <w:noProof/>
              </w:rPr>
              <w:t>Изплащане на средства от Механизма за възстановяване и устойчивост за проекти по член 20 от Финансовия закон 67/88 „Здраве строителство“</w:t>
            </w:r>
          </w:p>
        </w:tc>
      </w:tr>
      <w:tr w:rsidR="006054AA" w14:paraId="7E257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0DA7A9" w14:textId="77777777" w:rsidR="006054AA" w:rsidRDefault="001F7667">
            <w:pPr>
              <w:pStyle w:val="P68B1DB1-Normal12"/>
              <w:jc w:val="center"/>
              <w:rPr>
                <w:noProof/>
              </w:rPr>
            </w:pPr>
            <w:r>
              <w:rPr>
                <w:noProof/>
              </w:rPr>
              <w:t>M6C2—12</w:t>
            </w:r>
          </w:p>
        </w:tc>
        <w:tc>
          <w:tcPr>
            <w:tcW w:w="3090" w:type="dxa"/>
            <w:tcBorders>
              <w:top w:val="nil"/>
              <w:left w:val="nil"/>
              <w:bottom w:val="single" w:sz="4" w:space="0" w:color="auto"/>
              <w:right w:val="single" w:sz="4" w:space="0" w:color="auto"/>
            </w:tcBorders>
            <w:shd w:val="clear" w:color="auto" w:fill="C6EFCE"/>
            <w:noWrap/>
            <w:vAlign w:val="center"/>
          </w:tcPr>
          <w:p w14:paraId="0EE5B10D" w14:textId="77777777" w:rsidR="006054AA" w:rsidRDefault="001F7667">
            <w:pPr>
              <w:pStyle w:val="P68B1DB1-Normal48"/>
              <w:jc w:val="center"/>
              <w:rPr>
                <w:noProof/>
              </w:rPr>
            </w:pPr>
            <w:r>
              <w:rPr>
                <w:noProof/>
              </w:rPr>
              <w:t>Инвестиция 1.3: Укрепване на технологичната инфраструктура и на инструментите за събиране, обработка на данни, анализ и симулация на данни</w:t>
            </w:r>
          </w:p>
        </w:tc>
        <w:tc>
          <w:tcPr>
            <w:tcW w:w="1498" w:type="dxa"/>
            <w:tcBorders>
              <w:top w:val="nil"/>
              <w:left w:val="nil"/>
              <w:bottom w:val="single" w:sz="4" w:space="0" w:color="auto"/>
              <w:right w:val="single" w:sz="4" w:space="0" w:color="auto"/>
            </w:tcBorders>
            <w:shd w:val="clear" w:color="auto" w:fill="C6EFCE"/>
            <w:noWrap/>
            <w:vAlign w:val="center"/>
          </w:tcPr>
          <w:p w14:paraId="1CC5EB1C" w14:textId="77777777" w:rsidR="006054AA" w:rsidRDefault="001F7667">
            <w:pPr>
              <w:pStyle w:val="P68B1DB1-Normal48"/>
              <w:jc w:val="center"/>
              <w:rPr>
                <w:noProof/>
              </w:rPr>
            </w:pPr>
            <w:r>
              <w:rPr>
                <w:noProof/>
              </w:rPr>
              <w:t>Ключов етап</w:t>
            </w:r>
          </w:p>
        </w:tc>
        <w:tc>
          <w:tcPr>
            <w:tcW w:w="4091" w:type="dxa"/>
            <w:tcBorders>
              <w:top w:val="nil"/>
              <w:left w:val="nil"/>
              <w:bottom w:val="single" w:sz="4" w:space="0" w:color="auto"/>
              <w:right w:val="single" w:sz="4" w:space="0" w:color="auto"/>
            </w:tcBorders>
            <w:shd w:val="clear" w:color="auto" w:fill="C6EFCE"/>
            <w:noWrap/>
            <w:vAlign w:val="center"/>
          </w:tcPr>
          <w:p w14:paraId="6FD94B2A" w14:textId="77777777" w:rsidR="006054AA" w:rsidRDefault="001F7667">
            <w:pPr>
              <w:pStyle w:val="P68B1DB1-Normal48"/>
              <w:jc w:val="center"/>
              <w:rPr>
                <w:noProof/>
              </w:rPr>
            </w:pPr>
            <w:r>
              <w:rPr>
                <w:noProof/>
              </w:rPr>
              <w:t>Системата за здравноосигурителни карти и инфраструктурата за оперативна съвместимост на електронното здравно досие са напълно оперативни.</w:t>
            </w:r>
          </w:p>
        </w:tc>
      </w:tr>
      <w:tr w:rsidR="006054AA" w14:paraId="5E507B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FDC5" w14:textId="77777777" w:rsidR="006054AA" w:rsidRDefault="001F7667">
            <w:pPr>
              <w:pStyle w:val="P68B1DB1-Normal12"/>
              <w:jc w:val="center"/>
              <w:rPr>
                <w:noProof/>
              </w:rPr>
            </w:pPr>
            <w:r>
              <w:rPr>
                <w:noProof/>
              </w:rPr>
              <w:t>M6C2—13</w:t>
            </w:r>
          </w:p>
        </w:tc>
        <w:tc>
          <w:tcPr>
            <w:tcW w:w="3090" w:type="dxa"/>
            <w:tcBorders>
              <w:top w:val="nil"/>
              <w:left w:val="nil"/>
              <w:bottom w:val="single" w:sz="4" w:space="0" w:color="auto"/>
              <w:right w:val="single" w:sz="4" w:space="0" w:color="auto"/>
            </w:tcBorders>
            <w:shd w:val="clear" w:color="auto" w:fill="C6EFCE"/>
            <w:noWrap/>
            <w:vAlign w:val="center"/>
          </w:tcPr>
          <w:p w14:paraId="3ED1646E" w14:textId="77777777" w:rsidR="006054AA" w:rsidRDefault="001F7667">
            <w:pPr>
              <w:pStyle w:val="P68B1DB1-Normal48"/>
              <w:jc w:val="center"/>
              <w:rPr>
                <w:noProof/>
              </w:rPr>
            </w:pPr>
            <w:r>
              <w:rPr>
                <w:noProof/>
              </w:rPr>
              <w:t>Инвестиция 1.3: Укрепване на технологичната инфраструктура и на инструментите за събиране, обработка на данни, анализ и симулация на данни</w:t>
            </w:r>
          </w:p>
        </w:tc>
        <w:tc>
          <w:tcPr>
            <w:tcW w:w="1498" w:type="dxa"/>
            <w:tcBorders>
              <w:top w:val="nil"/>
              <w:left w:val="nil"/>
              <w:bottom w:val="single" w:sz="4" w:space="0" w:color="auto"/>
              <w:right w:val="single" w:sz="4" w:space="0" w:color="auto"/>
            </w:tcBorders>
            <w:shd w:val="clear" w:color="auto" w:fill="C6EFCE"/>
            <w:noWrap/>
            <w:vAlign w:val="center"/>
          </w:tcPr>
          <w:p w14:paraId="02069F2A" w14:textId="77777777" w:rsidR="006054AA" w:rsidRDefault="001F7667">
            <w:pPr>
              <w:pStyle w:val="P68B1DB1-Normal48"/>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314C182" w14:textId="77777777" w:rsidR="006054AA" w:rsidRDefault="001F7667">
            <w:pPr>
              <w:pStyle w:val="P68B1DB1-Normal48"/>
              <w:jc w:val="center"/>
              <w:rPr>
                <w:noProof/>
              </w:rPr>
            </w:pPr>
            <w:r>
              <w:rPr>
                <w:noProof/>
              </w:rPr>
              <w:t>Всички региони са приели и използват ЕЗД</w:t>
            </w:r>
          </w:p>
        </w:tc>
      </w:tr>
      <w:tr w:rsidR="006054AA" w14:paraId="1E92B9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94ED0" w14:textId="77777777" w:rsidR="006054AA" w:rsidRDefault="001F7667">
            <w:pPr>
              <w:pStyle w:val="P68B1DB1-Normal12"/>
              <w:jc w:val="center"/>
              <w:rPr>
                <w:noProof/>
              </w:rPr>
            </w:pPr>
            <w:r>
              <w:rPr>
                <w:noProof/>
              </w:rPr>
              <w:t>M6C2—16</w:t>
            </w:r>
          </w:p>
        </w:tc>
        <w:tc>
          <w:tcPr>
            <w:tcW w:w="3090" w:type="dxa"/>
            <w:tcBorders>
              <w:top w:val="nil"/>
              <w:left w:val="nil"/>
              <w:bottom w:val="single" w:sz="4" w:space="0" w:color="auto"/>
              <w:right w:val="single" w:sz="4" w:space="0" w:color="auto"/>
            </w:tcBorders>
            <w:shd w:val="clear" w:color="auto" w:fill="C6EFCE"/>
            <w:noWrap/>
            <w:vAlign w:val="center"/>
          </w:tcPr>
          <w:p w14:paraId="24716BF6" w14:textId="77777777" w:rsidR="006054AA" w:rsidRDefault="001F7667">
            <w:pPr>
              <w:pStyle w:val="P68B1DB1-Normal48"/>
              <w:jc w:val="center"/>
              <w:rPr>
                <w:noProof/>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tc>
        <w:tc>
          <w:tcPr>
            <w:tcW w:w="1498" w:type="dxa"/>
            <w:tcBorders>
              <w:top w:val="nil"/>
              <w:left w:val="nil"/>
              <w:bottom w:val="single" w:sz="4" w:space="0" w:color="auto"/>
              <w:right w:val="single" w:sz="4" w:space="0" w:color="auto"/>
            </w:tcBorders>
            <w:shd w:val="clear" w:color="auto" w:fill="C6EFCE"/>
            <w:noWrap/>
            <w:vAlign w:val="center"/>
          </w:tcPr>
          <w:p w14:paraId="2E479383" w14:textId="77777777" w:rsidR="006054AA" w:rsidRDefault="001F7667">
            <w:pPr>
              <w:pStyle w:val="P68B1DB1-Normal48"/>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0AF2C596" w14:textId="77777777" w:rsidR="006054AA" w:rsidRDefault="001F7667">
            <w:pPr>
              <w:pStyle w:val="P68B1DB1-Normal48"/>
              <w:jc w:val="center"/>
              <w:rPr>
                <w:noProof/>
              </w:rPr>
            </w:pPr>
            <w:r>
              <w:rPr>
                <w:noProof/>
              </w:rPr>
              <w:t>Обучение по управленски и цифрови умения, предоставяно на служителите на Националната здравна служба</w:t>
            </w:r>
          </w:p>
        </w:tc>
      </w:tr>
      <w:tr w:rsidR="006054AA" w14:paraId="34BBF3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E04B55" w14:textId="77777777" w:rsidR="006054AA" w:rsidRDefault="001F7667">
            <w:pPr>
              <w:pStyle w:val="P68B1DB1-Normal48"/>
              <w:jc w:val="center"/>
              <w:rPr>
                <w:noProof/>
              </w:rPr>
            </w:pPr>
            <w:r>
              <w:rPr>
                <w:noProof/>
              </w:rPr>
              <w:t>M6C2—17</w:t>
            </w:r>
          </w:p>
        </w:tc>
        <w:tc>
          <w:tcPr>
            <w:tcW w:w="3090" w:type="dxa"/>
            <w:tcBorders>
              <w:top w:val="nil"/>
              <w:left w:val="nil"/>
              <w:bottom w:val="single" w:sz="4" w:space="0" w:color="auto"/>
              <w:right w:val="single" w:sz="4" w:space="0" w:color="auto"/>
            </w:tcBorders>
            <w:shd w:val="clear" w:color="auto" w:fill="C6EFCE"/>
            <w:noWrap/>
            <w:vAlign w:val="center"/>
          </w:tcPr>
          <w:p w14:paraId="20B6F9B0" w14:textId="77777777" w:rsidR="006054AA" w:rsidRDefault="001F7667">
            <w:pPr>
              <w:pStyle w:val="P68B1DB1-Normal48"/>
              <w:jc w:val="center"/>
              <w:rPr>
                <w:noProof/>
              </w:rPr>
            </w:pPr>
            <w:r>
              <w:rPr>
                <w:noProof/>
              </w:rPr>
              <w:t>Инвестиция 2.2: Развитие на технически, професионални, цифрови и управленски умения на специалистите в системата на здравеопазването</w:t>
            </w:r>
          </w:p>
        </w:tc>
        <w:tc>
          <w:tcPr>
            <w:tcW w:w="1498" w:type="dxa"/>
            <w:tcBorders>
              <w:top w:val="nil"/>
              <w:left w:val="nil"/>
              <w:bottom w:val="single" w:sz="4" w:space="0" w:color="auto"/>
              <w:right w:val="single" w:sz="4" w:space="0" w:color="auto"/>
            </w:tcBorders>
            <w:shd w:val="clear" w:color="auto" w:fill="C6EFCE"/>
            <w:noWrap/>
            <w:vAlign w:val="center"/>
          </w:tcPr>
          <w:p w14:paraId="26958784" w14:textId="77777777" w:rsidR="006054AA" w:rsidRDefault="001F7667">
            <w:pPr>
              <w:pStyle w:val="P68B1DB1-Normal48"/>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517C9DBB" w14:textId="77777777" w:rsidR="006054AA" w:rsidRDefault="001F7667">
            <w:pPr>
              <w:pStyle w:val="P68B1DB1-Normal48"/>
              <w:jc w:val="center"/>
              <w:rPr>
                <w:noProof/>
              </w:rPr>
            </w:pPr>
            <w:r>
              <w:rPr>
                <w:noProof/>
              </w:rPr>
              <w:t>Брой финансирани договори за медицинско — специализирано обучение</w:t>
            </w:r>
          </w:p>
        </w:tc>
      </w:tr>
      <w:tr w:rsidR="006054AA" w14:paraId="5390F9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75F33D" w14:textId="77777777" w:rsidR="006054AA" w:rsidRDefault="001F7667">
            <w:pPr>
              <w:pStyle w:val="P68B1DB1-Normal12"/>
              <w:jc w:val="center"/>
              <w:rPr>
                <w:noProof/>
              </w:rPr>
            </w:pPr>
            <w:r>
              <w:rPr>
                <w:noProof/>
              </w:rPr>
              <w:t>M7—37</w:t>
            </w:r>
          </w:p>
        </w:tc>
        <w:tc>
          <w:tcPr>
            <w:tcW w:w="3090" w:type="dxa"/>
            <w:tcBorders>
              <w:top w:val="nil"/>
              <w:left w:val="nil"/>
              <w:bottom w:val="single" w:sz="4" w:space="0" w:color="auto"/>
              <w:right w:val="single" w:sz="4" w:space="0" w:color="auto"/>
            </w:tcBorders>
            <w:shd w:val="clear" w:color="auto" w:fill="C6EFCE"/>
            <w:noWrap/>
            <w:vAlign w:val="center"/>
          </w:tcPr>
          <w:p w14:paraId="2D013ACF" w14:textId="77777777" w:rsidR="006054AA" w:rsidRDefault="001F7667">
            <w:pPr>
              <w:pStyle w:val="P68B1DB1-Normal12"/>
              <w:jc w:val="center"/>
              <w:rPr>
                <w:noProof/>
              </w:rPr>
            </w:pPr>
            <w:r>
              <w:rPr>
                <w:noProof/>
              </w:rPr>
              <w:t>Инвестиция 13: Адриатическа линия, фаза 1 (компресорна станция Sulmona и газопровод Sestino-Minerbio)</w:t>
            </w:r>
          </w:p>
        </w:tc>
        <w:tc>
          <w:tcPr>
            <w:tcW w:w="1498" w:type="dxa"/>
            <w:tcBorders>
              <w:top w:val="nil"/>
              <w:left w:val="nil"/>
              <w:bottom w:val="single" w:sz="4" w:space="0" w:color="auto"/>
              <w:right w:val="single" w:sz="4" w:space="0" w:color="auto"/>
            </w:tcBorders>
            <w:shd w:val="clear" w:color="auto" w:fill="C6EFCE"/>
            <w:noWrap/>
            <w:vAlign w:val="center"/>
          </w:tcPr>
          <w:p w14:paraId="2339F443" w14:textId="77777777" w:rsidR="006054AA" w:rsidRDefault="001F7667">
            <w:pPr>
              <w:pStyle w:val="P68B1DB1-Normal12"/>
              <w:jc w:val="center"/>
              <w:rPr>
                <w:noProof/>
              </w:rPr>
            </w:pPr>
            <w:r>
              <w:rPr>
                <w:noProof/>
              </w:rPr>
              <w:t>Ключов етап</w:t>
            </w:r>
          </w:p>
        </w:tc>
        <w:tc>
          <w:tcPr>
            <w:tcW w:w="4091" w:type="dxa"/>
            <w:tcBorders>
              <w:top w:val="nil"/>
              <w:left w:val="nil"/>
              <w:bottom w:val="single" w:sz="4" w:space="0" w:color="auto"/>
              <w:right w:val="single" w:sz="4" w:space="0" w:color="auto"/>
            </w:tcBorders>
            <w:shd w:val="clear" w:color="auto" w:fill="C6EFCE"/>
            <w:noWrap/>
            <w:vAlign w:val="center"/>
          </w:tcPr>
          <w:p w14:paraId="015C78BF" w14:textId="77777777" w:rsidR="006054AA" w:rsidRDefault="001F7667">
            <w:pPr>
              <w:pStyle w:val="P68B1DB1-Normal12"/>
              <w:jc w:val="center"/>
              <w:rPr>
                <w:noProof/>
              </w:rPr>
            </w:pPr>
            <w:r>
              <w:rPr>
                <w:noProof/>
              </w:rPr>
              <w:t>Приключване на строителните работи</w:t>
            </w:r>
          </w:p>
        </w:tc>
      </w:tr>
      <w:tr w:rsidR="006054AA" w14:paraId="40976D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AE3983" w14:textId="77777777" w:rsidR="006054AA" w:rsidRDefault="001F7667">
            <w:pPr>
              <w:pStyle w:val="P68B1DB1-Normal12"/>
              <w:jc w:val="center"/>
              <w:rPr>
                <w:noProof/>
              </w:rPr>
            </w:pPr>
            <w:r>
              <w:rPr>
                <w:noProof/>
              </w:rPr>
              <w:t>M7—39</w:t>
            </w:r>
          </w:p>
        </w:tc>
        <w:tc>
          <w:tcPr>
            <w:tcW w:w="3090" w:type="dxa"/>
            <w:tcBorders>
              <w:top w:val="nil"/>
              <w:left w:val="nil"/>
              <w:bottom w:val="single" w:sz="4" w:space="0" w:color="auto"/>
              <w:right w:val="single" w:sz="4" w:space="0" w:color="auto"/>
            </w:tcBorders>
            <w:shd w:val="clear" w:color="auto" w:fill="C6EFCE"/>
            <w:noWrap/>
            <w:vAlign w:val="center"/>
          </w:tcPr>
          <w:p w14:paraId="65E15631" w14:textId="77777777" w:rsidR="006054AA" w:rsidRDefault="001F7667">
            <w:pPr>
              <w:pStyle w:val="P68B1DB1-Normal12"/>
              <w:jc w:val="center"/>
              <w:rPr>
                <w:noProof/>
              </w:rPr>
            </w:pPr>
            <w:r>
              <w:rPr>
                <w:noProof/>
              </w:rPr>
              <w:t>Инвестиция 14: Трансгранична инфраструктура за износ на газ</w:t>
            </w:r>
          </w:p>
        </w:tc>
        <w:tc>
          <w:tcPr>
            <w:tcW w:w="1498" w:type="dxa"/>
            <w:tcBorders>
              <w:top w:val="nil"/>
              <w:left w:val="nil"/>
              <w:bottom w:val="single" w:sz="4" w:space="0" w:color="auto"/>
              <w:right w:val="single" w:sz="4" w:space="0" w:color="auto"/>
            </w:tcBorders>
            <w:shd w:val="clear" w:color="auto" w:fill="C6EFCE"/>
            <w:noWrap/>
            <w:vAlign w:val="center"/>
          </w:tcPr>
          <w:p w14:paraId="10B47C88" w14:textId="77777777" w:rsidR="006054AA" w:rsidRDefault="001F7667">
            <w:pPr>
              <w:pStyle w:val="P68B1DB1-Normal12"/>
              <w:jc w:val="center"/>
              <w:rPr>
                <w:noProof/>
              </w:rPr>
            </w:pPr>
            <w:r>
              <w:rPr>
                <w:noProof/>
              </w:rPr>
              <w:t>Ключов етап</w:t>
            </w:r>
          </w:p>
        </w:tc>
        <w:tc>
          <w:tcPr>
            <w:tcW w:w="4091" w:type="dxa"/>
            <w:tcBorders>
              <w:top w:val="nil"/>
              <w:left w:val="nil"/>
              <w:bottom w:val="single" w:sz="4" w:space="0" w:color="auto"/>
              <w:right w:val="single" w:sz="4" w:space="0" w:color="auto"/>
            </w:tcBorders>
            <w:shd w:val="clear" w:color="auto" w:fill="C6EFCE"/>
            <w:noWrap/>
            <w:vAlign w:val="center"/>
          </w:tcPr>
          <w:p w14:paraId="771A2201" w14:textId="77777777" w:rsidR="006054AA" w:rsidRDefault="001F7667">
            <w:pPr>
              <w:pStyle w:val="P68B1DB1-Normal12"/>
              <w:jc w:val="center"/>
              <w:rPr>
                <w:noProof/>
              </w:rPr>
            </w:pPr>
            <w:r>
              <w:rPr>
                <w:noProof/>
              </w:rPr>
              <w:t>Приключване на строителните работи</w:t>
            </w:r>
          </w:p>
        </w:tc>
      </w:tr>
      <w:tr w:rsidR="006054AA" w14:paraId="725CD7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5D6CC2" w14:textId="77777777" w:rsidR="006054AA" w:rsidRDefault="001F7667">
            <w:pPr>
              <w:pStyle w:val="P68B1DB1-Normal12"/>
              <w:jc w:val="center"/>
              <w:rPr>
                <w:noProof/>
              </w:rPr>
            </w:pPr>
            <w:r>
              <w:rPr>
                <w:noProof/>
              </w:rPr>
              <w:t>M7—41</w:t>
            </w:r>
          </w:p>
        </w:tc>
        <w:tc>
          <w:tcPr>
            <w:tcW w:w="3090" w:type="dxa"/>
            <w:tcBorders>
              <w:top w:val="nil"/>
              <w:left w:val="nil"/>
              <w:bottom w:val="single" w:sz="4" w:space="0" w:color="auto"/>
              <w:right w:val="single" w:sz="4" w:space="0" w:color="auto"/>
            </w:tcBorders>
            <w:shd w:val="clear" w:color="auto" w:fill="C6EFCE"/>
            <w:noWrap/>
            <w:vAlign w:val="center"/>
          </w:tcPr>
          <w:p w14:paraId="772202EC" w14:textId="77777777" w:rsidR="006054AA" w:rsidRDefault="001F7667">
            <w:pPr>
              <w:pStyle w:val="P68B1DB1-Normal12"/>
              <w:jc w:val="center"/>
              <w:rPr>
                <w:noProof/>
              </w:rPr>
            </w:pPr>
            <w:r>
              <w:rPr>
                <w:noProof/>
              </w:rPr>
              <w:t>Инвестиция 15: Трансилсионе 5.0 Зелено</w:t>
            </w:r>
          </w:p>
        </w:tc>
        <w:tc>
          <w:tcPr>
            <w:tcW w:w="1498" w:type="dxa"/>
            <w:tcBorders>
              <w:top w:val="nil"/>
              <w:left w:val="nil"/>
              <w:bottom w:val="single" w:sz="4" w:space="0" w:color="auto"/>
              <w:right w:val="single" w:sz="4" w:space="0" w:color="auto"/>
            </w:tcBorders>
            <w:shd w:val="clear" w:color="auto" w:fill="C6EFCE"/>
            <w:noWrap/>
            <w:vAlign w:val="center"/>
          </w:tcPr>
          <w:p w14:paraId="6ED71DA1"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D989A1B" w14:textId="77777777" w:rsidR="006054AA" w:rsidRDefault="001F7667">
            <w:pPr>
              <w:pStyle w:val="P68B1DB1-Normal12"/>
              <w:jc w:val="center"/>
              <w:rPr>
                <w:noProof/>
              </w:rPr>
            </w:pPr>
            <w:r>
              <w:rPr>
                <w:noProof/>
              </w:rPr>
              <w:t>Предоставяне на ресурси по МВУ</w:t>
            </w:r>
          </w:p>
        </w:tc>
      </w:tr>
      <w:tr w:rsidR="006054AA" w14:paraId="3AF997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D54C75" w14:textId="77777777" w:rsidR="006054AA" w:rsidRDefault="001F7667">
            <w:pPr>
              <w:pStyle w:val="P68B1DB1-Normal12"/>
              <w:jc w:val="center"/>
              <w:rPr>
                <w:noProof/>
              </w:rPr>
            </w:pPr>
            <w:r>
              <w:rPr>
                <w:noProof/>
              </w:rPr>
              <w:t>M7—42</w:t>
            </w:r>
          </w:p>
        </w:tc>
        <w:tc>
          <w:tcPr>
            <w:tcW w:w="3090" w:type="dxa"/>
            <w:tcBorders>
              <w:top w:val="nil"/>
              <w:left w:val="nil"/>
              <w:bottom w:val="single" w:sz="4" w:space="0" w:color="auto"/>
              <w:right w:val="single" w:sz="4" w:space="0" w:color="auto"/>
            </w:tcBorders>
            <w:shd w:val="clear" w:color="auto" w:fill="C6EFCE"/>
            <w:noWrap/>
            <w:vAlign w:val="center"/>
          </w:tcPr>
          <w:p w14:paraId="07E313ED" w14:textId="77777777" w:rsidR="006054AA" w:rsidRDefault="001F7667">
            <w:pPr>
              <w:pStyle w:val="P68B1DB1-Normal12"/>
              <w:jc w:val="center"/>
              <w:rPr>
                <w:noProof/>
              </w:rPr>
            </w:pPr>
            <w:r>
              <w:rPr>
                <w:noProof/>
              </w:rPr>
              <w:t>Инвестиция 15: Трансилсионе 5.0 Зелено</w:t>
            </w:r>
          </w:p>
        </w:tc>
        <w:tc>
          <w:tcPr>
            <w:tcW w:w="1498" w:type="dxa"/>
            <w:tcBorders>
              <w:top w:val="nil"/>
              <w:left w:val="nil"/>
              <w:bottom w:val="single" w:sz="4" w:space="0" w:color="auto"/>
              <w:right w:val="single" w:sz="4" w:space="0" w:color="auto"/>
            </w:tcBorders>
            <w:shd w:val="clear" w:color="auto" w:fill="C6EFCE"/>
            <w:noWrap/>
            <w:vAlign w:val="center"/>
          </w:tcPr>
          <w:p w14:paraId="2D802279"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27B7385A" w14:textId="77777777" w:rsidR="006054AA" w:rsidRDefault="001F7667">
            <w:pPr>
              <w:pStyle w:val="P68B1DB1-Normal12"/>
              <w:jc w:val="center"/>
              <w:rPr>
                <w:noProof/>
              </w:rPr>
            </w:pPr>
            <w:r>
              <w:rPr>
                <w:noProof/>
              </w:rPr>
              <w:t>0.4 млн. т н.е. икономии на енергия при крайното потребление на енергия в периода 2024—2026 г.</w:t>
            </w:r>
          </w:p>
        </w:tc>
      </w:tr>
      <w:tr w:rsidR="006054AA" w14:paraId="32912C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39F705" w14:textId="77777777" w:rsidR="006054AA" w:rsidRDefault="001F7667">
            <w:pPr>
              <w:pStyle w:val="P68B1DB1-Normal12"/>
              <w:jc w:val="center"/>
              <w:rPr>
                <w:noProof/>
              </w:rPr>
            </w:pPr>
            <w:r>
              <w:rPr>
                <w:noProof/>
              </w:rPr>
              <w:t>M7—45</w:t>
            </w:r>
          </w:p>
        </w:tc>
        <w:tc>
          <w:tcPr>
            <w:tcW w:w="3090" w:type="dxa"/>
            <w:tcBorders>
              <w:top w:val="nil"/>
              <w:left w:val="nil"/>
              <w:bottom w:val="single" w:sz="4" w:space="0" w:color="auto"/>
              <w:right w:val="single" w:sz="4" w:space="0" w:color="auto"/>
            </w:tcBorders>
            <w:shd w:val="clear" w:color="auto" w:fill="C6EFCE"/>
            <w:noWrap/>
            <w:vAlign w:val="center"/>
          </w:tcPr>
          <w:p w14:paraId="0EC628E7" w14:textId="77777777" w:rsidR="006054AA" w:rsidRDefault="001F7667">
            <w:pPr>
              <w:pStyle w:val="P68B1DB1-Normal12"/>
              <w:jc w:val="center"/>
              <w:rPr>
                <w:noProof/>
              </w:rPr>
            </w:pPr>
            <w:r>
              <w:rPr>
                <w:noProof/>
              </w:rPr>
              <w:t>Инвестиция 16: Подкрепа за МСП за собствено производство от възобновяеми енергийни източници</w:t>
            </w:r>
          </w:p>
        </w:tc>
        <w:tc>
          <w:tcPr>
            <w:tcW w:w="1498" w:type="dxa"/>
            <w:tcBorders>
              <w:top w:val="nil"/>
              <w:left w:val="nil"/>
              <w:bottom w:val="single" w:sz="4" w:space="0" w:color="auto"/>
              <w:right w:val="single" w:sz="4" w:space="0" w:color="auto"/>
            </w:tcBorders>
            <w:shd w:val="clear" w:color="auto" w:fill="C6EFCE"/>
            <w:noWrap/>
            <w:vAlign w:val="center"/>
          </w:tcPr>
          <w:p w14:paraId="631BCE3A"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3CC37CA2" w14:textId="77777777" w:rsidR="006054AA" w:rsidRDefault="001F7667">
            <w:pPr>
              <w:pStyle w:val="P68B1DB1-Normal12"/>
              <w:jc w:val="center"/>
              <w:rPr>
                <w:noProof/>
              </w:rPr>
            </w:pPr>
            <w:r>
              <w:rPr>
                <w:noProof/>
              </w:rPr>
              <w:t>Правни споразумения с крайни бенефициери</w:t>
            </w:r>
          </w:p>
        </w:tc>
      </w:tr>
      <w:tr w:rsidR="006054AA" w14:paraId="42AF88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3B45D" w14:textId="77777777" w:rsidR="006054AA" w:rsidRDefault="001F7667">
            <w:pPr>
              <w:pStyle w:val="P68B1DB1-Normal12"/>
              <w:jc w:val="center"/>
              <w:rPr>
                <w:noProof/>
              </w:rPr>
            </w:pPr>
            <w:r>
              <w:rPr>
                <w:noProof/>
              </w:rPr>
              <w:t>M7—49</w:t>
            </w:r>
          </w:p>
        </w:tc>
        <w:tc>
          <w:tcPr>
            <w:tcW w:w="3090" w:type="dxa"/>
            <w:tcBorders>
              <w:top w:val="nil"/>
              <w:left w:val="nil"/>
              <w:bottom w:val="single" w:sz="4" w:space="0" w:color="auto"/>
              <w:right w:val="single" w:sz="4" w:space="0" w:color="auto"/>
            </w:tcBorders>
            <w:shd w:val="clear" w:color="auto" w:fill="C6EFCE"/>
            <w:noWrap/>
            <w:vAlign w:val="center"/>
          </w:tcPr>
          <w:p w14:paraId="3A0B132D" w14:textId="77777777" w:rsidR="006054AA" w:rsidRDefault="001F7667">
            <w:pPr>
              <w:pStyle w:val="P68B1DB1-Normal12"/>
              <w:jc w:val="center"/>
              <w:rPr>
                <w:noProof/>
              </w:rPr>
            </w:pPr>
            <w:r>
              <w:rPr>
                <w:noProof/>
              </w:rPr>
              <w:t>Инвестиция 17: Финансов инструмент за енергийно саниране на обществени и социални жилища</w:t>
            </w:r>
          </w:p>
        </w:tc>
        <w:tc>
          <w:tcPr>
            <w:tcW w:w="1498" w:type="dxa"/>
            <w:tcBorders>
              <w:top w:val="nil"/>
              <w:left w:val="nil"/>
              <w:bottom w:val="single" w:sz="4" w:space="0" w:color="auto"/>
              <w:right w:val="single" w:sz="4" w:space="0" w:color="auto"/>
            </w:tcBorders>
            <w:shd w:val="clear" w:color="auto" w:fill="C6EFCE"/>
            <w:noWrap/>
            <w:vAlign w:val="center"/>
          </w:tcPr>
          <w:p w14:paraId="55EB7273"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44927C18" w14:textId="77777777" w:rsidR="006054AA" w:rsidRDefault="001F7667">
            <w:pPr>
              <w:pStyle w:val="P68B1DB1-Normal12"/>
              <w:jc w:val="center"/>
              <w:rPr>
                <w:noProof/>
              </w:rPr>
            </w:pPr>
            <w:r>
              <w:rPr>
                <w:noProof/>
              </w:rPr>
              <w:t>Правни споразумения, подписани с крайните бенефициери</w:t>
            </w:r>
          </w:p>
        </w:tc>
      </w:tr>
      <w:tr w:rsidR="006054AA" w14:paraId="021897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6F511" w14:textId="77777777" w:rsidR="006054AA" w:rsidRDefault="001F7667">
            <w:pPr>
              <w:pStyle w:val="P68B1DB1-Normal12"/>
              <w:jc w:val="center"/>
              <w:rPr>
                <w:noProof/>
              </w:rPr>
            </w:pPr>
            <w:r>
              <w:rPr>
                <w:noProof/>
              </w:rPr>
              <w:t>M1C3—29</w:t>
            </w:r>
          </w:p>
        </w:tc>
        <w:tc>
          <w:tcPr>
            <w:tcW w:w="3090" w:type="dxa"/>
            <w:tcBorders>
              <w:top w:val="nil"/>
              <w:left w:val="nil"/>
              <w:bottom w:val="single" w:sz="4" w:space="0" w:color="auto"/>
              <w:right w:val="single" w:sz="4" w:space="0" w:color="auto"/>
            </w:tcBorders>
            <w:shd w:val="clear" w:color="auto" w:fill="C6EFCE"/>
            <w:noWrap/>
            <w:vAlign w:val="center"/>
          </w:tcPr>
          <w:p w14:paraId="1CF47029" w14:textId="77777777" w:rsidR="006054AA" w:rsidRDefault="001F7667">
            <w:pPr>
              <w:pStyle w:val="P68B1DB1-Normal12"/>
              <w:jc w:val="center"/>
              <w:rPr>
                <w:noProof/>
              </w:rPr>
            </w:pPr>
            <w:r>
              <w:rPr>
                <w:noProof/>
              </w:rPr>
              <w:t>Инвестиция 4.2:  Фондове за конкурентоспособността на туристическите предприятия</w:t>
            </w:r>
          </w:p>
        </w:tc>
        <w:tc>
          <w:tcPr>
            <w:tcW w:w="1498" w:type="dxa"/>
            <w:tcBorders>
              <w:top w:val="nil"/>
              <w:left w:val="nil"/>
              <w:bottom w:val="single" w:sz="4" w:space="0" w:color="auto"/>
              <w:right w:val="single" w:sz="4" w:space="0" w:color="auto"/>
            </w:tcBorders>
            <w:shd w:val="clear" w:color="auto" w:fill="C6EFCE"/>
            <w:noWrap/>
            <w:vAlign w:val="center"/>
          </w:tcPr>
          <w:p w14:paraId="687F8658" w14:textId="77777777" w:rsidR="006054AA" w:rsidRDefault="001F7667">
            <w:pPr>
              <w:pStyle w:val="P68B1DB1-Normal12"/>
              <w:jc w:val="center"/>
              <w:rPr>
                <w:noProof/>
              </w:rPr>
            </w:pPr>
            <w:r>
              <w:rPr>
                <w:noProof/>
              </w:rPr>
              <w:t>Целеви</w:t>
            </w:r>
          </w:p>
        </w:tc>
        <w:tc>
          <w:tcPr>
            <w:tcW w:w="4091" w:type="dxa"/>
            <w:tcBorders>
              <w:top w:val="nil"/>
              <w:left w:val="nil"/>
              <w:bottom w:val="single" w:sz="4" w:space="0" w:color="auto"/>
              <w:right w:val="single" w:sz="4" w:space="0" w:color="auto"/>
            </w:tcBorders>
            <w:shd w:val="clear" w:color="auto" w:fill="C6EFCE"/>
            <w:noWrap/>
            <w:vAlign w:val="center"/>
          </w:tcPr>
          <w:p w14:paraId="7F51D9AC" w14:textId="77777777" w:rsidR="006054AA" w:rsidRDefault="001F7667">
            <w:pPr>
              <w:pStyle w:val="P68B1DB1-Normal12"/>
              <w:jc w:val="center"/>
              <w:rPr>
                <w:noProof/>
              </w:rPr>
            </w:pPr>
            <w:r>
              <w:rPr>
                <w:noProof/>
              </w:rPr>
              <w:t xml:space="preserve">Брой проекти в областта на туризма, които ще бъдат подкрепени чрез тематичните фондове на Европейската инвестиционна банка </w:t>
            </w:r>
          </w:p>
        </w:tc>
      </w:tr>
      <w:tr w:rsidR="006054AA" w14:paraId="013EAB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75A822" w14:textId="77777777" w:rsidR="006054AA" w:rsidRDefault="001F7667">
            <w:pPr>
              <w:pStyle w:val="P68B1DB1-Normal12"/>
              <w:jc w:val="center"/>
              <w:rPr>
                <w:noProof/>
              </w:rPr>
            </w:pPr>
            <w:r>
              <w:rPr>
                <w:noProof/>
              </w:rPr>
              <w:t xml:space="preserve">M3C2—9 </w:t>
            </w:r>
          </w:p>
        </w:tc>
        <w:tc>
          <w:tcPr>
            <w:tcW w:w="3090" w:type="dxa"/>
            <w:tcBorders>
              <w:top w:val="nil"/>
              <w:left w:val="nil"/>
              <w:bottom w:val="single" w:sz="4" w:space="0" w:color="auto"/>
              <w:right w:val="single" w:sz="4" w:space="0" w:color="auto"/>
            </w:tcBorders>
            <w:shd w:val="clear" w:color="auto" w:fill="C6EFCE"/>
            <w:noWrap/>
            <w:vAlign w:val="center"/>
          </w:tcPr>
          <w:p w14:paraId="30BFE60A" w14:textId="77777777" w:rsidR="006054AA" w:rsidRDefault="001F7667">
            <w:pPr>
              <w:pStyle w:val="P68B1DB1-Normal12"/>
              <w:jc w:val="center"/>
              <w:rPr>
                <w:noProof/>
              </w:rPr>
            </w:pPr>
            <w:r>
              <w:rPr>
                <w:noProof/>
              </w:rPr>
              <w:t xml:space="preserve">Инвестиция 1.1: Зелени пристанища: интервенции в областта на енергията от възобновяеми източници и енергийната ефективност в пристанищата </w:t>
            </w:r>
          </w:p>
        </w:tc>
        <w:tc>
          <w:tcPr>
            <w:tcW w:w="1498" w:type="dxa"/>
            <w:tcBorders>
              <w:top w:val="nil"/>
              <w:left w:val="nil"/>
              <w:bottom w:val="single" w:sz="4" w:space="0" w:color="auto"/>
              <w:right w:val="single" w:sz="4" w:space="0" w:color="auto"/>
            </w:tcBorders>
            <w:shd w:val="clear" w:color="auto" w:fill="C6EFCE"/>
            <w:noWrap/>
            <w:vAlign w:val="center"/>
          </w:tcPr>
          <w:p w14:paraId="4CE8D541" w14:textId="77777777" w:rsidR="006054AA" w:rsidRDefault="001F7667">
            <w:pPr>
              <w:pStyle w:val="P68B1DB1-Normal12"/>
              <w:jc w:val="center"/>
              <w:rPr>
                <w:noProof/>
              </w:rPr>
            </w:pPr>
            <w:r>
              <w:rPr>
                <w:noProof/>
              </w:rPr>
              <w:t xml:space="preserve">Целеви </w:t>
            </w:r>
          </w:p>
        </w:tc>
        <w:tc>
          <w:tcPr>
            <w:tcW w:w="4091" w:type="dxa"/>
            <w:tcBorders>
              <w:top w:val="nil"/>
              <w:left w:val="nil"/>
              <w:bottom w:val="single" w:sz="4" w:space="0" w:color="auto"/>
              <w:right w:val="single" w:sz="4" w:space="0" w:color="auto"/>
            </w:tcBorders>
            <w:shd w:val="clear" w:color="auto" w:fill="C6EFCE"/>
            <w:noWrap/>
            <w:vAlign w:val="center"/>
          </w:tcPr>
          <w:p w14:paraId="1B4A0215" w14:textId="77777777" w:rsidR="006054AA" w:rsidRDefault="001F7667">
            <w:pPr>
              <w:pStyle w:val="P68B1DB1-Normal12"/>
              <w:jc w:val="center"/>
              <w:rPr>
                <w:noProof/>
              </w:rPr>
            </w:pPr>
            <w:r>
              <w:rPr>
                <w:noProof/>
              </w:rPr>
              <w:t>Зелени пристанища: приключване на строителните работи</w:t>
            </w:r>
          </w:p>
        </w:tc>
      </w:tr>
      <w:tr w:rsidR="006054AA" w14:paraId="7FFB273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38FAF7" w14:textId="77777777" w:rsidR="006054AA" w:rsidRDefault="006054AA">
            <w:pPr>
              <w:jc w:val="center"/>
              <w:rPr>
                <w:noProof/>
                <w:color w:val="006100"/>
                <w:sz w:val="20"/>
              </w:rPr>
            </w:pPr>
          </w:p>
        </w:tc>
        <w:tc>
          <w:tcPr>
            <w:tcW w:w="3090" w:type="dxa"/>
            <w:tcBorders>
              <w:top w:val="single" w:sz="4" w:space="0" w:color="auto"/>
              <w:left w:val="nil"/>
              <w:bottom w:val="single" w:sz="4" w:space="0" w:color="auto"/>
              <w:right w:val="single" w:sz="4" w:space="0" w:color="auto"/>
            </w:tcBorders>
            <w:shd w:val="clear" w:color="auto" w:fill="C6EFCE"/>
            <w:noWrap/>
            <w:vAlign w:val="bottom"/>
          </w:tcPr>
          <w:p w14:paraId="1100C2FB" w14:textId="77777777" w:rsidR="006054AA" w:rsidRDefault="006054AA">
            <w:pPr>
              <w:rPr>
                <w:noProof/>
                <w:color w:val="006100"/>
                <w:sz w:val="20"/>
              </w:rPr>
            </w:pPr>
          </w:p>
        </w:tc>
        <w:tc>
          <w:tcPr>
            <w:tcW w:w="1498" w:type="dxa"/>
            <w:tcBorders>
              <w:top w:val="single" w:sz="4" w:space="0" w:color="auto"/>
              <w:left w:val="nil"/>
              <w:bottom w:val="single" w:sz="4" w:space="0" w:color="auto"/>
              <w:right w:val="single" w:sz="4" w:space="0" w:color="auto"/>
            </w:tcBorders>
            <w:shd w:val="clear" w:color="auto" w:fill="C6EFCE"/>
            <w:noWrap/>
            <w:vAlign w:val="bottom"/>
          </w:tcPr>
          <w:p w14:paraId="6544CFAD" w14:textId="77777777" w:rsidR="006054AA" w:rsidRDefault="001F7667">
            <w:pPr>
              <w:pStyle w:val="P68B1DB1-Normal12"/>
              <w:rPr>
                <w:noProof/>
              </w:rPr>
            </w:pPr>
            <w:r>
              <w:rPr>
                <w:noProof/>
              </w:rPr>
              <w:t>Размер на вноската</w:t>
            </w:r>
          </w:p>
        </w:tc>
        <w:tc>
          <w:tcPr>
            <w:tcW w:w="4091" w:type="dxa"/>
            <w:tcBorders>
              <w:top w:val="single" w:sz="4" w:space="0" w:color="auto"/>
              <w:left w:val="nil"/>
              <w:bottom w:val="single" w:sz="4" w:space="0" w:color="auto"/>
              <w:right w:val="single" w:sz="4" w:space="0" w:color="auto"/>
            </w:tcBorders>
            <w:shd w:val="clear" w:color="auto" w:fill="C6EFCE"/>
            <w:noWrap/>
            <w:vAlign w:val="bottom"/>
          </w:tcPr>
          <w:p w14:paraId="1BE01E67" w14:textId="3C36C142" w:rsidR="006054AA" w:rsidRDefault="001F7667">
            <w:pPr>
              <w:pStyle w:val="P68B1DB1-Normal12"/>
              <w:rPr>
                <w:noProof/>
              </w:rPr>
            </w:pPr>
            <w:r>
              <w:rPr>
                <w:noProof/>
              </w:rPr>
              <w:t>19 919 595 964 EUR</w:t>
            </w:r>
          </w:p>
        </w:tc>
      </w:tr>
    </w:tbl>
    <w:p w14:paraId="4971E94A" w14:textId="77777777" w:rsidR="006054AA" w:rsidRDefault="006054AA">
      <w:pPr>
        <w:spacing w:before="120" w:after="120"/>
        <w:jc w:val="both"/>
        <w:rPr>
          <w:rFonts w:eastAsia="Calibri"/>
          <w:noProof/>
        </w:rPr>
      </w:pPr>
    </w:p>
    <w:p w14:paraId="51BB2FEF" w14:textId="02CDBE01" w:rsidR="006054AA" w:rsidRDefault="006054AA">
      <w:pPr>
        <w:spacing w:before="120" w:after="120"/>
        <w:jc w:val="both"/>
        <w:rPr>
          <w:rFonts w:eastAsia="Calibri"/>
          <w:noProof/>
        </w:rPr>
      </w:pPr>
    </w:p>
    <w:p w14:paraId="0B4FF748" w14:textId="77777777" w:rsidR="006054AA" w:rsidRDefault="001F7667">
      <w:pPr>
        <w:pStyle w:val="P68B1DB1-Normal42"/>
        <w:spacing w:after="200" w:line="276" w:lineRule="auto"/>
        <w:rPr>
          <w:noProof/>
        </w:rPr>
      </w:pPr>
      <w:r>
        <w:rPr>
          <w:noProof/>
        </w:rPr>
        <w:br w:type="page"/>
      </w:r>
    </w:p>
    <w:p w14:paraId="29076BA1" w14:textId="6327DCD6" w:rsidR="006054AA" w:rsidRDefault="001F7667">
      <w:pPr>
        <w:pStyle w:val="P68B1DB1-Normal42"/>
        <w:spacing w:after="200" w:line="276" w:lineRule="auto"/>
        <w:rPr>
          <w:noProof/>
        </w:rPr>
      </w:pPr>
      <w:r>
        <w:rPr>
          <w:noProof/>
        </w:rPr>
        <w:t xml:space="preserve">РАЗДЕЛ 3: ДОПЪЛНИТЕЛНИ РАЗПОРЕДБИ </w:t>
      </w:r>
    </w:p>
    <w:p w14:paraId="05299F08" w14:textId="58149A5B" w:rsidR="006054AA" w:rsidRDefault="001F7667">
      <w:pPr>
        <w:pStyle w:val="P68B1DB1-NumPar149"/>
        <w:numPr>
          <w:ilvl w:val="0"/>
          <w:numId w:val="140"/>
        </w:numPr>
        <w:rPr>
          <w:noProof/>
        </w:rPr>
      </w:pPr>
      <w:r>
        <w:rPr>
          <w:noProof/>
        </w:rPr>
        <w:t>Механизми за мониторинг и изпълнение на плана за възстановяване и устойчивост</w:t>
      </w:r>
    </w:p>
    <w:p w14:paraId="7817B879" w14:textId="1B097E0C" w:rsidR="006054AA" w:rsidRDefault="001F7667">
      <w:pPr>
        <w:pStyle w:val="P68B1DB1-Normal44"/>
        <w:spacing w:before="120" w:after="120"/>
        <w:jc w:val="both"/>
        <w:rPr>
          <w:noProof/>
        </w:rPr>
      </w:pPr>
      <w:r>
        <w:rPr>
          <w:noProof/>
        </w:rPr>
        <w:t>Мониторингът и изпълнението на плана за възстановяване и устойчивост на Италия се извършват в съответствие със следните договорености.</w:t>
      </w:r>
    </w:p>
    <w:p w14:paraId="3210515C" w14:textId="1AD07786" w:rsidR="006054AA" w:rsidRDefault="001F7667">
      <w:pPr>
        <w:pStyle w:val="P68B1DB1-Normal44"/>
        <w:spacing w:before="120" w:after="120"/>
        <w:jc w:val="both"/>
        <w:rPr>
          <w:noProof/>
        </w:rPr>
      </w:pPr>
      <w:r>
        <w:rPr>
          <w:noProof/>
        </w:rPr>
        <w:t>Както е предвидено в Наредба-закон № 77 от 31 май 2021 г., изменена с Наредба-закон № 13 от 24 февруари 2023 г., са създадени редица координационни структури за мониторинг и изпълнение на плана. Те включват по-специално: I) управителен комитет на високо равнище („cabina di regia“), създаден към председателството на Съвета на министрите, чиято основна задача е да направлява и координира изпълнението на плана; II) структура на мисията, създадена от председателството на Министерския съвет, поне за срока на действие на плана, упълномощена да действа като централна координационна структура за изпълнението и мониторинга на плана; III) техническа структура в Министерството на икономиката и финансите, която извършва оперативен мониторинг на изпълнението на плана, контрол на редовността на процедурите и разходите и докладване, както и техническа и оперативна подкрепа на етапа на изпълнение. Структурата на мисията при председателството на Министерския съвет действа като единно звено за контакт на национално равнище за Европейската комисия. Министерството на икономиката и финансите осигурява оценката на резултатите от плана. Социалните партньори и други заинтересовани страни участват в специални срещи на „cabina di regia“, за да се гарантира тяхното участие в изпълнението на плана. Освен това на равнището на всяка централна администрация се определят координационни структури, отговарящи за мерките, включени в плана, на които е възложено управлението, мониторинга, докладването и контрола на съответните интервенции, включително във връзка с надзора на изпълнението и напредъка към постигането на ключовите етапи и целите. И накрая, предвидени са механизми за правоприлагане в случай на проблеми, свързани с изпълнението, включително чрез активиране на правомощия за заместване по отношение на администрациите, отговарящи за мерките по плана, с цел да се гарантира навременно и ефективно изпълнение на проектите и са въведени предварителни механизми за разрешаване на конфликти.</w:t>
      </w:r>
    </w:p>
    <w:p w14:paraId="1F2C9135" w14:textId="77777777" w:rsidR="006054AA" w:rsidRDefault="001F7667">
      <w:pPr>
        <w:pStyle w:val="P68B1DB1-Normal44"/>
        <w:spacing w:before="120" w:after="120"/>
        <w:jc w:val="both"/>
        <w:rPr>
          <w:noProof/>
        </w:rPr>
      </w:pPr>
      <w:r>
        <w:rPr>
          <w:noProof/>
        </w:rPr>
        <w:t xml:space="preserve">С цел укрепване на административния капацитет за мониторинг и изпълнение се предвижда наемането на временен персонал, включително по отношение на централните администрации, отговарящи за интервенциите по плана, и Министерството на икономиката и финансите (включително по отношение на централната координационна структура и Държавния счетоводен отдел), както е предвидено в Наредба-закон № 80 от 9 юни 2021 г., както и във връзка с администрациите на Южна Италия, които се очаква да укрепят човешкия капитал, участващ в планирането и разходването на средства на ЕС, както е предвидено по-специално в Закон № 178 от 2020 г. Освен това се разпределят ресурси за структурата на мисията, създадена по време на председателството на Министерския съвет, за да се гарантира ефективното ѝ функциониране, както е предвидено в Наредба-закон № 13 от 24 февруари 2023 г. И накрая, при изпълнението на проектите се предвижда техническа и оперативна подкрепа за централните и местните администрации, включително чрез използването на публични капиталови дружества, резерв от експерти за техническа помощ и възможност за прибягване до външен експертен опит. Тези действия се придружават от прилагането на мерки за намаляване на бюрокрацията и опростяване на административните процедури, както е предвидено в Наредба-закон № 77 от 31 май 2021 г. и Наредба-закон № 13 от 24 февруари 2023 г. </w:t>
      </w:r>
    </w:p>
    <w:p w14:paraId="27E8FF9C" w14:textId="0BCB52C8" w:rsidR="006054AA" w:rsidRDefault="001F7667">
      <w:pPr>
        <w:pStyle w:val="P68B1DB1-Normal44"/>
        <w:spacing w:before="120" w:after="120"/>
        <w:jc w:val="both"/>
        <w:rPr>
          <w:noProof/>
        </w:rPr>
      </w:pPr>
      <w:r>
        <w:rPr>
          <w:noProof/>
        </w:rPr>
        <w:t>Договореностите предвиждат също така използването на интегрирана информационна система („ReGiS“). Съществуващата Главна инспекция по финансовите отношения с Европейския съюз (IGRUE) към Министерството на икономиката и финансите е натоварена със задачата да координира системите за одит и да извършва проверките с подкрепата на Службата за държавни териториални сметки (РТС). Ще останат в сила засилени договорености с Guardia di Finanza и съответните независими органи, като например националната агенция за борба с корупцията ANAC, като по този начин се засилва ролята, която италианската правна система вече възлага на тези органи във връзка със защитата на публичните финанси, включително тези от ЕС.</w:t>
      </w:r>
    </w:p>
    <w:p w14:paraId="30A2C529" w14:textId="77777777" w:rsidR="006054AA" w:rsidRDefault="001F7667">
      <w:pPr>
        <w:pStyle w:val="P68B1DB1-NumPar143"/>
        <w:numPr>
          <w:ilvl w:val="0"/>
          <w:numId w:val="140"/>
        </w:numPr>
        <w:rPr>
          <w:noProof/>
        </w:rPr>
      </w:pPr>
      <w:r>
        <w:rPr>
          <w:noProof/>
        </w:rPr>
        <w:t>Административни механизми за предоставяне на пълен достъп на Комисията до основните данни</w:t>
      </w:r>
    </w:p>
    <w:p w14:paraId="0DF28859" w14:textId="77777777" w:rsidR="006054AA" w:rsidRDefault="001F7667">
      <w:pPr>
        <w:pStyle w:val="P68B1DB1-Normal44"/>
        <w:spacing w:before="120" w:after="120"/>
        <w:jc w:val="both"/>
        <w:rPr>
          <w:noProof/>
        </w:rPr>
      </w:pPr>
      <w:r>
        <w:rPr>
          <w:noProof/>
        </w:rPr>
        <w:t>За да предостави на Комисията пълен достъп до съответните основни данни, Италия прилага следните договорености.</w:t>
      </w:r>
    </w:p>
    <w:p w14:paraId="58293D3C" w14:textId="170264B4" w:rsidR="006054AA" w:rsidRDefault="001F7667">
      <w:pPr>
        <w:pStyle w:val="P68B1DB1-Normal44"/>
        <w:spacing w:before="120" w:after="120"/>
        <w:jc w:val="both"/>
        <w:rPr>
          <w:noProof/>
        </w:rPr>
      </w:pPr>
      <w:r>
        <w:rPr>
          <w:noProof/>
        </w:rPr>
        <w:t>Министерството на икономиката и финансите действа като техническа структура за мониторинг, включително по отношение на напредъка по ключовите етапи и целите, и когато е целесъобразно, за изпълнението на дейностите по контрол и одит, както и за предоставяне на доклади и искания за плащания. Той координира докладването на ключовите етапи и целите, съответните показатели, но също така и качествена финансова информация и други данни, като например относно крайните получатели. Кодирането на данните се извършва на ниво централни администрации, отговарящи за мерките по плана, които докладват необходимите данни на Министерството на икономиката и финансите. В съответствие с член 24, параграф 2 от Регламент (ЕС) 2021/241 след приключване на съответните договорени ключови етапи и цели в раздел 2.1 от настоящото приложение Италия представя на Комисията надлежно обосновано искане за плащане на финансовото участие и, когато е приложимо, на заема. Италия гарантира, че при поискване Комисията има пълен достъп до съответните основни данни, които подкрепят надлежната обосновка на искането за плащане, както за оценката на искането за плащане в съответствие с член 24, параграф 3 от Регламент (ЕС) 2021/241, така и за целите на одита и контрола.</w:t>
      </w:r>
    </w:p>
    <w:sectPr w:rsidR="006054AA">
      <w:headerReference w:type="even" r:id="rId411"/>
      <w:headerReference w:type="default" r:id="rId412"/>
      <w:footerReference w:type="even" r:id="rId413"/>
      <w:footerReference w:type="default" r:id="rId414"/>
      <w:headerReference w:type="first" r:id="rId415"/>
      <w:footerReference w:type="first" r:id="rId416"/>
      <w:pgSz w:w="11906" w:h="16838" w:code="12"/>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95C77" w14:textId="77777777" w:rsidR="00DE0F38" w:rsidRDefault="00DE0F38">
      <w:r>
        <w:separator/>
      </w:r>
    </w:p>
  </w:endnote>
  <w:endnote w:type="continuationSeparator" w:id="0">
    <w:p w14:paraId="74D49E00" w14:textId="77777777" w:rsidR="00DE0F38" w:rsidRDefault="00DE0F38">
      <w:r>
        <w:continuationSeparator/>
      </w:r>
    </w:p>
  </w:endnote>
  <w:endnote w:type="continuationNotice" w:id="1">
    <w:p w14:paraId="71E25087" w14:textId="77777777" w:rsidR="00DE0F38" w:rsidRDefault="00DE0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EC Square Sans Pro">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E2CFC" w14:textId="135C47A7" w:rsidR="0024590B" w:rsidRPr="003B3AC7" w:rsidRDefault="0024590B" w:rsidP="003B3A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A5A9" w14:textId="77777777" w:rsidR="006054AA" w:rsidRDefault="006054AA">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F145" w14:textId="77777777" w:rsidR="006054AA" w:rsidRDefault="006054AA">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55929"/>
      <w:docPartObj>
        <w:docPartGallery w:val="Page Numbers (Bottom of Page)"/>
        <w:docPartUnique/>
      </w:docPartObj>
    </w:sdtPr>
    <w:sdtEndPr>
      <w:rPr>
        <w:noProof/>
      </w:rPr>
    </w:sdtEndPr>
    <w:sdtContent>
      <w:p w14:paraId="1E8E03AA" w14:textId="0FBFDC8B"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790E9627" w14:textId="77777777" w:rsidR="006054AA" w:rsidRDefault="006054AA">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82C3F" w14:textId="77777777" w:rsidR="006054AA" w:rsidRDefault="006054AA">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A167" w14:textId="77777777" w:rsidR="006054AA" w:rsidRDefault="006054AA">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761838"/>
      <w:docPartObj>
        <w:docPartGallery w:val="Page Numbers (Bottom of Page)"/>
        <w:docPartUnique/>
      </w:docPartObj>
    </w:sdtPr>
    <w:sdtEndPr>
      <w:rPr>
        <w:noProof/>
      </w:rPr>
    </w:sdtEndPr>
    <w:sdtContent>
      <w:p w14:paraId="06AAACBF" w14:textId="6DEE8F2F"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4F5B7083" w14:textId="77777777" w:rsidR="006054AA" w:rsidRDefault="006054AA">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9A34" w14:textId="77777777" w:rsidR="006054AA" w:rsidRDefault="006054AA">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A012" w14:textId="77777777" w:rsidR="006054AA" w:rsidRDefault="006054AA">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02621"/>
      <w:docPartObj>
        <w:docPartGallery w:val="Page Numbers (Bottom of Page)"/>
        <w:docPartUnique/>
      </w:docPartObj>
    </w:sdtPr>
    <w:sdtEndPr>
      <w:rPr>
        <w:noProof/>
      </w:rPr>
    </w:sdtEndPr>
    <w:sdtContent>
      <w:p w14:paraId="302314E7" w14:textId="6D31053D"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344A9CD3" w14:textId="77777777" w:rsidR="006054AA" w:rsidRDefault="006054AA">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9511" w14:textId="77777777" w:rsidR="006054AA" w:rsidRDefault="006054AA">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C153" w14:textId="77777777" w:rsidR="006054AA" w:rsidRDefault="006054A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41270"/>
      <w:docPartObj>
        <w:docPartGallery w:val="Page Numbers (Bottom of Page)"/>
        <w:docPartUnique/>
      </w:docPartObj>
    </w:sdtPr>
    <w:sdtEndPr>
      <w:rPr>
        <w:noProof/>
      </w:rPr>
    </w:sdtEndPr>
    <w:sdtContent>
      <w:p w14:paraId="1B5C284C" w14:textId="09FAE9A2"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7A3E9C4" w14:textId="77777777" w:rsidR="006054AA" w:rsidRDefault="006054AA">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54378"/>
      <w:docPartObj>
        <w:docPartGallery w:val="Page Numbers (Bottom of Page)"/>
        <w:docPartUnique/>
      </w:docPartObj>
    </w:sdtPr>
    <w:sdtEndPr>
      <w:rPr>
        <w:noProof/>
      </w:rPr>
    </w:sdtEndPr>
    <w:sdtContent>
      <w:p w14:paraId="56DB56FE" w14:textId="35205C55"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7ED044CB" w14:textId="77777777" w:rsidR="006054AA" w:rsidRDefault="006054AA">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4B07" w14:textId="77777777" w:rsidR="006054AA" w:rsidRDefault="006054AA">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BE37" w14:textId="77777777" w:rsidR="006054AA" w:rsidRDefault="006054AA">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72772"/>
      <w:docPartObj>
        <w:docPartGallery w:val="Page Numbers (Bottom of Page)"/>
        <w:docPartUnique/>
      </w:docPartObj>
    </w:sdtPr>
    <w:sdtEndPr>
      <w:rPr>
        <w:noProof/>
      </w:rPr>
    </w:sdtEndPr>
    <w:sdtContent>
      <w:p w14:paraId="1275405D" w14:textId="0A42554A"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FF29663" w14:textId="77777777" w:rsidR="006054AA" w:rsidRDefault="006054AA">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A677" w14:textId="77777777" w:rsidR="006054AA" w:rsidRDefault="006054AA">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F8F0" w14:textId="77777777" w:rsidR="006054AA" w:rsidRDefault="006054AA">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776444"/>
      <w:docPartObj>
        <w:docPartGallery w:val="Page Numbers (Bottom of Page)"/>
        <w:docPartUnique/>
      </w:docPartObj>
    </w:sdtPr>
    <w:sdtEndPr>
      <w:rPr>
        <w:noProof/>
      </w:rPr>
    </w:sdtEndPr>
    <w:sdtContent>
      <w:p w14:paraId="7F47593E" w14:textId="5EBE8E50"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4F71BD2" w14:textId="77777777" w:rsidR="006054AA" w:rsidRDefault="006054AA">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8B4B" w14:textId="77777777" w:rsidR="006054AA" w:rsidRDefault="006054AA">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301A" w14:textId="77777777" w:rsidR="006054AA" w:rsidRDefault="006054AA">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05090"/>
      <w:docPartObj>
        <w:docPartGallery w:val="Page Numbers (Bottom of Page)"/>
        <w:docPartUnique/>
      </w:docPartObj>
    </w:sdtPr>
    <w:sdtEndPr>
      <w:rPr>
        <w:noProof/>
      </w:rPr>
    </w:sdtEndPr>
    <w:sdtContent>
      <w:p w14:paraId="2835A281" w14:textId="502CB129"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C4E19EC" w14:textId="77777777" w:rsidR="006054AA" w:rsidRDefault="006054AA">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B9ED" w14:textId="77777777" w:rsidR="006054AA" w:rsidRDefault="006054AA">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EEAC" w14:textId="77777777" w:rsidR="006054AA" w:rsidRDefault="006054AA">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ABB2" w14:textId="77777777" w:rsidR="006054AA" w:rsidRDefault="006054AA">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25283"/>
      <w:docPartObj>
        <w:docPartGallery w:val="Page Numbers (Bottom of Page)"/>
        <w:docPartUnique/>
      </w:docPartObj>
    </w:sdtPr>
    <w:sdtEndPr>
      <w:rPr>
        <w:noProof/>
      </w:rPr>
    </w:sdtEndPr>
    <w:sdtContent>
      <w:p w14:paraId="6F024400" w14:textId="13AE0DFA"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4A4DF9E3" w14:textId="77777777" w:rsidR="006054AA" w:rsidRDefault="006054AA">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378B" w14:textId="77777777" w:rsidR="006054AA" w:rsidRDefault="006054AA">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9F20" w14:textId="77777777" w:rsidR="006054AA" w:rsidRDefault="006054AA">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506053"/>
      <w:docPartObj>
        <w:docPartGallery w:val="Page Numbers (Bottom of Page)"/>
        <w:docPartUnique/>
      </w:docPartObj>
    </w:sdtPr>
    <w:sdtEndPr>
      <w:rPr>
        <w:noProof/>
      </w:rPr>
    </w:sdtEndPr>
    <w:sdtContent>
      <w:p w14:paraId="2C28EEA5" w14:textId="2D5B53C1"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4D3B12B8" w14:textId="77777777" w:rsidR="006054AA" w:rsidRDefault="006054AA">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B56C" w14:textId="77777777" w:rsidR="006054AA" w:rsidRDefault="006054AA">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8636" w14:textId="77777777" w:rsidR="006054AA" w:rsidRDefault="006054AA">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864134"/>
      <w:docPartObj>
        <w:docPartGallery w:val="Page Numbers (Bottom of Page)"/>
        <w:docPartUnique/>
      </w:docPartObj>
    </w:sdtPr>
    <w:sdtEndPr>
      <w:rPr>
        <w:noProof/>
      </w:rPr>
    </w:sdtEndPr>
    <w:sdtContent>
      <w:p w14:paraId="1EE79B98" w14:textId="5AFFF60C"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3E65F3BA" w14:textId="77777777" w:rsidR="006054AA" w:rsidRDefault="006054AA">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E60E" w14:textId="77777777" w:rsidR="006054AA" w:rsidRDefault="006054A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547A" w14:textId="77777777" w:rsidR="006054AA" w:rsidRDefault="006054AA">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9C4ED" w14:textId="77777777" w:rsidR="006054AA" w:rsidRDefault="006054AA">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000603"/>
      <w:docPartObj>
        <w:docPartGallery w:val="Page Numbers (Bottom of Page)"/>
        <w:docPartUnique/>
      </w:docPartObj>
    </w:sdtPr>
    <w:sdtEndPr>
      <w:rPr>
        <w:noProof/>
      </w:rPr>
    </w:sdtEndPr>
    <w:sdtContent>
      <w:p w14:paraId="1092769C" w14:textId="6CD657DB"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ADE765A" w14:textId="77777777" w:rsidR="006054AA" w:rsidRDefault="006054AA">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B449" w14:textId="77777777" w:rsidR="006054AA" w:rsidRDefault="006054AA">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3625" w14:textId="77777777" w:rsidR="006054AA" w:rsidRDefault="006054AA">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7633"/>
      <w:docPartObj>
        <w:docPartGallery w:val="Page Numbers (Bottom of Page)"/>
        <w:docPartUnique/>
      </w:docPartObj>
    </w:sdtPr>
    <w:sdtEndPr>
      <w:rPr>
        <w:noProof/>
      </w:rPr>
    </w:sdtEndPr>
    <w:sdtContent>
      <w:p w14:paraId="079666A6" w14:textId="4ACF07C4"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7AD46F90" w14:textId="77777777" w:rsidR="006054AA" w:rsidRDefault="006054AA">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1EE2" w14:textId="77777777" w:rsidR="006054AA" w:rsidRDefault="006054AA">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9070" w14:textId="77777777" w:rsidR="006054AA" w:rsidRDefault="006054AA">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422175"/>
      <w:docPartObj>
        <w:docPartGallery w:val="Page Numbers (Bottom of Page)"/>
        <w:docPartUnique/>
      </w:docPartObj>
    </w:sdtPr>
    <w:sdtEndPr>
      <w:rPr>
        <w:noProof/>
      </w:rPr>
    </w:sdtEndPr>
    <w:sdtContent>
      <w:p w14:paraId="45F1587F" w14:textId="68A613FF"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A7D9256" w14:textId="77777777" w:rsidR="006054AA" w:rsidRDefault="006054AA">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917F" w14:textId="77777777" w:rsidR="006054AA" w:rsidRDefault="006054AA">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1DDA" w14:textId="77777777" w:rsidR="006054AA" w:rsidRDefault="006054A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846756"/>
      <w:docPartObj>
        <w:docPartGallery w:val="Page Numbers (Bottom of Page)"/>
        <w:docPartUnique/>
      </w:docPartObj>
    </w:sdtPr>
    <w:sdtEndPr>
      <w:rPr>
        <w:noProof/>
      </w:rPr>
    </w:sdtEndPr>
    <w:sdtContent>
      <w:p w14:paraId="3DED0DEB" w14:textId="4606E768"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5E3ECB6" w14:textId="77777777" w:rsidR="006054AA" w:rsidRDefault="006054AA">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01415"/>
      <w:docPartObj>
        <w:docPartGallery w:val="Page Numbers (Bottom of Page)"/>
        <w:docPartUnique/>
      </w:docPartObj>
    </w:sdtPr>
    <w:sdtEndPr>
      <w:rPr>
        <w:noProof/>
      </w:rPr>
    </w:sdtEndPr>
    <w:sdtContent>
      <w:p w14:paraId="594F92BB" w14:textId="6851F11F"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7D47400" w14:textId="77777777" w:rsidR="006054AA" w:rsidRDefault="006054AA">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4765" w14:textId="77777777" w:rsidR="006054AA" w:rsidRDefault="006054AA">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3C54" w14:textId="77777777" w:rsidR="006054AA" w:rsidRDefault="006054AA">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310983"/>
      <w:docPartObj>
        <w:docPartGallery w:val="Page Numbers (Bottom of Page)"/>
        <w:docPartUnique/>
      </w:docPartObj>
    </w:sdtPr>
    <w:sdtEndPr>
      <w:rPr>
        <w:noProof/>
      </w:rPr>
    </w:sdtEndPr>
    <w:sdtContent>
      <w:p w14:paraId="6EBE8763" w14:textId="6053C287"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D3F56BD" w14:textId="77777777" w:rsidR="006054AA" w:rsidRDefault="006054AA">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0CF2" w14:textId="77777777" w:rsidR="006054AA" w:rsidRDefault="006054AA">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4A6F" w14:textId="77777777" w:rsidR="006054AA" w:rsidRDefault="006054AA">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68358"/>
      <w:docPartObj>
        <w:docPartGallery w:val="Page Numbers (Bottom of Page)"/>
        <w:docPartUnique/>
      </w:docPartObj>
    </w:sdtPr>
    <w:sdtEndPr>
      <w:rPr>
        <w:noProof/>
      </w:rPr>
    </w:sdtEndPr>
    <w:sdtContent>
      <w:p w14:paraId="0B4494CE" w14:textId="0FC818AB"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D99B123" w14:textId="77777777" w:rsidR="006054AA" w:rsidRDefault="006054AA">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9730" w14:textId="77777777" w:rsidR="006054AA" w:rsidRDefault="006054AA">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50A57" w14:textId="77777777" w:rsidR="006054AA" w:rsidRDefault="006054AA">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42668"/>
      <w:docPartObj>
        <w:docPartGallery w:val="Page Numbers (Bottom of Page)"/>
        <w:docPartUnique/>
      </w:docPartObj>
    </w:sdtPr>
    <w:sdtEndPr>
      <w:rPr>
        <w:noProof/>
      </w:rPr>
    </w:sdtEndPr>
    <w:sdtContent>
      <w:p w14:paraId="22CD21A9" w14:textId="25FD997D"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633451A6" w14:textId="77777777" w:rsidR="006054AA" w:rsidRDefault="006054AA">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2650" w14:textId="77777777" w:rsidR="006054AA" w:rsidRDefault="006054AA">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DB2C" w14:textId="77777777" w:rsidR="006054AA" w:rsidRDefault="006054AA">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96ED" w14:textId="77777777" w:rsidR="006054AA" w:rsidRDefault="006054AA">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843319"/>
      <w:docPartObj>
        <w:docPartGallery w:val="Page Numbers (Bottom of Page)"/>
        <w:docPartUnique/>
      </w:docPartObj>
    </w:sdtPr>
    <w:sdtEndPr>
      <w:rPr>
        <w:noProof/>
      </w:rPr>
    </w:sdtEndPr>
    <w:sdtContent>
      <w:p w14:paraId="45B54252" w14:textId="72FEA2F1"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962D9E9" w14:textId="77777777" w:rsidR="006054AA" w:rsidRDefault="006054AA">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8D41" w14:textId="77777777" w:rsidR="006054AA" w:rsidRDefault="006054AA">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AF73" w14:textId="77777777" w:rsidR="006054AA" w:rsidRDefault="006054AA">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11618"/>
      <w:docPartObj>
        <w:docPartGallery w:val="Page Numbers (Bottom of Page)"/>
        <w:docPartUnique/>
      </w:docPartObj>
    </w:sdtPr>
    <w:sdtEndPr>
      <w:rPr>
        <w:noProof/>
      </w:rPr>
    </w:sdtEndPr>
    <w:sdtContent>
      <w:p w14:paraId="50F1F433" w14:textId="324820A3"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9E6BF17" w14:textId="77777777" w:rsidR="006054AA" w:rsidRDefault="006054AA">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EFB9" w14:textId="77777777" w:rsidR="006054AA" w:rsidRDefault="006054AA">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3A10" w14:textId="77777777" w:rsidR="006054AA" w:rsidRDefault="006054AA">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634477"/>
      <w:docPartObj>
        <w:docPartGallery w:val="Page Numbers (Bottom of Page)"/>
        <w:docPartUnique/>
      </w:docPartObj>
    </w:sdtPr>
    <w:sdtEndPr>
      <w:rPr>
        <w:noProof/>
      </w:rPr>
    </w:sdtEndPr>
    <w:sdtContent>
      <w:p w14:paraId="043C1866" w14:textId="5D234ACE"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A036C4E" w14:textId="77777777" w:rsidR="006054AA" w:rsidRDefault="006054AA">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7495" w14:textId="77777777" w:rsidR="006054AA" w:rsidRDefault="006054A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CCA5" w14:textId="77777777" w:rsidR="006054AA" w:rsidRDefault="006054AA">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6FA" w14:textId="77777777" w:rsidR="006054AA" w:rsidRDefault="006054AA">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569420"/>
      <w:docPartObj>
        <w:docPartGallery w:val="Page Numbers (Bottom of Page)"/>
        <w:docPartUnique/>
      </w:docPartObj>
    </w:sdtPr>
    <w:sdtEndPr>
      <w:rPr>
        <w:noProof/>
      </w:rPr>
    </w:sdtEndPr>
    <w:sdtContent>
      <w:p w14:paraId="6FE9AF82" w14:textId="5A6425D7"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3E9CAF78" w14:textId="77777777" w:rsidR="006054AA" w:rsidRDefault="006054AA">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FD63C" w14:textId="77777777" w:rsidR="006054AA" w:rsidRDefault="006054AA">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C426" w14:textId="77777777" w:rsidR="006054AA" w:rsidRDefault="006054AA">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0870"/>
      <w:docPartObj>
        <w:docPartGallery w:val="Page Numbers (Bottom of Page)"/>
        <w:docPartUnique/>
      </w:docPartObj>
    </w:sdtPr>
    <w:sdtEndPr>
      <w:rPr>
        <w:noProof/>
      </w:rPr>
    </w:sdtEndPr>
    <w:sdtContent>
      <w:p w14:paraId="6CF26EFF" w14:textId="5BF91008"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1075F14D" w14:textId="77777777" w:rsidR="006054AA" w:rsidRDefault="006054AA">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EABA" w14:textId="77777777" w:rsidR="006054AA" w:rsidRDefault="006054AA">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D604" w14:textId="77777777" w:rsidR="006054AA" w:rsidRDefault="006054AA">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39456"/>
      <w:docPartObj>
        <w:docPartGallery w:val="Page Numbers (Bottom of Page)"/>
        <w:docPartUnique/>
      </w:docPartObj>
    </w:sdtPr>
    <w:sdtEndPr>
      <w:rPr>
        <w:noProof/>
      </w:rPr>
    </w:sdtEndPr>
    <w:sdtContent>
      <w:p w14:paraId="15652E0F" w14:textId="7AC348B0"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4205C484" w14:textId="77777777" w:rsidR="006054AA" w:rsidRDefault="006054AA">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24CF" w14:textId="77777777" w:rsidR="006054AA" w:rsidRDefault="006054AA">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1484" w14:textId="77777777" w:rsidR="006054AA" w:rsidRDefault="006054A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024959"/>
      <w:docPartObj>
        <w:docPartGallery w:val="Page Numbers (Bottom of Page)"/>
        <w:docPartUnique/>
      </w:docPartObj>
    </w:sdtPr>
    <w:sdtEndPr>
      <w:rPr>
        <w:noProof/>
      </w:rPr>
    </w:sdtEndPr>
    <w:sdtContent>
      <w:p w14:paraId="5F1DF751" w14:textId="661F45DB"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A96A7FF" w14:textId="77777777" w:rsidR="006054AA" w:rsidRDefault="006054AA">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696771"/>
      <w:docPartObj>
        <w:docPartGallery w:val="Page Numbers (Bottom of Page)"/>
        <w:docPartUnique/>
      </w:docPartObj>
    </w:sdtPr>
    <w:sdtEndPr>
      <w:rPr>
        <w:noProof/>
      </w:rPr>
    </w:sdtEndPr>
    <w:sdtContent>
      <w:p w14:paraId="6EAB4DD1" w14:textId="74DF355E"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27A5C50" w14:textId="77777777" w:rsidR="006054AA" w:rsidRDefault="006054AA">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089FC" w14:textId="77777777" w:rsidR="006054AA" w:rsidRDefault="006054AA">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1CC" w14:textId="77777777" w:rsidR="006054AA" w:rsidRDefault="006054AA">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177671"/>
      <w:docPartObj>
        <w:docPartGallery w:val="Page Numbers (Bottom of Page)"/>
        <w:docPartUnique/>
      </w:docPartObj>
    </w:sdtPr>
    <w:sdtEndPr>
      <w:rPr>
        <w:noProof/>
      </w:rPr>
    </w:sdtEndPr>
    <w:sdtContent>
      <w:p w14:paraId="5BA988A3" w14:textId="03505C8F"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621C87AB" w14:textId="77777777" w:rsidR="006054AA" w:rsidRDefault="006054AA">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6A1A4" w14:textId="77777777" w:rsidR="006054AA" w:rsidRDefault="006054AA">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DD37" w14:textId="77777777" w:rsidR="006054AA" w:rsidRDefault="006054AA">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16714"/>
      <w:docPartObj>
        <w:docPartGallery w:val="Page Numbers (Bottom of Page)"/>
        <w:docPartUnique/>
      </w:docPartObj>
    </w:sdtPr>
    <w:sdtEndPr>
      <w:rPr>
        <w:noProof/>
      </w:rPr>
    </w:sdtEndPr>
    <w:sdtContent>
      <w:p w14:paraId="29D8BFE9" w14:textId="11971F93"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41349BE8" w14:textId="77777777" w:rsidR="006054AA" w:rsidRDefault="006054AA">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B7F" w14:textId="77777777" w:rsidR="006054AA" w:rsidRDefault="006054AA">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CCE" w14:textId="77777777" w:rsidR="006054AA" w:rsidRDefault="006054AA">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52613"/>
      <w:docPartObj>
        <w:docPartGallery w:val="Page Numbers (Bottom of Page)"/>
        <w:docPartUnique/>
      </w:docPartObj>
    </w:sdtPr>
    <w:sdtEndPr>
      <w:rPr>
        <w:noProof/>
      </w:rPr>
    </w:sdtEndPr>
    <w:sdtContent>
      <w:p w14:paraId="7065576C" w14:textId="5EF1C350"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79A6A6F0" w14:textId="77777777" w:rsidR="006054AA" w:rsidRDefault="006054AA">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532D" w14:textId="77777777" w:rsidR="006054AA" w:rsidRDefault="006054AA">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74B9" w14:textId="77777777" w:rsidR="006054AA" w:rsidRDefault="006054AA">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AC0C" w14:textId="77777777" w:rsidR="006054AA" w:rsidRDefault="006054AA">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51151"/>
      <w:docPartObj>
        <w:docPartGallery w:val="Page Numbers (Bottom of Page)"/>
        <w:docPartUnique/>
      </w:docPartObj>
    </w:sdtPr>
    <w:sdtEndPr>
      <w:rPr>
        <w:noProof/>
      </w:rPr>
    </w:sdtEndPr>
    <w:sdtContent>
      <w:p w14:paraId="5FAFAF17" w14:textId="13CC9D32"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671EB21C" w14:textId="77777777" w:rsidR="006054AA" w:rsidRDefault="006054AA">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7ED6" w14:textId="77777777" w:rsidR="006054AA" w:rsidRDefault="006054AA">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B174" w14:textId="77777777" w:rsidR="006054AA" w:rsidRDefault="006054AA">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037246"/>
      <w:docPartObj>
        <w:docPartGallery w:val="Page Numbers (Bottom of Page)"/>
        <w:docPartUnique/>
      </w:docPartObj>
    </w:sdtPr>
    <w:sdtEndPr>
      <w:rPr>
        <w:noProof/>
      </w:rPr>
    </w:sdtEndPr>
    <w:sdtContent>
      <w:p w14:paraId="4F99145C" w14:textId="5E0CB007"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6C7D4CF8" w14:textId="77777777" w:rsidR="006054AA" w:rsidRDefault="006054AA">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CEB2" w14:textId="77777777" w:rsidR="006054AA" w:rsidRDefault="006054AA">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C444" w14:textId="77777777" w:rsidR="006054AA" w:rsidRDefault="006054AA">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407945"/>
      <w:docPartObj>
        <w:docPartGallery w:val="Page Numbers (Bottom of Page)"/>
        <w:docPartUnique/>
      </w:docPartObj>
    </w:sdtPr>
    <w:sdtEndPr>
      <w:rPr>
        <w:noProof/>
      </w:rPr>
    </w:sdtEndPr>
    <w:sdtContent>
      <w:p w14:paraId="48689A91" w14:textId="3998B483"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3D84F8B1" w14:textId="77777777" w:rsidR="006054AA" w:rsidRDefault="006054AA">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34C2" w14:textId="77777777" w:rsidR="006054AA" w:rsidRDefault="006054A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A50B" w14:textId="77777777" w:rsidR="006054AA" w:rsidRDefault="006054AA">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122B" w14:textId="77777777" w:rsidR="006054AA" w:rsidRDefault="006054AA">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264"/>
      <w:docPartObj>
        <w:docPartGallery w:val="Page Numbers (Bottom of Page)"/>
        <w:docPartUnique/>
      </w:docPartObj>
    </w:sdtPr>
    <w:sdtEndPr>
      <w:rPr>
        <w:noProof/>
      </w:rPr>
    </w:sdtEndPr>
    <w:sdtContent>
      <w:p w14:paraId="0E4CEC8D" w14:textId="20856DE3"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E9F25D4" w14:textId="77777777" w:rsidR="006054AA" w:rsidRDefault="006054AA">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F22E" w14:textId="77777777" w:rsidR="006054AA" w:rsidRDefault="006054AA">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AC95" w14:textId="77777777" w:rsidR="006054AA" w:rsidRDefault="006054AA">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2625"/>
      <w:docPartObj>
        <w:docPartGallery w:val="Page Numbers (Bottom of Page)"/>
        <w:docPartUnique/>
      </w:docPartObj>
    </w:sdtPr>
    <w:sdtEndPr>
      <w:rPr>
        <w:noProof/>
      </w:rPr>
    </w:sdtEndPr>
    <w:sdtContent>
      <w:p w14:paraId="4B55682C" w14:textId="4CC19AEB"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E90B596" w14:textId="77777777" w:rsidR="006054AA" w:rsidRDefault="006054AA">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D7F7" w14:textId="77777777" w:rsidR="006054AA" w:rsidRDefault="006054AA">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220F" w14:textId="77777777" w:rsidR="006054AA" w:rsidRDefault="006054AA">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103585"/>
      <w:docPartObj>
        <w:docPartGallery w:val="Page Numbers (Bottom of Page)"/>
        <w:docPartUnique/>
      </w:docPartObj>
    </w:sdtPr>
    <w:sdtEndPr>
      <w:rPr>
        <w:noProof/>
      </w:rPr>
    </w:sdtEndPr>
    <w:sdtContent>
      <w:p w14:paraId="6F1C2A27" w14:textId="3ADC533B"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7AD207C" w14:textId="77777777" w:rsidR="006054AA" w:rsidRDefault="006054AA">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AA81" w14:textId="77777777" w:rsidR="006054AA" w:rsidRDefault="006054AA">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75DC" w14:textId="77777777" w:rsidR="006054AA" w:rsidRDefault="00605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30CD2" w14:textId="11F037D2" w:rsidR="0024590B" w:rsidRPr="003B3AC7" w:rsidRDefault="003B3AC7" w:rsidP="003B3AC7">
    <w:pPr>
      <w:pStyle w:val="FooterCoverPage"/>
      <w:rPr>
        <w:rFonts w:ascii="Arial" w:hAnsi="Arial" w:cs="Arial"/>
        <w:b/>
        <w:sz w:val="48"/>
      </w:rPr>
    </w:pPr>
    <w:r w:rsidRPr="003B3AC7">
      <w:rPr>
        <w:rFonts w:ascii="Arial" w:hAnsi="Arial" w:cs="Arial"/>
        <w:b/>
        <w:sz w:val="48"/>
      </w:rPr>
      <w:t>BG</w:t>
    </w:r>
    <w:r w:rsidRPr="003B3AC7">
      <w:rPr>
        <w:rFonts w:ascii="Arial" w:hAnsi="Arial" w:cs="Arial"/>
        <w:b/>
        <w:sz w:val="48"/>
      </w:rPr>
      <w:tab/>
    </w:r>
    <w:r w:rsidRPr="003B3AC7">
      <w:rPr>
        <w:rFonts w:ascii="Arial" w:hAnsi="Arial" w:cs="Arial"/>
        <w:b/>
        <w:sz w:val="48"/>
      </w:rPr>
      <w:tab/>
    </w:r>
    <w:r w:rsidRPr="003B3AC7">
      <w:tab/>
    </w:r>
    <w:r w:rsidRPr="003B3AC7">
      <w:rPr>
        <w:rFonts w:ascii="Arial" w:hAnsi="Arial" w:cs="Arial"/>
        <w:b/>
        <w:sz w:val="48"/>
      </w:rPr>
      <w:t>BG</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67995"/>
      <w:docPartObj>
        <w:docPartGallery w:val="Page Numbers (Bottom of Page)"/>
        <w:docPartUnique/>
      </w:docPartObj>
    </w:sdtPr>
    <w:sdtEndPr>
      <w:rPr>
        <w:noProof/>
      </w:rPr>
    </w:sdtEndPr>
    <w:sdtContent>
      <w:p w14:paraId="145FA333" w14:textId="489F96FD"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7E7E9D68" w14:textId="77777777" w:rsidR="006054AA" w:rsidRDefault="006054AA">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298421"/>
      <w:docPartObj>
        <w:docPartGallery w:val="Page Numbers (Bottom of Page)"/>
        <w:docPartUnique/>
      </w:docPartObj>
    </w:sdtPr>
    <w:sdtEndPr>
      <w:rPr>
        <w:noProof/>
      </w:rPr>
    </w:sdtEndPr>
    <w:sdtContent>
      <w:p w14:paraId="50133747" w14:textId="75FF39B7"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926E2B9" w14:textId="77777777" w:rsidR="006054AA" w:rsidRDefault="006054AA">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53D3" w14:textId="77777777" w:rsidR="006054AA" w:rsidRDefault="006054A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F976" w14:textId="77777777" w:rsidR="006054AA" w:rsidRDefault="006054A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4BB2" w14:textId="77777777" w:rsidR="006054AA" w:rsidRDefault="006054A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68056"/>
      <w:docPartObj>
        <w:docPartGallery w:val="Page Numbers (Bottom of Page)"/>
        <w:docPartUnique/>
      </w:docPartObj>
    </w:sdtPr>
    <w:sdtEndPr>
      <w:rPr>
        <w:noProof/>
      </w:rPr>
    </w:sdtEndPr>
    <w:sdtContent>
      <w:p w14:paraId="23A5768F" w14:textId="2AA1A498"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8F6BD7D" w14:textId="77777777" w:rsidR="006054AA" w:rsidRDefault="006054AA">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94E0" w14:textId="77777777" w:rsidR="006054AA" w:rsidRDefault="006054A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658E" w14:textId="77777777" w:rsidR="006054AA" w:rsidRDefault="006054A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70650"/>
      <w:docPartObj>
        <w:docPartGallery w:val="Page Numbers (Bottom of Page)"/>
        <w:docPartUnique/>
      </w:docPartObj>
    </w:sdtPr>
    <w:sdtEndPr>
      <w:rPr>
        <w:noProof/>
      </w:rPr>
    </w:sdtEndPr>
    <w:sdtContent>
      <w:p w14:paraId="628E42DA" w14:textId="7C083D5F"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4E3C0FA7" w14:textId="77777777" w:rsidR="006054AA" w:rsidRDefault="006054AA">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1562" w14:textId="77777777" w:rsidR="006054AA" w:rsidRDefault="006054A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83A3" w14:textId="77777777" w:rsidR="006054AA" w:rsidRDefault="006054A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5000"/>
      <w:docPartObj>
        <w:docPartGallery w:val="Page Numbers (Bottom of Page)"/>
        <w:docPartUnique/>
      </w:docPartObj>
    </w:sdtPr>
    <w:sdtEndPr>
      <w:rPr>
        <w:noProof/>
      </w:rPr>
    </w:sdtEndPr>
    <w:sdtContent>
      <w:p w14:paraId="3AA27D58" w14:textId="28262EC5"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4A6F2F7" w14:textId="77777777" w:rsidR="006054AA" w:rsidRDefault="006054AA">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A1E1C" w14:textId="77777777" w:rsidR="003B3AC7" w:rsidRPr="003B3AC7" w:rsidRDefault="003B3AC7" w:rsidP="003B3AC7">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678D" w14:textId="77777777" w:rsidR="006054AA" w:rsidRDefault="006054A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51A" w14:textId="77777777" w:rsidR="006054AA" w:rsidRDefault="006054A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806931"/>
      <w:docPartObj>
        <w:docPartGallery w:val="Page Numbers (Bottom of Page)"/>
        <w:docPartUnique/>
      </w:docPartObj>
    </w:sdtPr>
    <w:sdtEndPr>
      <w:rPr>
        <w:noProof/>
      </w:rPr>
    </w:sdtEndPr>
    <w:sdtContent>
      <w:p w14:paraId="10A733DF" w14:textId="54F6CBDB"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2A32950" w14:textId="77777777" w:rsidR="006054AA" w:rsidRDefault="006054AA">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5601" w14:textId="77777777" w:rsidR="006054AA" w:rsidRDefault="006054A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214E" w14:textId="77777777" w:rsidR="006054AA" w:rsidRDefault="006054A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43019"/>
      <w:docPartObj>
        <w:docPartGallery w:val="Page Numbers (Bottom of Page)"/>
        <w:docPartUnique/>
      </w:docPartObj>
    </w:sdtPr>
    <w:sdtEndPr>
      <w:rPr>
        <w:noProof/>
      </w:rPr>
    </w:sdtEndPr>
    <w:sdtContent>
      <w:p w14:paraId="1B71F9E7" w14:textId="5BFA7F60"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C648EFB" w14:textId="77777777" w:rsidR="006054AA" w:rsidRDefault="006054AA">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5395" w14:textId="77777777" w:rsidR="006054AA" w:rsidRDefault="006054A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56CF" w14:textId="77777777" w:rsidR="006054AA" w:rsidRDefault="006054A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644875"/>
      <w:docPartObj>
        <w:docPartGallery w:val="Page Numbers (Bottom of Page)"/>
        <w:docPartUnique/>
      </w:docPartObj>
    </w:sdtPr>
    <w:sdtEndPr>
      <w:rPr>
        <w:noProof/>
      </w:rPr>
    </w:sdtEndPr>
    <w:sdtContent>
      <w:p w14:paraId="4F1325C5" w14:textId="06EBB7AC"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30635581" w14:textId="77777777" w:rsidR="006054AA" w:rsidRDefault="006054AA">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9A5D" w14:textId="77777777" w:rsidR="006054AA" w:rsidRDefault="006054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CA53" w14:textId="77777777" w:rsidR="006054AA" w:rsidRDefault="006054A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4A8" w14:textId="77777777" w:rsidR="006054AA" w:rsidRDefault="006054A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63458"/>
      <w:docPartObj>
        <w:docPartGallery w:val="Page Numbers (Bottom of Page)"/>
        <w:docPartUnique/>
      </w:docPartObj>
    </w:sdtPr>
    <w:sdtEndPr>
      <w:rPr>
        <w:noProof/>
      </w:rPr>
    </w:sdtEndPr>
    <w:sdtContent>
      <w:p w14:paraId="0B6634F9" w14:textId="195212A3"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3B255385" w14:textId="77777777" w:rsidR="006054AA" w:rsidRDefault="006054AA">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3E17" w14:textId="77777777" w:rsidR="006054AA" w:rsidRDefault="006054AA">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27D3" w14:textId="77777777" w:rsidR="006054AA" w:rsidRDefault="006054A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656"/>
      <w:docPartObj>
        <w:docPartGallery w:val="Page Numbers (Bottom of Page)"/>
        <w:docPartUnique/>
      </w:docPartObj>
    </w:sdtPr>
    <w:sdtEndPr>
      <w:rPr>
        <w:noProof/>
      </w:rPr>
    </w:sdtEndPr>
    <w:sdtContent>
      <w:p w14:paraId="53CE5A0B" w14:textId="279E50DF"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6D88276F" w14:textId="77777777" w:rsidR="006054AA" w:rsidRDefault="006054AA">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7080" w14:textId="77777777" w:rsidR="006054AA" w:rsidRDefault="006054AA">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63E68" w14:textId="77777777" w:rsidR="006054AA" w:rsidRDefault="006054A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72904"/>
      <w:docPartObj>
        <w:docPartGallery w:val="Page Numbers (Bottom of Page)"/>
        <w:docPartUnique/>
      </w:docPartObj>
    </w:sdtPr>
    <w:sdtEndPr>
      <w:rPr>
        <w:noProof/>
      </w:rPr>
    </w:sdtEndPr>
    <w:sdtContent>
      <w:p w14:paraId="515B5279" w14:textId="030A30F8"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61BA791F" w14:textId="77777777" w:rsidR="006054AA" w:rsidRDefault="006054AA">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CA14" w14:textId="77777777" w:rsidR="006054AA" w:rsidRDefault="006054AA">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4043" w14:textId="77777777" w:rsidR="006054AA" w:rsidRDefault="006054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748456"/>
      <w:docPartObj>
        <w:docPartGallery w:val="Page Numbers (Bottom of Page)"/>
        <w:docPartUnique/>
      </w:docPartObj>
    </w:sdtPr>
    <w:sdtEndPr>
      <w:rPr>
        <w:noProof/>
      </w:rPr>
    </w:sdtEndPr>
    <w:sdtContent>
      <w:p w14:paraId="7D3FDEBE" w14:textId="4B71942D" w:rsidR="006054AA" w:rsidRDefault="001F7667">
        <w:pPr>
          <w:pStyle w:val="Footer"/>
          <w:jc w:val="center"/>
        </w:pPr>
        <w:r>
          <w:fldChar w:fldCharType="begin"/>
        </w:r>
        <w:r>
          <w:instrText xml:space="preserve"> PAGE   \* MERGEFORMAT </w:instrText>
        </w:r>
        <w:r>
          <w:fldChar w:fldCharType="separate"/>
        </w:r>
        <w:r w:rsidR="003B3AC7">
          <w:rPr>
            <w:noProof/>
          </w:rPr>
          <w:t>7</w:t>
        </w:r>
        <w:r>
          <w:fldChar w:fldCharType="end"/>
        </w:r>
      </w:p>
    </w:sdtContent>
  </w:sdt>
  <w:p w14:paraId="3DB8397B" w14:textId="77777777" w:rsidR="006054AA" w:rsidRDefault="006054AA">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916510"/>
      <w:docPartObj>
        <w:docPartGallery w:val="Page Numbers (Bottom of Page)"/>
        <w:docPartUnique/>
      </w:docPartObj>
    </w:sdtPr>
    <w:sdtEndPr>
      <w:rPr>
        <w:noProof/>
      </w:rPr>
    </w:sdtEndPr>
    <w:sdtContent>
      <w:p w14:paraId="11A02371" w14:textId="25476AB7"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058E1C3" w14:textId="77777777" w:rsidR="006054AA" w:rsidRDefault="006054AA">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D64A6" w14:textId="77777777" w:rsidR="006054AA" w:rsidRDefault="006054AA">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6287" w14:textId="77777777" w:rsidR="006054AA" w:rsidRDefault="006054AA">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397303"/>
      <w:docPartObj>
        <w:docPartGallery w:val="Page Numbers (Bottom of Page)"/>
        <w:docPartUnique/>
      </w:docPartObj>
    </w:sdtPr>
    <w:sdtEndPr>
      <w:rPr>
        <w:noProof/>
      </w:rPr>
    </w:sdtEndPr>
    <w:sdtContent>
      <w:p w14:paraId="027DA675" w14:textId="7DE7AC8C"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17921B2" w14:textId="77777777" w:rsidR="006054AA" w:rsidRDefault="006054AA">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0AAA" w14:textId="77777777" w:rsidR="006054AA" w:rsidRDefault="006054AA">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C877" w14:textId="77777777" w:rsidR="006054AA" w:rsidRDefault="006054AA">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77335"/>
      <w:docPartObj>
        <w:docPartGallery w:val="Page Numbers (Bottom of Page)"/>
        <w:docPartUnique/>
      </w:docPartObj>
    </w:sdtPr>
    <w:sdtEndPr>
      <w:rPr>
        <w:noProof/>
      </w:rPr>
    </w:sdtEndPr>
    <w:sdtContent>
      <w:p w14:paraId="4BF25CD9" w14:textId="05E2C808"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19B69B2E" w14:textId="77777777" w:rsidR="006054AA" w:rsidRDefault="006054AA">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BF94" w14:textId="77777777" w:rsidR="006054AA" w:rsidRDefault="006054AA">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E77C" w14:textId="77777777" w:rsidR="006054AA" w:rsidRDefault="006054A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454727"/>
      <w:docPartObj>
        <w:docPartGallery w:val="Page Numbers (Bottom of Page)"/>
        <w:docPartUnique/>
      </w:docPartObj>
    </w:sdtPr>
    <w:sdtEndPr>
      <w:rPr>
        <w:noProof/>
      </w:rPr>
    </w:sdtEndPr>
    <w:sdtContent>
      <w:p w14:paraId="73DD249B" w14:textId="5B1C006E"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99BD63B" w14:textId="77777777" w:rsidR="006054AA" w:rsidRDefault="006054AA">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15BF" w14:textId="77777777" w:rsidR="006054AA" w:rsidRDefault="006054A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BE1B" w14:textId="77777777" w:rsidR="006054AA" w:rsidRDefault="006054A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7CCB" w14:textId="77777777" w:rsidR="006054AA" w:rsidRDefault="006054AA">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99711"/>
      <w:docPartObj>
        <w:docPartGallery w:val="Page Numbers (Bottom of Page)"/>
        <w:docPartUnique/>
      </w:docPartObj>
    </w:sdtPr>
    <w:sdtEndPr>
      <w:rPr>
        <w:noProof/>
      </w:rPr>
    </w:sdtEndPr>
    <w:sdtContent>
      <w:p w14:paraId="6500AEE4" w14:textId="2B0D3758"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6092564" w14:textId="77777777" w:rsidR="006054AA" w:rsidRDefault="006054AA">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6E84" w14:textId="77777777" w:rsidR="006054AA" w:rsidRDefault="006054AA">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A405" w14:textId="77777777" w:rsidR="006054AA" w:rsidRDefault="006054AA">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68623"/>
      <w:docPartObj>
        <w:docPartGallery w:val="Page Numbers (Bottom of Page)"/>
        <w:docPartUnique/>
      </w:docPartObj>
    </w:sdtPr>
    <w:sdtEndPr>
      <w:rPr>
        <w:noProof/>
      </w:rPr>
    </w:sdtEndPr>
    <w:sdtContent>
      <w:p w14:paraId="0371BEE9" w14:textId="1248B5AE"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72ADBD04" w14:textId="77777777" w:rsidR="006054AA" w:rsidRDefault="006054AA">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4121" w14:textId="77777777" w:rsidR="006054AA" w:rsidRDefault="006054AA">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9711" w14:textId="77777777" w:rsidR="006054AA" w:rsidRDefault="006054AA">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60024"/>
      <w:docPartObj>
        <w:docPartGallery w:val="Page Numbers (Bottom of Page)"/>
        <w:docPartUnique/>
      </w:docPartObj>
    </w:sdtPr>
    <w:sdtEndPr>
      <w:rPr>
        <w:noProof/>
      </w:rPr>
    </w:sdtEndPr>
    <w:sdtContent>
      <w:p w14:paraId="56AD7EBC" w14:textId="7407D9B2"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6FA81FF4" w14:textId="77777777" w:rsidR="006054AA" w:rsidRDefault="006054AA">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1750" w14:textId="77777777" w:rsidR="006054AA" w:rsidRDefault="006054A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CB3D" w14:textId="77777777" w:rsidR="006054AA" w:rsidRDefault="006054A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6D2C" w14:textId="77777777" w:rsidR="006054AA" w:rsidRDefault="006054AA">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119408"/>
      <w:docPartObj>
        <w:docPartGallery w:val="Page Numbers (Bottom of Page)"/>
        <w:docPartUnique/>
      </w:docPartObj>
    </w:sdtPr>
    <w:sdtEndPr>
      <w:rPr>
        <w:noProof/>
      </w:rPr>
    </w:sdtEndPr>
    <w:sdtContent>
      <w:p w14:paraId="757D10B2" w14:textId="14DA375C"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4CB09866" w14:textId="77777777" w:rsidR="006054AA" w:rsidRDefault="006054AA">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73D8" w14:textId="77777777" w:rsidR="006054AA" w:rsidRDefault="006054AA">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386C" w14:textId="77777777" w:rsidR="006054AA" w:rsidRDefault="006054AA">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3972"/>
      <w:docPartObj>
        <w:docPartGallery w:val="Page Numbers (Bottom of Page)"/>
        <w:docPartUnique/>
      </w:docPartObj>
    </w:sdtPr>
    <w:sdtEndPr>
      <w:rPr>
        <w:noProof/>
      </w:rPr>
    </w:sdtEndPr>
    <w:sdtContent>
      <w:p w14:paraId="2D44E036" w14:textId="68AB0B95"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69F4A94" w14:textId="77777777" w:rsidR="006054AA" w:rsidRDefault="006054AA">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E04F" w14:textId="77777777" w:rsidR="006054AA" w:rsidRDefault="006054AA">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6D0F" w14:textId="77777777" w:rsidR="006054AA" w:rsidRDefault="006054AA">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79270"/>
      <w:docPartObj>
        <w:docPartGallery w:val="Page Numbers (Bottom of Page)"/>
        <w:docPartUnique/>
      </w:docPartObj>
    </w:sdtPr>
    <w:sdtEndPr>
      <w:rPr>
        <w:noProof/>
      </w:rPr>
    </w:sdtEndPr>
    <w:sdtContent>
      <w:p w14:paraId="6E9062C6" w14:textId="6C032C76"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0911B324" w14:textId="77777777" w:rsidR="006054AA" w:rsidRDefault="006054AA">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DAC" w14:textId="77777777" w:rsidR="006054AA" w:rsidRDefault="006054AA">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061D" w14:textId="77777777" w:rsidR="006054AA" w:rsidRDefault="006054A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92301"/>
      <w:docPartObj>
        <w:docPartGallery w:val="Page Numbers (Bottom of Page)"/>
        <w:docPartUnique/>
      </w:docPartObj>
    </w:sdtPr>
    <w:sdtEndPr>
      <w:rPr>
        <w:noProof/>
      </w:rPr>
    </w:sdtEndPr>
    <w:sdtContent>
      <w:p w14:paraId="419BD5A8" w14:textId="346B8FF0"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1A571AC5" w14:textId="77777777" w:rsidR="006054AA" w:rsidRDefault="006054AA">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095486"/>
      <w:docPartObj>
        <w:docPartGallery w:val="Page Numbers (Bottom of Page)"/>
        <w:docPartUnique/>
      </w:docPartObj>
    </w:sdtPr>
    <w:sdtEndPr>
      <w:rPr>
        <w:noProof/>
      </w:rPr>
    </w:sdtEndPr>
    <w:sdtContent>
      <w:p w14:paraId="1B2F04DC" w14:textId="0D6763A8"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B510444" w14:textId="77777777" w:rsidR="006054AA" w:rsidRDefault="006054AA">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8EC8" w14:textId="77777777" w:rsidR="006054AA" w:rsidRDefault="006054AA">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7AD4" w14:textId="77777777" w:rsidR="006054AA" w:rsidRDefault="006054AA">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078944"/>
      <w:docPartObj>
        <w:docPartGallery w:val="Page Numbers (Bottom of Page)"/>
        <w:docPartUnique/>
      </w:docPartObj>
    </w:sdtPr>
    <w:sdtEndPr>
      <w:rPr>
        <w:noProof/>
      </w:rPr>
    </w:sdtEndPr>
    <w:sdtContent>
      <w:p w14:paraId="727896BE" w14:textId="637E9081"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2B320250" w14:textId="77777777" w:rsidR="006054AA" w:rsidRDefault="006054AA">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2207" w14:textId="77777777" w:rsidR="006054AA" w:rsidRDefault="006054AA">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A121" w14:textId="77777777" w:rsidR="006054AA" w:rsidRDefault="006054AA">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868140"/>
      <w:docPartObj>
        <w:docPartGallery w:val="Page Numbers (Bottom of Page)"/>
        <w:docPartUnique/>
      </w:docPartObj>
    </w:sdtPr>
    <w:sdtEndPr>
      <w:rPr>
        <w:noProof/>
      </w:rPr>
    </w:sdtEndPr>
    <w:sdtContent>
      <w:p w14:paraId="0311AF99" w14:textId="07E657D1"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6B64C49F" w14:textId="77777777" w:rsidR="006054AA" w:rsidRDefault="006054AA">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94C7" w14:textId="77777777" w:rsidR="006054AA" w:rsidRDefault="006054AA">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78EE" w14:textId="77777777" w:rsidR="006054AA" w:rsidRDefault="006054AA">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25245"/>
      <w:docPartObj>
        <w:docPartGallery w:val="Page Numbers (Bottom of Page)"/>
        <w:docPartUnique/>
      </w:docPartObj>
    </w:sdtPr>
    <w:sdtEndPr>
      <w:rPr>
        <w:noProof/>
      </w:rPr>
    </w:sdtEndPr>
    <w:sdtContent>
      <w:p w14:paraId="3E04695A" w14:textId="1CD07E86"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5E21FEA" w14:textId="77777777" w:rsidR="006054AA" w:rsidRDefault="006054AA">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7451" w14:textId="77777777" w:rsidR="006054AA" w:rsidRDefault="006054AA">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B1BF" w14:textId="77777777" w:rsidR="006054AA" w:rsidRDefault="006054AA">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22C4" w14:textId="77777777" w:rsidR="006054AA" w:rsidRDefault="006054AA">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08734"/>
      <w:docPartObj>
        <w:docPartGallery w:val="Page Numbers (Bottom of Page)"/>
        <w:docPartUnique/>
      </w:docPartObj>
    </w:sdtPr>
    <w:sdtEndPr>
      <w:rPr>
        <w:noProof/>
      </w:rPr>
    </w:sdtEndPr>
    <w:sdtContent>
      <w:p w14:paraId="556E0FFA" w14:textId="24D940D8"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1E76B210" w14:textId="77777777" w:rsidR="006054AA" w:rsidRDefault="006054AA">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6383" w14:textId="77777777" w:rsidR="006054AA" w:rsidRDefault="006054AA">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457F" w14:textId="77777777" w:rsidR="006054AA" w:rsidRDefault="006054AA">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95293"/>
      <w:docPartObj>
        <w:docPartGallery w:val="Page Numbers (Bottom of Page)"/>
        <w:docPartUnique/>
      </w:docPartObj>
    </w:sdtPr>
    <w:sdtEndPr>
      <w:rPr>
        <w:noProof/>
      </w:rPr>
    </w:sdtEndPr>
    <w:sdtContent>
      <w:p w14:paraId="21E37B27" w14:textId="33F99097"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59CFA528" w14:textId="77777777" w:rsidR="006054AA" w:rsidRDefault="006054AA">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F04D" w14:textId="77777777" w:rsidR="006054AA" w:rsidRDefault="006054AA">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AD0F" w14:textId="77777777" w:rsidR="006054AA" w:rsidRDefault="006054AA">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84790"/>
      <w:docPartObj>
        <w:docPartGallery w:val="Page Numbers (Bottom of Page)"/>
        <w:docPartUnique/>
      </w:docPartObj>
    </w:sdtPr>
    <w:sdtEndPr>
      <w:rPr>
        <w:noProof/>
      </w:rPr>
    </w:sdtEndPr>
    <w:sdtContent>
      <w:p w14:paraId="6AE50132" w14:textId="07C7939B" w:rsidR="006054AA" w:rsidRDefault="001F7667">
        <w:pPr>
          <w:pStyle w:val="Footer"/>
          <w:jc w:val="center"/>
        </w:pPr>
        <w:r>
          <w:fldChar w:fldCharType="begin"/>
        </w:r>
        <w:r>
          <w:instrText xml:space="preserve"> PAGE   \* MERGEFORMAT </w:instrText>
        </w:r>
        <w:r>
          <w:fldChar w:fldCharType="separate"/>
        </w:r>
        <w:r>
          <w:t>2</w:t>
        </w:r>
        <w:r>
          <w:fldChar w:fldCharType="end"/>
        </w:r>
      </w:p>
    </w:sdtContent>
  </w:sdt>
  <w:p w14:paraId="472F030E" w14:textId="77777777" w:rsidR="006054AA" w:rsidRDefault="006054AA">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DE30" w14:textId="77777777" w:rsidR="006054AA" w:rsidRDefault="00605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F7731" w14:textId="77777777" w:rsidR="00DE0F38" w:rsidRDefault="00DE0F38">
      <w:r>
        <w:separator/>
      </w:r>
    </w:p>
  </w:footnote>
  <w:footnote w:type="continuationSeparator" w:id="0">
    <w:p w14:paraId="46BD04AF" w14:textId="77777777" w:rsidR="00DE0F38" w:rsidRDefault="00DE0F38">
      <w:r>
        <w:continuationSeparator/>
      </w:r>
    </w:p>
  </w:footnote>
  <w:footnote w:type="continuationNotice" w:id="1">
    <w:p w14:paraId="59E9A33E" w14:textId="77777777" w:rsidR="00DE0F38" w:rsidRDefault="00DE0F38"/>
  </w:footnote>
  <w:footnote w:id="2">
    <w:p w14:paraId="01660C3B" w14:textId="77777777"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3">
    <w:p w14:paraId="42EFD6CD"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4">
    <w:p w14:paraId="3E8B0584" w14:textId="7B6A07B9"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се предоставят доказателства на ниво инсталация</w:t>
      </w:r>
    </w:p>
  </w:footnote>
  <w:footnote w:id="5">
    <w:p w14:paraId="395EFBCA"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6">
    <w:p w14:paraId="22BCB45A" w14:textId="640576C7" w:rsidR="006054AA" w:rsidRDefault="001F7667">
      <w:pPr>
        <w:jc w:val="both"/>
      </w:pPr>
      <w:r w:rsidRPr="006C3469">
        <w:rPr>
          <w:rStyle w:val="FootnoteReference"/>
          <w:sz w:val="20"/>
        </w:rPr>
        <w:footnoteRef/>
      </w:r>
      <w:r>
        <w:t xml:space="preserve"> </w:t>
      </w:r>
      <w:r w:rsidR="006C3469" w:rsidRPr="006C3469">
        <w:rPr>
          <w:sz w:val="20"/>
        </w:rPr>
        <w:t>С</w:t>
      </w:r>
      <w:r w:rsidR="006C3469">
        <w:rPr>
          <w:lang w:val="bg-BG"/>
        </w:rPr>
        <w:t xml:space="preserve"> </w:t>
      </w:r>
      <w:r>
        <w:rPr>
          <w:sz w:val="20"/>
        </w:rPr>
        <w:t>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7">
    <w:p w14:paraId="3C5FA3D5" w14:textId="4A519DD7" w:rsidR="006054AA" w:rsidRDefault="001F7667">
      <w:pPr>
        <w:jc w:val="both"/>
        <w:rPr>
          <w:sz w:val="20"/>
        </w:rPr>
      </w:pPr>
      <w:r w:rsidRPr="006C3469">
        <w:rPr>
          <w:rStyle w:val="FootnoteReference"/>
          <w:sz w:val="20"/>
        </w:rPr>
        <w:footnoteRef/>
      </w:r>
      <w:r w:rsidR="007844F3" w:rsidRPr="007844F3">
        <w:rPr>
          <w:sz w:val="20"/>
        </w:rPr>
        <w:t xml:space="preserve"> </w:t>
      </w:r>
      <w:r>
        <w:rPr>
          <w:sz w:val="20"/>
        </w:rPr>
        <w:t>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8">
    <w:p w14:paraId="3C1CF2A1" w14:textId="382114F3" w:rsidR="006054AA" w:rsidRDefault="001F7667">
      <w:pPr>
        <w:jc w:val="both"/>
        <w:rPr>
          <w:sz w:val="20"/>
        </w:rPr>
      </w:pPr>
      <w:r w:rsidRPr="006C3469">
        <w:rPr>
          <w:rStyle w:val="FootnoteReference"/>
          <w:sz w:val="20"/>
        </w:rPr>
        <w:footnoteRef/>
      </w:r>
      <w:r w:rsidR="007844F3" w:rsidRPr="007844F3">
        <w:rPr>
          <w:sz w:val="20"/>
        </w:rPr>
        <w:t xml:space="preserve"> </w:t>
      </w:r>
      <w:r>
        <w:rPr>
          <w:sz w:val="20"/>
        </w:rPr>
        <w:t>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9">
    <w:p w14:paraId="3D94D292" w14:textId="682D91EE" w:rsidR="006054AA" w:rsidRDefault="001F7667">
      <w:pPr>
        <w:jc w:val="both"/>
        <w:rPr>
          <w:sz w:val="20"/>
        </w:rPr>
      </w:pPr>
      <w:r w:rsidRPr="006C3469">
        <w:rPr>
          <w:rStyle w:val="FootnoteReference"/>
          <w:sz w:val="20"/>
        </w:rPr>
        <w:footnoteRef/>
      </w:r>
      <w:r w:rsidR="007844F3" w:rsidRPr="006C3469">
        <w:rPr>
          <w:rStyle w:val="FootnoteReference"/>
        </w:rPr>
        <w:t xml:space="preserve"> </w:t>
      </w:r>
      <w:r>
        <w:rPr>
          <w:sz w:val="20"/>
        </w:rPr>
        <w:t>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0">
    <w:p w14:paraId="115EFAD7" w14:textId="77777777" w:rsidR="006054AA" w:rsidRDefault="001F7667">
      <w:pPr>
        <w:pStyle w:val="FootnoteText"/>
        <w:ind w:left="0" w:firstLine="0"/>
      </w:pPr>
      <w:r>
        <w:rPr>
          <w:rStyle w:val="FootnoteReference"/>
        </w:rPr>
        <w:footnoteRef/>
      </w:r>
      <w: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1">
    <w:p w14:paraId="03C9CEBE" w14:textId="77777777" w:rsidR="006054AA" w:rsidRDefault="001F7667">
      <w:pPr>
        <w:pStyle w:val="FootnoteText"/>
        <w:ind w:left="0" w:firstLine="0"/>
      </w:pPr>
      <w:r>
        <w:rPr>
          <w:rStyle w:val="FootnoteReference"/>
        </w:rPr>
        <w:footnoteRef/>
      </w:r>
      <w:r>
        <w:t xml:space="preserve"> 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2">
    <w:p w14:paraId="700D112F"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3">
    <w:p w14:paraId="405920D3"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4">
    <w:p w14:paraId="7E7F7679" w14:textId="6929D1A4" w:rsidR="006054AA" w:rsidRDefault="001F7667">
      <w:pPr>
        <w:pStyle w:val="FootnoteText"/>
        <w:ind w:left="0" w:firstLine="0"/>
      </w:pPr>
      <w:r>
        <w:rPr>
          <w:rStyle w:val="FootnoteReference"/>
        </w:rPr>
        <w:footnoteRef/>
      </w:r>
      <w:r>
        <w:t xml:space="preserve"> От крайните бенефициери, асоциирани към конкретни проекти, се изисква да представят обосновка на избраната област на интервенция за всеки подпомаган проект, заедно с описание на проекта, за целите на изчисляването на приноса в областта на климата.</w:t>
      </w:r>
    </w:p>
  </w:footnote>
  <w:footnote w:id="15">
    <w:p w14:paraId="7D366F45" w14:textId="0E8DF3A3" w:rsidR="006054AA" w:rsidRDefault="001F7667">
      <w:pPr>
        <w:pStyle w:val="FootnoteText"/>
        <w:ind w:left="0" w:firstLine="0"/>
      </w:pPr>
      <w:r>
        <w:rPr>
          <w:rStyle w:val="FootnoteReference"/>
        </w:rPr>
        <w:footnoteRef/>
      </w:r>
      <w: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6">
    <w:p w14:paraId="5B9D5729" w14:textId="260CB279" w:rsidR="006054AA" w:rsidRDefault="001F7667">
      <w:pPr>
        <w:pStyle w:val="FootnoteText"/>
        <w:ind w:left="0" w:firstLine="0"/>
      </w:pPr>
      <w:r>
        <w:rPr>
          <w:rStyle w:val="FootnoteReference"/>
        </w:rPr>
        <w:footnoteRef/>
      </w:r>
      <w:r>
        <w:t xml:space="preserve"> 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7">
    <w:p w14:paraId="630678AB" w14:textId="58701999"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8">
    <w:p w14:paraId="39974E27" w14:textId="692A621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9">
    <w:p w14:paraId="6028BB2A" w14:textId="100A831D"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20">
    <w:p w14:paraId="15A12BA1" w14:textId="26FEF5AB"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21">
    <w:p w14:paraId="63136C25" w14:textId="5DA4C475" w:rsidR="006054AA" w:rsidRDefault="001F7667">
      <w:pPr>
        <w:pStyle w:val="P68B1DB1-Normal26"/>
        <w:jc w:val="both"/>
      </w:pPr>
      <w:r>
        <w:rPr>
          <w:vertAlign w:val="superscript"/>
        </w:rPr>
        <w:t>20</w:t>
      </w:r>
      <w:r>
        <w:t xml:space="preserve"> това изключение не се прилага за действия по тази мярка в инсталации, предназначени изключително за третиране на опасни отпадъци, които не подлежат на рециклиране, и за съществуващи инсталации, когато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22">
    <w:p w14:paraId="7B28AB2B" w14:textId="0000DE69"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23">
    <w:p w14:paraId="7B3CA30D" w14:textId="45FD840F"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24">
    <w:p w14:paraId="60481372" w14:textId="52781DFB"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25">
    <w:p w14:paraId="481EE1A4" w14:textId="7371511F" w:rsidR="006054AA" w:rsidRDefault="001F7667">
      <w:pPr>
        <w:pStyle w:val="P68B1DB1-Normal26"/>
        <w:jc w:val="both"/>
      </w:pPr>
      <w:r>
        <w:rPr>
          <w:vertAlign w:val="superscript"/>
        </w:rPr>
        <w:t>24</w:t>
      </w:r>
      <w:r>
        <w:t xml:space="preserve"> това изключение не се прилага за действия по тази мярка в инсталации, предназначени изключително за третиране на опасни отпадъци, които не подлежат на рециклиране, и за съществуващи инсталации, когато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26">
    <w:p w14:paraId="63C339A0" w14:textId="4C8330B5"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27">
    <w:p w14:paraId="4472B526" w14:textId="7577BF29"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28">
    <w:p w14:paraId="7F9C4718" w14:textId="601F1442"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29">
    <w:p w14:paraId="2960712F" w14:textId="3CC8A46A" w:rsidR="006054AA" w:rsidRDefault="001F7667">
      <w:pPr>
        <w:pStyle w:val="P68B1DB1-Normal26"/>
        <w:jc w:val="both"/>
      </w:pPr>
      <w:r>
        <w:t>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30">
    <w:p w14:paraId="73E2EF83" w14:textId="2B2493C2"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31">
    <w:p w14:paraId="13B1F3ED" w14:textId="2E873EFA"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32">
    <w:p w14:paraId="57E3F8B2" w14:textId="64B2AC60"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33">
    <w:p w14:paraId="5FC8BC19" w14:textId="4A40F843" w:rsidR="006054AA" w:rsidRDefault="001F7667">
      <w:pPr>
        <w:pStyle w:val="FootnoteText"/>
        <w:ind w:left="0" w:firstLine="0"/>
      </w:pPr>
      <w:r>
        <w:rPr>
          <w:vertAlign w:val="superscript"/>
        </w:rPr>
        <w:t>32</w:t>
      </w:r>
      <w:r>
        <w:t xml:space="preserve"> това изключение не се прилага за действия по тази мярка в инсталации, предназначени изключително за третиране на опасни отпадъци, които не подлежат на рециклиране, и за съществуващи инсталации, когато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34">
    <w:p w14:paraId="32E4F974" w14:textId="2648699F"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35">
    <w:p w14:paraId="45728081" w14:textId="30FF8209"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36">
    <w:p w14:paraId="1A4466CA" w14:textId="03E70D9D"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37">
    <w:p w14:paraId="6FBD7C4E" w14:textId="5CD7C16C"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38">
    <w:p w14:paraId="35230404" w14:textId="4BBC78BA"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39">
    <w:p w14:paraId="20CFAB51" w14:textId="53A43024"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40">
    <w:p w14:paraId="484CF115" w14:textId="50057053"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41">
    <w:p w14:paraId="74FC51B7" w14:textId="36275B36"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42">
    <w:p w14:paraId="2D4C4C7B" w14:textId="759CEB4D"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43">
    <w:p w14:paraId="794FFFEA" w14:textId="4AB4B2C0" w:rsidR="006054AA" w:rsidRDefault="001F7667">
      <w:pPr>
        <w:pStyle w:val="FootnoteText"/>
        <w:ind w:left="0" w:firstLine="0"/>
      </w:pPr>
      <w:r>
        <w:rPr>
          <w:rStyle w:val="FootnoteReference"/>
        </w:rPr>
        <w:footnoteRef/>
      </w:r>
      <w: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44">
    <w:p w14:paraId="372A422D" w14:textId="7963FBE7" w:rsidR="006054AA" w:rsidRDefault="001F7667">
      <w:pPr>
        <w:pStyle w:val="FootnoteText"/>
        <w:ind w:left="0" w:firstLine="0"/>
      </w:pPr>
      <w:r>
        <w:rPr>
          <w:rStyle w:val="FootnoteReference"/>
        </w:rPr>
        <w:footnoteRef/>
      </w:r>
      <w:r>
        <w:t xml:space="preserve"> 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45">
    <w:p w14:paraId="2CF6F44E" w14:textId="4234EF89"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46">
    <w:p w14:paraId="26B265FF" w14:textId="1E4FF3F4"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47">
    <w:p w14:paraId="1143EFB0" w14:textId="38A1A97E" w:rsidR="006054AA" w:rsidRDefault="001F7667">
      <w:pPr>
        <w:pStyle w:val="FootnoteText"/>
        <w:ind w:left="0" w:firstLine="0"/>
      </w:pPr>
      <w:r>
        <w:rPr>
          <w:rStyle w:val="FootnoteReference"/>
        </w:rPr>
        <w:footnoteRef/>
      </w:r>
      <w:r>
        <w:t xml:space="preserve"> От крайните бенефициери, асоциирани към конкретни проекти, се изисква да представят обосновка на избраната област на интервенция за всеки подпомаган проект, заедно с описание на проекта, за целите на изчисляването на приноса в областта на климата. За целите на изчисляването на приноса в областта на климата крайните бенефициери по капиталови, квазикапиталови, корпоративни облигации или еквивалентни инструменти, които не са насочени към конкретни проекти, представят обосновка за избраната (ите) област (и) на интервенция. От партньора по изпълнението се изисква също така да представя на държавата членка шестмесечен доклад за изпълнението на всеки проект/дейност.</w:t>
      </w:r>
    </w:p>
    <w:p w14:paraId="476C5E4D" w14:textId="77777777" w:rsidR="006054AA" w:rsidRDefault="006054AA">
      <w:pPr>
        <w:pStyle w:val="FootnoteText"/>
      </w:pPr>
    </w:p>
  </w:footnote>
  <w:footnote w:id="48">
    <w:p w14:paraId="31CEFE93" w14:textId="77777777" w:rsidR="006054AA" w:rsidRDefault="001F7667">
      <w:pPr>
        <w:pStyle w:val="FootnoteText"/>
        <w:ind w:left="0" w:firstLine="0"/>
      </w:pPr>
      <w:r>
        <w:rPr>
          <w:rStyle w:val="FootnoteReference"/>
        </w:rPr>
        <w:footnoteRef/>
      </w:r>
      <w:r>
        <w:t xml:space="preserve"> Метрополните райони са определени в тази мярка като „функционални градски райони „, както са определени в базата данни на Европейската комисия и ОИСР (Dijkstra, L., H. Poelman и P. Veneri (2019), „The EU-OECD definition of a function urban area“, OECD Regional Development Working Papers, № 2019/11, OECD Publishing, Париж, https://doi.org/10.1787/d58cb34d-en). </w:t>
      </w:r>
    </w:p>
  </w:footnote>
  <w:footnote w:id="49">
    <w:p w14:paraId="3700C86E" w14:textId="77777777" w:rsidR="006054AA" w:rsidRDefault="001F7667">
      <w:pPr>
        <w:pStyle w:val="FootnoteText"/>
      </w:pPr>
      <w:r>
        <w:rPr>
          <w:rStyle w:val="FootnoteReference"/>
        </w:rPr>
        <w:footnoteRef/>
      </w:r>
      <w:r>
        <w:t xml:space="preserve"> В съответствие с област на намеса 72а от приложение VI към Регламент (ЕС) 2021/241, тя се прилага и за двурежимните влакове.</w:t>
      </w:r>
    </w:p>
  </w:footnote>
  <w:footnote w:id="50">
    <w:p w14:paraId="44B927F7" w14:textId="77777777" w:rsidR="006054AA" w:rsidRDefault="001F7667">
      <w:pPr>
        <w:pStyle w:val="FootnoteText"/>
        <w:ind w:left="0" w:firstLine="0"/>
      </w:pPr>
      <w:r>
        <w:rPr>
          <w:rStyle w:val="FootnoteReference"/>
        </w:rPr>
        <w:footnoteRef/>
      </w:r>
      <w:r>
        <w:t xml:space="preserve"> Метрополните райони се считат в тази мярка като „функционални градски райони“, както са определени в базата данни на Европейската комисия и ОИСР (Dijkstra, L., H. Poelman и P. Veneri (2019).</w:t>
      </w:r>
    </w:p>
  </w:footnote>
  <w:footnote w:id="51">
    <w:p w14:paraId="15E23C07" w14:textId="77777777" w:rsidR="006054AA" w:rsidRDefault="001F7667">
      <w:pPr>
        <w:pStyle w:val="FootnoteText"/>
      </w:pPr>
      <w:r>
        <w:rPr>
          <w:rStyle w:val="FootnoteReference"/>
        </w:rPr>
        <w:footnoteRef/>
      </w:r>
      <w:r>
        <w:t xml:space="preserve"> В съответствие с област на намеса 72а от приложение VI към Регламент (ЕС) 2021/241, тя се прилага и за двурежимните влакове.</w:t>
      </w:r>
    </w:p>
  </w:footnote>
  <w:footnote w:id="52">
    <w:p w14:paraId="2325A2A6" w14:textId="77777777" w:rsidR="006054AA" w:rsidRDefault="001F7667">
      <w:pPr>
        <w:pStyle w:val="FootnoteText"/>
        <w:ind w:left="0" w:firstLine="0"/>
      </w:pPr>
      <w:r>
        <w:rPr>
          <w:rStyle w:val="FootnoteReference"/>
        </w:rPr>
        <w:footnoteRef/>
      </w:r>
      <w: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53">
    <w:p w14:paraId="54F6DDD2" w14:textId="200ED838" w:rsidR="006054AA" w:rsidRDefault="001F7667">
      <w:pPr>
        <w:pStyle w:val="FootnoteText"/>
        <w:ind w:left="0" w:firstLine="0"/>
      </w:pPr>
      <w:r>
        <w:rPr>
          <w:rStyle w:val="FootnoteReference"/>
        </w:rPr>
        <w:footnoteRef/>
      </w:r>
      <w:r>
        <w:t xml:space="preserve"> Ако прогнозираните емисии на парникови газове при подпомаганата дейност не са значително по-ниски от съответните референтни стойности се обясняват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54">
    <w:p w14:paraId="1DA8AA0B" w14:textId="27333904"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55">
    <w:p w14:paraId="6A9018EC" w14:textId="196CA492"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56">
    <w:p w14:paraId="3A329317" w14:textId="77777777" w:rsidR="006054AA" w:rsidRDefault="001F7667">
      <w:pPr>
        <w:pStyle w:val="FootnoteText"/>
        <w:ind w:left="0" w:firstLine="0"/>
      </w:pPr>
      <w:r>
        <w:rPr>
          <w:rStyle w:val="FootnoteReference"/>
        </w:rPr>
        <w:footnoteRef/>
      </w:r>
      <w:r>
        <w:t xml:space="preserve"> От крайните бенефициери, асоциирани към конкретни проекти, се изисква да представят обосновка на избраната област на интервенция за всеки подпомаган проект, заедно с описание на проекта, за целите на изчисляването на приноса в областта на климата. За целите на изчисляването на приноса в областта на климата крайните бенефициери по капиталови, квазикапиталови, корпоративни облигации или еквивалентни инструменти, които не са насочени към конкретни проекти, представят обосновка за избраната (ите) област (и) на интервенция. От партньора по изпълнението се изисква също така да представя на държавата членка шестмесечен доклад за изпълнението на всеки проект/дейност.</w:t>
      </w:r>
    </w:p>
  </w:footnote>
  <w:footnote w:id="57">
    <w:p w14:paraId="27B9AFBE" w14:textId="77777777" w:rsidR="006054AA" w:rsidRDefault="001F7667">
      <w:pPr>
        <w:pStyle w:val="FootnoteText"/>
        <w:ind w:left="0" w:firstLine="0"/>
      </w:pPr>
      <w:r>
        <w:rPr>
          <w:rStyle w:val="FootnoteReference"/>
          <w:rFonts w:eastAsiaTheme="majorEastAsia"/>
        </w:rPr>
        <w:footnoteRef/>
      </w:r>
      <w:r>
        <w:t xml:space="preserve"> CDP Venture Capital SGR извършва управленските дейности в съответствие с принципите на независимост и автономност съгласно Директивата относно лицата, управляващи ФАИ. </w:t>
      </w:r>
    </w:p>
  </w:footnote>
  <w:footnote w:id="58">
    <w:p w14:paraId="1997C80B" w14:textId="77777777" w:rsidR="006054AA" w:rsidRDefault="001F7667">
      <w:pPr>
        <w:pStyle w:val="FootnoteText"/>
        <w:ind w:left="0" w:firstLine="0"/>
      </w:pPr>
      <w:r>
        <w:rPr>
          <w:rStyle w:val="FootnoteReference"/>
          <w:rFonts w:eastAsiaTheme="majorEastAsia"/>
        </w:rPr>
        <w:footnoteRef/>
      </w:r>
      <w:r>
        <w:t xml:space="preserve"> Счита се, че крайният бенефициер има „съществен акцент“ върху сектор или стопанска дейност, ако този сектор или дейност е определен като съществена част от стопанската дейност на крайния бенефициер съответно по отношение на брутните приходи, печалбата или клиентската база на крайния бенефициер. Брутните приходи, генерирани от ограничения сектор или дейност, в никакъв случай не надвишават 50 % от брутните приходи.</w:t>
      </w:r>
    </w:p>
  </w:footnote>
  <w:footnote w:id="59">
    <w:p w14:paraId="6EE2146D" w14:textId="77777777" w:rsidR="006054AA" w:rsidRDefault="001F7667">
      <w:pPr>
        <w:jc w:val="both"/>
        <w:rPr>
          <w:sz w:val="20"/>
        </w:rPr>
      </w:pPr>
      <w:r>
        <w:rPr>
          <w:rStyle w:val="FootnoteReference"/>
          <w:rFonts w:eastAsiaTheme="majorEastAsia"/>
        </w:rPr>
        <w:footnoteRef/>
      </w:r>
      <w:r>
        <w:rPr>
          <w:sz w:val="20"/>
        </w:rP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60">
    <w:p w14:paraId="72368FE8" w14:textId="77777777" w:rsidR="006054AA" w:rsidRDefault="001F7667">
      <w:pPr>
        <w:jc w:val="both"/>
        <w:rPr>
          <w:sz w:val="20"/>
        </w:rPr>
      </w:pPr>
      <w:r>
        <w:rPr>
          <w:rStyle w:val="FootnoteReference"/>
          <w:rFonts w:eastAsiaTheme="majorEastAsia"/>
        </w:rPr>
        <w:footnoteRef/>
      </w:r>
      <w:r>
        <w:rPr>
          <w:sz w:val="20"/>
        </w:rPr>
        <w:t xml:space="preserve"> Включително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 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61">
    <w:p w14:paraId="323BB04B" w14:textId="77777777" w:rsidR="006054AA" w:rsidRDefault="001F7667">
      <w:pPr>
        <w:jc w:val="both"/>
        <w:rPr>
          <w:sz w:val="20"/>
        </w:rPr>
      </w:pPr>
      <w:r>
        <w:rPr>
          <w:rStyle w:val="FootnoteReference"/>
          <w:rFonts w:eastAsiaTheme="majorEastAsia"/>
        </w:rPr>
        <w:footnoteRef/>
      </w:r>
      <w:r>
        <w:rPr>
          <w:sz w:val="20"/>
        </w:rPr>
        <w:t xml:space="preserve"> Замърсяващите превозни средства се определят като превозни средства, които не са с нулеви емисии.</w:t>
      </w:r>
    </w:p>
  </w:footnote>
  <w:footnote w:id="62">
    <w:p w14:paraId="36E6EE36" w14:textId="77777777"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в инсталации, предназначени изключително за третиране на опасни отпадъци, които не подлежат на рециклиране, и за съществуващи инсталации, когато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63">
    <w:p w14:paraId="1E877DFF" w14:textId="77777777"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64">
    <w:p w14:paraId="4EF95642"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65">
    <w:p w14:paraId="4E6F0BC6" w14:textId="2E2D9CC0" w:rsidR="006054AA" w:rsidRDefault="001F7667">
      <w:pPr>
        <w:pStyle w:val="P68B1DB1-Normal26"/>
        <w:jc w:val="both"/>
      </w:pPr>
      <w:r>
        <w:rPr>
          <w:vertAlign w:val="superscript"/>
        </w:rPr>
        <w:t>64</w:t>
      </w:r>
      <w:r>
        <w:t xml:space="preserve"> това изключение не се прилага за действия по тази мярка в инсталации, предназначени изключително за третиране на опасни отпадъци, които не подлежат на рециклиране, и за съществуващи инсталации, когато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66">
    <w:p w14:paraId="1523970E"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67">
    <w:p w14:paraId="09ED0B83" w14:textId="1C286385" w:rsidR="006054AA" w:rsidRDefault="001F7667">
      <w:pPr>
        <w:pStyle w:val="FootnoteText"/>
        <w:ind w:left="0" w:firstLine="0"/>
      </w:pPr>
      <w:r>
        <w:rPr>
          <w:rStyle w:val="FootnoteReference"/>
        </w:rPr>
        <w:footnoteRef/>
      </w:r>
      <w:r>
        <w:t xml:space="preserve"> 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68">
    <w:p w14:paraId="65DF490D"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69">
    <w:p w14:paraId="295A93EF" w14:textId="7EC55A42" w:rsidR="006054AA" w:rsidRDefault="001F7667">
      <w:pPr>
        <w:pStyle w:val="P68B1DB1-Normal26"/>
        <w:jc w:val="both"/>
      </w:pPr>
      <w:r>
        <w:t>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70">
    <w:p w14:paraId="6E7E4D4B"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71">
    <w:p w14:paraId="5DC32CDB" w14:textId="77777777"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72">
    <w:p w14:paraId="239CB303"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73">
    <w:p w14:paraId="4D8C51AE"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74">
    <w:p w14:paraId="1B266704"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75">
    <w:p w14:paraId="2B4AC006" w14:textId="2F39C68F" w:rsidR="006054AA" w:rsidRDefault="001F7667">
      <w:pPr>
        <w:jc w:val="both"/>
        <w:rPr>
          <w:sz w:val="20"/>
        </w:rPr>
      </w:pPr>
      <w:r w:rsidRPr="006C3469">
        <w:rPr>
          <w:rStyle w:val="FootnoteReference"/>
          <w:sz w:val="20"/>
        </w:rPr>
        <w:footnoteRef/>
      </w:r>
      <w:r>
        <w:t xml:space="preserve"> </w:t>
      </w:r>
      <w:r>
        <w:rPr>
          <w:sz w:val="20"/>
        </w:rPr>
        <w:t>С изключение на а) проекти по тази мярка за производство на електрическа и/или топлинна енергия, както и свързаната с нея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76">
    <w:p w14:paraId="6DB5692A" w14:textId="35A6924D" w:rsidR="006054AA" w:rsidRDefault="001F7667">
      <w:pPr>
        <w:pStyle w:val="P68B1DB1-Normal26"/>
        <w:jc w:val="both"/>
      </w:pPr>
      <w:r w:rsidRPr="006C3469">
        <w:rPr>
          <w:rStyle w:val="FootnoteReference"/>
        </w:rPr>
        <w:footnoteRef/>
      </w:r>
      <w:r w:rsidR="005175AE">
        <w:rPr>
          <w:lang w:val="bg-BG"/>
        </w:rPr>
        <w:t xml:space="preserve"> </w:t>
      </w:r>
      <w:r>
        <w:t>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77">
    <w:p w14:paraId="639058EE" w14:textId="52476113" w:rsidR="006054AA" w:rsidRDefault="001F7667">
      <w:pPr>
        <w:jc w:val="both"/>
        <w:rPr>
          <w:sz w:val="20"/>
        </w:rPr>
      </w:pPr>
      <w:r w:rsidRPr="006C3469">
        <w:rPr>
          <w:rStyle w:val="FootnoteReference"/>
          <w:sz w:val="20"/>
        </w:rPr>
        <w:footnoteRef/>
      </w:r>
      <w:r w:rsidR="005175AE">
        <w:rPr>
          <w:sz w:val="20"/>
          <w:lang w:val="bg-BG"/>
        </w:rPr>
        <w:t xml:space="preserve"> </w:t>
      </w:r>
      <w:r>
        <w:rPr>
          <w:sz w:val="20"/>
        </w:rPr>
        <w:t>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78">
    <w:p w14:paraId="33B09939" w14:textId="1763EC39" w:rsidR="006054AA" w:rsidRDefault="001F7667">
      <w:pPr>
        <w:pStyle w:val="P68B1DB1-Normal26"/>
        <w:jc w:val="both"/>
      </w:pPr>
      <w:r w:rsidRPr="006C3469">
        <w:rPr>
          <w:rStyle w:val="FootnoteReference"/>
        </w:rPr>
        <w:footnoteRef/>
      </w:r>
      <w:r w:rsidR="005175AE">
        <w:rPr>
          <w:lang w:val="bg-BG"/>
        </w:rPr>
        <w:t xml:space="preserve"> </w:t>
      </w:r>
      <w:r>
        <w:t>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79">
    <w:p w14:paraId="18F2F5BA" w14:textId="77777777"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80">
    <w:p w14:paraId="3BC9A821"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81">
    <w:p w14:paraId="4243BF5F"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82">
    <w:p w14:paraId="3C1180FE"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83">
    <w:p w14:paraId="068E762E" w14:textId="77777777" w:rsidR="006054AA" w:rsidRDefault="001F7667">
      <w:pPr>
        <w:pStyle w:val="FootnoteText"/>
        <w:ind w:left="0" w:firstLine="0"/>
      </w:pPr>
      <w:r>
        <w:rPr>
          <w:rStyle w:val="FootnoteReference"/>
        </w:rPr>
        <w:footnoteRef/>
      </w:r>
      <w:r>
        <w:t xml:space="preserve"> </w:t>
      </w:r>
      <w:r>
        <w:rPr>
          <w:rStyle w:val="normaltextrun"/>
          <w:color w:val="000000"/>
          <w:shd w:val="clear" w:color="auto" w:fill="FFFFFF"/>
        </w:rPr>
        <w:t>ОИСР, Проучвания на уменията на тема „Подкрепа за предприемачеството и иновациите във висшето образование в Италия“</w:t>
      </w:r>
    </w:p>
  </w:footnote>
  <w:footnote w:id="84">
    <w:p w14:paraId="22587763" w14:textId="77777777"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85">
    <w:p w14:paraId="36E8DF0A"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86">
    <w:p w14:paraId="1EC166D0"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87">
    <w:p w14:paraId="7C920DC7"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88">
    <w:p w14:paraId="11413F29" w14:textId="475F2BD8"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89">
    <w:p w14:paraId="6C06A35B" w14:textId="44FA0A05"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90">
    <w:p w14:paraId="23675DED" w14:textId="224ED2CF"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91">
    <w:p w14:paraId="75368B18" w14:textId="70C5FB0F"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92">
    <w:p w14:paraId="562E5DDD" w14:textId="7ECEF1D9"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93">
    <w:p w14:paraId="2664F237" w14:textId="57E9C96D"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94">
    <w:p w14:paraId="797EEACC" w14:textId="52646A2A"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95">
    <w:p w14:paraId="38660FAB" w14:textId="2DDB7F02"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96">
    <w:p w14:paraId="584EBB3C" w14:textId="77777777"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97">
    <w:p w14:paraId="5F71D76B"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98">
    <w:p w14:paraId="2D620FEB" w14:textId="77777777" w:rsidR="006054AA" w:rsidRDefault="001F7667">
      <w:pPr>
        <w:jc w:val="both"/>
      </w:pPr>
      <w:r>
        <w:rPr>
          <w:rStyle w:val="FootnoteReference"/>
          <w:sz w:val="20"/>
        </w:rPr>
        <w:footnoteRef/>
      </w:r>
      <w:r>
        <w:rPr>
          <w:sz w:val="20"/>
        </w:rP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99">
    <w:p w14:paraId="2609815D"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00">
    <w:p w14:paraId="55B4A234" w14:textId="77777777" w:rsidR="006054AA" w:rsidRDefault="001F7667">
      <w:pPr>
        <w:pStyle w:val="FootnoteText"/>
        <w:ind w:left="0" w:firstLine="0"/>
      </w:pPr>
      <w:r>
        <w:rPr>
          <w:rStyle w:val="FootnoteReference"/>
        </w:rPr>
        <w:footnoteRef/>
      </w:r>
      <w:r>
        <w:t xml:space="preserve"> Работният пакет е компонент от разбивката на работата по проекта, като например: проверете преди инвестиране, умения и обучение, управление на проекти и координация. Тя представлява група от проектни дейности, описани в дейностите и задачите. Работните пакети представят ясна и логична връзка с целите на проекта и с другите работни пакети. Всеки работен пакет представлява подчаст от проекта — стъпка, водеща до постигане на общите цели на проекта. </w:t>
      </w:r>
    </w:p>
  </w:footnote>
  <w:footnote w:id="101">
    <w:p w14:paraId="0DBF816E" w14:textId="77777777"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102">
    <w:p w14:paraId="06D518F4"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03">
    <w:p w14:paraId="382B00C3" w14:textId="77777777" w:rsidR="006054AA" w:rsidRDefault="001F7667">
      <w:pPr>
        <w:jc w:val="both"/>
      </w:pPr>
      <w:r w:rsidRPr="006C3469">
        <w:rPr>
          <w:rStyle w:val="FootnoteReference"/>
          <w:sz w:val="20"/>
        </w:rPr>
        <w:footnoteRef/>
      </w:r>
      <w:r>
        <w:rPr>
          <w:sz w:val="20"/>
        </w:rPr>
        <w:t>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04">
    <w:p w14:paraId="64C9148D"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05">
    <w:p w14:paraId="11264BA7" w14:textId="77777777"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106">
    <w:p w14:paraId="053104C3"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07">
    <w:p w14:paraId="44905E11" w14:textId="77777777" w:rsidR="006054AA" w:rsidRDefault="001F7667">
      <w:pPr>
        <w:jc w:val="both"/>
      </w:pPr>
      <w:r>
        <w:rPr>
          <w:rStyle w:val="FootnoteReference"/>
          <w:sz w:val="20"/>
        </w:rPr>
        <w:footnoteRef/>
      </w:r>
      <w:r>
        <w:rPr>
          <w:sz w:val="20"/>
        </w:rP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08">
    <w:p w14:paraId="717598FA"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09">
    <w:p w14:paraId="477A90C0" w14:textId="77777777" w:rsidR="006054AA" w:rsidRDefault="001F7667">
      <w:pPr>
        <w:pStyle w:val="FootnoteText"/>
        <w:ind w:left="0" w:firstLine="0"/>
      </w:pPr>
      <w:r>
        <w:rPr>
          <w:rStyle w:val="FootnoteReference"/>
          <w:rFonts w:eastAsiaTheme="majorEastAsia"/>
        </w:rPr>
        <w:footnoteRef/>
      </w:r>
      <w:r>
        <w:t xml:space="preserve"> CDP Venture Capital SGR извършва управленските дейности в съответствие с принципите на независимост и автономност съгласно Директивата относно лицата, управляващи ФАИ.</w:t>
      </w:r>
    </w:p>
  </w:footnote>
  <w:footnote w:id="110">
    <w:p w14:paraId="440FFF2D" w14:textId="77777777" w:rsidR="006054AA" w:rsidRDefault="001F7667">
      <w:pPr>
        <w:pStyle w:val="FootnoteText"/>
        <w:ind w:left="0" w:firstLine="0"/>
      </w:pPr>
      <w:r>
        <w:rPr>
          <w:rStyle w:val="FootnoteReference"/>
          <w:rFonts w:eastAsiaTheme="majorEastAsia"/>
        </w:rPr>
        <w:footnoteRef/>
      </w:r>
      <w:r>
        <w:t xml:space="preserve"> Счита се, че крайният бенефициер има „съществен акцент“ върху сектор или стопанска дейност, ако този сектор или дейност е определен като съществена част от стопанската дейност на крайния бенефициер съответно по отношение на брутните приходи, печалбата или клиентската база на крайния бенефициер. Брутните приходи, генерирани от ограничения сектор или дейност, в никакъв случай не надвишават 50 % от брутните приходи.</w:t>
      </w:r>
    </w:p>
  </w:footnote>
  <w:footnote w:id="111">
    <w:p w14:paraId="34BD2AA1" w14:textId="77777777" w:rsidR="006054AA" w:rsidRDefault="001F7667">
      <w:pPr>
        <w:jc w:val="both"/>
        <w:rPr>
          <w:sz w:val="20"/>
        </w:rPr>
      </w:pPr>
      <w:r w:rsidRPr="006C3469">
        <w:rPr>
          <w:rStyle w:val="FootnoteReference"/>
          <w:rFonts w:eastAsiaTheme="majorEastAsia"/>
          <w:sz w:val="20"/>
        </w:rPr>
        <w:footnoteRef/>
      </w:r>
      <w:r>
        <w:rPr>
          <w:sz w:val="20"/>
        </w:rP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12">
    <w:p w14:paraId="58192EB0" w14:textId="77777777" w:rsidR="006054AA" w:rsidRDefault="001F7667">
      <w:pPr>
        <w:jc w:val="both"/>
        <w:rPr>
          <w:sz w:val="20"/>
        </w:rPr>
      </w:pPr>
      <w:r w:rsidRPr="006C3469">
        <w:rPr>
          <w:rStyle w:val="FootnoteReference"/>
          <w:rFonts w:eastAsiaTheme="majorEastAsia"/>
          <w:sz w:val="20"/>
        </w:rPr>
        <w:footnoteRef/>
      </w:r>
      <w:r>
        <w:rPr>
          <w:sz w:val="20"/>
        </w:rPr>
        <w:t xml:space="preserve"> Включително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 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13">
    <w:p w14:paraId="59210BB9" w14:textId="77777777" w:rsidR="006054AA" w:rsidRDefault="001F7667">
      <w:pPr>
        <w:jc w:val="both"/>
        <w:rPr>
          <w:sz w:val="20"/>
        </w:rPr>
      </w:pPr>
      <w:r w:rsidRPr="006C3469">
        <w:rPr>
          <w:rStyle w:val="FootnoteReference"/>
          <w:rFonts w:eastAsiaTheme="majorEastAsia"/>
          <w:sz w:val="20"/>
        </w:rPr>
        <w:footnoteRef/>
      </w:r>
      <w:r>
        <w:rPr>
          <w:sz w:val="20"/>
        </w:rPr>
        <w:t xml:space="preserve"> Замърсяващите превозни средства се определят като превозни средства, които не са с нулеви емисии.</w:t>
      </w:r>
    </w:p>
  </w:footnote>
  <w:footnote w:id="114">
    <w:p w14:paraId="63CBA6B9" w14:textId="77777777"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в инсталации, предназначени изключително за третиране на опасни отпадъци, които не подлежат на рециклиране, и за съществуващи инсталации, когато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15">
    <w:p w14:paraId="0FA1BE76" w14:textId="77777777"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116">
    <w:p w14:paraId="4B14711C" w14:textId="7777777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17">
    <w:p w14:paraId="6A441A82" w14:textId="77777777" w:rsidR="006054AA" w:rsidRDefault="001F7667">
      <w:pPr>
        <w:jc w:val="both"/>
      </w:pPr>
      <w:r>
        <w:rPr>
          <w:rStyle w:val="FootnoteReference"/>
          <w:sz w:val="20"/>
        </w:rPr>
        <w:footnoteRef/>
      </w:r>
      <w:r>
        <w:rPr>
          <w:sz w:val="20"/>
        </w:rP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18">
    <w:p w14:paraId="51B9D72D" w14:textId="77777777"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19">
    <w:p w14:paraId="6180AD0A" w14:textId="2E3A02AA" w:rsidR="006054AA" w:rsidRDefault="001F7667">
      <w:pPr>
        <w:pStyle w:val="FootnoteText"/>
        <w:ind w:left="0" w:firstLine="0"/>
      </w:pPr>
      <w:r>
        <w:rPr>
          <w:rStyle w:val="FootnoteReference"/>
        </w:rPr>
        <w:footnoteRef/>
      </w:r>
      <w:r>
        <w:t xml:space="preserve"> 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120">
    <w:p w14:paraId="207B54B7" w14:textId="4B664A37" w:rsidR="006054AA" w:rsidRDefault="001F7667">
      <w:pPr>
        <w:pStyle w:val="FootnoteText"/>
        <w:ind w:left="0" w:firstLine="0"/>
      </w:pPr>
      <w:r>
        <w:rPr>
          <w:rStyle w:val="FootnoteReference"/>
        </w:rPr>
        <w:footnoteRef/>
      </w:r>
      <w:r>
        <w:t xml:space="preserve"> Когато подпомаганата дейност постига прогнозирани емисии на парникови газове, които не са значително по-ниски от съответните бенчмаркове,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21">
    <w:p w14:paraId="366DC287" w14:textId="0284EFB4" w:rsidR="006054AA" w:rsidRDefault="001F7667">
      <w:pPr>
        <w:jc w:val="both"/>
      </w:pPr>
      <w:r>
        <w:rPr>
          <w:rStyle w:val="FootnoteReference"/>
          <w:sz w:val="20"/>
        </w:rPr>
        <w:footnoteRef/>
      </w:r>
      <w:r>
        <w:rPr>
          <w:sz w:val="20"/>
        </w:rP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22">
    <w:p w14:paraId="2BCC8AEA" w14:textId="40EC8BDB" w:rsidR="006054AA" w:rsidRDefault="001F7667">
      <w:pPr>
        <w:pStyle w:val="FootnoteText"/>
        <w:ind w:left="0" w:firstLine="0"/>
      </w:pPr>
      <w:r>
        <w:rPr>
          <w:rStyle w:val="FootnoteReference"/>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23">
    <w:p w14:paraId="2D17AD87" w14:textId="3C0D6B93" w:rsidR="006054AA" w:rsidRDefault="001F7667">
      <w:pPr>
        <w:pStyle w:val="FootnoteText"/>
        <w:ind w:left="0" w:firstLine="0"/>
      </w:pPr>
      <w:r>
        <w:rPr>
          <w:rStyle w:val="FootnoteReference"/>
        </w:rPr>
        <w:footnoteRef/>
      </w:r>
      <w: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24">
    <w:p w14:paraId="0068E57F" w14:textId="6D07DAC2" w:rsidR="006054AA" w:rsidRDefault="001F7667">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25">
    <w:p w14:paraId="5338D742" w14:textId="097441E0"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26">
    <w:p w14:paraId="46A6D991" w14:textId="31491D89"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27">
    <w:p w14:paraId="14D46767" w14:textId="0E870700" w:rsidR="006054AA" w:rsidRDefault="001F7667">
      <w:pPr>
        <w:pStyle w:val="FootnoteText"/>
        <w:ind w:left="0" w:firstLine="0"/>
      </w:pPr>
      <w:r>
        <w:rPr>
          <w:rStyle w:val="FootnoteReference"/>
        </w:rPr>
        <w:footnoteRef/>
      </w:r>
      <w: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28">
    <w:p w14:paraId="338F96A9" w14:textId="55ED66FE" w:rsidR="006054AA" w:rsidRDefault="001F7667">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 xml:space="preserve">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 </w:t>
      </w:r>
    </w:p>
  </w:footnote>
  <w:footnote w:id="129">
    <w:p w14:paraId="2693ACBC" w14:textId="4742F168"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30">
    <w:p w14:paraId="0A566BE3" w14:textId="1C526118"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31">
    <w:p w14:paraId="08A1CEAA" w14:textId="032E94D3" w:rsidR="006054AA" w:rsidRDefault="001F7667">
      <w:pPr>
        <w:rPr>
          <w:sz w:val="20"/>
        </w:rPr>
      </w:pPr>
      <w:r w:rsidRPr="006C3469">
        <w:rPr>
          <w:rStyle w:val="FootnoteReference"/>
          <w:rFonts w:eastAsiaTheme="majorEastAsia"/>
          <w:sz w:val="20"/>
        </w:rPr>
        <w:footnoteRef/>
      </w:r>
      <w:r w:rsidR="006C3469">
        <w:rPr>
          <w:sz w:val="20"/>
          <w:lang w:val="bg-BG"/>
        </w:rPr>
        <w:t xml:space="preserve"> </w:t>
      </w:r>
      <w:r>
        <w:rPr>
          <w:sz w:val="20"/>
        </w:rPr>
        <w:t>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32">
    <w:p w14:paraId="6859C86A" w14:textId="56BF591C" w:rsidR="006054AA" w:rsidRDefault="001F7667">
      <w:pPr>
        <w:pStyle w:val="P68B1DB1-Normal26"/>
      </w:pPr>
      <w:r w:rsidRPr="006C3469">
        <w:rPr>
          <w:rStyle w:val="FootnoteReference"/>
          <w:rFonts w:eastAsiaTheme="majorEastAsia"/>
        </w:rPr>
        <w:footnoteRef/>
      </w:r>
      <w:r w:rsidR="006C3469">
        <w:rPr>
          <w:lang w:val="bg-BG"/>
        </w:rPr>
        <w:t xml:space="preserve"> </w:t>
      </w:r>
      <w:r>
        <w:t>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33">
    <w:p w14:paraId="42B38BE1" w14:textId="05CA5A92" w:rsidR="006054AA" w:rsidRDefault="001F7667">
      <w:pPr>
        <w:pStyle w:val="P68B1DB1-Normal26"/>
        <w:rPr>
          <w:sz w:val="18"/>
        </w:rPr>
      </w:pPr>
      <w:r w:rsidRPr="006C3469">
        <w:rPr>
          <w:rStyle w:val="FootnoteReference"/>
          <w:rFonts w:eastAsiaTheme="majorEastAsia"/>
        </w:rPr>
        <w:footnoteRef/>
      </w:r>
      <w:r w:rsidR="006C3469">
        <w:rPr>
          <w:lang w:val="bg-BG"/>
        </w:rPr>
        <w:t xml:space="preserve"> </w:t>
      </w:r>
      <w:r>
        <w:t>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34">
    <w:p w14:paraId="79D74C48" w14:textId="3F014CE2" w:rsidR="006054AA" w:rsidRDefault="001F7667">
      <w:pPr>
        <w:pStyle w:val="P68B1DB1-Normal26"/>
        <w:rPr>
          <w:sz w:val="18"/>
        </w:rPr>
      </w:pPr>
      <w:r w:rsidRPr="006C3469">
        <w:rPr>
          <w:rStyle w:val="FootnoteReference"/>
          <w:rFonts w:eastAsiaTheme="majorEastAsia"/>
        </w:rPr>
        <w:footnoteRef/>
      </w:r>
      <w:r w:rsidR="006C3469">
        <w:rPr>
          <w:lang w:val="bg-BG"/>
        </w:rPr>
        <w:t xml:space="preserve"> </w:t>
      </w:r>
      <w:r>
        <w:t>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35">
    <w:p w14:paraId="3B47DFDB" w14:textId="16C37A5B" w:rsidR="006054AA" w:rsidRDefault="001F7667">
      <w:pPr>
        <w:pStyle w:val="P68B1DB1-Normal26"/>
        <w:rPr>
          <w:sz w:val="18"/>
        </w:rPr>
      </w:pPr>
      <w:r w:rsidRPr="006C3469">
        <w:rPr>
          <w:rStyle w:val="FootnoteReference"/>
          <w:rFonts w:eastAsiaTheme="majorEastAsia"/>
        </w:rPr>
        <w:footnoteRef/>
      </w:r>
      <w:r w:rsidR="00923936">
        <w:rPr>
          <w:lang w:val="bg-BG"/>
        </w:rPr>
        <w:t xml:space="preserve"> </w:t>
      </w:r>
      <w:r>
        <w:t>От крайните бенефициери се изисква да представят обосновка на избраната област на интервенция за всеки подпомаган проект, заедно с описание на проекта, за целите на изчисляването на приноса в областта на климата. От партньора по изпълнението се изисква също така да представя на държавата членка шестмесечен доклад за изпълнението на всеки проект/дейност.</w:t>
      </w:r>
    </w:p>
  </w:footnote>
  <w:footnote w:id="136">
    <w:p w14:paraId="0886CABC" w14:textId="25318D09" w:rsidR="006054AA" w:rsidRDefault="001F7667">
      <w:pPr>
        <w:pStyle w:val="FootnoteText"/>
        <w:rPr>
          <w:rFonts w:eastAsiaTheme="majorEastAsia"/>
        </w:rPr>
      </w:pPr>
      <w:r>
        <w:rPr>
          <w:rStyle w:val="FootnoteReference"/>
        </w:rPr>
        <w:footnoteRef/>
      </w:r>
      <w:r w:rsidR="006C3469">
        <w:rPr>
          <w:rStyle w:val="normaltextrun"/>
          <w:lang w:val="bg-BG"/>
        </w:rPr>
        <w:t xml:space="preserve"> </w:t>
      </w:r>
      <w:r>
        <w:rPr>
          <w:rStyle w:val="normaltextrun"/>
        </w:rPr>
        <w:t>По-специално схемата се позовава на приложения А и Б към Закон № 232 от 11 декември 2016 г.</w:t>
      </w:r>
    </w:p>
  </w:footnote>
  <w:footnote w:id="137">
    <w:p w14:paraId="361C3855" w14:textId="77777777" w:rsidR="006054AA" w:rsidRDefault="001F7667">
      <w:pPr>
        <w:pStyle w:val="FootnoteText"/>
        <w:ind w:left="0" w:firstLine="0"/>
      </w:pPr>
      <w:r>
        <w:rPr>
          <w:rStyle w:val="FootnoteReference"/>
        </w:rPr>
        <w:footnoteRef/>
      </w:r>
      <w:r>
        <w:t xml:space="preserve"> За новосъздадените дружества икономиите на енергия следва да се измерват спрямо средното годишно потребление на дружество със сходни характеристики (размер), извършващо дейност в същия сектор (код ATECO).</w:t>
      </w:r>
    </w:p>
  </w:footnote>
  <w:footnote w:id="138">
    <w:p w14:paraId="0D2794C5" w14:textId="6EF09E98" w:rsidR="006054AA" w:rsidRDefault="006054AA">
      <w:pPr>
        <w:pStyle w:val="FootnoteText"/>
      </w:pPr>
    </w:p>
  </w:footnote>
  <w:footnote w:id="139">
    <w:p w14:paraId="1410E959" w14:textId="77777777" w:rsidR="006054AA" w:rsidRDefault="001F7667">
      <w:pPr>
        <w:pStyle w:val="FootnoteText"/>
        <w:ind w:left="0" w:firstLine="0"/>
      </w:pPr>
      <w:r>
        <w:rPr>
          <w:rStyle w:val="FootnoteReference"/>
          <w:rFonts w:eastAsiaTheme="majorEastAsia"/>
        </w:rPr>
        <w:footnoteRef/>
      </w:r>
      <w:r>
        <w:t xml:space="preserve"> Счита се, че крайният бенефициер има „съществен акцент“ върху сектор или стопанска дейност, ако този сектор или дейност е определен като съществена част от стопанската дейност на крайния бенефициер съответно по отношение на брутните приходи, печалбата или клиентската база на крайния бенефициер. Брутните приходи, генерирани от ограничения сектор или дейност, в никакъв случай не надвишават 50 % от брутните приходи.</w:t>
      </w:r>
    </w:p>
  </w:footnote>
  <w:footnote w:id="140">
    <w:p w14:paraId="67D4BDDE" w14:textId="77777777" w:rsidR="006054AA" w:rsidRDefault="001F7667">
      <w:pPr>
        <w:jc w:val="both"/>
        <w:rPr>
          <w:sz w:val="20"/>
        </w:rPr>
      </w:pPr>
      <w:r>
        <w:rPr>
          <w:rStyle w:val="FootnoteReference"/>
          <w:rFonts w:eastAsiaTheme="majorEastAsia"/>
          <w:sz w:val="20"/>
        </w:rPr>
        <w:footnoteRef/>
      </w:r>
      <w:r>
        <w:rPr>
          <w:sz w:val="20"/>
        </w:rP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41">
    <w:p w14:paraId="6784D2E0" w14:textId="77777777" w:rsidR="006054AA" w:rsidRDefault="001F7667">
      <w:pPr>
        <w:jc w:val="both"/>
        <w:rPr>
          <w:sz w:val="20"/>
        </w:rPr>
      </w:pPr>
      <w:r>
        <w:rPr>
          <w:rStyle w:val="FootnoteReference"/>
          <w:rFonts w:eastAsiaTheme="majorEastAsia"/>
          <w:sz w:val="20"/>
        </w:rPr>
        <w:footnoteRef/>
      </w:r>
      <w:r>
        <w:rPr>
          <w:sz w:val="20"/>
        </w:rPr>
        <w:t xml:space="preserve"> Включително дейности и активи в рамките на схемата на ЕС за търговия с емисии (СТЕ), с които се постигат прогнозни емисии на парникови газове, които не са по-ниски от съответните референтни показатели. 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42">
    <w:p w14:paraId="6D9AC46C" w14:textId="77777777" w:rsidR="006054AA" w:rsidRDefault="001F7667">
      <w:pPr>
        <w:jc w:val="both"/>
        <w:rPr>
          <w:sz w:val="20"/>
        </w:rPr>
      </w:pPr>
      <w:r>
        <w:rPr>
          <w:rStyle w:val="FootnoteReference"/>
          <w:rFonts w:eastAsiaTheme="majorEastAsia"/>
          <w:sz w:val="20"/>
        </w:rPr>
        <w:footnoteRef/>
      </w:r>
      <w:r>
        <w:rPr>
          <w:sz w:val="20"/>
        </w:rPr>
        <w:t xml:space="preserve"> Замърсяващите превозни средства се определят като превозни средства, които не са с нулеви емисии.</w:t>
      </w:r>
    </w:p>
  </w:footnote>
  <w:footnote w:id="143">
    <w:p w14:paraId="656E5666" w14:textId="77777777"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в инсталации, предназначени изключително за третиране на опасни отпадъци, които не подлежат на рециклиране, и за съществуващи инсталации, когато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w:t>
      </w:r>
    </w:p>
  </w:footnote>
  <w:footnote w:id="144">
    <w:p w14:paraId="396057D7" w14:textId="713536C4" w:rsidR="006054AA" w:rsidRDefault="001F7667">
      <w:pPr>
        <w:pStyle w:val="FootnoteText"/>
        <w:ind w:left="0" w:firstLine="0"/>
      </w:pPr>
      <w:r>
        <w:rPr>
          <w:rStyle w:val="FootnoteReference"/>
        </w:rPr>
        <w:footnoteRef/>
      </w:r>
      <w:r>
        <w:t xml:space="preserve"> От крайните бенефициери, асоциирани към конкретни проекти, се изисква да представят обосновка на избраната област на интервенция за всеки подпомаган проект, заедно с описание на проекта, за целите на изчисляването на приноса в областта на климата. </w:t>
      </w:r>
    </w:p>
    <w:p w14:paraId="6AAC9E5D" w14:textId="4016A382" w:rsidR="006054AA" w:rsidRDefault="006054AA">
      <w:pPr>
        <w:pStyle w:val="FootnoteText"/>
      </w:pPr>
    </w:p>
  </w:footnote>
  <w:footnote w:id="145">
    <w:p w14:paraId="6D834354" w14:textId="77777777" w:rsidR="006054AA" w:rsidRDefault="001F7667">
      <w:pPr>
        <w:pStyle w:val="FootnoteText"/>
        <w:ind w:left="0" w:firstLine="0"/>
      </w:pPr>
      <w:r>
        <w:rPr>
          <w:rStyle w:val="FootnoteReference"/>
        </w:rPr>
        <w:footnoteRef/>
      </w:r>
      <w:r>
        <w:t xml:space="preserve"> От крайните бенефициери, асоциирани към конкретни проекти, се изисква да представят обосновка на избраната област на интервенция за всеки подпомаган проект, заедно с описание на проекта, за целите на изчисляването на приноса в областта на климата.</w:t>
      </w:r>
    </w:p>
  </w:footnote>
  <w:footnote w:id="146">
    <w:p w14:paraId="205B2B37" w14:textId="77777777" w:rsidR="006054AA" w:rsidRDefault="001F7667">
      <w:pPr>
        <w:pStyle w:val="FootnoteText"/>
        <w:ind w:left="0" w:firstLine="0"/>
      </w:pPr>
      <w:r>
        <w:rPr>
          <w:rStyle w:val="FootnoteReference"/>
        </w:rPr>
        <w:footnoteRef/>
      </w:r>
      <w:r>
        <w:t xml:space="preserve"> С изключение на а) активи и дейности за производство на електроенергия и/или топлинна енергия, както и свързаната с тях преносна и разпределителна инфраструктура, използваща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47">
    <w:p w14:paraId="6495AFA0" w14:textId="77777777" w:rsidR="006054AA" w:rsidRDefault="001F7667">
      <w:pPr>
        <w:pStyle w:val="FootnoteText"/>
        <w:ind w:left="0" w:firstLine="0"/>
        <w:rPr>
          <w:rFonts w:eastAsia="EC Square Sans Pro"/>
        </w:rPr>
      </w:pPr>
      <w:r>
        <w:rPr>
          <w:rStyle w:val="FootnoteReference"/>
          <w:rFonts w:eastAsiaTheme="majorEastAsia"/>
        </w:rPr>
        <w:footnoteRef/>
      </w:r>
      <w:r>
        <w:t xml:space="preserve"> </w:t>
      </w:r>
      <w:r>
        <w:rPr>
          <w:rFonts w:eastAsia="EC Square Sans Pro"/>
        </w:rPr>
        <w:t xml:space="preserve">Когато с подпомаганата дейност се постигат прогнозни емисии на парникови газове, които не са значително по-ниски от съответните референтни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 </w:t>
      </w:r>
    </w:p>
  </w:footnote>
  <w:footnote w:id="148">
    <w:p w14:paraId="5D7F7460" w14:textId="77777777"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по тази мярка в инсталации, предназначени изключително за третиране на нерециклируеми опасни отпадъци, както и за съществуващи инсталации, когато действията по тази мярка са с цел повишаване на енергийната ефективност, улавяне на отработени газове за съхранение или използване или оползотворяване на материали от пепелта от изгарянето,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49">
    <w:p w14:paraId="7DA06C40" w14:textId="77777777" w:rsidR="006054AA" w:rsidRDefault="001F7667">
      <w:pPr>
        <w:pStyle w:val="FootnoteText"/>
        <w:ind w:left="0" w:firstLine="0"/>
      </w:pPr>
      <w:r>
        <w:rPr>
          <w:rStyle w:val="FootnoteReference"/>
          <w:rFonts w:eastAsiaTheme="majorEastAsia"/>
        </w:rPr>
        <w:footnoteRef/>
      </w:r>
      <w:r>
        <w:t xml:space="preserve"> 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са представени доказателства на равнище завод. </w:t>
      </w:r>
    </w:p>
  </w:footnote>
  <w:footnote w:id="150">
    <w:p w14:paraId="692F8C8E" w14:textId="54D946CC" w:rsidR="006054AA" w:rsidRDefault="001F7667">
      <w:pPr>
        <w:pStyle w:val="FootnoteText"/>
        <w:ind w:left="0" w:firstLine="0"/>
      </w:pPr>
      <w:r>
        <w:rPr>
          <w:rStyle w:val="FootnoteReference"/>
        </w:rPr>
        <w:footnoteRef/>
      </w:r>
      <w:r>
        <w:t xml:space="preserve"> От крайните бенефициери, асоциирани към конкретни проекти, се изисква да представят обосновка на избраната област на интервенция за всеки подпомаган проект, заедно с описание на проекта, за целите на изчисляването на приноса в областта на климата. </w:t>
      </w:r>
    </w:p>
    <w:p w14:paraId="60301540" w14:textId="77777777" w:rsidR="006054AA" w:rsidRDefault="006054A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6D4F2" w14:textId="77777777" w:rsidR="003B3AC7" w:rsidRPr="003B3AC7" w:rsidRDefault="003B3AC7" w:rsidP="003B3A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0E85" w14:textId="77777777" w:rsidR="006054AA" w:rsidRDefault="006054AA">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AFD8" w14:textId="77777777" w:rsidR="006054AA" w:rsidRDefault="006054AA">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4730" w14:textId="77777777" w:rsidR="006054AA" w:rsidRDefault="006054AA">
    <w:pPr>
      <w:pStyle w:val="Header"/>
      <w:rPr>
        <w:rFonts w:eastAsia="Calibri"/>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E177" w14:textId="77777777" w:rsidR="006054AA" w:rsidRDefault="006054AA">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7D73" w14:textId="77777777" w:rsidR="006054AA" w:rsidRDefault="006054AA">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C1B92" w14:textId="77777777" w:rsidR="006054AA" w:rsidRDefault="006054AA">
    <w:pPr>
      <w:pStyle w:val="Header"/>
      <w:rPr>
        <w:rFonts w:eastAsia="Calibri"/>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44CD" w14:textId="77777777" w:rsidR="006054AA" w:rsidRDefault="006054AA">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1A1F" w14:textId="77777777" w:rsidR="006054AA" w:rsidRDefault="006054AA">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B972" w14:textId="77777777" w:rsidR="006054AA" w:rsidRDefault="006054AA">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B9F1" w14:textId="77777777" w:rsidR="006054AA" w:rsidRDefault="006054AA">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186E" w14:textId="77777777" w:rsidR="006054AA" w:rsidRDefault="006054A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C0EB" w14:textId="77777777" w:rsidR="006054AA" w:rsidRDefault="006054AA">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B7270" w14:textId="77777777" w:rsidR="006054AA" w:rsidRDefault="006054AA">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A35E" w14:textId="77777777" w:rsidR="006054AA" w:rsidRDefault="006054AA">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608" w14:textId="77777777" w:rsidR="006054AA" w:rsidRDefault="006054AA">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75BD" w14:textId="77777777" w:rsidR="006054AA" w:rsidRDefault="006054AA">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3A31" w14:textId="77777777" w:rsidR="006054AA" w:rsidRDefault="006054AA">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EDC9" w14:textId="77777777" w:rsidR="006054AA" w:rsidRDefault="006054AA">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5E3A" w14:textId="77777777" w:rsidR="006054AA" w:rsidRDefault="006054AA">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9526" w14:textId="77777777" w:rsidR="006054AA" w:rsidRDefault="006054AA">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1F3B" w14:textId="77777777" w:rsidR="006054AA" w:rsidRDefault="006054AA">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3246" w14:textId="77777777" w:rsidR="006054AA" w:rsidRDefault="006054AA">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90A0" w14:textId="77777777" w:rsidR="006054AA" w:rsidRDefault="006054AA">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0924" w14:textId="77777777" w:rsidR="006054AA" w:rsidRDefault="006054AA">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82DE" w14:textId="77777777" w:rsidR="006054AA" w:rsidRDefault="006054AA">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6FB7" w14:textId="77777777" w:rsidR="006054AA" w:rsidRDefault="006054AA">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8EA9" w14:textId="77777777" w:rsidR="006054AA" w:rsidRDefault="006054AA">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88E1" w14:textId="77777777" w:rsidR="006054AA" w:rsidRDefault="006054AA">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1C54" w14:textId="77777777" w:rsidR="006054AA" w:rsidRDefault="006054AA">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B4A36" w14:textId="77777777" w:rsidR="006054AA" w:rsidRDefault="006054AA">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6E16" w14:textId="77777777" w:rsidR="006054AA" w:rsidRDefault="006054AA">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A5EB" w14:textId="77777777" w:rsidR="006054AA" w:rsidRDefault="006054AA">
    <w:pPr>
      <w:jc w:val="both"/>
      <w:rPr>
        <w:sz w:val="20"/>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4D90" w14:textId="77777777" w:rsidR="006054AA" w:rsidRDefault="006054A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A00D" w14:textId="77777777" w:rsidR="006054AA" w:rsidRDefault="006054AA">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68C7" w14:textId="77777777" w:rsidR="006054AA" w:rsidRDefault="006054AA">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DE81" w14:textId="77777777" w:rsidR="006054AA" w:rsidRDefault="006054AA">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5E7F" w14:textId="77777777" w:rsidR="006054AA" w:rsidRDefault="006054AA">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D985" w14:textId="77777777" w:rsidR="006054AA" w:rsidRDefault="006054AA">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CEA2" w14:textId="77777777" w:rsidR="006054AA" w:rsidRDefault="006054AA">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1CAF" w14:textId="77777777" w:rsidR="006054AA" w:rsidRDefault="006054AA">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DE6" w14:textId="77777777" w:rsidR="006054AA" w:rsidRDefault="006054AA">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FF52" w14:textId="77777777" w:rsidR="006054AA" w:rsidRDefault="006054AA">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7A3A" w14:textId="77777777" w:rsidR="006054AA" w:rsidRDefault="006054AA">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E55C1" w14:textId="77777777" w:rsidR="006054AA" w:rsidRDefault="006054A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A59C" w14:textId="77777777" w:rsidR="006054AA" w:rsidRDefault="006054AA">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065B" w14:textId="77777777" w:rsidR="006054AA" w:rsidRDefault="006054AA">
    <w:pPr>
      <w:pStyle w:val="Header"/>
      <w:rPr>
        <w:rFonts w:eastAsia="Calibri"/>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F46D" w14:textId="77777777" w:rsidR="006054AA" w:rsidRDefault="006054AA">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BD211" w14:textId="77777777" w:rsidR="006054AA" w:rsidRDefault="006054AA">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7809" w14:textId="77777777" w:rsidR="006054AA" w:rsidRDefault="006054AA">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F128" w14:textId="77777777" w:rsidR="006054AA" w:rsidRDefault="006054AA">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B2345" w14:textId="77777777" w:rsidR="006054AA" w:rsidRDefault="006054AA">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FC4C" w14:textId="77777777" w:rsidR="006054AA" w:rsidRDefault="006054AA">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002C" w14:textId="77777777" w:rsidR="006054AA" w:rsidRDefault="006054AA">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3E8" w14:textId="77777777" w:rsidR="006054AA" w:rsidRDefault="006054AA">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BB77" w14:textId="77777777" w:rsidR="006054AA" w:rsidRDefault="006054AA">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EF19" w14:textId="77777777" w:rsidR="006054AA" w:rsidRDefault="006054AA">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25A9" w14:textId="77777777" w:rsidR="006054AA" w:rsidRDefault="006054AA">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557B" w14:textId="77777777" w:rsidR="006054AA" w:rsidRDefault="006054AA">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A3FA" w14:textId="77777777" w:rsidR="006054AA" w:rsidRDefault="006054AA">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9A4B" w14:textId="77777777" w:rsidR="006054AA" w:rsidRDefault="006054AA">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FCC5" w14:textId="77777777" w:rsidR="006054AA" w:rsidRDefault="006054AA">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76BC" w14:textId="77777777" w:rsidR="006054AA" w:rsidRDefault="006054AA">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3AD5" w14:textId="77777777" w:rsidR="006054AA" w:rsidRDefault="006054AA">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ECA0" w14:textId="77777777" w:rsidR="006054AA" w:rsidRDefault="006054AA">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FB45" w14:textId="77777777" w:rsidR="006054AA" w:rsidRDefault="006054AA">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841E" w14:textId="77777777" w:rsidR="006054AA" w:rsidRDefault="006054A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6F95" w14:textId="77777777" w:rsidR="006054AA" w:rsidRDefault="006054AA">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D15F" w14:textId="77777777" w:rsidR="006054AA" w:rsidRDefault="006054AA">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35C7" w14:textId="77777777" w:rsidR="006054AA" w:rsidRDefault="006054AA">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16B1" w14:textId="77777777" w:rsidR="006054AA" w:rsidRDefault="006054AA">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0A94" w14:textId="77777777" w:rsidR="006054AA" w:rsidRDefault="006054AA">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5C49" w14:textId="77777777" w:rsidR="006054AA" w:rsidRDefault="006054AA">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D934" w14:textId="77777777" w:rsidR="006054AA" w:rsidRDefault="006054AA">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D63C" w14:textId="77777777" w:rsidR="006054AA" w:rsidRDefault="006054AA">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F444" w14:textId="77777777" w:rsidR="006054AA" w:rsidRDefault="006054AA">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816C" w14:textId="77777777" w:rsidR="006054AA" w:rsidRDefault="006054AA">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6CA0" w14:textId="77777777" w:rsidR="006054AA" w:rsidRDefault="006054A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1F92" w14:textId="77777777" w:rsidR="006054AA" w:rsidRDefault="006054AA">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FEE4" w14:textId="77777777" w:rsidR="006054AA" w:rsidRDefault="006054AA">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05A3" w14:textId="77777777" w:rsidR="006054AA" w:rsidRDefault="006054AA">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32CE4" w14:textId="77777777" w:rsidR="006054AA" w:rsidRDefault="006054AA">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3DE4" w14:textId="77777777" w:rsidR="006054AA" w:rsidRDefault="006054AA">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64D9" w14:textId="77777777" w:rsidR="006054AA" w:rsidRDefault="006054AA">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30A4" w14:textId="77777777" w:rsidR="006054AA" w:rsidRDefault="006054AA">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D3B5" w14:textId="77777777" w:rsidR="006054AA" w:rsidRDefault="006054AA">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ABED" w14:textId="77777777" w:rsidR="006054AA" w:rsidRDefault="006054AA">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34D4" w14:textId="77777777" w:rsidR="006054AA" w:rsidRDefault="006054AA">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5271" w14:textId="77777777" w:rsidR="006054AA" w:rsidRDefault="006054AA">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C8AD" w14:textId="77777777" w:rsidR="006054AA" w:rsidRDefault="006054AA">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5225" w14:textId="77777777" w:rsidR="006054AA" w:rsidRDefault="006054AA">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C98" w14:textId="77777777" w:rsidR="006054AA" w:rsidRDefault="006054AA">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E6F3" w14:textId="77777777" w:rsidR="006054AA" w:rsidRDefault="006054AA">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3A5A" w14:textId="77777777" w:rsidR="006054AA" w:rsidRDefault="006054AA">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D2D4A" w14:textId="77777777" w:rsidR="006054AA" w:rsidRDefault="006054AA">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E290" w14:textId="77777777" w:rsidR="006054AA" w:rsidRDefault="006054AA">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84E8" w14:textId="77777777" w:rsidR="006054AA" w:rsidRDefault="006054AA">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C2F6" w14:textId="77777777" w:rsidR="006054AA" w:rsidRDefault="006054AA">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5835" w14:textId="77777777" w:rsidR="006054AA" w:rsidRDefault="006054AA">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4A5F" w14:textId="77777777" w:rsidR="006054AA" w:rsidRDefault="006054A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B160" w14:textId="77777777" w:rsidR="006054AA" w:rsidRDefault="006054AA">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7549" w14:textId="77777777" w:rsidR="006054AA" w:rsidRDefault="006054AA">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9CFE" w14:textId="77777777" w:rsidR="006054AA" w:rsidRDefault="006054AA">
    <w:pPr>
      <w:pStyle w:val="Header"/>
      <w:rPr>
        <w:sz w:val="10"/>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09B4" w14:textId="77777777" w:rsidR="006054AA" w:rsidRDefault="006054AA">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9F9E" w14:textId="77777777" w:rsidR="006054AA" w:rsidRDefault="006054AA">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3AC" w14:textId="77777777" w:rsidR="006054AA" w:rsidRDefault="006054AA">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C443" w14:textId="77777777" w:rsidR="006054AA" w:rsidRDefault="006054AA">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48D5" w14:textId="77777777" w:rsidR="006054AA" w:rsidRDefault="006054AA">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2534" w14:textId="77777777" w:rsidR="006054AA" w:rsidRDefault="006054AA">
    <w:pPr>
      <w:pStyle w:val="Header"/>
      <w:rPr>
        <w:rFonts w:eastAsia="Calibri"/>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B53B" w14:textId="77777777" w:rsidR="006054AA" w:rsidRDefault="006054AA">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D688" w14:textId="77777777" w:rsidR="006054AA" w:rsidRDefault="006054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53862" w14:textId="77777777" w:rsidR="003B3AC7" w:rsidRPr="003B3AC7" w:rsidRDefault="003B3AC7" w:rsidP="003B3AC7">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E576" w14:textId="77777777" w:rsidR="006054AA" w:rsidRDefault="006054AA">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F1FD" w14:textId="77777777" w:rsidR="006054AA" w:rsidRDefault="006054AA">
    <w:pPr>
      <w:pStyle w:val="Header"/>
      <w:rPr>
        <w:rFonts w:eastAsia="Calibri"/>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4862" w14:textId="77777777" w:rsidR="006054AA" w:rsidRDefault="006054A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676B" w14:textId="77777777" w:rsidR="006054AA" w:rsidRDefault="006054A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6513" w14:textId="77777777" w:rsidR="006054AA" w:rsidRDefault="006054A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F92A" w14:textId="77777777" w:rsidR="006054AA" w:rsidRDefault="006054A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567E" w14:textId="77777777" w:rsidR="006054AA" w:rsidRDefault="006054A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D582" w14:textId="77777777" w:rsidR="006054AA" w:rsidRDefault="006054A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76A5" w14:textId="77777777" w:rsidR="006054AA" w:rsidRDefault="006054A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5000C" w14:textId="77777777" w:rsidR="006054AA" w:rsidRDefault="006054A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C76A9" w14:textId="77777777" w:rsidR="006054AA" w:rsidRDefault="006054A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F930" w14:textId="77777777" w:rsidR="006054AA" w:rsidRDefault="006054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1E7B" w14:textId="77777777" w:rsidR="003B3AC7" w:rsidRPr="003B3AC7" w:rsidRDefault="003B3AC7" w:rsidP="003B3AC7">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3FDE" w14:textId="77777777" w:rsidR="006054AA" w:rsidRDefault="006054A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AF5F" w14:textId="77777777" w:rsidR="006054AA" w:rsidRDefault="006054A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D19A" w14:textId="77777777" w:rsidR="006054AA" w:rsidRDefault="006054A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C0D5" w14:textId="77777777" w:rsidR="006054AA" w:rsidRDefault="006054A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912F" w14:textId="77777777" w:rsidR="006054AA" w:rsidRDefault="006054A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E9C1" w14:textId="77777777" w:rsidR="006054AA" w:rsidRDefault="006054AA">
    <w:pPr>
      <w:pStyle w:val="Header"/>
      <w:rPr>
        <w:rFonts w:eastAsia="Calibr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00E4" w14:textId="77777777" w:rsidR="006054AA" w:rsidRDefault="006054A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4878" w14:textId="77777777" w:rsidR="006054AA" w:rsidRDefault="006054A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3479" w14:textId="77777777" w:rsidR="006054AA" w:rsidRDefault="006054AA">
    <w:pPr>
      <w:pStyle w:val="Header"/>
      <w:rPr>
        <w:rFonts w:eastAsia="Calibri"/>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E5E" w14:textId="77777777" w:rsidR="006054AA" w:rsidRDefault="006054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0839" w14:textId="77777777" w:rsidR="006054AA" w:rsidRDefault="006054A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32BB" w14:textId="77777777" w:rsidR="006054AA" w:rsidRDefault="006054A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E1490" w14:textId="77777777" w:rsidR="006054AA" w:rsidRDefault="006054A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94B8" w14:textId="77777777" w:rsidR="006054AA" w:rsidRDefault="006054A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02A2" w14:textId="77777777" w:rsidR="006054AA" w:rsidRDefault="006054A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834F6" w14:textId="77777777" w:rsidR="006054AA" w:rsidRDefault="006054AA">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D064" w14:textId="77777777" w:rsidR="006054AA" w:rsidRDefault="006054A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3C806" w14:textId="77777777" w:rsidR="006054AA" w:rsidRDefault="006054A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0EF0" w14:textId="77777777" w:rsidR="006054AA" w:rsidRDefault="006054AA">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F31C" w14:textId="77777777" w:rsidR="006054AA" w:rsidRDefault="006054A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4572" w14:textId="77777777" w:rsidR="006054AA" w:rsidRDefault="006054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8BE" w14:textId="77777777" w:rsidR="006054AA" w:rsidRDefault="006054A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3C59" w14:textId="77777777" w:rsidR="006054AA" w:rsidRDefault="006054AA">
    <w:pPr>
      <w:pStyle w:val="Header"/>
      <w:rPr>
        <w:rFonts w:eastAsia="Calibri"/>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2555" w14:textId="77777777" w:rsidR="006054AA" w:rsidRDefault="006054A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E85F" w14:textId="77777777" w:rsidR="006054AA" w:rsidRDefault="006054A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DF1A" w14:textId="77777777" w:rsidR="006054AA" w:rsidRDefault="006054AA">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B12D" w14:textId="77777777" w:rsidR="006054AA" w:rsidRDefault="006054A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147D" w14:textId="77777777" w:rsidR="006054AA" w:rsidRDefault="006054A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4A66" w14:textId="77777777" w:rsidR="006054AA" w:rsidRDefault="006054AA">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19AE" w14:textId="77777777" w:rsidR="006054AA" w:rsidRDefault="006054A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95D8" w14:textId="77777777" w:rsidR="006054AA" w:rsidRDefault="006054AA">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0165" w14:textId="77777777" w:rsidR="006054AA" w:rsidRDefault="006054AA">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D459" w14:textId="77777777" w:rsidR="006054AA" w:rsidRDefault="006054A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1F92" w14:textId="77777777" w:rsidR="006054AA" w:rsidRDefault="006054AA">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8D5" w14:textId="77777777" w:rsidR="006054AA" w:rsidRDefault="006054AA">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429E" w14:textId="77777777" w:rsidR="006054AA" w:rsidRDefault="006054AA">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93FC" w14:textId="77777777" w:rsidR="006054AA" w:rsidRDefault="006054AA">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6AAD" w14:textId="77777777" w:rsidR="006054AA" w:rsidRDefault="006054AA">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7CB66" w14:textId="77777777" w:rsidR="006054AA" w:rsidRDefault="006054AA">
    <w:pPr>
      <w:pStyle w:val="Header"/>
      <w:rPr>
        <w:rFonts w:eastAsia="Calibri"/>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7826" w14:textId="77777777" w:rsidR="006054AA" w:rsidRDefault="006054AA">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D898" w14:textId="77777777" w:rsidR="006054AA" w:rsidRDefault="006054AA">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20E4" w14:textId="77777777" w:rsidR="006054AA" w:rsidRDefault="006054AA">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CDE7" w14:textId="77777777" w:rsidR="006054AA" w:rsidRDefault="006054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99CB" w14:textId="77777777" w:rsidR="006054AA" w:rsidRDefault="006054AA">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5C9B" w14:textId="77777777" w:rsidR="006054AA" w:rsidRDefault="006054AA">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98BE" w14:textId="77777777" w:rsidR="006054AA" w:rsidRDefault="006054AA">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FA39" w14:textId="77777777" w:rsidR="006054AA" w:rsidRDefault="006054AA">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1DBD" w14:textId="77777777" w:rsidR="006054AA" w:rsidRDefault="006054AA">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7359" w14:textId="77777777" w:rsidR="006054AA" w:rsidRDefault="006054AA">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5BEB" w14:textId="77777777" w:rsidR="006054AA" w:rsidRDefault="006054AA">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DEA1" w14:textId="77777777" w:rsidR="006054AA" w:rsidRDefault="006054AA">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BE1A" w14:textId="77777777" w:rsidR="006054AA" w:rsidRDefault="006054AA">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E51B" w14:textId="77777777" w:rsidR="006054AA" w:rsidRDefault="006054AA">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3BB8" w14:textId="77777777" w:rsidR="006054AA" w:rsidRDefault="006054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058F" w14:textId="77777777" w:rsidR="006054AA" w:rsidRDefault="006054AA">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F7F4B" w14:textId="77777777" w:rsidR="006054AA" w:rsidRDefault="006054AA">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162E" w14:textId="77777777" w:rsidR="006054AA" w:rsidRDefault="006054AA">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9DC9" w14:textId="77777777" w:rsidR="006054AA" w:rsidRDefault="006054AA">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148BC" w14:textId="77777777" w:rsidR="006054AA" w:rsidRDefault="006054AA">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2C55" w14:textId="77777777" w:rsidR="006054AA" w:rsidRDefault="006054AA">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B1F" w14:textId="77777777" w:rsidR="006054AA" w:rsidRDefault="006054AA">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7954" w14:textId="77777777" w:rsidR="006054AA" w:rsidRDefault="006054AA">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F7C3" w14:textId="77777777" w:rsidR="006054AA" w:rsidRDefault="006054AA">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6D14" w14:textId="77777777" w:rsidR="006054AA" w:rsidRDefault="006054AA">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7D23C" w14:textId="77777777" w:rsidR="006054AA" w:rsidRDefault="006054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EDDB" w14:textId="77777777" w:rsidR="006054AA" w:rsidRDefault="006054A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1408" w14:textId="77777777" w:rsidR="006054AA" w:rsidRDefault="006054AA">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9D2D" w14:textId="77777777" w:rsidR="006054AA" w:rsidRDefault="006054AA">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5A33" w14:textId="77777777" w:rsidR="006054AA" w:rsidRDefault="006054AA">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EB32" w14:textId="77777777" w:rsidR="006054AA" w:rsidRDefault="006054AA">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2F06" w14:textId="77777777" w:rsidR="006054AA" w:rsidRDefault="006054AA">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E399" w14:textId="77777777" w:rsidR="006054AA" w:rsidRDefault="006054AA">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CBBE" w14:textId="77777777" w:rsidR="006054AA" w:rsidRDefault="006054AA">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DC6A" w14:textId="77777777" w:rsidR="006054AA" w:rsidRDefault="006054AA">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08BF" w14:textId="77777777" w:rsidR="006054AA" w:rsidRDefault="006054AA">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E982" w14:textId="77777777" w:rsidR="006054AA" w:rsidRDefault="00605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93000C5A"/>
    <w:lvl w:ilvl="0" w:tplc="18090011">
      <w:start w:val="1"/>
      <w:numFmt w:val="decimal"/>
      <w:lvlText w:val="%1)"/>
      <w:lvlJc w:val="left"/>
      <w:pPr>
        <w:ind w:left="720" w:hanging="360"/>
      </w:pPr>
      <w:rPr>
        <w:rFonts w:hint="default"/>
      </w:rPr>
    </w:lvl>
    <w:lvl w:ilvl="1" w:tplc="20E2F7A0">
      <w:start w:val="1"/>
      <mc:AlternateContent>
        <mc:Choice Requires="w14">
          <w:numFmt w:val="custom" w:format="а, й, к, ..."/>
        </mc:Choice>
        <mc:Fallback>
          <w:numFmt w:val="decimal"/>
        </mc:Fallback>
      </mc:AlternateContent>
      <w:lvlText w:val="%2."/>
      <w:lvlJc w:val="left"/>
      <w:pPr>
        <w:ind w:left="1196"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4A96B8F6"/>
    <w:lvl w:ilvl="0" w:tplc="1809001B">
      <w:start w:val="1"/>
      <w:numFmt w:val="lowerRoman"/>
      <w:lvlText w:val="%1."/>
      <w:lvlJc w:val="right"/>
      <w:pPr>
        <w:ind w:left="720" w:hanging="360"/>
      </w:pPr>
    </w:lvl>
    <w:lvl w:ilvl="1" w:tplc="20E2F7A0">
      <w:start w:val="1"/>
      <mc:AlternateContent>
        <mc:Choice Requires="w14">
          <w:numFmt w:val="custom" w:format="а, й, к, ..."/>
        </mc:Choice>
        <mc:Fallback>
          <w:numFmt w:val="decimal"/>
        </mc:Fallback>
      </mc:AlternateContent>
      <w:lvlText w:val="%2."/>
      <w:lvlJc w:val="left"/>
      <w:pPr>
        <w:ind w:left="3600" w:hanging="360"/>
      </w:pPr>
      <w:rPr>
        <w:rFonts w:hint="default"/>
      </w:r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7542E86C"/>
    <w:lvl w:ilvl="0">
      <w:start w:val="1"/>
      <w:numFmt w:val="decimal"/>
      <w:lvlText w:val="%1."/>
      <w:lvlJc w:val="left"/>
      <w:pPr>
        <w:ind w:left="476" w:hanging="476"/>
      </w:pPr>
      <w:rPr>
        <w:rFonts w:hint="default"/>
        <w:b/>
        <w:bCs/>
      </w:rPr>
    </w:lvl>
    <w:lvl w:ilvl="1">
      <w:start w:val="1"/>
      <mc:AlternateContent>
        <mc:Choice Requires="w14">
          <w:numFmt w:val="custom" w:format="а, й, к, ..."/>
        </mc:Choice>
        <mc:Fallback>
          <w:numFmt w:val="decimal"/>
        </mc:Fallback>
      </mc:AlternateContent>
      <w:lvlText w:val="%2)"/>
      <w:lvlJc w:val="left"/>
      <w:pPr>
        <w:ind w:left="1080" w:hanging="360"/>
      </w:pPr>
      <w:rPr>
        <w:rFonts w:ascii="Times New Roman" w:hAnsi="Times New Roman" w:cs="Times New Roman" w:hint="default"/>
        <w:sz w:val="24"/>
        <w:szCs w:val="24"/>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B16F78"/>
    <w:multiLevelType w:val="hybridMultilevel"/>
    <w:tmpl w:val="45424826"/>
    <w:lvl w:ilvl="0" w:tplc="20E2F7A0">
      <w:start w:val="1"/>
      <mc:AlternateContent>
        <mc:Choice Requires="w14">
          <w:numFmt w:val="custom" w:format="а, й, к, ..."/>
        </mc:Choice>
        <mc:Fallback>
          <w:numFmt w:val="decimal"/>
        </mc:Fallback>
      </mc:AlternateContent>
      <w:lvlText w:val="%1."/>
      <w:lvlJc w:val="left"/>
      <w:pPr>
        <w:ind w:left="3600" w:hanging="360"/>
      </w:pPr>
      <w:rPr>
        <w:rFonts w:hint="default"/>
      </w:rPr>
    </w:lvl>
    <w:lvl w:ilvl="1" w:tplc="18090019" w:tentative="1">
      <w:start w:val="1"/>
      <w:numFmt w:val="lowerLetter"/>
      <w:lvlText w:val="%2."/>
      <w:lvlJc w:val="left"/>
      <w:pPr>
        <w:ind w:left="4320" w:hanging="360"/>
      </w:pPr>
    </w:lvl>
    <w:lvl w:ilvl="2" w:tplc="1809001B" w:tentative="1">
      <w:start w:val="1"/>
      <w:numFmt w:val="lowerRoman"/>
      <w:lvlText w:val="%3."/>
      <w:lvlJc w:val="right"/>
      <w:pPr>
        <w:ind w:left="5040" w:hanging="180"/>
      </w:pPr>
    </w:lvl>
    <w:lvl w:ilvl="3" w:tplc="1809000F" w:tentative="1">
      <w:start w:val="1"/>
      <w:numFmt w:val="decimal"/>
      <w:lvlText w:val="%4."/>
      <w:lvlJc w:val="left"/>
      <w:pPr>
        <w:ind w:left="5760" w:hanging="360"/>
      </w:pPr>
    </w:lvl>
    <w:lvl w:ilvl="4" w:tplc="18090019" w:tentative="1">
      <w:start w:val="1"/>
      <w:numFmt w:val="lowerLetter"/>
      <w:lvlText w:val="%5."/>
      <w:lvlJc w:val="left"/>
      <w:pPr>
        <w:ind w:left="6480" w:hanging="360"/>
      </w:pPr>
    </w:lvl>
    <w:lvl w:ilvl="5" w:tplc="1809001B" w:tentative="1">
      <w:start w:val="1"/>
      <w:numFmt w:val="lowerRoman"/>
      <w:lvlText w:val="%6."/>
      <w:lvlJc w:val="right"/>
      <w:pPr>
        <w:ind w:left="7200" w:hanging="180"/>
      </w:pPr>
    </w:lvl>
    <w:lvl w:ilvl="6" w:tplc="1809000F" w:tentative="1">
      <w:start w:val="1"/>
      <w:numFmt w:val="decimal"/>
      <w:lvlText w:val="%7."/>
      <w:lvlJc w:val="left"/>
      <w:pPr>
        <w:ind w:left="7920" w:hanging="360"/>
      </w:pPr>
    </w:lvl>
    <w:lvl w:ilvl="7" w:tplc="18090019" w:tentative="1">
      <w:start w:val="1"/>
      <w:numFmt w:val="lowerLetter"/>
      <w:lvlText w:val="%8."/>
      <w:lvlJc w:val="left"/>
      <w:pPr>
        <w:ind w:left="8640" w:hanging="360"/>
      </w:pPr>
    </w:lvl>
    <w:lvl w:ilvl="8" w:tplc="1809001B" w:tentative="1">
      <w:start w:val="1"/>
      <w:numFmt w:val="lowerRoman"/>
      <w:lvlText w:val="%9."/>
      <w:lvlJc w:val="right"/>
      <w:pPr>
        <w:ind w:left="9360" w:hanging="180"/>
      </w:pPr>
    </w:lvl>
  </w:abstractNum>
  <w:abstractNum w:abstractNumId="51"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4"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5"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6"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342C36F0"/>
    <w:multiLevelType w:val="hybridMultilevel"/>
    <w:tmpl w:val="9B2A10B6"/>
    <w:name w:val="Heading2"/>
    <w:lvl w:ilvl="0" w:tplc="916E8AC4">
      <w:start w:val="17"/>
      <w:numFmt w:val="upperLetter"/>
      <w:lvlText w:val="%1."/>
      <w:lvlJc w:val="left"/>
      <w:pPr>
        <w:ind w:left="360" w:hanging="360"/>
      </w:pPr>
      <w:rPr>
        <w:rFonts w:hint="default"/>
      </w:rPr>
    </w:lvl>
    <w:lvl w:ilvl="1" w:tplc="18090019" w:tentative="1">
      <w:start w:val="1"/>
      <w:numFmt w:val="lowerLetter"/>
      <w:lvlText w:val="%2."/>
      <w:lvlJc w:val="left"/>
      <w:pPr>
        <w:ind w:left="731" w:hanging="360"/>
      </w:pPr>
    </w:lvl>
    <w:lvl w:ilvl="2" w:tplc="1809001B" w:tentative="1">
      <w:start w:val="1"/>
      <w:numFmt w:val="lowerRoman"/>
      <w:lvlText w:val="%3."/>
      <w:lvlJc w:val="right"/>
      <w:pPr>
        <w:ind w:left="1451" w:hanging="180"/>
      </w:pPr>
    </w:lvl>
    <w:lvl w:ilvl="3" w:tplc="1809000F" w:tentative="1">
      <w:start w:val="1"/>
      <w:numFmt w:val="decimal"/>
      <w:lvlText w:val="%4."/>
      <w:lvlJc w:val="left"/>
      <w:pPr>
        <w:ind w:left="2171" w:hanging="360"/>
      </w:pPr>
    </w:lvl>
    <w:lvl w:ilvl="4" w:tplc="18090019" w:tentative="1">
      <w:start w:val="1"/>
      <w:numFmt w:val="lowerLetter"/>
      <w:lvlText w:val="%5."/>
      <w:lvlJc w:val="left"/>
      <w:pPr>
        <w:ind w:left="2891" w:hanging="360"/>
      </w:pPr>
    </w:lvl>
    <w:lvl w:ilvl="5" w:tplc="1809001B" w:tentative="1">
      <w:start w:val="1"/>
      <w:numFmt w:val="lowerRoman"/>
      <w:lvlText w:val="%6."/>
      <w:lvlJc w:val="right"/>
      <w:pPr>
        <w:ind w:left="3611" w:hanging="180"/>
      </w:pPr>
    </w:lvl>
    <w:lvl w:ilvl="6" w:tplc="1809000F" w:tentative="1">
      <w:start w:val="1"/>
      <w:numFmt w:val="decimal"/>
      <w:lvlText w:val="%7."/>
      <w:lvlJc w:val="left"/>
      <w:pPr>
        <w:ind w:left="4331" w:hanging="360"/>
      </w:pPr>
    </w:lvl>
    <w:lvl w:ilvl="7" w:tplc="18090019" w:tentative="1">
      <w:start w:val="1"/>
      <w:numFmt w:val="lowerLetter"/>
      <w:lvlText w:val="%8."/>
      <w:lvlJc w:val="left"/>
      <w:pPr>
        <w:ind w:left="5051" w:hanging="360"/>
      </w:pPr>
    </w:lvl>
    <w:lvl w:ilvl="8" w:tplc="1809001B" w:tentative="1">
      <w:start w:val="1"/>
      <w:numFmt w:val="lowerRoman"/>
      <w:lvlText w:val="%9."/>
      <w:lvlJc w:val="right"/>
      <w:pPr>
        <w:ind w:left="5771" w:hanging="180"/>
      </w:pPr>
    </w:lvl>
  </w:abstractNum>
  <w:abstractNum w:abstractNumId="58"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0"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61"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2"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3"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4" w15:restartNumberingAfterBreak="0">
    <w:nsid w:val="377D80B8"/>
    <w:multiLevelType w:val="hybridMultilevel"/>
    <w:tmpl w:val="72F0F976"/>
    <w:lvl w:ilvl="0" w:tplc="5C7C5328">
      <w:start w:val="1"/>
      <w:numFmt w:val="decimal"/>
      <w:lvlText w:val="%1."/>
      <w:lvlJc w:val="left"/>
      <w:pPr>
        <w:ind w:left="720" w:hanging="360"/>
      </w:pPr>
    </w:lvl>
    <w:lvl w:ilvl="1" w:tplc="20E2F7A0">
      <w:start w:val="1"/>
      <mc:AlternateContent>
        <mc:Choice Requires="w14">
          <w:numFmt w:val="custom" w:format="а, й, к, ..."/>
        </mc:Choice>
        <mc:Fallback>
          <w:numFmt w:val="decimal"/>
        </mc:Fallback>
      </mc:AlternateContent>
      <w:lvlText w:val="%2."/>
      <w:lvlJc w:val="left"/>
      <w:pPr>
        <w:ind w:left="3600" w:hanging="360"/>
      </w:pPr>
      <w:rPr>
        <w:rFonts w:hint="default"/>
      </w:r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5"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6"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8" w15:restartNumberingAfterBreak="0">
    <w:nsid w:val="3C2236D8"/>
    <w:multiLevelType w:val="hybridMultilevel"/>
    <w:tmpl w:val="93B8868A"/>
    <w:lvl w:ilvl="0" w:tplc="2074684C">
      <w:start w:val="1"/>
      <w:numFmt w:val="decimal"/>
      <w:lvlText w:val="%1."/>
      <w:lvlJc w:val="left"/>
      <w:pPr>
        <w:ind w:left="720" w:hanging="360"/>
      </w:pPr>
    </w:lvl>
    <w:lvl w:ilvl="1" w:tplc="20E2F7A0">
      <w:start w:val="1"/>
      <mc:AlternateContent>
        <mc:Choice Requires="w14">
          <w:numFmt w:val="custom" w:format="а, й, к, ..."/>
        </mc:Choice>
        <mc:Fallback>
          <w:numFmt w:val="decimal"/>
        </mc:Fallback>
      </mc:AlternateContent>
      <w:lvlText w:val="%2."/>
      <w:lvlJc w:val="left"/>
      <w:pPr>
        <w:ind w:left="1196" w:hanging="360"/>
      </w:pPr>
      <w:rPr>
        <w:rFonts w:hint="default"/>
      </w:r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9"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70"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71" w15:restartNumberingAfterBreak="0">
    <w:nsid w:val="3F71C4E4"/>
    <w:multiLevelType w:val="hybridMultilevel"/>
    <w:tmpl w:val="22BC0E94"/>
    <w:lvl w:ilvl="0" w:tplc="E5BAC4DE">
      <w:start w:val="1"/>
      <w:numFmt w:val="decimal"/>
      <w:lvlText w:val="%1."/>
      <w:lvlJc w:val="left"/>
      <w:pPr>
        <w:ind w:left="1800" w:hanging="360"/>
      </w:pPr>
    </w:lvl>
    <w:lvl w:ilvl="1" w:tplc="3544F168">
      <w:start w:val="1"/>
      <w:numFmt w:val="lowerLetter"/>
      <w:lvlText w:val="%2."/>
      <w:lvlJc w:val="left"/>
      <w:pPr>
        <w:ind w:left="2520" w:hanging="360"/>
      </w:pPr>
    </w:lvl>
    <w:lvl w:ilvl="2" w:tplc="BA4A2776">
      <w:start w:val="1"/>
      <w:numFmt w:val="lowerRoman"/>
      <w:lvlText w:val="%3."/>
      <w:lvlJc w:val="right"/>
      <w:pPr>
        <w:ind w:left="3240" w:hanging="180"/>
      </w:pPr>
    </w:lvl>
    <w:lvl w:ilvl="3" w:tplc="381A9258">
      <w:start w:val="1"/>
      <w:numFmt w:val="decimal"/>
      <w:lvlText w:val="%4."/>
      <w:lvlJc w:val="left"/>
      <w:pPr>
        <w:ind w:left="3960" w:hanging="360"/>
      </w:pPr>
    </w:lvl>
    <w:lvl w:ilvl="4" w:tplc="B1D235B6">
      <w:start w:val="1"/>
      <w:numFmt w:val="lowerLetter"/>
      <w:lvlText w:val="%5."/>
      <w:lvlJc w:val="left"/>
      <w:pPr>
        <w:ind w:left="4680" w:hanging="360"/>
      </w:pPr>
    </w:lvl>
    <w:lvl w:ilvl="5" w:tplc="DFAEC1E0">
      <w:start w:val="1"/>
      <w:numFmt w:val="lowerRoman"/>
      <w:lvlText w:val="%6."/>
      <w:lvlJc w:val="right"/>
      <w:pPr>
        <w:ind w:left="5400" w:hanging="180"/>
      </w:pPr>
    </w:lvl>
    <w:lvl w:ilvl="6" w:tplc="55D8D82C">
      <w:start w:val="1"/>
      <w:numFmt w:val="decimal"/>
      <w:lvlText w:val="%7."/>
      <w:lvlJc w:val="left"/>
      <w:pPr>
        <w:ind w:left="6120" w:hanging="360"/>
      </w:pPr>
    </w:lvl>
    <w:lvl w:ilvl="7" w:tplc="910290E8">
      <w:start w:val="1"/>
      <w:numFmt w:val="lowerLetter"/>
      <w:lvlText w:val="%8."/>
      <w:lvlJc w:val="left"/>
      <w:pPr>
        <w:ind w:left="6840" w:hanging="360"/>
      </w:pPr>
    </w:lvl>
    <w:lvl w:ilvl="8" w:tplc="B492B528">
      <w:start w:val="1"/>
      <w:numFmt w:val="lowerRoman"/>
      <w:lvlText w:val="%9."/>
      <w:lvlJc w:val="right"/>
      <w:pPr>
        <w:ind w:left="7560" w:hanging="180"/>
      </w:pPr>
    </w:lvl>
  </w:abstractNum>
  <w:abstractNum w:abstractNumId="72"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3"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4"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5"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6"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8" w15:restartNumberingAfterBreak="0">
    <w:nsid w:val="42737F5F"/>
    <w:multiLevelType w:val="hybridMultilevel"/>
    <w:tmpl w:val="D0085264"/>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20E2F7A0">
      <w:start w:val="1"/>
      <mc:AlternateContent>
        <mc:Choice Requires="w14">
          <w:numFmt w:val="custom" w:format="а, й, к, ..."/>
        </mc:Choice>
        <mc:Fallback>
          <w:numFmt w:val="decimal"/>
        </mc:Fallback>
      </mc:AlternateContent>
      <w:lvlText w:val="%5."/>
      <w:lvlJc w:val="left"/>
      <w:pPr>
        <w:ind w:left="3600" w:hanging="360"/>
      </w:pPr>
      <w:rPr>
        <w:rFonts w:hint="default"/>
      </w:r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9"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80"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1"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82"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3"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6" w15:restartNumberingAfterBreak="0">
    <w:nsid w:val="45CA1CA0"/>
    <w:multiLevelType w:val="hybridMultilevel"/>
    <w:tmpl w:val="F5A09A74"/>
    <w:lvl w:ilvl="0" w:tplc="38E2A2CC">
      <w:start w:val="1"/>
      <mc:AlternateContent>
        <mc:Choice Requires="w14">
          <w:numFmt w:val="custom" w:format="а, й, к, ..."/>
        </mc:Choice>
        <mc:Fallback>
          <w:numFmt w:val="decimal"/>
        </mc:Fallback>
      </mc:AlternateContent>
      <w:lvlText w:val="%1)"/>
      <w:lvlJc w:val="left"/>
      <w:pPr>
        <w:ind w:left="1080" w:hanging="360"/>
      </w:pPr>
      <w:rPr>
        <w:rFonts w:ascii="Times New Roman" w:hAnsi="Times New Roman" w:cs="Times New Roman" w:hint="default"/>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1"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3"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4"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4EAB4DFA"/>
    <w:multiLevelType w:val="hybridMultilevel"/>
    <w:tmpl w:val="5CD4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8"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101"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5466238F"/>
    <w:multiLevelType w:val="hybridMultilevel"/>
    <w:tmpl w:val="9DB6D570"/>
    <w:name w:val="Heading2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4"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7"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1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1" w15:restartNumberingAfterBreak="0">
    <w:nsid w:val="5CBA0450"/>
    <w:multiLevelType w:val="hybridMultilevel"/>
    <w:tmpl w:val="42F29954"/>
    <w:lvl w:ilvl="0" w:tplc="20E2F7A0">
      <w:start w:val="1"/>
      <mc:AlternateContent>
        <mc:Choice Requires="w14">
          <w:numFmt w:val="custom" w:format="а, й, к, ..."/>
        </mc:Choice>
        <mc:Fallback>
          <w:numFmt w:val="decimal"/>
        </mc:Fallback>
      </mc:AlternateContent>
      <w:lvlText w:val="%1."/>
      <w:lvlJc w:val="left"/>
      <w:pPr>
        <w:ind w:left="1196" w:hanging="360"/>
      </w:pPr>
      <w:rPr>
        <w:rFonts w:hint="default"/>
      </w:rPr>
    </w:lvl>
    <w:lvl w:ilvl="1" w:tplc="18090019" w:tentative="1">
      <w:start w:val="1"/>
      <w:numFmt w:val="lowerLetter"/>
      <w:lvlText w:val="%2."/>
      <w:lvlJc w:val="left"/>
      <w:pPr>
        <w:ind w:left="1916" w:hanging="360"/>
      </w:pPr>
    </w:lvl>
    <w:lvl w:ilvl="2" w:tplc="1809001B" w:tentative="1">
      <w:start w:val="1"/>
      <w:numFmt w:val="lowerRoman"/>
      <w:lvlText w:val="%3."/>
      <w:lvlJc w:val="right"/>
      <w:pPr>
        <w:ind w:left="2636" w:hanging="180"/>
      </w:pPr>
    </w:lvl>
    <w:lvl w:ilvl="3" w:tplc="1809000F" w:tentative="1">
      <w:start w:val="1"/>
      <w:numFmt w:val="decimal"/>
      <w:lvlText w:val="%4."/>
      <w:lvlJc w:val="left"/>
      <w:pPr>
        <w:ind w:left="3356" w:hanging="360"/>
      </w:pPr>
    </w:lvl>
    <w:lvl w:ilvl="4" w:tplc="18090019" w:tentative="1">
      <w:start w:val="1"/>
      <w:numFmt w:val="lowerLetter"/>
      <w:lvlText w:val="%5."/>
      <w:lvlJc w:val="left"/>
      <w:pPr>
        <w:ind w:left="4076" w:hanging="360"/>
      </w:pPr>
    </w:lvl>
    <w:lvl w:ilvl="5" w:tplc="1809001B" w:tentative="1">
      <w:start w:val="1"/>
      <w:numFmt w:val="lowerRoman"/>
      <w:lvlText w:val="%6."/>
      <w:lvlJc w:val="right"/>
      <w:pPr>
        <w:ind w:left="4796" w:hanging="180"/>
      </w:pPr>
    </w:lvl>
    <w:lvl w:ilvl="6" w:tplc="1809000F" w:tentative="1">
      <w:start w:val="1"/>
      <w:numFmt w:val="decimal"/>
      <w:lvlText w:val="%7."/>
      <w:lvlJc w:val="left"/>
      <w:pPr>
        <w:ind w:left="5516" w:hanging="360"/>
      </w:pPr>
    </w:lvl>
    <w:lvl w:ilvl="7" w:tplc="18090019" w:tentative="1">
      <w:start w:val="1"/>
      <w:numFmt w:val="lowerLetter"/>
      <w:lvlText w:val="%8."/>
      <w:lvlJc w:val="left"/>
      <w:pPr>
        <w:ind w:left="6236" w:hanging="360"/>
      </w:pPr>
    </w:lvl>
    <w:lvl w:ilvl="8" w:tplc="1809001B" w:tentative="1">
      <w:start w:val="1"/>
      <w:numFmt w:val="lowerRoman"/>
      <w:lvlText w:val="%9."/>
      <w:lvlJc w:val="right"/>
      <w:pPr>
        <w:ind w:left="6956" w:hanging="180"/>
      </w:pPr>
    </w:lvl>
  </w:abstractNum>
  <w:abstractNum w:abstractNumId="112"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0D4639"/>
    <w:multiLevelType w:val="hybridMultilevel"/>
    <w:tmpl w:val="626895A8"/>
    <w:lvl w:ilvl="0" w:tplc="8EBEB170">
      <w:start w:val="1"/>
      <w:numFmt w:val="decimal"/>
      <w:lvlText w:val="%1."/>
      <w:lvlJc w:val="left"/>
      <w:pPr>
        <w:ind w:left="2880" w:hanging="360"/>
      </w:pPr>
    </w:lvl>
    <w:lvl w:ilvl="1" w:tplc="20E2F7A0">
      <w:start w:val="1"/>
      <mc:AlternateContent>
        <mc:Choice Requires="w14">
          <w:numFmt w:val="custom" w:format="а, й, к, ..."/>
        </mc:Choice>
        <mc:Fallback>
          <w:numFmt w:val="decimal"/>
        </mc:Fallback>
      </mc:AlternateContent>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15"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6"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7"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9"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0"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2"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23"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6"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7"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31"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2"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3"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4"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6"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8"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41"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42"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43"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10"/>
  </w:num>
  <w:num w:numId="2">
    <w:abstractNumId w:val="77"/>
  </w:num>
  <w:num w:numId="3">
    <w:abstractNumId w:val="121"/>
  </w:num>
  <w:num w:numId="4">
    <w:abstractNumId w:val="47"/>
  </w:num>
  <w:num w:numId="5">
    <w:abstractNumId w:val="80"/>
  </w:num>
  <w:num w:numId="6">
    <w:abstractNumId w:val="34"/>
  </w:num>
  <w:num w:numId="7">
    <w:abstractNumId w:val="117"/>
  </w:num>
  <w:num w:numId="8">
    <w:abstractNumId w:val="30"/>
  </w:num>
  <w:num w:numId="9">
    <w:abstractNumId w:val="84"/>
  </w:num>
  <w:num w:numId="10">
    <w:abstractNumId w:val="108"/>
  </w:num>
  <w:num w:numId="11">
    <w:abstractNumId w:val="109"/>
  </w:num>
  <w:num w:numId="12">
    <w:abstractNumId w:val="103"/>
  </w:num>
  <w:num w:numId="13">
    <w:abstractNumId w:val="36"/>
  </w:num>
  <w:num w:numId="14">
    <w:abstractNumId w:val="4"/>
  </w:num>
  <w:num w:numId="15">
    <w:abstractNumId w:val="116"/>
  </w:num>
  <w:num w:numId="16">
    <w:abstractNumId w:val="54"/>
  </w:num>
  <w:num w:numId="17">
    <w:abstractNumId w:val="0"/>
  </w:num>
  <w:num w:numId="18">
    <w:abstractNumId w:val="3"/>
  </w:num>
  <w:num w:numId="19">
    <w:abstractNumId w:val="2"/>
  </w:num>
  <w:num w:numId="20">
    <w:abstractNumId w:val="1"/>
  </w:num>
  <w:num w:numId="21">
    <w:abstractNumId w:val="44"/>
  </w:num>
  <w:num w:numId="22">
    <w:abstractNumId w:val="75"/>
  </w:num>
  <w:num w:numId="23">
    <w:abstractNumId w:val="58"/>
  </w:num>
  <w:num w:numId="24">
    <w:abstractNumId w:val="63"/>
  </w:num>
  <w:num w:numId="25">
    <w:abstractNumId w:val="105"/>
  </w:num>
  <w:num w:numId="26">
    <w:abstractNumId w:val="136"/>
  </w:num>
  <w:num w:numId="27">
    <w:abstractNumId w:val="78"/>
  </w:num>
  <w:num w:numId="28">
    <w:abstractNumId w:val="66"/>
  </w:num>
  <w:num w:numId="29">
    <w:abstractNumId w:val="13"/>
  </w:num>
  <w:num w:numId="30">
    <w:abstractNumId w:val="17"/>
  </w:num>
  <w:num w:numId="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num>
  <w:num w:numId="33">
    <w:abstractNumId w:val="113"/>
  </w:num>
  <w:num w:numId="34">
    <w:abstractNumId w:val="124"/>
  </w:num>
  <w:num w:numId="35">
    <w:abstractNumId w:val="101"/>
  </w:num>
  <w:num w:numId="36">
    <w:abstractNumId w:val="128"/>
  </w:num>
  <w:num w:numId="37">
    <w:abstractNumId w:val="59"/>
  </w:num>
  <w:num w:numId="38">
    <w:abstractNumId w:val="93"/>
  </w:num>
  <w:num w:numId="3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6"/>
  </w:num>
  <w:num w:numId="43">
    <w:abstractNumId w:val="125"/>
  </w:num>
  <w:num w:numId="44">
    <w:abstractNumId w:val="35"/>
  </w:num>
  <w:num w:numId="45">
    <w:abstractNumId w:val="132"/>
  </w:num>
  <w:num w:numId="46">
    <w:abstractNumId w:val="20"/>
  </w:num>
  <w:num w:numId="47">
    <w:abstractNumId w:val="114"/>
  </w:num>
  <w:num w:numId="48">
    <w:abstractNumId w:val="46"/>
  </w:num>
  <w:num w:numId="49">
    <w:abstractNumId w:val="33"/>
  </w:num>
  <w:num w:numId="50">
    <w:abstractNumId w:val="81"/>
  </w:num>
  <w:num w:numId="51">
    <w:abstractNumId w:val="27"/>
  </w:num>
  <w:num w:numId="52">
    <w:abstractNumId w:val="15"/>
  </w:num>
  <w:num w:numId="53">
    <w:abstractNumId w:val="38"/>
  </w:num>
  <w:num w:numId="54">
    <w:abstractNumId w:val="87"/>
  </w:num>
  <w:num w:numId="55">
    <w:abstractNumId w:val="91"/>
  </w:num>
  <w:num w:numId="56">
    <w:abstractNumId w:val="67"/>
  </w:num>
  <w:num w:numId="57">
    <w:abstractNumId w:val="41"/>
  </w:num>
  <w:num w:numId="58">
    <w:abstractNumId w:val="26"/>
  </w:num>
  <w:num w:numId="59">
    <w:abstractNumId w:val="56"/>
  </w:num>
  <w:num w:numId="60">
    <w:abstractNumId w:val="60"/>
  </w:num>
  <w:num w:numId="61">
    <w:abstractNumId w:val="141"/>
  </w:num>
  <w:num w:numId="62">
    <w:abstractNumId w:val="139"/>
  </w:num>
  <w:num w:numId="63">
    <w:abstractNumId w:val="99"/>
  </w:num>
  <w:num w:numId="64">
    <w:abstractNumId w:val="82"/>
  </w:num>
  <w:num w:numId="65">
    <w:abstractNumId w:val="23"/>
  </w:num>
  <w:num w:numId="66">
    <w:abstractNumId w:val="73"/>
  </w:num>
  <w:num w:numId="67">
    <w:abstractNumId w:val="104"/>
  </w:num>
  <w:num w:numId="68">
    <w:abstractNumId w:val="6"/>
  </w:num>
  <w:num w:numId="69">
    <w:abstractNumId w:val="29"/>
  </w:num>
  <w:num w:numId="70">
    <w:abstractNumId w:val="98"/>
  </w:num>
  <w:num w:numId="71">
    <w:abstractNumId w:val="14"/>
  </w:num>
  <w:num w:numId="72">
    <w:abstractNumId w:val="106"/>
  </w:num>
  <w:num w:numId="73">
    <w:abstractNumId w:val="69"/>
  </w:num>
  <w:num w:numId="74">
    <w:abstractNumId w:val="130"/>
  </w:num>
  <w:num w:numId="75">
    <w:abstractNumId w:val="31"/>
  </w:num>
  <w:num w:numId="76">
    <w:abstractNumId w:val="85"/>
  </w:num>
  <w:num w:numId="77">
    <w:abstractNumId w:val="97"/>
  </w:num>
  <w:num w:numId="78">
    <w:abstractNumId w:val="48"/>
  </w:num>
  <w:num w:numId="79">
    <w:abstractNumId w:val="112"/>
  </w:num>
  <w:num w:numId="80">
    <w:abstractNumId w:val="52"/>
  </w:num>
  <w:num w:numId="81">
    <w:abstractNumId w:val="51"/>
  </w:num>
  <w:num w:numId="82">
    <w:abstractNumId w:val="89"/>
  </w:num>
  <w:num w:numId="83">
    <w:abstractNumId w:val="45"/>
  </w:num>
  <w:num w:numId="84">
    <w:abstractNumId w:val="127"/>
  </w:num>
  <w:num w:numId="85">
    <w:abstractNumId w:val="134"/>
  </w:num>
  <w:num w:numId="86">
    <w:abstractNumId w:val="19"/>
  </w:num>
  <w:num w:numId="87">
    <w:abstractNumId w:val="76"/>
  </w:num>
  <w:num w:numId="88">
    <w:abstractNumId w:val="12"/>
  </w:num>
  <w:num w:numId="89">
    <w:abstractNumId w:val="7"/>
  </w:num>
  <w:num w:numId="90">
    <w:abstractNumId w:val="18"/>
  </w:num>
  <w:num w:numId="91">
    <w:abstractNumId w:val="143"/>
  </w:num>
  <w:num w:numId="92">
    <w:abstractNumId w:val="95"/>
  </w:num>
  <w:num w:numId="93">
    <w:abstractNumId w:val="100"/>
  </w:num>
  <w:num w:numId="94">
    <w:abstractNumId w:val="5"/>
  </w:num>
  <w:num w:numId="95">
    <w:abstractNumId w:val="11"/>
  </w:num>
  <w:num w:numId="96">
    <w:abstractNumId w:val="120"/>
  </w:num>
  <w:num w:numId="97">
    <w:abstractNumId w:val="40"/>
  </w:num>
  <w:num w:numId="98">
    <w:abstractNumId w:val="21"/>
  </w:num>
  <w:num w:numId="99">
    <w:abstractNumId w:val="94"/>
  </w:num>
  <w:num w:numId="100">
    <w:abstractNumId w:val="39"/>
  </w:num>
  <w:num w:numId="101">
    <w:abstractNumId w:val="123"/>
  </w:num>
  <w:num w:numId="102">
    <w:abstractNumId w:val="71"/>
  </w:num>
  <w:num w:numId="103">
    <w:abstractNumId w:val="64"/>
  </w:num>
  <w:num w:numId="104">
    <w:abstractNumId w:val="25"/>
  </w:num>
  <w:num w:numId="105">
    <w:abstractNumId w:val="8"/>
  </w:num>
  <w:num w:numId="106">
    <w:abstractNumId w:val="138"/>
  </w:num>
  <w:num w:numId="107">
    <w:abstractNumId w:val="135"/>
  </w:num>
  <w:num w:numId="108">
    <w:abstractNumId w:val="28"/>
  </w:num>
  <w:num w:numId="109">
    <w:abstractNumId w:val="37"/>
  </w:num>
  <w:num w:numId="110">
    <w:abstractNumId w:val="96"/>
  </w:num>
  <w:num w:numId="111">
    <w:abstractNumId w:val="119"/>
  </w:num>
  <w:num w:numId="112">
    <w:abstractNumId w:val="61"/>
  </w:num>
  <w:num w:numId="113">
    <w:abstractNumId w:val="9"/>
  </w:num>
  <w:num w:numId="114">
    <w:abstractNumId w:val="72"/>
  </w:num>
  <w:num w:numId="115">
    <w:abstractNumId w:val="10"/>
  </w:num>
  <w:num w:numId="116">
    <w:abstractNumId w:val="70"/>
  </w:num>
  <w:num w:numId="117">
    <w:abstractNumId w:val="142"/>
  </w:num>
  <w:num w:numId="118">
    <w:abstractNumId w:val="92"/>
  </w:num>
  <w:num w:numId="119">
    <w:abstractNumId w:val="115"/>
  </w:num>
  <w:num w:numId="120">
    <w:abstractNumId w:val="126"/>
  </w:num>
  <w:num w:numId="121">
    <w:abstractNumId w:val="16"/>
  </w:num>
  <w:num w:numId="122">
    <w:abstractNumId w:val="74"/>
  </w:num>
  <w:num w:numId="123">
    <w:abstractNumId w:val="83"/>
  </w:num>
  <w:num w:numId="124">
    <w:abstractNumId w:val="55"/>
  </w:num>
  <w:num w:numId="125">
    <w:abstractNumId w:val="137"/>
  </w:num>
  <w:num w:numId="126">
    <w:abstractNumId w:val="122"/>
  </w:num>
  <w:num w:numId="127">
    <w:abstractNumId w:val="144"/>
  </w:num>
  <w:num w:numId="128">
    <w:abstractNumId w:val="42"/>
  </w:num>
  <w:num w:numId="129">
    <w:abstractNumId w:val="49"/>
  </w:num>
  <w:num w:numId="130">
    <w:abstractNumId w:val="107"/>
  </w:num>
  <w:num w:numId="131">
    <w:abstractNumId w:val="118"/>
  </w:num>
  <w:num w:numId="132">
    <w:abstractNumId w:val="62"/>
  </w:num>
  <w:num w:numId="133">
    <w:abstractNumId w:val="131"/>
  </w:num>
  <w:num w:numId="134">
    <w:abstractNumId w:val="24"/>
  </w:num>
  <w:num w:numId="135">
    <w:abstractNumId w:val="43"/>
  </w:num>
  <w:num w:numId="136">
    <w:abstractNumId w:val="53"/>
  </w:num>
  <w:num w:numId="137">
    <w:abstractNumId w:val="68"/>
  </w:num>
  <w:num w:numId="138">
    <w:abstractNumId w:val="140"/>
  </w:num>
  <w:num w:numId="139">
    <w:abstractNumId w:val="133"/>
  </w:num>
  <w:num w:numId="140">
    <w:abstractNumId w:val="88"/>
  </w:num>
  <w:num w:numId="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0"/>
  </w:num>
  <w:num w:numId="143">
    <w:abstractNumId w:val="129"/>
  </w:num>
  <w:num w:numId="144">
    <w:abstractNumId w:val="65"/>
  </w:num>
  <w:num w:numId="145">
    <w:abstractNumId w:val="34"/>
  </w:num>
  <w:num w:numId="146">
    <w:abstractNumId w:val="117"/>
  </w:num>
  <w:num w:numId="147">
    <w:abstractNumId w:val="50"/>
  </w:num>
  <w:num w:numId="148">
    <w:abstractNumId w:val="11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5.2&quot; technicalblockguid=&quot;53908058476492712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8&lt;/text&gt;_x000d__x000a_  &lt;/metadata&gt;_x000d__x000a_  &lt;metadata key=&quot;md_Prefix&quot;&gt;_x000d__x000a_    &lt;text&gt;&lt;/text&gt;_x000d__x000a_  &lt;/metadata&gt;_x000d__x000a_  &lt;metadata key=&quot;md_DocumentNumber&quot;&gt;_x000d__x000a_    &lt;text&gt;10160&lt;/text&gt;_x000d__x000a_  &lt;/metadata&gt;_x000d__x000a_  &lt;metadata key=&quot;md_YearDocumentNumber&quot;&gt;_x000d__x000a_    &lt;text&gt;2021&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645&lt;/text&gt;_x000d__x000a_      &lt;text&gt;CADREFIN 340&lt;/text&gt;_x000d__x000a_      &lt;text&gt;UEM 180&lt;/text&gt;_x000d__x000a_      &lt;text&gt;FIN 52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168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on the approval of the assessment of the recovery and resilience plan for Italy&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nnex to the &amp;lt;/Run&amp;gt;COUNCIL IMPLEMENTING DECISION&amp;lt;Run xml:lang=&quot;fr-be&quot; xml:space=&quot;preserve&quot;&amp;gt; &amp;lt;/Run&amp;gt;on the approval of the assessment of the recovery and resilience plan for Italy&amp;lt;/Paragraph&amp;gt;&amp;lt;/FlowDocument&amp;gt;&lt;/xaml&gt;_x000d__x000a_  &lt;/metadata&gt;_x000d__x000a_  &lt;metadata key=&quot;md_SubjectFootnote&quot; /&gt;_x000d__x000a_  &lt;metadata key=&quot;md_DG&quot;&gt;_x000d__x000a_    &lt;text&gt;ECOMP 1A&lt;/text&gt;_x000d__x000a_  &lt;/metadata&gt;_x000d__x000a_  &lt;metadata key=&quot;md_Initials&quot;&gt;_x000d__x000a_    &lt;text&gt;FDC/s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LW_ACCOMPAGNANT.CP" w:val="към"/>
    <w:docVar w:name="LW_ANNEX_NBR_FIRST" w:val="1"/>
    <w:docVar w:name="LW_ANNEX_NBR_LAST" w:val="1"/>
    <w:docVar w:name="LW_ANNEX_UNIQUE" w:val="1"/>
    <w:docVar w:name="LW_CORRIGENDUM" w:val="&lt;UNUSED&gt;"/>
    <w:docVar w:name="LW_COVERPAGE_EXISTS" w:val="True"/>
    <w:docVar w:name="LW_COVERPAGE_GUID" w:val="F13F4F59-9AA2-47B8-9F72-40830CC6F1D0"/>
    <w:docVar w:name="LW_COVERPAGE_TYPE" w:val="1"/>
    <w:docVar w:name="LW_CROSSREFERENCE" w:val="{SWD(2023) 392 final}"/>
    <w:docVar w:name="LW_DocType" w:val="NORMAL"/>
    <w:docVar w:name="LW_EMISSION" w:val="24.11.2023"/>
    <w:docVar w:name="LW_EMISSION_ISODATE" w:val="2023-11-24"/>
    <w:docVar w:name="LW_EMISSION_LOCATION" w:val="BRX"/>
    <w:docVar w:name="LW_EMISSION_PREFIX" w:val="\u1041?\u1088?\u1102?\u1082?\u1089?\u1077?\u1083?, "/>
    <w:docVar w:name="LW_EMISSION_SUFFIX" w:val=" \u1075?."/>
    <w:docVar w:name="LW_ID_DOCTYPE_NONLW" w:val="CP-036"/>
    <w:docVar w:name="LW_LANGUE" w:val="BG"/>
    <w:docVar w:name="LW_LEVEL_OF_SENSITIVITY" w:val="Standard treatment"/>
    <w:docVar w:name="LW_NOM.INST" w:val="\u1045?\u1042?\u1056?\u1054?\u1055?\u1045?\u1049?\u1057?\u1050?\u1040? \u1050?\u1054?\u1052?\u1048?\u1057?\u1048?\u1071?"/>
    <w:docVar w:name="LW_NOM.INST_JOINTDOC" w:val="&lt;EMPTY&gt;"/>
    <w:docVar w:name="LW_OBJETACTEPRINCIPAL.CP" w:val="за изменение на Решение за изпълнение (ЕС) (ST 10160/21; ST 10160/21 ADD 1 REV 2) от 13 юли 2021 г. за одобряване на оценката на плана за възстановяване и устойчивост на Италия _x000d__x000d__x000d__x000b_"/>
    <w:docVar w:name="LW_PART_NBR" w:val="1"/>
    <w:docVar w:name="LW_PART_NBR_TOTAL" w:val="1"/>
    <w:docVar w:name="LW_REF.INST.NEW" w:val="COM"/>
    <w:docVar w:name="LW_REF.INST.NEW_ADOPTED" w:val="final"/>
    <w:docVar w:name="LW_REF.INST.NEW_TEXT" w:val="(2023) 7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ПРИЛОЖЕНИЕ_x000b_"/>
    <w:docVar w:name="LW_TYPEACTEPRINCIPAL.CP" w:val="Предложение за РЕШЕНИЕ ЗА ИЗПЪЛНЕНИЕ НА СЪВЕТА"/>
    <w:docVar w:name="LwApiVersions" w:val="LW4CoDe 1.23.2.0; LW 8.0, Build 20211117"/>
  </w:docVars>
  <w:rsids>
    <w:rsidRoot w:val="0084396F"/>
    <w:rsid w:val="0000001E"/>
    <w:rsid w:val="00000065"/>
    <w:rsid w:val="0000033B"/>
    <w:rsid w:val="000005AA"/>
    <w:rsid w:val="000005C4"/>
    <w:rsid w:val="00000688"/>
    <w:rsid w:val="00000838"/>
    <w:rsid w:val="000008A0"/>
    <w:rsid w:val="00000BD5"/>
    <w:rsid w:val="00000EB8"/>
    <w:rsid w:val="00001454"/>
    <w:rsid w:val="000014A2"/>
    <w:rsid w:val="000015D9"/>
    <w:rsid w:val="00001A70"/>
    <w:rsid w:val="00001CEE"/>
    <w:rsid w:val="00001F48"/>
    <w:rsid w:val="000020AC"/>
    <w:rsid w:val="000020E0"/>
    <w:rsid w:val="00002493"/>
    <w:rsid w:val="00002523"/>
    <w:rsid w:val="0000253F"/>
    <w:rsid w:val="000025CF"/>
    <w:rsid w:val="00002637"/>
    <w:rsid w:val="00002AFF"/>
    <w:rsid w:val="0000344E"/>
    <w:rsid w:val="0000347E"/>
    <w:rsid w:val="000035BE"/>
    <w:rsid w:val="000037E1"/>
    <w:rsid w:val="00003ECC"/>
    <w:rsid w:val="00003F77"/>
    <w:rsid w:val="0000421C"/>
    <w:rsid w:val="00004221"/>
    <w:rsid w:val="0000423E"/>
    <w:rsid w:val="00004344"/>
    <w:rsid w:val="000043F9"/>
    <w:rsid w:val="00004468"/>
    <w:rsid w:val="00004496"/>
    <w:rsid w:val="000044CA"/>
    <w:rsid w:val="0000459C"/>
    <w:rsid w:val="00004BF7"/>
    <w:rsid w:val="00004F87"/>
    <w:rsid w:val="00005A5A"/>
    <w:rsid w:val="00005B77"/>
    <w:rsid w:val="00005D66"/>
    <w:rsid w:val="0000601C"/>
    <w:rsid w:val="0000638C"/>
    <w:rsid w:val="0000656C"/>
    <w:rsid w:val="00006638"/>
    <w:rsid w:val="00007314"/>
    <w:rsid w:val="000079D3"/>
    <w:rsid w:val="00007DB9"/>
    <w:rsid w:val="0001059D"/>
    <w:rsid w:val="000107D1"/>
    <w:rsid w:val="00010862"/>
    <w:rsid w:val="000108BF"/>
    <w:rsid w:val="000110C8"/>
    <w:rsid w:val="000111A7"/>
    <w:rsid w:val="00011231"/>
    <w:rsid w:val="000113D3"/>
    <w:rsid w:val="0001141B"/>
    <w:rsid w:val="00011A75"/>
    <w:rsid w:val="00011D48"/>
    <w:rsid w:val="00012072"/>
    <w:rsid w:val="000122F7"/>
    <w:rsid w:val="000127E1"/>
    <w:rsid w:val="000127F9"/>
    <w:rsid w:val="00012A59"/>
    <w:rsid w:val="00012ABD"/>
    <w:rsid w:val="00012C66"/>
    <w:rsid w:val="000132C8"/>
    <w:rsid w:val="000132ED"/>
    <w:rsid w:val="00013314"/>
    <w:rsid w:val="0001354B"/>
    <w:rsid w:val="0001382B"/>
    <w:rsid w:val="00013E2B"/>
    <w:rsid w:val="0001428E"/>
    <w:rsid w:val="0001439F"/>
    <w:rsid w:val="00014483"/>
    <w:rsid w:val="000147A2"/>
    <w:rsid w:val="000148EB"/>
    <w:rsid w:val="00014C74"/>
    <w:rsid w:val="00014DA9"/>
    <w:rsid w:val="00014E08"/>
    <w:rsid w:val="0001507E"/>
    <w:rsid w:val="00015130"/>
    <w:rsid w:val="0001544C"/>
    <w:rsid w:val="000155E8"/>
    <w:rsid w:val="0001567C"/>
    <w:rsid w:val="0001575F"/>
    <w:rsid w:val="0001598E"/>
    <w:rsid w:val="00015A57"/>
    <w:rsid w:val="00015A87"/>
    <w:rsid w:val="00015BB2"/>
    <w:rsid w:val="00016387"/>
    <w:rsid w:val="000168FA"/>
    <w:rsid w:val="00016A1B"/>
    <w:rsid w:val="00016AD1"/>
    <w:rsid w:val="00017198"/>
    <w:rsid w:val="00017203"/>
    <w:rsid w:val="0001723A"/>
    <w:rsid w:val="00017322"/>
    <w:rsid w:val="0001747A"/>
    <w:rsid w:val="000177BC"/>
    <w:rsid w:val="00017873"/>
    <w:rsid w:val="00017E6A"/>
    <w:rsid w:val="0002003D"/>
    <w:rsid w:val="000201DD"/>
    <w:rsid w:val="00020564"/>
    <w:rsid w:val="0002075B"/>
    <w:rsid w:val="000208D8"/>
    <w:rsid w:val="00020C96"/>
    <w:rsid w:val="00020F30"/>
    <w:rsid w:val="00021215"/>
    <w:rsid w:val="000213B7"/>
    <w:rsid w:val="000217A0"/>
    <w:rsid w:val="00021971"/>
    <w:rsid w:val="000219CF"/>
    <w:rsid w:val="00021D14"/>
    <w:rsid w:val="000220FC"/>
    <w:rsid w:val="00022130"/>
    <w:rsid w:val="0002269A"/>
    <w:rsid w:val="0002282C"/>
    <w:rsid w:val="00022B49"/>
    <w:rsid w:val="00022B72"/>
    <w:rsid w:val="00022D1C"/>
    <w:rsid w:val="00022EE0"/>
    <w:rsid w:val="000231B7"/>
    <w:rsid w:val="00023216"/>
    <w:rsid w:val="00023335"/>
    <w:rsid w:val="000238CE"/>
    <w:rsid w:val="00023AF3"/>
    <w:rsid w:val="00023BBE"/>
    <w:rsid w:val="000240C0"/>
    <w:rsid w:val="000247D0"/>
    <w:rsid w:val="00024CE4"/>
    <w:rsid w:val="00024E83"/>
    <w:rsid w:val="00024F4A"/>
    <w:rsid w:val="00024F5D"/>
    <w:rsid w:val="0002509D"/>
    <w:rsid w:val="000250A3"/>
    <w:rsid w:val="0002578A"/>
    <w:rsid w:val="00026167"/>
    <w:rsid w:val="0002631A"/>
    <w:rsid w:val="00026D7D"/>
    <w:rsid w:val="00026EEB"/>
    <w:rsid w:val="00026F4B"/>
    <w:rsid w:val="00027283"/>
    <w:rsid w:val="000272A7"/>
    <w:rsid w:val="00027522"/>
    <w:rsid w:val="00027715"/>
    <w:rsid w:val="0002780F"/>
    <w:rsid w:val="00027983"/>
    <w:rsid w:val="00027E29"/>
    <w:rsid w:val="00027F8E"/>
    <w:rsid w:val="00030197"/>
    <w:rsid w:val="000301F0"/>
    <w:rsid w:val="0003092F"/>
    <w:rsid w:val="00030B95"/>
    <w:rsid w:val="00030ECD"/>
    <w:rsid w:val="00030F66"/>
    <w:rsid w:val="00031135"/>
    <w:rsid w:val="000313D4"/>
    <w:rsid w:val="000315A1"/>
    <w:rsid w:val="000315FF"/>
    <w:rsid w:val="000319A9"/>
    <w:rsid w:val="00031B8F"/>
    <w:rsid w:val="00031CEE"/>
    <w:rsid w:val="00031D82"/>
    <w:rsid w:val="0003203E"/>
    <w:rsid w:val="00032259"/>
    <w:rsid w:val="00032878"/>
    <w:rsid w:val="00032B16"/>
    <w:rsid w:val="000330DC"/>
    <w:rsid w:val="00033A46"/>
    <w:rsid w:val="00033A6F"/>
    <w:rsid w:val="00033D32"/>
    <w:rsid w:val="00034004"/>
    <w:rsid w:val="00034135"/>
    <w:rsid w:val="0003450A"/>
    <w:rsid w:val="0003458C"/>
    <w:rsid w:val="000345D2"/>
    <w:rsid w:val="000345F4"/>
    <w:rsid w:val="00034847"/>
    <w:rsid w:val="00034A59"/>
    <w:rsid w:val="00034FCE"/>
    <w:rsid w:val="00034FD5"/>
    <w:rsid w:val="00035199"/>
    <w:rsid w:val="000352CF"/>
    <w:rsid w:val="00035382"/>
    <w:rsid w:val="00035631"/>
    <w:rsid w:val="000356D0"/>
    <w:rsid w:val="00035BB3"/>
    <w:rsid w:val="00035E7D"/>
    <w:rsid w:val="00035F94"/>
    <w:rsid w:val="000361EA"/>
    <w:rsid w:val="000363EE"/>
    <w:rsid w:val="00036679"/>
    <w:rsid w:val="000369CD"/>
    <w:rsid w:val="000369E2"/>
    <w:rsid w:val="00036B1A"/>
    <w:rsid w:val="000374BF"/>
    <w:rsid w:val="00037508"/>
    <w:rsid w:val="00037747"/>
    <w:rsid w:val="00037886"/>
    <w:rsid w:val="00037DF3"/>
    <w:rsid w:val="0004071E"/>
    <w:rsid w:val="000407BD"/>
    <w:rsid w:val="000410E9"/>
    <w:rsid w:val="000410F2"/>
    <w:rsid w:val="00041154"/>
    <w:rsid w:val="00041292"/>
    <w:rsid w:val="00041477"/>
    <w:rsid w:val="0004175B"/>
    <w:rsid w:val="000417E4"/>
    <w:rsid w:val="00041AC3"/>
    <w:rsid w:val="00041C91"/>
    <w:rsid w:val="00042052"/>
    <w:rsid w:val="0004245F"/>
    <w:rsid w:val="000425D9"/>
    <w:rsid w:val="000428C6"/>
    <w:rsid w:val="00042F27"/>
    <w:rsid w:val="0004345F"/>
    <w:rsid w:val="000434B8"/>
    <w:rsid w:val="000436F9"/>
    <w:rsid w:val="00043711"/>
    <w:rsid w:val="00043DDD"/>
    <w:rsid w:val="00043E33"/>
    <w:rsid w:val="000441DA"/>
    <w:rsid w:val="000442EF"/>
    <w:rsid w:val="000443B4"/>
    <w:rsid w:val="0004446F"/>
    <w:rsid w:val="00044AA9"/>
    <w:rsid w:val="00044AB6"/>
    <w:rsid w:val="00044C15"/>
    <w:rsid w:val="00044C36"/>
    <w:rsid w:val="00044D7F"/>
    <w:rsid w:val="00044DDC"/>
    <w:rsid w:val="000457E2"/>
    <w:rsid w:val="000458AF"/>
    <w:rsid w:val="00045918"/>
    <w:rsid w:val="00045BB6"/>
    <w:rsid w:val="00045CDA"/>
    <w:rsid w:val="0004681D"/>
    <w:rsid w:val="00046843"/>
    <w:rsid w:val="00046F34"/>
    <w:rsid w:val="0004710A"/>
    <w:rsid w:val="000471BF"/>
    <w:rsid w:val="000472B0"/>
    <w:rsid w:val="000475BD"/>
    <w:rsid w:val="000475CC"/>
    <w:rsid w:val="000475FC"/>
    <w:rsid w:val="00047605"/>
    <w:rsid w:val="000479AC"/>
    <w:rsid w:val="00047AFB"/>
    <w:rsid w:val="00047DB0"/>
    <w:rsid w:val="00047E7C"/>
    <w:rsid w:val="00047F89"/>
    <w:rsid w:val="000500D9"/>
    <w:rsid w:val="000502E7"/>
    <w:rsid w:val="00050453"/>
    <w:rsid w:val="000507CB"/>
    <w:rsid w:val="0005095A"/>
    <w:rsid w:val="00050C4D"/>
    <w:rsid w:val="00050D9F"/>
    <w:rsid w:val="00050EA4"/>
    <w:rsid w:val="00050EC1"/>
    <w:rsid w:val="00050FD6"/>
    <w:rsid w:val="00051326"/>
    <w:rsid w:val="0005140E"/>
    <w:rsid w:val="000514B4"/>
    <w:rsid w:val="000515CF"/>
    <w:rsid w:val="0005172F"/>
    <w:rsid w:val="0005194A"/>
    <w:rsid w:val="00051B10"/>
    <w:rsid w:val="00052D4B"/>
    <w:rsid w:val="000531A1"/>
    <w:rsid w:val="000533A5"/>
    <w:rsid w:val="000534B5"/>
    <w:rsid w:val="000534BB"/>
    <w:rsid w:val="0005360B"/>
    <w:rsid w:val="0005367C"/>
    <w:rsid w:val="00053745"/>
    <w:rsid w:val="0005375A"/>
    <w:rsid w:val="00053939"/>
    <w:rsid w:val="0005413D"/>
    <w:rsid w:val="0005482F"/>
    <w:rsid w:val="00054CB2"/>
    <w:rsid w:val="00055085"/>
    <w:rsid w:val="0005552C"/>
    <w:rsid w:val="00055882"/>
    <w:rsid w:val="000565BD"/>
    <w:rsid w:val="00056918"/>
    <w:rsid w:val="000569EB"/>
    <w:rsid w:val="00056A45"/>
    <w:rsid w:val="00056AA0"/>
    <w:rsid w:val="00056AC0"/>
    <w:rsid w:val="00056B0B"/>
    <w:rsid w:val="00056FDA"/>
    <w:rsid w:val="0005705B"/>
    <w:rsid w:val="000571FB"/>
    <w:rsid w:val="00057307"/>
    <w:rsid w:val="00057601"/>
    <w:rsid w:val="000576AB"/>
    <w:rsid w:val="00057779"/>
    <w:rsid w:val="00057928"/>
    <w:rsid w:val="0005799C"/>
    <w:rsid w:val="00057AEE"/>
    <w:rsid w:val="00057C45"/>
    <w:rsid w:val="0006004C"/>
    <w:rsid w:val="000600BF"/>
    <w:rsid w:val="00060109"/>
    <w:rsid w:val="000601D1"/>
    <w:rsid w:val="00060263"/>
    <w:rsid w:val="000602F8"/>
    <w:rsid w:val="000602FD"/>
    <w:rsid w:val="00060345"/>
    <w:rsid w:val="000605A5"/>
    <w:rsid w:val="000606CA"/>
    <w:rsid w:val="0006072A"/>
    <w:rsid w:val="000608AB"/>
    <w:rsid w:val="0006091F"/>
    <w:rsid w:val="000610F9"/>
    <w:rsid w:val="0006115A"/>
    <w:rsid w:val="00061353"/>
    <w:rsid w:val="0006136C"/>
    <w:rsid w:val="0006182C"/>
    <w:rsid w:val="00061A6E"/>
    <w:rsid w:val="00061ABA"/>
    <w:rsid w:val="0006242E"/>
    <w:rsid w:val="000629CC"/>
    <w:rsid w:val="00062C3D"/>
    <w:rsid w:val="00062CD7"/>
    <w:rsid w:val="00062D74"/>
    <w:rsid w:val="000630D5"/>
    <w:rsid w:val="00063196"/>
    <w:rsid w:val="0006334A"/>
    <w:rsid w:val="000634F6"/>
    <w:rsid w:val="000637CF"/>
    <w:rsid w:val="00063D96"/>
    <w:rsid w:val="00063E0B"/>
    <w:rsid w:val="00063FF2"/>
    <w:rsid w:val="0006454A"/>
    <w:rsid w:val="00064578"/>
    <w:rsid w:val="00064ABC"/>
    <w:rsid w:val="00064C47"/>
    <w:rsid w:val="00064EF2"/>
    <w:rsid w:val="00065054"/>
    <w:rsid w:val="000651E2"/>
    <w:rsid w:val="000656CE"/>
    <w:rsid w:val="000656DC"/>
    <w:rsid w:val="00065F5F"/>
    <w:rsid w:val="00066067"/>
    <w:rsid w:val="000663BE"/>
    <w:rsid w:val="00066624"/>
    <w:rsid w:val="00066ABF"/>
    <w:rsid w:val="00066C1D"/>
    <w:rsid w:val="00066D44"/>
    <w:rsid w:val="00066EA9"/>
    <w:rsid w:val="00066F71"/>
    <w:rsid w:val="000675F0"/>
    <w:rsid w:val="00067600"/>
    <w:rsid w:val="00067994"/>
    <w:rsid w:val="00067DB8"/>
    <w:rsid w:val="00070240"/>
    <w:rsid w:val="0007025F"/>
    <w:rsid w:val="000703E9"/>
    <w:rsid w:val="000703EF"/>
    <w:rsid w:val="000705DA"/>
    <w:rsid w:val="00070859"/>
    <w:rsid w:val="000709A8"/>
    <w:rsid w:val="00070B7D"/>
    <w:rsid w:val="00070CA6"/>
    <w:rsid w:val="00070D1A"/>
    <w:rsid w:val="000711EE"/>
    <w:rsid w:val="00071650"/>
    <w:rsid w:val="000716D8"/>
    <w:rsid w:val="0007188D"/>
    <w:rsid w:val="00071CDB"/>
    <w:rsid w:val="00071E34"/>
    <w:rsid w:val="00071E41"/>
    <w:rsid w:val="00071FA3"/>
    <w:rsid w:val="00072249"/>
    <w:rsid w:val="0007245A"/>
    <w:rsid w:val="0007279E"/>
    <w:rsid w:val="00072802"/>
    <w:rsid w:val="00072863"/>
    <w:rsid w:val="00072DE1"/>
    <w:rsid w:val="00072F05"/>
    <w:rsid w:val="00073072"/>
    <w:rsid w:val="000732B5"/>
    <w:rsid w:val="000732E7"/>
    <w:rsid w:val="00073497"/>
    <w:rsid w:val="000734A9"/>
    <w:rsid w:val="0007351E"/>
    <w:rsid w:val="000738A7"/>
    <w:rsid w:val="000738D2"/>
    <w:rsid w:val="00073B07"/>
    <w:rsid w:val="00073B33"/>
    <w:rsid w:val="00073B71"/>
    <w:rsid w:val="00073DD5"/>
    <w:rsid w:val="00073EF9"/>
    <w:rsid w:val="000741F3"/>
    <w:rsid w:val="000745AD"/>
    <w:rsid w:val="00074AE0"/>
    <w:rsid w:val="00075349"/>
    <w:rsid w:val="000759E2"/>
    <w:rsid w:val="0007661F"/>
    <w:rsid w:val="0007662D"/>
    <w:rsid w:val="000768AF"/>
    <w:rsid w:val="00076D7D"/>
    <w:rsid w:val="00076EC8"/>
    <w:rsid w:val="00077070"/>
    <w:rsid w:val="0007743F"/>
    <w:rsid w:val="00077CA3"/>
    <w:rsid w:val="00077E08"/>
    <w:rsid w:val="00080411"/>
    <w:rsid w:val="0008044B"/>
    <w:rsid w:val="00080B47"/>
    <w:rsid w:val="000812B2"/>
    <w:rsid w:val="00081692"/>
    <w:rsid w:val="000816A9"/>
    <w:rsid w:val="00081831"/>
    <w:rsid w:val="000819FC"/>
    <w:rsid w:val="00081CB3"/>
    <w:rsid w:val="00081CF2"/>
    <w:rsid w:val="00081FEE"/>
    <w:rsid w:val="00082269"/>
    <w:rsid w:val="000823D0"/>
    <w:rsid w:val="0008252B"/>
    <w:rsid w:val="00082601"/>
    <w:rsid w:val="0008287A"/>
    <w:rsid w:val="000829CB"/>
    <w:rsid w:val="00082A8B"/>
    <w:rsid w:val="000830F5"/>
    <w:rsid w:val="0008335A"/>
    <w:rsid w:val="00083680"/>
    <w:rsid w:val="000836AA"/>
    <w:rsid w:val="00083972"/>
    <w:rsid w:val="00083980"/>
    <w:rsid w:val="00083A17"/>
    <w:rsid w:val="00083FF7"/>
    <w:rsid w:val="000842C8"/>
    <w:rsid w:val="0008466D"/>
    <w:rsid w:val="0008467C"/>
    <w:rsid w:val="00084773"/>
    <w:rsid w:val="00084FC2"/>
    <w:rsid w:val="0008518E"/>
    <w:rsid w:val="000859A3"/>
    <w:rsid w:val="00085B4C"/>
    <w:rsid w:val="00085C72"/>
    <w:rsid w:val="00085E12"/>
    <w:rsid w:val="00086139"/>
    <w:rsid w:val="00086432"/>
    <w:rsid w:val="000865F2"/>
    <w:rsid w:val="000866CA"/>
    <w:rsid w:val="000867A7"/>
    <w:rsid w:val="00086ABB"/>
    <w:rsid w:val="00086BBC"/>
    <w:rsid w:val="000870B9"/>
    <w:rsid w:val="000870BB"/>
    <w:rsid w:val="0008716C"/>
    <w:rsid w:val="000875E7"/>
    <w:rsid w:val="00087BA7"/>
    <w:rsid w:val="00090318"/>
    <w:rsid w:val="000904DE"/>
    <w:rsid w:val="0009056B"/>
    <w:rsid w:val="00090590"/>
    <w:rsid w:val="000905C1"/>
    <w:rsid w:val="00090F02"/>
    <w:rsid w:val="00090F8A"/>
    <w:rsid w:val="0009111B"/>
    <w:rsid w:val="000912FC"/>
    <w:rsid w:val="000913B8"/>
    <w:rsid w:val="000913DA"/>
    <w:rsid w:val="000915D6"/>
    <w:rsid w:val="00091735"/>
    <w:rsid w:val="00091C35"/>
    <w:rsid w:val="00091D2E"/>
    <w:rsid w:val="00091FCE"/>
    <w:rsid w:val="000920B2"/>
    <w:rsid w:val="00092109"/>
    <w:rsid w:val="00092394"/>
    <w:rsid w:val="00092407"/>
    <w:rsid w:val="00092A3D"/>
    <w:rsid w:val="00092B1B"/>
    <w:rsid w:val="00092C2E"/>
    <w:rsid w:val="00092CE9"/>
    <w:rsid w:val="0009301F"/>
    <w:rsid w:val="0009315E"/>
    <w:rsid w:val="000931CC"/>
    <w:rsid w:val="000931F1"/>
    <w:rsid w:val="00093245"/>
    <w:rsid w:val="000937E4"/>
    <w:rsid w:val="0009383C"/>
    <w:rsid w:val="00093A65"/>
    <w:rsid w:val="000940D9"/>
    <w:rsid w:val="00094150"/>
    <w:rsid w:val="000942BE"/>
    <w:rsid w:val="000943AE"/>
    <w:rsid w:val="000949B4"/>
    <w:rsid w:val="0009515A"/>
    <w:rsid w:val="000952A2"/>
    <w:rsid w:val="00095312"/>
    <w:rsid w:val="0009532F"/>
    <w:rsid w:val="000958A0"/>
    <w:rsid w:val="0009598A"/>
    <w:rsid w:val="000959F6"/>
    <w:rsid w:val="00095C46"/>
    <w:rsid w:val="00095F59"/>
    <w:rsid w:val="000961FA"/>
    <w:rsid w:val="000963E5"/>
    <w:rsid w:val="0009685D"/>
    <w:rsid w:val="00096947"/>
    <w:rsid w:val="00096EC5"/>
    <w:rsid w:val="00096F87"/>
    <w:rsid w:val="0009704A"/>
    <w:rsid w:val="0009745C"/>
    <w:rsid w:val="0009745D"/>
    <w:rsid w:val="00097509"/>
    <w:rsid w:val="00097A8D"/>
    <w:rsid w:val="00097D06"/>
    <w:rsid w:val="000A0248"/>
    <w:rsid w:val="000A0382"/>
    <w:rsid w:val="000A03D0"/>
    <w:rsid w:val="000A0410"/>
    <w:rsid w:val="000A060A"/>
    <w:rsid w:val="000A0785"/>
    <w:rsid w:val="000A08AC"/>
    <w:rsid w:val="000A0C60"/>
    <w:rsid w:val="000A1008"/>
    <w:rsid w:val="000A1141"/>
    <w:rsid w:val="000A1158"/>
    <w:rsid w:val="000A147C"/>
    <w:rsid w:val="000A164F"/>
    <w:rsid w:val="000A1C76"/>
    <w:rsid w:val="000A1FA5"/>
    <w:rsid w:val="000A20D0"/>
    <w:rsid w:val="000A2819"/>
    <w:rsid w:val="000A2D0F"/>
    <w:rsid w:val="000A2F3B"/>
    <w:rsid w:val="000A2F70"/>
    <w:rsid w:val="000A34FB"/>
    <w:rsid w:val="000A3700"/>
    <w:rsid w:val="000A39D2"/>
    <w:rsid w:val="000A3A55"/>
    <w:rsid w:val="000A46A6"/>
    <w:rsid w:val="000A510C"/>
    <w:rsid w:val="000A5369"/>
    <w:rsid w:val="000A544A"/>
    <w:rsid w:val="000A555A"/>
    <w:rsid w:val="000A5756"/>
    <w:rsid w:val="000A5956"/>
    <w:rsid w:val="000A5E6C"/>
    <w:rsid w:val="000A6740"/>
    <w:rsid w:val="000A6782"/>
    <w:rsid w:val="000A69A4"/>
    <w:rsid w:val="000A6E31"/>
    <w:rsid w:val="000A6E6F"/>
    <w:rsid w:val="000A7299"/>
    <w:rsid w:val="000A77CD"/>
    <w:rsid w:val="000A77DC"/>
    <w:rsid w:val="000A7990"/>
    <w:rsid w:val="000A79D0"/>
    <w:rsid w:val="000A7BAD"/>
    <w:rsid w:val="000A7DD0"/>
    <w:rsid w:val="000B0205"/>
    <w:rsid w:val="000B028C"/>
    <w:rsid w:val="000B039E"/>
    <w:rsid w:val="000B0457"/>
    <w:rsid w:val="000B06D0"/>
    <w:rsid w:val="000B094D"/>
    <w:rsid w:val="000B0E28"/>
    <w:rsid w:val="000B0EA2"/>
    <w:rsid w:val="000B0F8B"/>
    <w:rsid w:val="000B11B6"/>
    <w:rsid w:val="000B1419"/>
    <w:rsid w:val="000B17A7"/>
    <w:rsid w:val="000B1F83"/>
    <w:rsid w:val="000B2056"/>
    <w:rsid w:val="000B2180"/>
    <w:rsid w:val="000B21AB"/>
    <w:rsid w:val="000B22D1"/>
    <w:rsid w:val="000B244C"/>
    <w:rsid w:val="000B2893"/>
    <w:rsid w:val="000B28EF"/>
    <w:rsid w:val="000B2AAD"/>
    <w:rsid w:val="000B2AE7"/>
    <w:rsid w:val="000B2D64"/>
    <w:rsid w:val="000B2FAD"/>
    <w:rsid w:val="000B31F0"/>
    <w:rsid w:val="000B3558"/>
    <w:rsid w:val="000B3B30"/>
    <w:rsid w:val="000B3C58"/>
    <w:rsid w:val="000B3C60"/>
    <w:rsid w:val="000B40CF"/>
    <w:rsid w:val="000B478F"/>
    <w:rsid w:val="000B48C6"/>
    <w:rsid w:val="000B4940"/>
    <w:rsid w:val="000B4C40"/>
    <w:rsid w:val="000B4D16"/>
    <w:rsid w:val="000B4E0E"/>
    <w:rsid w:val="000B5024"/>
    <w:rsid w:val="000B51EC"/>
    <w:rsid w:val="000B521E"/>
    <w:rsid w:val="000B56B0"/>
    <w:rsid w:val="000B575A"/>
    <w:rsid w:val="000B57CA"/>
    <w:rsid w:val="000B5B0B"/>
    <w:rsid w:val="000B5CDF"/>
    <w:rsid w:val="000B5D36"/>
    <w:rsid w:val="000B5F98"/>
    <w:rsid w:val="000B6023"/>
    <w:rsid w:val="000B6479"/>
    <w:rsid w:val="000B66C0"/>
    <w:rsid w:val="000B6902"/>
    <w:rsid w:val="000B7180"/>
    <w:rsid w:val="000B71C2"/>
    <w:rsid w:val="000B7379"/>
    <w:rsid w:val="000B748C"/>
    <w:rsid w:val="000B7551"/>
    <w:rsid w:val="000B76F4"/>
    <w:rsid w:val="000B7DE6"/>
    <w:rsid w:val="000B7E4F"/>
    <w:rsid w:val="000C009F"/>
    <w:rsid w:val="000C00B7"/>
    <w:rsid w:val="000C0129"/>
    <w:rsid w:val="000C02B9"/>
    <w:rsid w:val="000C03CF"/>
    <w:rsid w:val="000C03E3"/>
    <w:rsid w:val="000C047C"/>
    <w:rsid w:val="000C04B3"/>
    <w:rsid w:val="000C04CC"/>
    <w:rsid w:val="000C06B1"/>
    <w:rsid w:val="000C081C"/>
    <w:rsid w:val="000C0881"/>
    <w:rsid w:val="000C0AB3"/>
    <w:rsid w:val="000C0DA7"/>
    <w:rsid w:val="000C0F52"/>
    <w:rsid w:val="000C1205"/>
    <w:rsid w:val="000C149F"/>
    <w:rsid w:val="000C1752"/>
    <w:rsid w:val="000C1A20"/>
    <w:rsid w:val="000C1B5D"/>
    <w:rsid w:val="000C1D4C"/>
    <w:rsid w:val="000C1DF4"/>
    <w:rsid w:val="000C22BA"/>
    <w:rsid w:val="000C2455"/>
    <w:rsid w:val="000C2955"/>
    <w:rsid w:val="000C29F3"/>
    <w:rsid w:val="000C2A22"/>
    <w:rsid w:val="000C2C33"/>
    <w:rsid w:val="000C2D86"/>
    <w:rsid w:val="000C303E"/>
    <w:rsid w:val="000C31E4"/>
    <w:rsid w:val="000C3305"/>
    <w:rsid w:val="000C330B"/>
    <w:rsid w:val="000C339E"/>
    <w:rsid w:val="000C3690"/>
    <w:rsid w:val="000C38ED"/>
    <w:rsid w:val="000C413D"/>
    <w:rsid w:val="000C41A2"/>
    <w:rsid w:val="000C441B"/>
    <w:rsid w:val="000C4489"/>
    <w:rsid w:val="000C4B23"/>
    <w:rsid w:val="000C4DD7"/>
    <w:rsid w:val="000C4F71"/>
    <w:rsid w:val="000C4FC4"/>
    <w:rsid w:val="000C50C9"/>
    <w:rsid w:val="000C52F3"/>
    <w:rsid w:val="000C57F5"/>
    <w:rsid w:val="000C5810"/>
    <w:rsid w:val="000C5881"/>
    <w:rsid w:val="000C5DCE"/>
    <w:rsid w:val="000C5E94"/>
    <w:rsid w:val="000C6394"/>
    <w:rsid w:val="000C6747"/>
    <w:rsid w:val="000C6766"/>
    <w:rsid w:val="000C6822"/>
    <w:rsid w:val="000C71F2"/>
    <w:rsid w:val="000C7202"/>
    <w:rsid w:val="000C73CA"/>
    <w:rsid w:val="000C7961"/>
    <w:rsid w:val="000C79C9"/>
    <w:rsid w:val="000C79D1"/>
    <w:rsid w:val="000C7C1F"/>
    <w:rsid w:val="000C7C82"/>
    <w:rsid w:val="000D0790"/>
    <w:rsid w:val="000D0B74"/>
    <w:rsid w:val="000D0E14"/>
    <w:rsid w:val="000D0E93"/>
    <w:rsid w:val="000D0F54"/>
    <w:rsid w:val="000D13D2"/>
    <w:rsid w:val="000D1657"/>
    <w:rsid w:val="000D1B85"/>
    <w:rsid w:val="000D1BCC"/>
    <w:rsid w:val="000D1C88"/>
    <w:rsid w:val="000D1CAF"/>
    <w:rsid w:val="000D1CC0"/>
    <w:rsid w:val="000D1E69"/>
    <w:rsid w:val="000D1F54"/>
    <w:rsid w:val="000D1F7C"/>
    <w:rsid w:val="000D203B"/>
    <w:rsid w:val="000D2654"/>
    <w:rsid w:val="000D296A"/>
    <w:rsid w:val="000D2AB2"/>
    <w:rsid w:val="000D2BDB"/>
    <w:rsid w:val="000D2D86"/>
    <w:rsid w:val="000D308E"/>
    <w:rsid w:val="000D34AE"/>
    <w:rsid w:val="000D35DD"/>
    <w:rsid w:val="000D3774"/>
    <w:rsid w:val="000D37BB"/>
    <w:rsid w:val="000D37C5"/>
    <w:rsid w:val="000D3A22"/>
    <w:rsid w:val="000D3B47"/>
    <w:rsid w:val="000D3E57"/>
    <w:rsid w:val="000D44B0"/>
    <w:rsid w:val="000D4CAD"/>
    <w:rsid w:val="000D5179"/>
    <w:rsid w:val="000D5867"/>
    <w:rsid w:val="000D5A7F"/>
    <w:rsid w:val="000D5C25"/>
    <w:rsid w:val="000D61D5"/>
    <w:rsid w:val="000D6381"/>
    <w:rsid w:val="000D6719"/>
    <w:rsid w:val="000D6781"/>
    <w:rsid w:val="000D67D5"/>
    <w:rsid w:val="000D6D78"/>
    <w:rsid w:val="000D6F97"/>
    <w:rsid w:val="000D6FCF"/>
    <w:rsid w:val="000D718D"/>
    <w:rsid w:val="000D7237"/>
    <w:rsid w:val="000D7730"/>
    <w:rsid w:val="000D7823"/>
    <w:rsid w:val="000D78B2"/>
    <w:rsid w:val="000D78F7"/>
    <w:rsid w:val="000D7AAA"/>
    <w:rsid w:val="000E01A1"/>
    <w:rsid w:val="000E060F"/>
    <w:rsid w:val="000E0885"/>
    <w:rsid w:val="000E0D8F"/>
    <w:rsid w:val="000E0E2E"/>
    <w:rsid w:val="000E0E47"/>
    <w:rsid w:val="000E10E1"/>
    <w:rsid w:val="000E17C9"/>
    <w:rsid w:val="000E17DC"/>
    <w:rsid w:val="000E1B76"/>
    <w:rsid w:val="000E1B7D"/>
    <w:rsid w:val="000E1C23"/>
    <w:rsid w:val="000E1CC8"/>
    <w:rsid w:val="000E1FAE"/>
    <w:rsid w:val="000E2045"/>
    <w:rsid w:val="000E2068"/>
    <w:rsid w:val="000E20A6"/>
    <w:rsid w:val="000E21B2"/>
    <w:rsid w:val="000E226D"/>
    <w:rsid w:val="000E2505"/>
    <w:rsid w:val="000E2535"/>
    <w:rsid w:val="000E25C6"/>
    <w:rsid w:val="000E2A4F"/>
    <w:rsid w:val="000E2BA8"/>
    <w:rsid w:val="000E2D9D"/>
    <w:rsid w:val="000E2E1D"/>
    <w:rsid w:val="000E3117"/>
    <w:rsid w:val="000E31B8"/>
    <w:rsid w:val="000E347A"/>
    <w:rsid w:val="000E3682"/>
    <w:rsid w:val="000E3A76"/>
    <w:rsid w:val="000E3DBE"/>
    <w:rsid w:val="000E3E57"/>
    <w:rsid w:val="000E3EC2"/>
    <w:rsid w:val="000E4342"/>
    <w:rsid w:val="000E4534"/>
    <w:rsid w:val="000E45DE"/>
    <w:rsid w:val="000E46B9"/>
    <w:rsid w:val="000E4747"/>
    <w:rsid w:val="000E48CF"/>
    <w:rsid w:val="000E4B2C"/>
    <w:rsid w:val="000E4C45"/>
    <w:rsid w:val="000E4C9C"/>
    <w:rsid w:val="000E5131"/>
    <w:rsid w:val="000E59B7"/>
    <w:rsid w:val="000E5EB9"/>
    <w:rsid w:val="000E5F20"/>
    <w:rsid w:val="000E6303"/>
    <w:rsid w:val="000E632A"/>
    <w:rsid w:val="000E6356"/>
    <w:rsid w:val="000E6516"/>
    <w:rsid w:val="000E6532"/>
    <w:rsid w:val="000E6600"/>
    <w:rsid w:val="000E66C3"/>
    <w:rsid w:val="000E6C44"/>
    <w:rsid w:val="000E6EDA"/>
    <w:rsid w:val="000E705C"/>
    <w:rsid w:val="000E70FA"/>
    <w:rsid w:val="000E721E"/>
    <w:rsid w:val="000E7332"/>
    <w:rsid w:val="000E74FC"/>
    <w:rsid w:val="000E7820"/>
    <w:rsid w:val="000E795B"/>
    <w:rsid w:val="000E7AF5"/>
    <w:rsid w:val="000E7B72"/>
    <w:rsid w:val="000E7BE4"/>
    <w:rsid w:val="000E7C97"/>
    <w:rsid w:val="000E7F9A"/>
    <w:rsid w:val="000F04F6"/>
    <w:rsid w:val="000F05A3"/>
    <w:rsid w:val="000F0913"/>
    <w:rsid w:val="000F0B8A"/>
    <w:rsid w:val="000F0FAE"/>
    <w:rsid w:val="000F0FFC"/>
    <w:rsid w:val="000F100E"/>
    <w:rsid w:val="000F113B"/>
    <w:rsid w:val="000F13CB"/>
    <w:rsid w:val="000F158B"/>
    <w:rsid w:val="000F165C"/>
    <w:rsid w:val="000F1762"/>
    <w:rsid w:val="000F1895"/>
    <w:rsid w:val="000F1BB4"/>
    <w:rsid w:val="000F1D10"/>
    <w:rsid w:val="000F1D1C"/>
    <w:rsid w:val="000F2157"/>
    <w:rsid w:val="000F244F"/>
    <w:rsid w:val="000F251B"/>
    <w:rsid w:val="000F27BB"/>
    <w:rsid w:val="000F2A67"/>
    <w:rsid w:val="000F3129"/>
    <w:rsid w:val="000F3249"/>
    <w:rsid w:val="000F3437"/>
    <w:rsid w:val="000F34BC"/>
    <w:rsid w:val="000F35A4"/>
    <w:rsid w:val="000F3912"/>
    <w:rsid w:val="000F3B38"/>
    <w:rsid w:val="000F3BA9"/>
    <w:rsid w:val="000F3E01"/>
    <w:rsid w:val="000F4010"/>
    <w:rsid w:val="000F40C3"/>
    <w:rsid w:val="000F4128"/>
    <w:rsid w:val="000F4160"/>
    <w:rsid w:val="000F4B77"/>
    <w:rsid w:val="000F4BBE"/>
    <w:rsid w:val="000F4DEB"/>
    <w:rsid w:val="000F5086"/>
    <w:rsid w:val="000F574D"/>
    <w:rsid w:val="000F583F"/>
    <w:rsid w:val="000F5AA4"/>
    <w:rsid w:val="000F5D90"/>
    <w:rsid w:val="000F5ECD"/>
    <w:rsid w:val="000F6430"/>
    <w:rsid w:val="000F67A6"/>
    <w:rsid w:val="000F69CF"/>
    <w:rsid w:val="000F7178"/>
    <w:rsid w:val="000F738F"/>
    <w:rsid w:val="000F76A3"/>
    <w:rsid w:val="000F7DB0"/>
    <w:rsid w:val="000FE071"/>
    <w:rsid w:val="00100154"/>
    <w:rsid w:val="0010017F"/>
    <w:rsid w:val="0010071A"/>
    <w:rsid w:val="00100B24"/>
    <w:rsid w:val="00100C7D"/>
    <w:rsid w:val="00100D2B"/>
    <w:rsid w:val="00100D48"/>
    <w:rsid w:val="00100DA4"/>
    <w:rsid w:val="001010F4"/>
    <w:rsid w:val="0010119C"/>
    <w:rsid w:val="0010132D"/>
    <w:rsid w:val="001013EF"/>
    <w:rsid w:val="00101433"/>
    <w:rsid w:val="00101675"/>
    <w:rsid w:val="001017A1"/>
    <w:rsid w:val="00101BA8"/>
    <w:rsid w:val="00101BF3"/>
    <w:rsid w:val="00101D3B"/>
    <w:rsid w:val="00101DB9"/>
    <w:rsid w:val="00101DC3"/>
    <w:rsid w:val="00101E3D"/>
    <w:rsid w:val="00101F29"/>
    <w:rsid w:val="00102032"/>
    <w:rsid w:val="00102332"/>
    <w:rsid w:val="0010242D"/>
    <w:rsid w:val="001025CE"/>
    <w:rsid w:val="001029B5"/>
    <w:rsid w:val="00102BDE"/>
    <w:rsid w:val="00102D33"/>
    <w:rsid w:val="00102F3E"/>
    <w:rsid w:val="00102FC1"/>
    <w:rsid w:val="00103934"/>
    <w:rsid w:val="00103D1A"/>
    <w:rsid w:val="00103D22"/>
    <w:rsid w:val="001042C2"/>
    <w:rsid w:val="001042F4"/>
    <w:rsid w:val="001043E7"/>
    <w:rsid w:val="00104747"/>
    <w:rsid w:val="00104DED"/>
    <w:rsid w:val="00105061"/>
    <w:rsid w:val="001054D5"/>
    <w:rsid w:val="001055B5"/>
    <w:rsid w:val="00105636"/>
    <w:rsid w:val="00105814"/>
    <w:rsid w:val="00105E7E"/>
    <w:rsid w:val="001060FE"/>
    <w:rsid w:val="001061C7"/>
    <w:rsid w:val="00106352"/>
    <w:rsid w:val="001065D0"/>
    <w:rsid w:val="001068AA"/>
    <w:rsid w:val="00106BA2"/>
    <w:rsid w:val="00107308"/>
    <w:rsid w:val="0010731A"/>
    <w:rsid w:val="00107583"/>
    <w:rsid w:val="00107788"/>
    <w:rsid w:val="00107892"/>
    <w:rsid w:val="0010795D"/>
    <w:rsid w:val="00107ADE"/>
    <w:rsid w:val="00107E97"/>
    <w:rsid w:val="001100CB"/>
    <w:rsid w:val="00110667"/>
    <w:rsid w:val="0011075D"/>
    <w:rsid w:val="001108C5"/>
    <w:rsid w:val="00110C56"/>
    <w:rsid w:val="00110F18"/>
    <w:rsid w:val="001113BF"/>
    <w:rsid w:val="001116BB"/>
    <w:rsid w:val="001116E8"/>
    <w:rsid w:val="00111AF6"/>
    <w:rsid w:val="00111B13"/>
    <w:rsid w:val="00111B79"/>
    <w:rsid w:val="00111D70"/>
    <w:rsid w:val="00111D9C"/>
    <w:rsid w:val="001120BD"/>
    <w:rsid w:val="0011345D"/>
    <w:rsid w:val="00113666"/>
    <w:rsid w:val="00113738"/>
    <w:rsid w:val="00113A77"/>
    <w:rsid w:val="00113B48"/>
    <w:rsid w:val="00113EAC"/>
    <w:rsid w:val="00113EE4"/>
    <w:rsid w:val="00114599"/>
    <w:rsid w:val="0011487F"/>
    <w:rsid w:val="00114955"/>
    <w:rsid w:val="00114C36"/>
    <w:rsid w:val="00114F32"/>
    <w:rsid w:val="00115157"/>
    <w:rsid w:val="00115242"/>
    <w:rsid w:val="001152A0"/>
    <w:rsid w:val="00115488"/>
    <w:rsid w:val="00115A8A"/>
    <w:rsid w:val="00115DB5"/>
    <w:rsid w:val="0011604B"/>
    <w:rsid w:val="00116184"/>
    <w:rsid w:val="0011648F"/>
    <w:rsid w:val="001164DA"/>
    <w:rsid w:val="0011653C"/>
    <w:rsid w:val="001167B6"/>
    <w:rsid w:val="001168C9"/>
    <w:rsid w:val="00116901"/>
    <w:rsid w:val="00116CE5"/>
    <w:rsid w:val="00117131"/>
    <w:rsid w:val="001172B3"/>
    <w:rsid w:val="001175A4"/>
    <w:rsid w:val="001175B6"/>
    <w:rsid w:val="001176B6"/>
    <w:rsid w:val="00117B6A"/>
    <w:rsid w:val="00117C18"/>
    <w:rsid w:val="0011EAA4"/>
    <w:rsid w:val="001201C2"/>
    <w:rsid w:val="001202E1"/>
    <w:rsid w:val="001202F6"/>
    <w:rsid w:val="001204D0"/>
    <w:rsid w:val="00120747"/>
    <w:rsid w:val="0012088B"/>
    <w:rsid w:val="00120967"/>
    <w:rsid w:val="00120D40"/>
    <w:rsid w:val="00120D8D"/>
    <w:rsid w:val="00121228"/>
    <w:rsid w:val="0012125D"/>
    <w:rsid w:val="00121329"/>
    <w:rsid w:val="00121419"/>
    <w:rsid w:val="00121701"/>
    <w:rsid w:val="0012188F"/>
    <w:rsid w:val="0012230A"/>
    <w:rsid w:val="00122573"/>
    <w:rsid w:val="00122AF8"/>
    <w:rsid w:val="00122C37"/>
    <w:rsid w:val="0012327D"/>
    <w:rsid w:val="001234BE"/>
    <w:rsid w:val="001238EA"/>
    <w:rsid w:val="00123A18"/>
    <w:rsid w:val="00123DA4"/>
    <w:rsid w:val="00123EF5"/>
    <w:rsid w:val="0012405E"/>
    <w:rsid w:val="001240DF"/>
    <w:rsid w:val="001241D8"/>
    <w:rsid w:val="001242C7"/>
    <w:rsid w:val="00124745"/>
    <w:rsid w:val="00124844"/>
    <w:rsid w:val="00124AFE"/>
    <w:rsid w:val="0012509D"/>
    <w:rsid w:val="001253A7"/>
    <w:rsid w:val="0012546B"/>
    <w:rsid w:val="0012586A"/>
    <w:rsid w:val="00125BEB"/>
    <w:rsid w:val="00125DC0"/>
    <w:rsid w:val="00125E60"/>
    <w:rsid w:val="001262BB"/>
    <w:rsid w:val="0012657F"/>
    <w:rsid w:val="00126929"/>
    <w:rsid w:val="00126C37"/>
    <w:rsid w:val="00126F21"/>
    <w:rsid w:val="001272FE"/>
    <w:rsid w:val="001274F1"/>
    <w:rsid w:val="001274F3"/>
    <w:rsid w:val="00127A8F"/>
    <w:rsid w:val="00127F43"/>
    <w:rsid w:val="00130391"/>
    <w:rsid w:val="00130477"/>
    <w:rsid w:val="001309F3"/>
    <w:rsid w:val="00130AC6"/>
    <w:rsid w:val="00130DDA"/>
    <w:rsid w:val="001310CD"/>
    <w:rsid w:val="0013132E"/>
    <w:rsid w:val="0013152F"/>
    <w:rsid w:val="0013167E"/>
    <w:rsid w:val="001317B3"/>
    <w:rsid w:val="00131B00"/>
    <w:rsid w:val="00131CDA"/>
    <w:rsid w:val="00131E7B"/>
    <w:rsid w:val="00132475"/>
    <w:rsid w:val="001324F0"/>
    <w:rsid w:val="0013261A"/>
    <w:rsid w:val="00132D5B"/>
    <w:rsid w:val="00132FF0"/>
    <w:rsid w:val="0013341C"/>
    <w:rsid w:val="0013361E"/>
    <w:rsid w:val="00133891"/>
    <w:rsid w:val="0013393F"/>
    <w:rsid w:val="00133D7A"/>
    <w:rsid w:val="0013409C"/>
    <w:rsid w:val="00134521"/>
    <w:rsid w:val="00134698"/>
    <w:rsid w:val="0013480C"/>
    <w:rsid w:val="00134BFB"/>
    <w:rsid w:val="00134D3C"/>
    <w:rsid w:val="00134FB1"/>
    <w:rsid w:val="00134FC7"/>
    <w:rsid w:val="0013504E"/>
    <w:rsid w:val="00135327"/>
    <w:rsid w:val="001354D1"/>
    <w:rsid w:val="00135C97"/>
    <w:rsid w:val="001366F0"/>
    <w:rsid w:val="00136C0C"/>
    <w:rsid w:val="00137244"/>
    <w:rsid w:val="0013730B"/>
    <w:rsid w:val="001374CF"/>
    <w:rsid w:val="0013767E"/>
    <w:rsid w:val="001379B3"/>
    <w:rsid w:val="00137C60"/>
    <w:rsid w:val="00137CC0"/>
    <w:rsid w:val="00140057"/>
    <w:rsid w:val="0014036F"/>
    <w:rsid w:val="00140570"/>
    <w:rsid w:val="00140618"/>
    <w:rsid w:val="00140960"/>
    <w:rsid w:val="00140C68"/>
    <w:rsid w:val="001413A0"/>
    <w:rsid w:val="001418A7"/>
    <w:rsid w:val="00141950"/>
    <w:rsid w:val="001419AA"/>
    <w:rsid w:val="00141A47"/>
    <w:rsid w:val="00141A9C"/>
    <w:rsid w:val="00141C2A"/>
    <w:rsid w:val="00142007"/>
    <w:rsid w:val="00142092"/>
    <w:rsid w:val="001424AE"/>
    <w:rsid w:val="0014254E"/>
    <w:rsid w:val="001428B8"/>
    <w:rsid w:val="001433BA"/>
    <w:rsid w:val="00143431"/>
    <w:rsid w:val="001439C5"/>
    <w:rsid w:val="00143C7C"/>
    <w:rsid w:val="00143E34"/>
    <w:rsid w:val="001440AF"/>
    <w:rsid w:val="00144209"/>
    <w:rsid w:val="00144839"/>
    <w:rsid w:val="0014486D"/>
    <w:rsid w:val="001449C3"/>
    <w:rsid w:val="00144B8A"/>
    <w:rsid w:val="00144FA5"/>
    <w:rsid w:val="00145017"/>
    <w:rsid w:val="001455AB"/>
    <w:rsid w:val="00145614"/>
    <w:rsid w:val="001456A2"/>
    <w:rsid w:val="001456BA"/>
    <w:rsid w:val="001459F4"/>
    <w:rsid w:val="00145FEB"/>
    <w:rsid w:val="00146051"/>
    <w:rsid w:val="00146548"/>
    <w:rsid w:val="00146AA6"/>
    <w:rsid w:val="00146B9A"/>
    <w:rsid w:val="00146C60"/>
    <w:rsid w:val="00146CC8"/>
    <w:rsid w:val="00146FCC"/>
    <w:rsid w:val="001470A5"/>
    <w:rsid w:val="00147244"/>
    <w:rsid w:val="0014770D"/>
    <w:rsid w:val="00147D67"/>
    <w:rsid w:val="001500AD"/>
    <w:rsid w:val="00150335"/>
    <w:rsid w:val="00150633"/>
    <w:rsid w:val="00150A6A"/>
    <w:rsid w:val="00150AAA"/>
    <w:rsid w:val="00150B13"/>
    <w:rsid w:val="00150B63"/>
    <w:rsid w:val="00150DE5"/>
    <w:rsid w:val="00150E78"/>
    <w:rsid w:val="00150F5A"/>
    <w:rsid w:val="00150FDF"/>
    <w:rsid w:val="00151037"/>
    <w:rsid w:val="0015103C"/>
    <w:rsid w:val="0015106B"/>
    <w:rsid w:val="0015125B"/>
    <w:rsid w:val="0015128A"/>
    <w:rsid w:val="001513B8"/>
    <w:rsid w:val="00151797"/>
    <w:rsid w:val="00151A7B"/>
    <w:rsid w:val="00151ABB"/>
    <w:rsid w:val="00151B4F"/>
    <w:rsid w:val="00151EDB"/>
    <w:rsid w:val="00152051"/>
    <w:rsid w:val="0015223B"/>
    <w:rsid w:val="00152500"/>
    <w:rsid w:val="0015256C"/>
    <w:rsid w:val="001528F7"/>
    <w:rsid w:val="00152B3A"/>
    <w:rsid w:val="001531C2"/>
    <w:rsid w:val="0015337C"/>
    <w:rsid w:val="001535D2"/>
    <w:rsid w:val="00153957"/>
    <w:rsid w:val="00153BD5"/>
    <w:rsid w:val="00153EEF"/>
    <w:rsid w:val="00153F41"/>
    <w:rsid w:val="0015440B"/>
    <w:rsid w:val="00154550"/>
    <w:rsid w:val="00154F25"/>
    <w:rsid w:val="00154F5A"/>
    <w:rsid w:val="00155323"/>
    <w:rsid w:val="001553C4"/>
    <w:rsid w:val="00155A99"/>
    <w:rsid w:val="00155AB6"/>
    <w:rsid w:val="00155C79"/>
    <w:rsid w:val="00155E47"/>
    <w:rsid w:val="00156279"/>
    <w:rsid w:val="0015670B"/>
    <w:rsid w:val="0015680F"/>
    <w:rsid w:val="00157374"/>
    <w:rsid w:val="00157582"/>
    <w:rsid w:val="0015784C"/>
    <w:rsid w:val="0016020B"/>
    <w:rsid w:val="001605C2"/>
    <w:rsid w:val="00160751"/>
    <w:rsid w:val="00160889"/>
    <w:rsid w:val="00160928"/>
    <w:rsid w:val="00160E9E"/>
    <w:rsid w:val="00160F79"/>
    <w:rsid w:val="0016112E"/>
    <w:rsid w:val="00161148"/>
    <w:rsid w:val="00162061"/>
    <w:rsid w:val="00162238"/>
    <w:rsid w:val="001622A2"/>
    <w:rsid w:val="001628EF"/>
    <w:rsid w:val="00162CB0"/>
    <w:rsid w:val="00162DE1"/>
    <w:rsid w:val="00162F5F"/>
    <w:rsid w:val="00163041"/>
    <w:rsid w:val="001632CD"/>
    <w:rsid w:val="00163642"/>
    <w:rsid w:val="00163B92"/>
    <w:rsid w:val="00163BC0"/>
    <w:rsid w:val="00163D56"/>
    <w:rsid w:val="00163E2B"/>
    <w:rsid w:val="001641B2"/>
    <w:rsid w:val="001642B8"/>
    <w:rsid w:val="00164871"/>
    <w:rsid w:val="00164C33"/>
    <w:rsid w:val="00164FF8"/>
    <w:rsid w:val="001650E5"/>
    <w:rsid w:val="00165447"/>
    <w:rsid w:val="001655B5"/>
    <w:rsid w:val="00165CB2"/>
    <w:rsid w:val="00166F00"/>
    <w:rsid w:val="00166F29"/>
    <w:rsid w:val="00167025"/>
    <w:rsid w:val="0016718C"/>
    <w:rsid w:val="001671D6"/>
    <w:rsid w:val="001674C4"/>
    <w:rsid w:val="001674D6"/>
    <w:rsid w:val="001677CF"/>
    <w:rsid w:val="00167A21"/>
    <w:rsid w:val="00167A33"/>
    <w:rsid w:val="00167D65"/>
    <w:rsid w:val="00167D66"/>
    <w:rsid w:val="00167E85"/>
    <w:rsid w:val="00167FB6"/>
    <w:rsid w:val="00170559"/>
    <w:rsid w:val="0017076F"/>
    <w:rsid w:val="00170849"/>
    <w:rsid w:val="001709C6"/>
    <w:rsid w:val="00170BD4"/>
    <w:rsid w:val="00170C1B"/>
    <w:rsid w:val="00170D36"/>
    <w:rsid w:val="00170E0E"/>
    <w:rsid w:val="00170ED3"/>
    <w:rsid w:val="00170FA2"/>
    <w:rsid w:val="0017108B"/>
    <w:rsid w:val="001711B7"/>
    <w:rsid w:val="00171314"/>
    <w:rsid w:val="001714A2"/>
    <w:rsid w:val="00171A13"/>
    <w:rsid w:val="00171DEB"/>
    <w:rsid w:val="00171E9A"/>
    <w:rsid w:val="00172447"/>
    <w:rsid w:val="00172796"/>
    <w:rsid w:val="0017286F"/>
    <w:rsid w:val="00172968"/>
    <w:rsid w:val="00172CD1"/>
    <w:rsid w:val="00173062"/>
    <w:rsid w:val="001730F4"/>
    <w:rsid w:val="001736C8"/>
    <w:rsid w:val="00173760"/>
    <w:rsid w:val="001737A8"/>
    <w:rsid w:val="00173972"/>
    <w:rsid w:val="00173DC3"/>
    <w:rsid w:val="00173E24"/>
    <w:rsid w:val="00173F9D"/>
    <w:rsid w:val="0017445E"/>
    <w:rsid w:val="001745DF"/>
    <w:rsid w:val="001746C9"/>
    <w:rsid w:val="0017478D"/>
    <w:rsid w:val="00174A70"/>
    <w:rsid w:val="00174D3A"/>
    <w:rsid w:val="00174D40"/>
    <w:rsid w:val="00174EAB"/>
    <w:rsid w:val="0017536B"/>
    <w:rsid w:val="00175469"/>
    <w:rsid w:val="001755BB"/>
    <w:rsid w:val="00175CED"/>
    <w:rsid w:val="00175FC1"/>
    <w:rsid w:val="00175FCD"/>
    <w:rsid w:val="00175FFD"/>
    <w:rsid w:val="001764A4"/>
    <w:rsid w:val="00176790"/>
    <w:rsid w:val="001772EB"/>
    <w:rsid w:val="001773DA"/>
    <w:rsid w:val="00177A1C"/>
    <w:rsid w:val="0018038B"/>
    <w:rsid w:val="001804A0"/>
    <w:rsid w:val="00180575"/>
    <w:rsid w:val="00180635"/>
    <w:rsid w:val="00180715"/>
    <w:rsid w:val="00180FC3"/>
    <w:rsid w:val="001812FF"/>
    <w:rsid w:val="00181304"/>
    <w:rsid w:val="0018163F"/>
    <w:rsid w:val="00181651"/>
    <w:rsid w:val="0018165F"/>
    <w:rsid w:val="0018175E"/>
    <w:rsid w:val="001817C0"/>
    <w:rsid w:val="00181A2F"/>
    <w:rsid w:val="00181B00"/>
    <w:rsid w:val="00181B28"/>
    <w:rsid w:val="00181B98"/>
    <w:rsid w:val="00181C94"/>
    <w:rsid w:val="00181D18"/>
    <w:rsid w:val="0018252B"/>
    <w:rsid w:val="00182AE0"/>
    <w:rsid w:val="001834A0"/>
    <w:rsid w:val="001834F5"/>
    <w:rsid w:val="0018381F"/>
    <w:rsid w:val="00183822"/>
    <w:rsid w:val="001838CB"/>
    <w:rsid w:val="00183B69"/>
    <w:rsid w:val="00183D7C"/>
    <w:rsid w:val="00184089"/>
    <w:rsid w:val="00184092"/>
    <w:rsid w:val="001840E0"/>
    <w:rsid w:val="00184156"/>
    <w:rsid w:val="0018428A"/>
    <w:rsid w:val="0018428C"/>
    <w:rsid w:val="001842D2"/>
    <w:rsid w:val="001844F8"/>
    <w:rsid w:val="001847C4"/>
    <w:rsid w:val="00184985"/>
    <w:rsid w:val="00184AE0"/>
    <w:rsid w:val="00184C8E"/>
    <w:rsid w:val="0018576B"/>
    <w:rsid w:val="001857C9"/>
    <w:rsid w:val="00185FD9"/>
    <w:rsid w:val="0018629F"/>
    <w:rsid w:val="001862A5"/>
    <w:rsid w:val="001867EA"/>
    <w:rsid w:val="00186C15"/>
    <w:rsid w:val="00186FB7"/>
    <w:rsid w:val="001877C7"/>
    <w:rsid w:val="001879E5"/>
    <w:rsid w:val="001902D4"/>
    <w:rsid w:val="00190388"/>
    <w:rsid w:val="00190642"/>
    <w:rsid w:val="001908BB"/>
    <w:rsid w:val="00190C17"/>
    <w:rsid w:val="00190EB7"/>
    <w:rsid w:val="001911B4"/>
    <w:rsid w:val="00191257"/>
    <w:rsid w:val="00191300"/>
    <w:rsid w:val="00191457"/>
    <w:rsid w:val="00191612"/>
    <w:rsid w:val="001916BB"/>
    <w:rsid w:val="001916BE"/>
    <w:rsid w:val="0019180F"/>
    <w:rsid w:val="00191B3E"/>
    <w:rsid w:val="00191E94"/>
    <w:rsid w:val="0019230B"/>
    <w:rsid w:val="00192582"/>
    <w:rsid w:val="00192643"/>
    <w:rsid w:val="00192766"/>
    <w:rsid w:val="00192D67"/>
    <w:rsid w:val="00192E8A"/>
    <w:rsid w:val="0019304F"/>
    <w:rsid w:val="001930A6"/>
    <w:rsid w:val="00193228"/>
    <w:rsid w:val="0019323A"/>
    <w:rsid w:val="0019323D"/>
    <w:rsid w:val="00193581"/>
    <w:rsid w:val="001935CC"/>
    <w:rsid w:val="0019369D"/>
    <w:rsid w:val="00193BF3"/>
    <w:rsid w:val="00193F02"/>
    <w:rsid w:val="00194139"/>
    <w:rsid w:val="00194314"/>
    <w:rsid w:val="0019449A"/>
    <w:rsid w:val="001945CB"/>
    <w:rsid w:val="001945E7"/>
    <w:rsid w:val="0019466C"/>
    <w:rsid w:val="00194949"/>
    <w:rsid w:val="00194E9A"/>
    <w:rsid w:val="00194EFF"/>
    <w:rsid w:val="001952E6"/>
    <w:rsid w:val="00195484"/>
    <w:rsid w:val="001959C5"/>
    <w:rsid w:val="00195C32"/>
    <w:rsid w:val="00195CE1"/>
    <w:rsid w:val="00195FD6"/>
    <w:rsid w:val="001960E1"/>
    <w:rsid w:val="001965D4"/>
    <w:rsid w:val="00196A78"/>
    <w:rsid w:val="00196C97"/>
    <w:rsid w:val="00196E0D"/>
    <w:rsid w:val="001973B9"/>
    <w:rsid w:val="001976F1"/>
    <w:rsid w:val="00197BE5"/>
    <w:rsid w:val="00197E20"/>
    <w:rsid w:val="00197F32"/>
    <w:rsid w:val="001A0096"/>
    <w:rsid w:val="001A0238"/>
    <w:rsid w:val="001A041B"/>
    <w:rsid w:val="001A056F"/>
    <w:rsid w:val="001A0617"/>
    <w:rsid w:val="001A09CC"/>
    <w:rsid w:val="001A0ADE"/>
    <w:rsid w:val="001A1076"/>
    <w:rsid w:val="001A141B"/>
    <w:rsid w:val="001A14E2"/>
    <w:rsid w:val="001A1558"/>
    <w:rsid w:val="001A183E"/>
    <w:rsid w:val="001A18AF"/>
    <w:rsid w:val="001A1BFD"/>
    <w:rsid w:val="001A1F6C"/>
    <w:rsid w:val="001A2042"/>
    <w:rsid w:val="001A24BB"/>
    <w:rsid w:val="001A2874"/>
    <w:rsid w:val="001A2FB4"/>
    <w:rsid w:val="001A327B"/>
    <w:rsid w:val="001A3387"/>
    <w:rsid w:val="001A35FB"/>
    <w:rsid w:val="001A3A9B"/>
    <w:rsid w:val="001A3BAE"/>
    <w:rsid w:val="001A3BAF"/>
    <w:rsid w:val="001A3CE6"/>
    <w:rsid w:val="001A3E19"/>
    <w:rsid w:val="001A4505"/>
    <w:rsid w:val="001A46AB"/>
    <w:rsid w:val="001A47F8"/>
    <w:rsid w:val="001A48D6"/>
    <w:rsid w:val="001A4DBE"/>
    <w:rsid w:val="001A4EBE"/>
    <w:rsid w:val="001A51AD"/>
    <w:rsid w:val="001A51BC"/>
    <w:rsid w:val="001A53C2"/>
    <w:rsid w:val="001A550D"/>
    <w:rsid w:val="001A587D"/>
    <w:rsid w:val="001A5FF5"/>
    <w:rsid w:val="001A60B8"/>
    <w:rsid w:val="001A61C8"/>
    <w:rsid w:val="001A684B"/>
    <w:rsid w:val="001A69D4"/>
    <w:rsid w:val="001A74EB"/>
    <w:rsid w:val="001A78BE"/>
    <w:rsid w:val="001A78EA"/>
    <w:rsid w:val="001A7F45"/>
    <w:rsid w:val="001B07FF"/>
    <w:rsid w:val="001B0A97"/>
    <w:rsid w:val="001B0AF8"/>
    <w:rsid w:val="001B0C1E"/>
    <w:rsid w:val="001B0C3B"/>
    <w:rsid w:val="001B0CFA"/>
    <w:rsid w:val="001B0ED5"/>
    <w:rsid w:val="001B0FBA"/>
    <w:rsid w:val="001B10B8"/>
    <w:rsid w:val="001B10DE"/>
    <w:rsid w:val="001B1123"/>
    <w:rsid w:val="001B1A78"/>
    <w:rsid w:val="001B1B4B"/>
    <w:rsid w:val="001B1BB3"/>
    <w:rsid w:val="001B1C1A"/>
    <w:rsid w:val="001B1F28"/>
    <w:rsid w:val="001B2348"/>
    <w:rsid w:val="001B24DA"/>
    <w:rsid w:val="001B2611"/>
    <w:rsid w:val="001B2909"/>
    <w:rsid w:val="001B2A94"/>
    <w:rsid w:val="001B2BB5"/>
    <w:rsid w:val="001B2C1F"/>
    <w:rsid w:val="001B2CA7"/>
    <w:rsid w:val="001B3A6E"/>
    <w:rsid w:val="001B457F"/>
    <w:rsid w:val="001B45F3"/>
    <w:rsid w:val="001B4BA9"/>
    <w:rsid w:val="001B4BB8"/>
    <w:rsid w:val="001B4DE9"/>
    <w:rsid w:val="001B52AD"/>
    <w:rsid w:val="001B63DC"/>
    <w:rsid w:val="001B6460"/>
    <w:rsid w:val="001B65EC"/>
    <w:rsid w:val="001B6A18"/>
    <w:rsid w:val="001B6E2A"/>
    <w:rsid w:val="001B6EE6"/>
    <w:rsid w:val="001B7037"/>
    <w:rsid w:val="001B79EB"/>
    <w:rsid w:val="001B7C01"/>
    <w:rsid w:val="001C008D"/>
    <w:rsid w:val="001C031E"/>
    <w:rsid w:val="001C039E"/>
    <w:rsid w:val="001C0680"/>
    <w:rsid w:val="001C07BA"/>
    <w:rsid w:val="001C08AA"/>
    <w:rsid w:val="001C0A52"/>
    <w:rsid w:val="001C0BDD"/>
    <w:rsid w:val="001C0BED"/>
    <w:rsid w:val="001C0E12"/>
    <w:rsid w:val="001C0F87"/>
    <w:rsid w:val="001C13F1"/>
    <w:rsid w:val="001C1402"/>
    <w:rsid w:val="001C140C"/>
    <w:rsid w:val="001C152A"/>
    <w:rsid w:val="001C1A44"/>
    <w:rsid w:val="001C202B"/>
    <w:rsid w:val="001C2330"/>
    <w:rsid w:val="001C2539"/>
    <w:rsid w:val="001C285E"/>
    <w:rsid w:val="001C29D4"/>
    <w:rsid w:val="001C3015"/>
    <w:rsid w:val="001C326A"/>
    <w:rsid w:val="001C3573"/>
    <w:rsid w:val="001C3C39"/>
    <w:rsid w:val="001C3D37"/>
    <w:rsid w:val="001C3D83"/>
    <w:rsid w:val="001C3FA1"/>
    <w:rsid w:val="001C42F9"/>
    <w:rsid w:val="001C43BA"/>
    <w:rsid w:val="001C4502"/>
    <w:rsid w:val="001C460A"/>
    <w:rsid w:val="001C4792"/>
    <w:rsid w:val="001C4FC5"/>
    <w:rsid w:val="001C4FED"/>
    <w:rsid w:val="001C5082"/>
    <w:rsid w:val="001C5155"/>
    <w:rsid w:val="001C522A"/>
    <w:rsid w:val="001C53B6"/>
    <w:rsid w:val="001C5600"/>
    <w:rsid w:val="001C5670"/>
    <w:rsid w:val="001C567C"/>
    <w:rsid w:val="001C5AFF"/>
    <w:rsid w:val="001C5B29"/>
    <w:rsid w:val="001C5B7C"/>
    <w:rsid w:val="001C5C2D"/>
    <w:rsid w:val="001C6A49"/>
    <w:rsid w:val="001C6E9B"/>
    <w:rsid w:val="001C70AC"/>
    <w:rsid w:val="001C748D"/>
    <w:rsid w:val="001C74FC"/>
    <w:rsid w:val="001C7554"/>
    <w:rsid w:val="001C7977"/>
    <w:rsid w:val="001C7982"/>
    <w:rsid w:val="001C7C71"/>
    <w:rsid w:val="001C7FD3"/>
    <w:rsid w:val="001D0589"/>
    <w:rsid w:val="001D0C10"/>
    <w:rsid w:val="001D0DED"/>
    <w:rsid w:val="001D0F55"/>
    <w:rsid w:val="001D11BC"/>
    <w:rsid w:val="001D1238"/>
    <w:rsid w:val="001D12D0"/>
    <w:rsid w:val="001D172A"/>
    <w:rsid w:val="001D18BC"/>
    <w:rsid w:val="001D1E47"/>
    <w:rsid w:val="001D1EE3"/>
    <w:rsid w:val="001D1EF2"/>
    <w:rsid w:val="001D210B"/>
    <w:rsid w:val="001D23DA"/>
    <w:rsid w:val="001D2584"/>
    <w:rsid w:val="001D27B4"/>
    <w:rsid w:val="001D2C20"/>
    <w:rsid w:val="001D2DCA"/>
    <w:rsid w:val="001D2E7E"/>
    <w:rsid w:val="001D2EE7"/>
    <w:rsid w:val="001D2F23"/>
    <w:rsid w:val="001D2FFE"/>
    <w:rsid w:val="001D302A"/>
    <w:rsid w:val="001D33A1"/>
    <w:rsid w:val="001D37D8"/>
    <w:rsid w:val="001D39A4"/>
    <w:rsid w:val="001D3AF0"/>
    <w:rsid w:val="001D3B33"/>
    <w:rsid w:val="001D3C13"/>
    <w:rsid w:val="001D3DEA"/>
    <w:rsid w:val="001D3DFD"/>
    <w:rsid w:val="001D42F6"/>
    <w:rsid w:val="001D4411"/>
    <w:rsid w:val="001D468A"/>
    <w:rsid w:val="001D48B0"/>
    <w:rsid w:val="001D4CFE"/>
    <w:rsid w:val="001D5331"/>
    <w:rsid w:val="001D5B55"/>
    <w:rsid w:val="001D5BED"/>
    <w:rsid w:val="001D6049"/>
    <w:rsid w:val="001D6197"/>
    <w:rsid w:val="001D6206"/>
    <w:rsid w:val="001D62DE"/>
    <w:rsid w:val="001D6551"/>
    <w:rsid w:val="001D659D"/>
    <w:rsid w:val="001D67E7"/>
    <w:rsid w:val="001D6A8E"/>
    <w:rsid w:val="001D7001"/>
    <w:rsid w:val="001D75A8"/>
    <w:rsid w:val="001D77F7"/>
    <w:rsid w:val="001D7B27"/>
    <w:rsid w:val="001D7C10"/>
    <w:rsid w:val="001E0133"/>
    <w:rsid w:val="001E0331"/>
    <w:rsid w:val="001E0557"/>
    <w:rsid w:val="001E0AEA"/>
    <w:rsid w:val="001E0F4E"/>
    <w:rsid w:val="001E1157"/>
    <w:rsid w:val="001E115D"/>
    <w:rsid w:val="001E118A"/>
    <w:rsid w:val="001E1202"/>
    <w:rsid w:val="001E141D"/>
    <w:rsid w:val="001E1500"/>
    <w:rsid w:val="001E1557"/>
    <w:rsid w:val="001E1623"/>
    <w:rsid w:val="001E167B"/>
    <w:rsid w:val="001E19B2"/>
    <w:rsid w:val="001E1BF2"/>
    <w:rsid w:val="001E1C29"/>
    <w:rsid w:val="001E1C44"/>
    <w:rsid w:val="001E1C95"/>
    <w:rsid w:val="001E1DB7"/>
    <w:rsid w:val="001E1F8A"/>
    <w:rsid w:val="001E2079"/>
    <w:rsid w:val="001E2092"/>
    <w:rsid w:val="001E21C1"/>
    <w:rsid w:val="001E22BA"/>
    <w:rsid w:val="001E246B"/>
    <w:rsid w:val="001E2531"/>
    <w:rsid w:val="001E254F"/>
    <w:rsid w:val="001E2696"/>
    <w:rsid w:val="001E29D1"/>
    <w:rsid w:val="001E2A1F"/>
    <w:rsid w:val="001E2B21"/>
    <w:rsid w:val="001E2F6D"/>
    <w:rsid w:val="001E3040"/>
    <w:rsid w:val="001E34AB"/>
    <w:rsid w:val="001E3576"/>
    <w:rsid w:val="001E35D5"/>
    <w:rsid w:val="001E362E"/>
    <w:rsid w:val="001E36E7"/>
    <w:rsid w:val="001E3AC9"/>
    <w:rsid w:val="001E3B18"/>
    <w:rsid w:val="001E3CAE"/>
    <w:rsid w:val="001E3FD9"/>
    <w:rsid w:val="001E4098"/>
    <w:rsid w:val="001E42D3"/>
    <w:rsid w:val="001E441F"/>
    <w:rsid w:val="001E4438"/>
    <w:rsid w:val="001E4580"/>
    <w:rsid w:val="001E4647"/>
    <w:rsid w:val="001E465E"/>
    <w:rsid w:val="001E46EB"/>
    <w:rsid w:val="001E4747"/>
    <w:rsid w:val="001E47C0"/>
    <w:rsid w:val="001E4881"/>
    <w:rsid w:val="001E497D"/>
    <w:rsid w:val="001E4B64"/>
    <w:rsid w:val="001E4B7E"/>
    <w:rsid w:val="001E4B81"/>
    <w:rsid w:val="001E4BE1"/>
    <w:rsid w:val="001E4DCB"/>
    <w:rsid w:val="001E4E72"/>
    <w:rsid w:val="001E4EB2"/>
    <w:rsid w:val="001E5079"/>
    <w:rsid w:val="001E5392"/>
    <w:rsid w:val="001E562A"/>
    <w:rsid w:val="001E584A"/>
    <w:rsid w:val="001E5989"/>
    <w:rsid w:val="001E633A"/>
    <w:rsid w:val="001E63E4"/>
    <w:rsid w:val="001E6640"/>
    <w:rsid w:val="001E6830"/>
    <w:rsid w:val="001E6835"/>
    <w:rsid w:val="001E6884"/>
    <w:rsid w:val="001E6D3D"/>
    <w:rsid w:val="001E7205"/>
    <w:rsid w:val="001E75BC"/>
    <w:rsid w:val="001E7872"/>
    <w:rsid w:val="001E79F1"/>
    <w:rsid w:val="001E7C5D"/>
    <w:rsid w:val="001E7E62"/>
    <w:rsid w:val="001F04B1"/>
    <w:rsid w:val="001F04C5"/>
    <w:rsid w:val="001F06DA"/>
    <w:rsid w:val="001F082A"/>
    <w:rsid w:val="001F082D"/>
    <w:rsid w:val="001F0D31"/>
    <w:rsid w:val="001F0DC4"/>
    <w:rsid w:val="001F1322"/>
    <w:rsid w:val="001F13CB"/>
    <w:rsid w:val="001F16A8"/>
    <w:rsid w:val="001F1915"/>
    <w:rsid w:val="001F1A35"/>
    <w:rsid w:val="001F20F2"/>
    <w:rsid w:val="001F2233"/>
    <w:rsid w:val="001F247E"/>
    <w:rsid w:val="001F2545"/>
    <w:rsid w:val="001F2608"/>
    <w:rsid w:val="001F28E6"/>
    <w:rsid w:val="001F2960"/>
    <w:rsid w:val="001F2B9C"/>
    <w:rsid w:val="001F2CA6"/>
    <w:rsid w:val="001F2D02"/>
    <w:rsid w:val="001F2E34"/>
    <w:rsid w:val="001F30BC"/>
    <w:rsid w:val="001F3238"/>
    <w:rsid w:val="001F3BD7"/>
    <w:rsid w:val="001F3D8F"/>
    <w:rsid w:val="001F3F8B"/>
    <w:rsid w:val="001F43BA"/>
    <w:rsid w:val="001F4969"/>
    <w:rsid w:val="001F4DAC"/>
    <w:rsid w:val="001F53D3"/>
    <w:rsid w:val="001F569E"/>
    <w:rsid w:val="001F5A0D"/>
    <w:rsid w:val="001F5C13"/>
    <w:rsid w:val="001F5C90"/>
    <w:rsid w:val="001F5D0A"/>
    <w:rsid w:val="001F5D12"/>
    <w:rsid w:val="001F5DDE"/>
    <w:rsid w:val="001F5DFC"/>
    <w:rsid w:val="001F626E"/>
    <w:rsid w:val="001F686D"/>
    <w:rsid w:val="001F6BB0"/>
    <w:rsid w:val="001F6BBB"/>
    <w:rsid w:val="001F6F4A"/>
    <w:rsid w:val="001F708D"/>
    <w:rsid w:val="001F7147"/>
    <w:rsid w:val="001F71B1"/>
    <w:rsid w:val="001F75B8"/>
    <w:rsid w:val="001F7667"/>
    <w:rsid w:val="001F7701"/>
    <w:rsid w:val="001F7FB1"/>
    <w:rsid w:val="002000FD"/>
    <w:rsid w:val="002001E1"/>
    <w:rsid w:val="002002B0"/>
    <w:rsid w:val="00200FB9"/>
    <w:rsid w:val="00201303"/>
    <w:rsid w:val="002014E3"/>
    <w:rsid w:val="0020155A"/>
    <w:rsid w:val="0020157A"/>
    <w:rsid w:val="002015BE"/>
    <w:rsid w:val="00201800"/>
    <w:rsid w:val="00201D7A"/>
    <w:rsid w:val="0020215B"/>
    <w:rsid w:val="002021E1"/>
    <w:rsid w:val="0020257B"/>
    <w:rsid w:val="00202910"/>
    <w:rsid w:val="00202B6F"/>
    <w:rsid w:val="00202BE7"/>
    <w:rsid w:val="00202D8C"/>
    <w:rsid w:val="0020302B"/>
    <w:rsid w:val="00203036"/>
    <w:rsid w:val="00203243"/>
    <w:rsid w:val="002035C4"/>
    <w:rsid w:val="002036C8"/>
    <w:rsid w:val="00203B7C"/>
    <w:rsid w:val="00203BB9"/>
    <w:rsid w:val="00203E74"/>
    <w:rsid w:val="00203E77"/>
    <w:rsid w:val="00204387"/>
    <w:rsid w:val="002044CC"/>
    <w:rsid w:val="00204A25"/>
    <w:rsid w:val="00204BB1"/>
    <w:rsid w:val="00204C08"/>
    <w:rsid w:val="00204CAE"/>
    <w:rsid w:val="00204DEA"/>
    <w:rsid w:val="00204E60"/>
    <w:rsid w:val="00204F57"/>
    <w:rsid w:val="00205155"/>
    <w:rsid w:val="002052DD"/>
    <w:rsid w:val="002057DE"/>
    <w:rsid w:val="002057E6"/>
    <w:rsid w:val="00205875"/>
    <w:rsid w:val="00205CAF"/>
    <w:rsid w:val="00205CF7"/>
    <w:rsid w:val="00205FDA"/>
    <w:rsid w:val="00206123"/>
    <w:rsid w:val="002062DA"/>
    <w:rsid w:val="00206314"/>
    <w:rsid w:val="002067CB"/>
    <w:rsid w:val="00206D75"/>
    <w:rsid w:val="0020712B"/>
    <w:rsid w:val="00207316"/>
    <w:rsid w:val="00207350"/>
    <w:rsid w:val="002075DC"/>
    <w:rsid w:val="00207649"/>
    <w:rsid w:val="002079F1"/>
    <w:rsid w:val="00207B0D"/>
    <w:rsid w:val="00207B4F"/>
    <w:rsid w:val="00207BDE"/>
    <w:rsid w:val="00207D1B"/>
    <w:rsid w:val="00207E22"/>
    <w:rsid w:val="002101E0"/>
    <w:rsid w:val="00210261"/>
    <w:rsid w:val="002106D1"/>
    <w:rsid w:val="0021088F"/>
    <w:rsid w:val="00210976"/>
    <w:rsid w:val="00210B1A"/>
    <w:rsid w:val="00210C65"/>
    <w:rsid w:val="00210DCD"/>
    <w:rsid w:val="00210F81"/>
    <w:rsid w:val="0021136A"/>
    <w:rsid w:val="0021140F"/>
    <w:rsid w:val="002114CA"/>
    <w:rsid w:val="00211892"/>
    <w:rsid w:val="00211BB4"/>
    <w:rsid w:val="00211C0C"/>
    <w:rsid w:val="00211D04"/>
    <w:rsid w:val="002123D9"/>
    <w:rsid w:val="002123F4"/>
    <w:rsid w:val="00212521"/>
    <w:rsid w:val="0021257A"/>
    <w:rsid w:val="002125DC"/>
    <w:rsid w:val="00212737"/>
    <w:rsid w:val="00212AC1"/>
    <w:rsid w:val="00212AEC"/>
    <w:rsid w:val="00212C72"/>
    <w:rsid w:val="00212F28"/>
    <w:rsid w:val="00213137"/>
    <w:rsid w:val="002134FA"/>
    <w:rsid w:val="00213C85"/>
    <w:rsid w:val="002142E2"/>
    <w:rsid w:val="002146F5"/>
    <w:rsid w:val="00214771"/>
    <w:rsid w:val="00214AB0"/>
    <w:rsid w:val="00214BBB"/>
    <w:rsid w:val="00214D62"/>
    <w:rsid w:val="00214D68"/>
    <w:rsid w:val="00214EE2"/>
    <w:rsid w:val="0021520B"/>
    <w:rsid w:val="00215259"/>
    <w:rsid w:val="00215277"/>
    <w:rsid w:val="0021536A"/>
    <w:rsid w:val="002153D7"/>
    <w:rsid w:val="002154A7"/>
    <w:rsid w:val="0021554E"/>
    <w:rsid w:val="00215607"/>
    <w:rsid w:val="002158EA"/>
    <w:rsid w:val="002159BE"/>
    <w:rsid w:val="00215A1A"/>
    <w:rsid w:val="00215C42"/>
    <w:rsid w:val="00215E66"/>
    <w:rsid w:val="002164DB"/>
    <w:rsid w:val="0021656D"/>
    <w:rsid w:val="002166AF"/>
    <w:rsid w:val="0021672F"/>
    <w:rsid w:val="00217068"/>
    <w:rsid w:val="0021727A"/>
    <w:rsid w:val="0021744C"/>
    <w:rsid w:val="00217763"/>
    <w:rsid w:val="00217B2D"/>
    <w:rsid w:val="00217B38"/>
    <w:rsid w:val="00217F0F"/>
    <w:rsid w:val="00220297"/>
    <w:rsid w:val="00220681"/>
    <w:rsid w:val="00220741"/>
    <w:rsid w:val="00220C21"/>
    <w:rsid w:val="00220CB7"/>
    <w:rsid w:val="00221829"/>
    <w:rsid w:val="00221C2B"/>
    <w:rsid w:val="00221F30"/>
    <w:rsid w:val="00221FFB"/>
    <w:rsid w:val="00222121"/>
    <w:rsid w:val="002224D4"/>
    <w:rsid w:val="00222CA1"/>
    <w:rsid w:val="00222DA2"/>
    <w:rsid w:val="00223438"/>
    <w:rsid w:val="002239CB"/>
    <w:rsid w:val="00223E2E"/>
    <w:rsid w:val="00224046"/>
    <w:rsid w:val="0022409A"/>
    <w:rsid w:val="00224333"/>
    <w:rsid w:val="00224417"/>
    <w:rsid w:val="00224A5F"/>
    <w:rsid w:val="00224C97"/>
    <w:rsid w:val="00225145"/>
    <w:rsid w:val="002251BA"/>
    <w:rsid w:val="00225314"/>
    <w:rsid w:val="00225433"/>
    <w:rsid w:val="00225491"/>
    <w:rsid w:val="002254BE"/>
    <w:rsid w:val="0022562C"/>
    <w:rsid w:val="002256D3"/>
    <w:rsid w:val="002259BC"/>
    <w:rsid w:val="00226029"/>
    <w:rsid w:val="00226545"/>
    <w:rsid w:val="002266A5"/>
    <w:rsid w:val="002267D6"/>
    <w:rsid w:val="002269B9"/>
    <w:rsid w:val="00227062"/>
    <w:rsid w:val="002271A7"/>
    <w:rsid w:val="002275F4"/>
    <w:rsid w:val="00227AE9"/>
    <w:rsid w:val="00227B9E"/>
    <w:rsid w:val="00227BD6"/>
    <w:rsid w:val="00227D0A"/>
    <w:rsid w:val="002303B1"/>
    <w:rsid w:val="00230451"/>
    <w:rsid w:val="002305B9"/>
    <w:rsid w:val="00230621"/>
    <w:rsid w:val="00230623"/>
    <w:rsid w:val="002307E1"/>
    <w:rsid w:val="00230A8E"/>
    <w:rsid w:val="00230C1A"/>
    <w:rsid w:val="002314E7"/>
    <w:rsid w:val="00231530"/>
    <w:rsid w:val="002318AF"/>
    <w:rsid w:val="00231F5C"/>
    <w:rsid w:val="002321C1"/>
    <w:rsid w:val="002329DF"/>
    <w:rsid w:val="00232BC7"/>
    <w:rsid w:val="00232F8F"/>
    <w:rsid w:val="00232FED"/>
    <w:rsid w:val="00233026"/>
    <w:rsid w:val="002330CC"/>
    <w:rsid w:val="002332EB"/>
    <w:rsid w:val="002334EC"/>
    <w:rsid w:val="0023351D"/>
    <w:rsid w:val="0023397D"/>
    <w:rsid w:val="00233FC8"/>
    <w:rsid w:val="002344FB"/>
    <w:rsid w:val="0023481B"/>
    <w:rsid w:val="00234852"/>
    <w:rsid w:val="00234A26"/>
    <w:rsid w:val="00234B8C"/>
    <w:rsid w:val="00234C23"/>
    <w:rsid w:val="00234D4B"/>
    <w:rsid w:val="00235215"/>
    <w:rsid w:val="002353A3"/>
    <w:rsid w:val="00235655"/>
    <w:rsid w:val="00235930"/>
    <w:rsid w:val="00235A22"/>
    <w:rsid w:val="00235E1C"/>
    <w:rsid w:val="00235E92"/>
    <w:rsid w:val="0023612D"/>
    <w:rsid w:val="002365F6"/>
    <w:rsid w:val="00236636"/>
    <w:rsid w:val="00236791"/>
    <w:rsid w:val="002369C7"/>
    <w:rsid w:val="00236A87"/>
    <w:rsid w:val="00236C70"/>
    <w:rsid w:val="00237025"/>
    <w:rsid w:val="00237297"/>
    <w:rsid w:val="002372CD"/>
    <w:rsid w:val="0023736C"/>
    <w:rsid w:val="0023738F"/>
    <w:rsid w:val="0023740E"/>
    <w:rsid w:val="0023768E"/>
    <w:rsid w:val="00237791"/>
    <w:rsid w:val="00237B0C"/>
    <w:rsid w:val="00237C14"/>
    <w:rsid w:val="00240262"/>
    <w:rsid w:val="002402F3"/>
    <w:rsid w:val="002409CD"/>
    <w:rsid w:val="00240C57"/>
    <w:rsid w:val="00240DC4"/>
    <w:rsid w:val="00240EC8"/>
    <w:rsid w:val="00240EE4"/>
    <w:rsid w:val="00240F3D"/>
    <w:rsid w:val="002411F8"/>
    <w:rsid w:val="00241259"/>
    <w:rsid w:val="0024168F"/>
    <w:rsid w:val="00241690"/>
    <w:rsid w:val="002416D6"/>
    <w:rsid w:val="00241F99"/>
    <w:rsid w:val="00242040"/>
    <w:rsid w:val="002420AC"/>
    <w:rsid w:val="00242155"/>
    <w:rsid w:val="002421CF"/>
    <w:rsid w:val="002422BB"/>
    <w:rsid w:val="0024243D"/>
    <w:rsid w:val="0024246B"/>
    <w:rsid w:val="002424FA"/>
    <w:rsid w:val="002425DE"/>
    <w:rsid w:val="00242679"/>
    <w:rsid w:val="00242758"/>
    <w:rsid w:val="0024296A"/>
    <w:rsid w:val="00242D2E"/>
    <w:rsid w:val="00242F8B"/>
    <w:rsid w:val="00243222"/>
    <w:rsid w:val="00243321"/>
    <w:rsid w:val="00243712"/>
    <w:rsid w:val="00243786"/>
    <w:rsid w:val="002438A0"/>
    <w:rsid w:val="002438C2"/>
    <w:rsid w:val="00243AE0"/>
    <w:rsid w:val="00243ECB"/>
    <w:rsid w:val="0024429B"/>
    <w:rsid w:val="00244372"/>
    <w:rsid w:val="0024474C"/>
    <w:rsid w:val="00244983"/>
    <w:rsid w:val="00244E68"/>
    <w:rsid w:val="002452E9"/>
    <w:rsid w:val="00245784"/>
    <w:rsid w:val="002457F1"/>
    <w:rsid w:val="002458E1"/>
    <w:rsid w:val="0024590B"/>
    <w:rsid w:val="00245ACA"/>
    <w:rsid w:val="00245EE2"/>
    <w:rsid w:val="00245F0D"/>
    <w:rsid w:val="00246398"/>
    <w:rsid w:val="0024651F"/>
    <w:rsid w:val="00246903"/>
    <w:rsid w:val="002469D9"/>
    <w:rsid w:val="00246CC4"/>
    <w:rsid w:val="00246EBB"/>
    <w:rsid w:val="00247776"/>
    <w:rsid w:val="002479A8"/>
    <w:rsid w:val="00247FAD"/>
    <w:rsid w:val="00250100"/>
    <w:rsid w:val="002503BD"/>
    <w:rsid w:val="00250464"/>
    <w:rsid w:val="00250492"/>
    <w:rsid w:val="00250677"/>
    <w:rsid w:val="002508C2"/>
    <w:rsid w:val="002509A3"/>
    <w:rsid w:val="00250C76"/>
    <w:rsid w:val="0025114B"/>
    <w:rsid w:val="002512B0"/>
    <w:rsid w:val="0025154A"/>
    <w:rsid w:val="002515C8"/>
    <w:rsid w:val="00251938"/>
    <w:rsid w:val="00251A29"/>
    <w:rsid w:val="00251C19"/>
    <w:rsid w:val="00251F4F"/>
    <w:rsid w:val="002520E8"/>
    <w:rsid w:val="0025218D"/>
    <w:rsid w:val="002528FB"/>
    <w:rsid w:val="0025292F"/>
    <w:rsid w:val="00252D1A"/>
    <w:rsid w:val="00253038"/>
    <w:rsid w:val="00253173"/>
    <w:rsid w:val="00253437"/>
    <w:rsid w:val="0025344C"/>
    <w:rsid w:val="00253506"/>
    <w:rsid w:val="002535AB"/>
    <w:rsid w:val="00253812"/>
    <w:rsid w:val="00253E44"/>
    <w:rsid w:val="00253EE4"/>
    <w:rsid w:val="00253F0A"/>
    <w:rsid w:val="00254026"/>
    <w:rsid w:val="002541C8"/>
    <w:rsid w:val="00254282"/>
    <w:rsid w:val="00254681"/>
    <w:rsid w:val="00254732"/>
    <w:rsid w:val="002548AC"/>
    <w:rsid w:val="002549A2"/>
    <w:rsid w:val="00254D06"/>
    <w:rsid w:val="00254EAD"/>
    <w:rsid w:val="00254F72"/>
    <w:rsid w:val="002550DA"/>
    <w:rsid w:val="00255119"/>
    <w:rsid w:val="002552C9"/>
    <w:rsid w:val="002553E3"/>
    <w:rsid w:val="00255C4F"/>
    <w:rsid w:val="00255F7F"/>
    <w:rsid w:val="0025601E"/>
    <w:rsid w:val="002560E2"/>
    <w:rsid w:val="00256184"/>
    <w:rsid w:val="002566B4"/>
    <w:rsid w:val="00256784"/>
    <w:rsid w:val="00256923"/>
    <w:rsid w:val="00256B1C"/>
    <w:rsid w:val="00256FC4"/>
    <w:rsid w:val="00256FC8"/>
    <w:rsid w:val="0025709D"/>
    <w:rsid w:val="0025754A"/>
    <w:rsid w:val="002576FC"/>
    <w:rsid w:val="00257703"/>
    <w:rsid w:val="002578CB"/>
    <w:rsid w:val="00257EEB"/>
    <w:rsid w:val="00260032"/>
    <w:rsid w:val="002601CA"/>
    <w:rsid w:val="002602F5"/>
    <w:rsid w:val="0026034E"/>
    <w:rsid w:val="00260438"/>
    <w:rsid w:val="00260637"/>
    <w:rsid w:val="00260C81"/>
    <w:rsid w:val="00260C82"/>
    <w:rsid w:val="00260CE7"/>
    <w:rsid w:val="0026154D"/>
    <w:rsid w:val="0026181B"/>
    <w:rsid w:val="00261BD1"/>
    <w:rsid w:val="00262263"/>
    <w:rsid w:val="0026231C"/>
    <w:rsid w:val="00262945"/>
    <w:rsid w:val="00262962"/>
    <w:rsid w:val="00262A8F"/>
    <w:rsid w:val="00262E65"/>
    <w:rsid w:val="00262F64"/>
    <w:rsid w:val="0026313C"/>
    <w:rsid w:val="00263170"/>
    <w:rsid w:val="0026363E"/>
    <w:rsid w:val="00263993"/>
    <w:rsid w:val="00263E09"/>
    <w:rsid w:val="00263E28"/>
    <w:rsid w:val="00263E7C"/>
    <w:rsid w:val="0026400A"/>
    <w:rsid w:val="002640D0"/>
    <w:rsid w:val="00264620"/>
    <w:rsid w:val="00264C37"/>
    <w:rsid w:val="00264DD8"/>
    <w:rsid w:val="00264F06"/>
    <w:rsid w:val="00264FA8"/>
    <w:rsid w:val="00265032"/>
    <w:rsid w:val="00265111"/>
    <w:rsid w:val="00265358"/>
    <w:rsid w:val="00265CEE"/>
    <w:rsid w:val="00266092"/>
    <w:rsid w:val="002666F1"/>
    <w:rsid w:val="00266C62"/>
    <w:rsid w:val="002670B8"/>
    <w:rsid w:val="002672A6"/>
    <w:rsid w:val="002672FD"/>
    <w:rsid w:val="00267370"/>
    <w:rsid w:val="00267676"/>
    <w:rsid w:val="0027019E"/>
    <w:rsid w:val="00270220"/>
    <w:rsid w:val="00270308"/>
    <w:rsid w:val="002707B7"/>
    <w:rsid w:val="00270800"/>
    <w:rsid w:val="00270A26"/>
    <w:rsid w:val="00270A2D"/>
    <w:rsid w:val="00270D79"/>
    <w:rsid w:val="00270F86"/>
    <w:rsid w:val="00271206"/>
    <w:rsid w:val="00271696"/>
    <w:rsid w:val="00271955"/>
    <w:rsid w:val="00271EEE"/>
    <w:rsid w:val="002721B8"/>
    <w:rsid w:val="002721BB"/>
    <w:rsid w:val="00272720"/>
    <w:rsid w:val="0027286A"/>
    <w:rsid w:val="00272AF8"/>
    <w:rsid w:val="00272B99"/>
    <w:rsid w:val="00272C4C"/>
    <w:rsid w:val="00272FD6"/>
    <w:rsid w:val="00272FEA"/>
    <w:rsid w:val="0027352F"/>
    <w:rsid w:val="002738A3"/>
    <w:rsid w:val="00273A91"/>
    <w:rsid w:val="00273AD7"/>
    <w:rsid w:val="00273AE8"/>
    <w:rsid w:val="00273D10"/>
    <w:rsid w:val="002741EC"/>
    <w:rsid w:val="002742D0"/>
    <w:rsid w:val="0027478F"/>
    <w:rsid w:val="00274AA4"/>
    <w:rsid w:val="00274F8A"/>
    <w:rsid w:val="00275156"/>
    <w:rsid w:val="00275A61"/>
    <w:rsid w:val="00275DB9"/>
    <w:rsid w:val="00275E14"/>
    <w:rsid w:val="00275E4A"/>
    <w:rsid w:val="00275F0B"/>
    <w:rsid w:val="00276192"/>
    <w:rsid w:val="0027620B"/>
    <w:rsid w:val="00277158"/>
    <w:rsid w:val="002779F2"/>
    <w:rsid w:val="00277BAF"/>
    <w:rsid w:val="00277CA4"/>
    <w:rsid w:val="00277D51"/>
    <w:rsid w:val="00277EA3"/>
    <w:rsid w:val="00277FEB"/>
    <w:rsid w:val="002806F8"/>
    <w:rsid w:val="002807A2"/>
    <w:rsid w:val="0028088B"/>
    <w:rsid w:val="0028105B"/>
    <w:rsid w:val="00281223"/>
    <w:rsid w:val="00281ABD"/>
    <w:rsid w:val="00281CBA"/>
    <w:rsid w:val="00281D39"/>
    <w:rsid w:val="0028235D"/>
    <w:rsid w:val="0028282F"/>
    <w:rsid w:val="00282870"/>
    <w:rsid w:val="00282935"/>
    <w:rsid w:val="00283250"/>
    <w:rsid w:val="002833C2"/>
    <w:rsid w:val="0028341F"/>
    <w:rsid w:val="00283571"/>
    <w:rsid w:val="00283759"/>
    <w:rsid w:val="00283CED"/>
    <w:rsid w:val="00283FBE"/>
    <w:rsid w:val="00284128"/>
    <w:rsid w:val="0028452F"/>
    <w:rsid w:val="002846A3"/>
    <w:rsid w:val="00284819"/>
    <w:rsid w:val="00284B2E"/>
    <w:rsid w:val="00285372"/>
    <w:rsid w:val="00285419"/>
    <w:rsid w:val="00285719"/>
    <w:rsid w:val="00285B20"/>
    <w:rsid w:val="00285D56"/>
    <w:rsid w:val="00285EAD"/>
    <w:rsid w:val="00285FD5"/>
    <w:rsid w:val="002860A1"/>
    <w:rsid w:val="00286A8C"/>
    <w:rsid w:val="00287439"/>
    <w:rsid w:val="00287B9B"/>
    <w:rsid w:val="00287D93"/>
    <w:rsid w:val="0029027B"/>
    <w:rsid w:val="00290367"/>
    <w:rsid w:val="002908F3"/>
    <w:rsid w:val="00290D97"/>
    <w:rsid w:val="00290F30"/>
    <w:rsid w:val="002910EB"/>
    <w:rsid w:val="002917E6"/>
    <w:rsid w:val="0029183F"/>
    <w:rsid w:val="00291B42"/>
    <w:rsid w:val="00291D74"/>
    <w:rsid w:val="00291E29"/>
    <w:rsid w:val="00291EAA"/>
    <w:rsid w:val="00291FD6"/>
    <w:rsid w:val="002920FA"/>
    <w:rsid w:val="0029282A"/>
    <w:rsid w:val="002928DA"/>
    <w:rsid w:val="002928E4"/>
    <w:rsid w:val="00292B6E"/>
    <w:rsid w:val="00292B7A"/>
    <w:rsid w:val="00292BF8"/>
    <w:rsid w:val="00292CC0"/>
    <w:rsid w:val="002930A1"/>
    <w:rsid w:val="002932C4"/>
    <w:rsid w:val="00293331"/>
    <w:rsid w:val="00293384"/>
    <w:rsid w:val="002934C8"/>
    <w:rsid w:val="00293D81"/>
    <w:rsid w:val="002942DB"/>
    <w:rsid w:val="00294469"/>
    <w:rsid w:val="002945DE"/>
    <w:rsid w:val="00294669"/>
    <w:rsid w:val="002948F3"/>
    <w:rsid w:val="00294988"/>
    <w:rsid w:val="00294AE6"/>
    <w:rsid w:val="00294DED"/>
    <w:rsid w:val="00295488"/>
    <w:rsid w:val="002955A3"/>
    <w:rsid w:val="00295672"/>
    <w:rsid w:val="00295BBB"/>
    <w:rsid w:val="00295C65"/>
    <w:rsid w:val="00295D96"/>
    <w:rsid w:val="00295E3E"/>
    <w:rsid w:val="0029615E"/>
    <w:rsid w:val="00296213"/>
    <w:rsid w:val="00296BC7"/>
    <w:rsid w:val="00296D7E"/>
    <w:rsid w:val="00296DD1"/>
    <w:rsid w:val="00296EBD"/>
    <w:rsid w:val="00297069"/>
    <w:rsid w:val="00297158"/>
    <w:rsid w:val="00297240"/>
    <w:rsid w:val="002979E2"/>
    <w:rsid w:val="00297A8E"/>
    <w:rsid w:val="00297AB5"/>
    <w:rsid w:val="00297F5D"/>
    <w:rsid w:val="002A00F6"/>
    <w:rsid w:val="002A018A"/>
    <w:rsid w:val="002A0288"/>
    <w:rsid w:val="002A045D"/>
    <w:rsid w:val="002A0497"/>
    <w:rsid w:val="002A0774"/>
    <w:rsid w:val="002A0A02"/>
    <w:rsid w:val="002A0B4E"/>
    <w:rsid w:val="002A0DC7"/>
    <w:rsid w:val="002A0DFE"/>
    <w:rsid w:val="002A0E1B"/>
    <w:rsid w:val="002A1025"/>
    <w:rsid w:val="002A131F"/>
    <w:rsid w:val="002A13DA"/>
    <w:rsid w:val="002A14CE"/>
    <w:rsid w:val="002A15C4"/>
    <w:rsid w:val="002A1837"/>
    <w:rsid w:val="002A1844"/>
    <w:rsid w:val="002A1B62"/>
    <w:rsid w:val="002A1F5D"/>
    <w:rsid w:val="002A2998"/>
    <w:rsid w:val="002A29B4"/>
    <w:rsid w:val="002A3503"/>
    <w:rsid w:val="002A3590"/>
    <w:rsid w:val="002A35C6"/>
    <w:rsid w:val="002A3E62"/>
    <w:rsid w:val="002A3FB1"/>
    <w:rsid w:val="002A44C9"/>
    <w:rsid w:val="002A46E1"/>
    <w:rsid w:val="002A4753"/>
    <w:rsid w:val="002A4B51"/>
    <w:rsid w:val="002A4C3C"/>
    <w:rsid w:val="002A4DF4"/>
    <w:rsid w:val="002A4E4C"/>
    <w:rsid w:val="002A4E74"/>
    <w:rsid w:val="002A4EC3"/>
    <w:rsid w:val="002A5391"/>
    <w:rsid w:val="002A549E"/>
    <w:rsid w:val="002A576F"/>
    <w:rsid w:val="002A586A"/>
    <w:rsid w:val="002A684A"/>
    <w:rsid w:val="002A684E"/>
    <w:rsid w:val="002A6AFA"/>
    <w:rsid w:val="002A6F8B"/>
    <w:rsid w:val="002A7121"/>
    <w:rsid w:val="002A7257"/>
    <w:rsid w:val="002A735E"/>
    <w:rsid w:val="002A739D"/>
    <w:rsid w:val="002A7AC0"/>
    <w:rsid w:val="002A7B82"/>
    <w:rsid w:val="002A7FB3"/>
    <w:rsid w:val="002B0066"/>
    <w:rsid w:val="002B0193"/>
    <w:rsid w:val="002B02CB"/>
    <w:rsid w:val="002B0331"/>
    <w:rsid w:val="002B0457"/>
    <w:rsid w:val="002B09D1"/>
    <w:rsid w:val="002B0BE1"/>
    <w:rsid w:val="002B0C89"/>
    <w:rsid w:val="002B0D16"/>
    <w:rsid w:val="002B0E0E"/>
    <w:rsid w:val="002B10FC"/>
    <w:rsid w:val="002B1201"/>
    <w:rsid w:val="002B1550"/>
    <w:rsid w:val="002B1571"/>
    <w:rsid w:val="002B1599"/>
    <w:rsid w:val="002B1647"/>
    <w:rsid w:val="002B168B"/>
    <w:rsid w:val="002B19B9"/>
    <w:rsid w:val="002B19F8"/>
    <w:rsid w:val="002B1C58"/>
    <w:rsid w:val="002B1EC2"/>
    <w:rsid w:val="002B1ED1"/>
    <w:rsid w:val="002B1FEF"/>
    <w:rsid w:val="002B25B9"/>
    <w:rsid w:val="002B2B33"/>
    <w:rsid w:val="002B2D56"/>
    <w:rsid w:val="002B2E7D"/>
    <w:rsid w:val="002B30A9"/>
    <w:rsid w:val="002B310B"/>
    <w:rsid w:val="002B3114"/>
    <w:rsid w:val="002B32C0"/>
    <w:rsid w:val="002B32D2"/>
    <w:rsid w:val="002B3596"/>
    <w:rsid w:val="002B38F3"/>
    <w:rsid w:val="002B3B47"/>
    <w:rsid w:val="002B3DA7"/>
    <w:rsid w:val="002B3E2B"/>
    <w:rsid w:val="002B4146"/>
    <w:rsid w:val="002B4399"/>
    <w:rsid w:val="002B47B2"/>
    <w:rsid w:val="002B4BB4"/>
    <w:rsid w:val="002B4C29"/>
    <w:rsid w:val="002B5040"/>
    <w:rsid w:val="002B5333"/>
    <w:rsid w:val="002B5550"/>
    <w:rsid w:val="002B571B"/>
    <w:rsid w:val="002B5926"/>
    <w:rsid w:val="002B5E08"/>
    <w:rsid w:val="002B5E28"/>
    <w:rsid w:val="002B62E0"/>
    <w:rsid w:val="002B6870"/>
    <w:rsid w:val="002B6D47"/>
    <w:rsid w:val="002B6ECA"/>
    <w:rsid w:val="002B6F2A"/>
    <w:rsid w:val="002B7056"/>
    <w:rsid w:val="002B7342"/>
    <w:rsid w:val="002B76E8"/>
    <w:rsid w:val="002B7710"/>
    <w:rsid w:val="002B779B"/>
    <w:rsid w:val="002B7865"/>
    <w:rsid w:val="002B7A8B"/>
    <w:rsid w:val="002B7AAF"/>
    <w:rsid w:val="002B7B0B"/>
    <w:rsid w:val="002C005E"/>
    <w:rsid w:val="002C011B"/>
    <w:rsid w:val="002C0278"/>
    <w:rsid w:val="002C030F"/>
    <w:rsid w:val="002C061A"/>
    <w:rsid w:val="002C06DE"/>
    <w:rsid w:val="002C07B6"/>
    <w:rsid w:val="002C0829"/>
    <w:rsid w:val="002C08C9"/>
    <w:rsid w:val="002C0922"/>
    <w:rsid w:val="002C1624"/>
    <w:rsid w:val="002C1AEA"/>
    <w:rsid w:val="002C1B10"/>
    <w:rsid w:val="002C206F"/>
    <w:rsid w:val="002C215E"/>
    <w:rsid w:val="002C21D3"/>
    <w:rsid w:val="002C2BBD"/>
    <w:rsid w:val="002C2BD6"/>
    <w:rsid w:val="002C2E1B"/>
    <w:rsid w:val="002C2F3B"/>
    <w:rsid w:val="002C3431"/>
    <w:rsid w:val="002C3671"/>
    <w:rsid w:val="002C37B3"/>
    <w:rsid w:val="002C3897"/>
    <w:rsid w:val="002C39E1"/>
    <w:rsid w:val="002C3B32"/>
    <w:rsid w:val="002C3D72"/>
    <w:rsid w:val="002C3DB4"/>
    <w:rsid w:val="002C3E98"/>
    <w:rsid w:val="002C3EE5"/>
    <w:rsid w:val="002C47D0"/>
    <w:rsid w:val="002C4A24"/>
    <w:rsid w:val="002C4BFB"/>
    <w:rsid w:val="002C4C23"/>
    <w:rsid w:val="002C4D29"/>
    <w:rsid w:val="002C522E"/>
    <w:rsid w:val="002C53FF"/>
    <w:rsid w:val="002C54E6"/>
    <w:rsid w:val="002C569E"/>
    <w:rsid w:val="002C56C8"/>
    <w:rsid w:val="002C56D0"/>
    <w:rsid w:val="002C57E1"/>
    <w:rsid w:val="002C5A5F"/>
    <w:rsid w:val="002C5B1B"/>
    <w:rsid w:val="002C5E2E"/>
    <w:rsid w:val="002C637D"/>
    <w:rsid w:val="002C6E61"/>
    <w:rsid w:val="002C6EE0"/>
    <w:rsid w:val="002C7109"/>
    <w:rsid w:val="002C728C"/>
    <w:rsid w:val="002C72A7"/>
    <w:rsid w:val="002C769D"/>
    <w:rsid w:val="002C7ADD"/>
    <w:rsid w:val="002C7E5C"/>
    <w:rsid w:val="002C7EA8"/>
    <w:rsid w:val="002D03D4"/>
    <w:rsid w:val="002D082B"/>
    <w:rsid w:val="002D09B0"/>
    <w:rsid w:val="002D0AD9"/>
    <w:rsid w:val="002D0AE0"/>
    <w:rsid w:val="002D14D2"/>
    <w:rsid w:val="002D153F"/>
    <w:rsid w:val="002D1D7F"/>
    <w:rsid w:val="002D1FFF"/>
    <w:rsid w:val="002D209D"/>
    <w:rsid w:val="002D21B1"/>
    <w:rsid w:val="002D221A"/>
    <w:rsid w:val="002D2405"/>
    <w:rsid w:val="002D2C26"/>
    <w:rsid w:val="002D2D61"/>
    <w:rsid w:val="002D33A1"/>
    <w:rsid w:val="002D3606"/>
    <w:rsid w:val="002D3612"/>
    <w:rsid w:val="002D3A3C"/>
    <w:rsid w:val="002D3AD9"/>
    <w:rsid w:val="002D3C6F"/>
    <w:rsid w:val="002D3CA4"/>
    <w:rsid w:val="002D3DC1"/>
    <w:rsid w:val="002D4373"/>
    <w:rsid w:val="002D44D0"/>
    <w:rsid w:val="002D4803"/>
    <w:rsid w:val="002D4A3D"/>
    <w:rsid w:val="002D4B6C"/>
    <w:rsid w:val="002D4D76"/>
    <w:rsid w:val="002D4F25"/>
    <w:rsid w:val="002D5027"/>
    <w:rsid w:val="002D5058"/>
    <w:rsid w:val="002D50E6"/>
    <w:rsid w:val="002D5882"/>
    <w:rsid w:val="002D5983"/>
    <w:rsid w:val="002D5CC0"/>
    <w:rsid w:val="002D5D7B"/>
    <w:rsid w:val="002D646D"/>
    <w:rsid w:val="002D64BF"/>
    <w:rsid w:val="002D6540"/>
    <w:rsid w:val="002D6866"/>
    <w:rsid w:val="002D68EA"/>
    <w:rsid w:val="002D7014"/>
    <w:rsid w:val="002D72D8"/>
    <w:rsid w:val="002D739F"/>
    <w:rsid w:val="002D7A57"/>
    <w:rsid w:val="002D7B6B"/>
    <w:rsid w:val="002D7B7B"/>
    <w:rsid w:val="002D7CE1"/>
    <w:rsid w:val="002E0132"/>
    <w:rsid w:val="002E01BB"/>
    <w:rsid w:val="002E0705"/>
    <w:rsid w:val="002E09BA"/>
    <w:rsid w:val="002E0C76"/>
    <w:rsid w:val="002E0D1B"/>
    <w:rsid w:val="002E0FAB"/>
    <w:rsid w:val="002E105D"/>
    <w:rsid w:val="002E1314"/>
    <w:rsid w:val="002E1B00"/>
    <w:rsid w:val="002E1F11"/>
    <w:rsid w:val="002E1F5D"/>
    <w:rsid w:val="002E214E"/>
    <w:rsid w:val="002E2563"/>
    <w:rsid w:val="002E304D"/>
    <w:rsid w:val="002E34B6"/>
    <w:rsid w:val="002E358F"/>
    <w:rsid w:val="002E39E1"/>
    <w:rsid w:val="002E3DA2"/>
    <w:rsid w:val="002E3F12"/>
    <w:rsid w:val="002E3FB7"/>
    <w:rsid w:val="002E4176"/>
    <w:rsid w:val="002E43F6"/>
    <w:rsid w:val="002E4941"/>
    <w:rsid w:val="002E4975"/>
    <w:rsid w:val="002E4C95"/>
    <w:rsid w:val="002E4F99"/>
    <w:rsid w:val="002E50EA"/>
    <w:rsid w:val="002E51DA"/>
    <w:rsid w:val="002E527D"/>
    <w:rsid w:val="002E52C3"/>
    <w:rsid w:val="002E5654"/>
    <w:rsid w:val="002E57AB"/>
    <w:rsid w:val="002E58AA"/>
    <w:rsid w:val="002E58D2"/>
    <w:rsid w:val="002E5989"/>
    <w:rsid w:val="002E5C38"/>
    <w:rsid w:val="002E608C"/>
    <w:rsid w:val="002E62AD"/>
    <w:rsid w:val="002E6676"/>
    <w:rsid w:val="002E69EB"/>
    <w:rsid w:val="002E6E2E"/>
    <w:rsid w:val="002E6E91"/>
    <w:rsid w:val="002E6F45"/>
    <w:rsid w:val="002E7015"/>
    <w:rsid w:val="002E710A"/>
    <w:rsid w:val="002E753D"/>
    <w:rsid w:val="002E7BE8"/>
    <w:rsid w:val="002E7C26"/>
    <w:rsid w:val="002F0082"/>
    <w:rsid w:val="002F0483"/>
    <w:rsid w:val="002F06A6"/>
    <w:rsid w:val="002F0952"/>
    <w:rsid w:val="002F0AAC"/>
    <w:rsid w:val="002F0D3A"/>
    <w:rsid w:val="002F0DC3"/>
    <w:rsid w:val="002F1108"/>
    <w:rsid w:val="002F1422"/>
    <w:rsid w:val="002F162F"/>
    <w:rsid w:val="002F18D0"/>
    <w:rsid w:val="002F1900"/>
    <w:rsid w:val="002F1E54"/>
    <w:rsid w:val="002F2130"/>
    <w:rsid w:val="002F2150"/>
    <w:rsid w:val="002F2518"/>
    <w:rsid w:val="002F26F5"/>
    <w:rsid w:val="002F28C2"/>
    <w:rsid w:val="002F2B33"/>
    <w:rsid w:val="002F2BFD"/>
    <w:rsid w:val="002F2CB0"/>
    <w:rsid w:val="002F3505"/>
    <w:rsid w:val="002F38EF"/>
    <w:rsid w:val="002F3932"/>
    <w:rsid w:val="002F3B71"/>
    <w:rsid w:val="002F3FAF"/>
    <w:rsid w:val="002F40F1"/>
    <w:rsid w:val="002F4146"/>
    <w:rsid w:val="002F41DF"/>
    <w:rsid w:val="002F48E1"/>
    <w:rsid w:val="002F4977"/>
    <w:rsid w:val="002F4B6F"/>
    <w:rsid w:val="002F4C21"/>
    <w:rsid w:val="002F4D6B"/>
    <w:rsid w:val="002F50A0"/>
    <w:rsid w:val="002F5172"/>
    <w:rsid w:val="002F560C"/>
    <w:rsid w:val="002F57EB"/>
    <w:rsid w:val="002F5A35"/>
    <w:rsid w:val="002F5BC8"/>
    <w:rsid w:val="002F5EE5"/>
    <w:rsid w:val="002F61A2"/>
    <w:rsid w:val="002F6356"/>
    <w:rsid w:val="002F662F"/>
    <w:rsid w:val="002F67F2"/>
    <w:rsid w:val="002F6814"/>
    <w:rsid w:val="002F6B51"/>
    <w:rsid w:val="002F6C10"/>
    <w:rsid w:val="002F6EB2"/>
    <w:rsid w:val="002F7016"/>
    <w:rsid w:val="002F7167"/>
    <w:rsid w:val="002F736D"/>
    <w:rsid w:val="002F7378"/>
    <w:rsid w:val="002F74C6"/>
    <w:rsid w:val="002F7A9A"/>
    <w:rsid w:val="002F7E56"/>
    <w:rsid w:val="002F7EA7"/>
    <w:rsid w:val="00300236"/>
    <w:rsid w:val="0030026E"/>
    <w:rsid w:val="00300A2E"/>
    <w:rsid w:val="00300A7D"/>
    <w:rsid w:val="00300C73"/>
    <w:rsid w:val="00301637"/>
    <w:rsid w:val="003016B7"/>
    <w:rsid w:val="00301752"/>
    <w:rsid w:val="00301983"/>
    <w:rsid w:val="00301A61"/>
    <w:rsid w:val="00301E53"/>
    <w:rsid w:val="00301F2F"/>
    <w:rsid w:val="0030250F"/>
    <w:rsid w:val="003025CD"/>
    <w:rsid w:val="003025DF"/>
    <w:rsid w:val="003029A4"/>
    <w:rsid w:val="00302BFE"/>
    <w:rsid w:val="00302FD5"/>
    <w:rsid w:val="00303012"/>
    <w:rsid w:val="00303472"/>
    <w:rsid w:val="00303635"/>
    <w:rsid w:val="00303CCE"/>
    <w:rsid w:val="00303CF7"/>
    <w:rsid w:val="003045A5"/>
    <w:rsid w:val="003045C6"/>
    <w:rsid w:val="00304628"/>
    <w:rsid w:val="00304630"/>
    <w:rsid w:val="003046D1"/>
    <w:rsid w:val="00304CC1"/>
    <w:rsid w:val="00304DF8"/>
    <w:rsid w:val="00304EEB"/>
    <w:rsid w:val="00304F33"/>
    <w:rsid w:val="00305025"/>
    <w:rsid w:val="003054C0"/>
    <w:rsid w:val="00305604"/>
    <w:rsid w:val="0030560D"/>
    <w:rsid w:val="0030593F"/>
    <w:rsid w:val="00305A5C"/>
    <w:rsid w:val="00305D41"/>
    <w:rsid w:val="003060A7"/>
    <w:rsid w:val="003060AD"/>
    <w:rsid w:val="003060C6"/>
    <w:rsid w:val="003062B2"/>
    <w:rsid w:val="00306333"/>
    <w:rsid w:val="00306945"/>
    <w:rsid w:val="00306AF7"/>
    <w:rsid w:val="00306E19"/>
    <w:rsid w:val="00306E83"/>
    <w:rsid w:val="0030717B"/>
    <w:rsid w:val="003072F8"/>
    <w:rsid w:val="0030748A"/>
    <w:rsid w:val="003077D2"/>
    <w:rsid w:val="00307834"/>
    <w:rsid w:val="003079EE"/>
    <w:rsid w:val="00307D50"/>
    <w:rsid w:val="00307DD9"/>
    <w:rsid w:val="00310479"/>
    <w:rsid w:val="003105A6"/>
    <w:rsid w:val="00310C4D"/>
    <w:rsid w:val="00310C85"/>
    <w:rsid w:val="00310E59"/>
    <w:rsid w:val="00310F98"/>
    <w:rsid w:val="00311266"/>
    <w:rsid w:val="003113A9"/>
    <w:rsid w:val="0031155C"/>
    <w:rsid w:val="00311799"/>
    <w:rsid w:val="003117DA"/>
    <w:rsid w:val="00311899"/>
    <w:rsid w:val="00311BDB"/>
    <w:rsid w:val="00311F58"/>
    <w:rsid w:val="00312420"/>
    <w:rsid w:val="00312540"/>
    <w:rsid w:val="00312786"/>
    <w:rsid w:val="00312D87"/>
    <w:rsid w:val="00312EF3"/>
    <w:rsid w:val="00313073"/>
    <w:rsid w:val="00313188"/>
    <w:rsid w:val="003131FA"/>
    <w:rsid w:val="00313209"/>
    <w:rsid w:val="003134FB"/>
    <w:rsid w:val="00313986"/>
    <w:rsid w:val="00313A26"/>
    <w:rsid w:val="00313B2A"/>
    <w:rsid w:val="00313E14"/>
    <w:rsid w:val="003140E8"/>
    <w:rsid w:val="0031486F"/>
    <w:rsid w:val="00314999"/>
    <w:rsid w:val="00314A48"/>
    <w:rsid w:val="00315D86"/>
    <w:rsid w:val="00316CE5"/>
    <w:rsid w:val="00316DA1"/>
    <w:rsid w:val="00316E8F"/>
    <w:rsid w:val="0031728C"/>
    <w:rsid w:val="003173A8"/>
    <w:rsid w:val="003174DE"/>
    <w:rsid w:val="00317A29"/>
    <w:rsid w:val="00317AA0"/>
    <w:rsid w:val="00317ABB"/>
    <w:rsid w:val="00320196"/>
    <w:rsid w:val="00320CC2"/>
    <w:rsid w:val="0032133D"/>
    <w:rsid w:val="0032144D"/>
    <w:rsid w:val="0032196D"/>
    <w:rsid w:val="003223F3"/>
    <w:rsid w:val="003225AD"/>
    <w:rsid w:val="0032297B"/>
    <w:rsid w:val="00322A1D"/>
    <w:rsid w:val="00322B52"/>
    <w:rsid w:val="00322D2A"/>
    <w:rsid w:val="0032306D"/>
    <w:rsid w:val="003230AE"/>
    <w:rsid w:val="00323231"/>
    <w:rsid w:val="00323303"/>
    <w:rsid w:val="00323A19"/>
    <w:rsid w:val="00323AC7"/>
    <w:rsid w:val="00323B3E"/>
    <w:rsid w:val="00323DBB"/>
    <w:rsid w:val="00323E36"/>
    <w:rsid w:val="00323F1D"/>
    <w:rsid w:val="003240F1"/>
    <w:rsid w:val="00324272"/>
    <w:rsid w:val="00324286"/>
    <w:rsid w:val="00324631"/>
    <w:rsid w:val="00324C3F"/>
    <w:rsid w:val="003252F1"/>
    <w:rsid w:val="00325863"/>
    <w:rsid w:val="00325E70"/>
    <w:rsid w:val="00325EBD"/>
    <w:rsid w:val="00325FBC"/>
    <w:rsid w:val="003263D2"/>
    <w:rsid w:val="003263D6"/>
    <w:rsid w:val="003264AE"/>
    <w:rsid w:val="00326877"/>
    <w:rsid w:val="003268B6"/>
    <w:rsid w:val="00326A90"/>
    <w:rsid w:val="00326FCB"/>
    <w:rsid w:val="0032729A"/>
    <w:rsid w:val="003272F4"/>
    <w:rsid w:val="003275E8"/>
    <w:rsid w:val="00327695"/>
    <w:rsid w:val="003276C5"/>
    <w:rsid w:val="00327830"/>
    <w:rsid w:val="00327866"/>
    <w:rsid w:val="00327A63"/>
    <w:rsid w:val="00330081"/>
    <w:rsid w:val="003301E9"/>
    <w:rsid w:val="00330280"/>
    <w:rsid w:val="00330B20"/>
    <w:rsid w:val="00330D43"/>
    <w:rsid w:val="00330D9E"/>
    <w:rsid w:val="00330E40"/>
    <w:rsid w:val="00331093"/>
    <w:rsid w:val="00331336"/>
    <w:rsid w:val="00331989"/>
    <w:rsid w:val="003319C0"/>
    <w:rsid w:val="00331A68"/>
    <w:rsid w:val="00332225"/>
    <w:rsid w:val="00332625"/>
    <w:rsid w:val="00332649"/>
    <w:rsid w:val="00332835"/>
    <w:rsid w:val="0033285C"/>
    <w:rsid w:val="00332956"/>
    <w:rsid w:val="00332AD5"/>
    <w:rsid w:val="00332C41"/>
    <w:rsid w:val="00333042"/>
    <w:rsid w:val="00333AB7"/>
    <w:rsid w:val="0033403A"/>
    <w:rsid w:val="0033426C"/>
    <w:rsid w:val="003342AF"/>
    <w:rsid w:val="00334496"/>
    <w:rsid w:val="00334725"/>
    <w:rsid w:val="0033489E"/>
    <w:rsid w:val="00334A8A"/>
    <w:rsid w:val="00334CAF"/>
    <w:rsid w:val="00334D7D"/>
    <w:rsid w:val="0033507B"/>
    <w:rsid w:val="003353B2"/>
    <w:rsid w:val="0033545C"/>
    <w:rsid w:val="00335790"/>
    <w:rsid w:val="00335A40"/>
    <w:rsid w:val="00335AFB"/>
    <w:rsid w:val="00335E7A"/>
    <w:rsid w:val="0033631E"/>
    <w:rsid w:val="003365E3"/>
    <w:rsid w:val="00336637"/>
    <w:rsid w:val="003367CC"/>
    <w:rsid w:val="00336825"/>
    <w:rsid w:val="00336BD8"/>
    <w:rsid w:val="00336FB2"/>
    <w:rsid w:val="003370E3"/>
    <w:rsid w:val="003372A6"/>
    <w:rsid w:val="00337729"/>
    <w:rsid w:val="0033776F"/>
    <w:rsid w:val="0033799F"/>
    <w:rsid w:val="00337AB9"/>
    <w:rsid w:val="00337ED5"/>
    <w:rsid w:val="00337FFA"/>
    <w:rsid w:val="00340096"/>
    <w:rsid w:val="00340478"/>
    <w:rsid w:val="0034059E"/>
    <w:rsid w:val="00340661"/>
    <w:rsid w:val="0034067A"/>
    <w:rsid w:val="00340AFC"/>
    <w:rsid w:val="00340BD7"/>
    <w:rsid w:val="00340C4B"/>
    <w:rsid w:val="00340D3B"/>
    <w:rsid w:val="00341376"/>
    <w:rsid w:val="003418B8"/>
    <w:rsid w:val="00341B9A"/>
    <w:rsid w:val="00341C66"/>
    <w:rsid w:val="00341F98"/>
    <w:rsid w:val="00342091"/>
    <w:rsid w:val="0034229D"/>
    <w:rsid w:val="0034236B"/>
    <w:rsid w:val="0034262A"/>
    <w:rsid w:val="003426BD"/>
    <w:rsid w:val="00342796"/>
    <w:rsid w:val="00342811"/>
    <w:rsid w:val="0034298D"/>
    <w:rsid w:val="00342C1A"/>
    <w:rsid w:val="00342CF5"/>
    <w:rsid w:val="00343001"/>
    <w:rsid w:val="003431D0"/>
    <w:rsid w:val="00343809"/>
    <w:rsid w:val="00343D57"/>
    <w:rsid w:val="00343DC8"/>
    <w:rsid w:val="00343E56"/>
    <w:rsid w:val="00344079"/>
    <w:rsid w:val="003440A1"/>
    <w:rsid w:val="00344254"/>
    <w:rsid w:val="00344666"/>
    <w:rsid w:val="00344677"/>
    <w:rsid w:val="00344727"/>
    <w:rsid w:val="003447A1"/>
    <w:rsid w:val="00344808"/>
    <w:rsid w:val="00344E93"/>
    <w:rsid w:val="00344F0F"/>
    <w:rsid w:val="0034503E"/>
    <w:rsid w:val="0034511B"/>
    <w:rsid w:val="0034514F"/>
    <w:rsid w:val="00345449"/>
    <w:rsid w:val="00345AC4"/>
    <w:rsid w:val="00345F3F"/>
    <w:rsid w:val="00345F42"/>
    <w:rsid w:val="003467A4"/>
    <w:rsid w:val="0034720E"/>
    <w:rsid w:val="00347549"/>
    <w:rsid w:val="00347999"/>
    <w:rsid w:val="003479A8"/>
    <w:rsid w:val="00347ABA"/>
    <w:rsid w:val="00347D90"/>
    <w:rsid w:val="00347E83"/>
    <w:rsid w:val="00347EB3"/>
    <w:rsid w:val="0035018F"/>
    <w:rsid w:val="003501F7"/>
    <w:rsid w:val="00350217"/>
    <w:rsid w:val="0035029E"/>
    <w:rsid w:val="003502BD"/>
    <w:rsid w:val="00350491"/>
    <w:rsid w:val="003504CD"/>
    <w:rsid w:val="00350F2D"/>
    <w:rsid w:val="00350FC7"/>
    <w:rsid w:val="003510E9"/>
    <w:rsid w:val="00351398"/>
    <w:rsid w:val="003514CB"/>
    <w:rsid w:val="00351607"/>
    <w:rsid w:val="0035168F"/>
    <w:rsid w:val="003519F3"/>
    <w:rsid w:val="00351D1E"/>
    <w:rsid w:val="00351D8B"/>
    <w:rsid w:val="00351DC5"/>
    <w:rsid w:val="003521A0"/>
    <w:rsid w:val="003521E2"/>
    <w:rsid w:val="003528C2"/>
    <w:rsid w:val="0035293B"/>
    <w:rsid w:val="00352FDC"/>
    <w:rsid w:val="00353305"/>
    <w:rsid w:val="0035333F"/>
    <w:rsid w:val="003534F8"/>
    <w:rsid w:val="00353680"/>
    <w:rsid w:val="003538CA"/>
    <w:rsid w:val="00353B04"/>
    <w:rsid w:val="00353B62"/>
    <w:rsid w:val="00353DF3"/>
    <w:rsid w:val="00353FB1"/>
    <w:rsid w:val="0035404A"/>
    <w:rsid w:val="0035483A"/>
    <w:rsid w:val="00354EC7"/>
    <w:rsid w:val="0035500B"/>
    <w:rsid w:val="003550D1"/>
    <w:rsid w:val="003553D7"/>
    <w:rsid w:val="003557DA"/>
    <w:rsid w:val="003558A6"/>
    <w:rsid w:val="00355A62"/>
    <w:rsid w:val="00355B60"/>
    <w:rsid w:val="00355C8B"/>
    <w:rsid w:val="00355D5A"/>
    <w:rsid w:val="003564DB"/>
    <w:rsid w:val="003568DF"/>
    <w:rsid w:val="00356B93"/>
    <w:rsid w:val="00356D12"/>
    <w:rsid w:val="0035713D"/>
    <w:rsid w:val="003576EC"/>
    <w:rsid w:val="00357C98"/>
    <w:rsid w:val="00360915"/>
    <w:rsid w:val="00360D9F"/>
    <w:rsid w:val="00360FC5"/>
    <w:rsid w:val="00360FE6"/>
    <w:rsid w:val="00361154"/>
    <w:rsid w:val="003611AC"/>
    <w:rsid w:val="00361532"/>
    <w:rsid w:val="00361637"/>
    <w:rsid w:val="003619B2"/>
    <w:rsid w:val="00361A07"/>
    <w:rsid w:val="00361B62"/>
    <w:rsid w:val="00361DE4"/>
    <w:rsid w:val="00361DFE"/>
    <w:rsid w:val="00362079"/>
    <w:rsid w:val="0036257E"/>
    <w:rsid w:val="003629F6"/>
    <w:rsid w:val="00362C8D"/>
    <w:rsid w:val="00362D25"/>
    <w:rsid w:val="00362EED"/>
    <w:rsid w:val="00362F07"/>
    <w:rsid w:val="0036326B"/>
    <w:rsid w:val="0036328B"/>
    <w:rsid w:val="00363406"/>
    <w:rsid w:val="00363487"/>
    <w:rsid w:val="00363745"/>
    <w:rsid w:val="0036388E"/>
    <w:rsid w:val="00363928"/>
    <w:rsid w:val="00363ABC"/>
    <w:rsid w:val="0036445D"/>
    <w:rsid w:val="0036466F"/>
    <w:rsid w:val="00364676"/>
    <w:rsid w:val="003648D2"/>
    <w:rsid w:val="0036490A"/>
    <w:rsid w:val="003649DE"/>
    <w:rsid w:val="00364A64"/>
    <w:rsid w:val="00364F4D"/>
    <w:rsid w:val="00365567"/>
    <w:rsid w:val="00365874"/>
    <w:rsid w:val="003658EF"/>
    <w:rsid w:val="003658FF"/>
    <w:rsid w:val="003659A4"/>
    <w:rsid w:val="00365A75"/>
    <w:rsid w:val="00365D64"/>
    <w:rsid w:val="00366016"/>
    <w:rsid w:val="0036658E"/>
    <w:rsid w:val="00366645"/>
    <w:rsid w:val="0036677C"/>
    <w:rsid w:val="003667C7"/>
    <w:rsid w:val="00366D7F"/>
    <w:rsid w:val="00366DF4"/>
    <w:rsid w:val="00366FE5"/>
    <w:rsid w:val="00366FEA"/>
    <w:rsid w:val="00367193"/>
    <w:rsid w:val="003674D5"/>
    <w:rsid w:val="00367517"/>
    <w:rsid w:val="00367537"/>
    <w:rsid w:val="003675F5"/>
    <w:rsid w:val="003708A2"/>
    <w:rsid w:val="00370A48"/>
    <w:rsid w:val="00370CB5"/>
    <w:rsid w:val="00370FF0"/>
    <w:rsid w:val="0037152D"/>
    <w:rsid w:val="0037167E"/>
    <w:rsid w:val="0037198C"/>
    <w:rsid w:val="003719AC"/>
    <w:rsid w:val="00371A6D"/>
    <w:rsid w:val="00372122"/>
    <w:rsid w:val="00372510"/>
    <w:rsid w:val="00372662"/>
    <w:rsid w:val="003726C4"/>
    <w:rsid w:val="003726EA"/>
    <w:rsid w:val="00372868"/>
    <w:rsid w:val="00372923"/>
    <w:rsid w:val="00372E83"/>
    <w:rsid w:val="00373152"/>
    <w:rsid w:val="00374095"/>
    <w:rsid w:val="003741C9"/>
    <w:rsid w:val="003742B1"/>
    <w:rsid w:val="003743EC"/>
    <w:rsid w:val="0037479C"/>
    <w:rsid w:val="00374838"/>
    <w:rsid w:val="00374953"/>
    <w:rsid w:val="00374DDE"/>
    <w:rsid w:val="00375059"/>
    <w:rsid w:val="003754C6"/>
    <w:rsid w:val="00375D68"/>
    <w:rsid w:val="00375DFD"/>
    <w:rsid w:val="00375EF2"/>
    <w:rsid w:val="0037644D"/>
    <w:rsid w:val="0037667D"/>
    <w:rsid w:val="00376B99"/>
    <w:rsid w:val="00376C2F"/>
    <w:rsid w:val="00376D2A"/>
    <w:rsid w:val="00376D57"/>
    <w:rsid w:val="00377071"/>
    <w:rsid w:val="003771B2"/>
    <w:rsid w:val="00377218"/>
    <w:rsid w:val="003772B9"/>
    <w:rsid w:val="003773AF"/>
    <w:rsid w:val="003774F3"/>
    <w:rsid w:val="00377580"/>
    <w:rsid w:val="00377897"/>
    <w:rsid w:val="003779BB"/>
    <w:rsid w:val="00377A83"/>
    <w:rsid w:val="00377BA0"/>
    <w:rsid w:val="003800D0"/>
    <w:rsid w:val="0038023A"/>
    <w:rsid w:val="00380A39"/>
    <w:rsid w:val="00380ADA"/>
    <w:rsid w:val="00380E6D"/>
    <w:rsid w:val="00380F14"/>
    <w:rsid w:val="0038101B"/>
    <w:rsid w:val="0038116F"/>
    <w:rsid w:val="00381178"/>
    <w:rsid w:val="003816BE"/>
    <w:rsid w:val="00381A10"/>
    <w:rsid w:val="00381CBB"/>
    <w:rsid w:val="0038218A"/>
    <w:rsid w:val="003821C8"/>
    <w:rsid w:val="00382360"/>
    <w:rsid w:val="003825A0"/>
    <w:rsid w:val="0038319D"/>
    <w:rsid w:val="003835F1"/>
    <w:rsid w:val="003839E6"/>
    <w:rsid w:val="00383A59"/>
    <w:rsid w:val="003842AA"/>
    <w:rsid w:val="0038449F"/>
    <w:rsid w:val="0038465A"/>
    <w:rsid w:val="00384820"/>
    <w:rsid w:val="00384A5C"/>
    <w:rsid w:val="003854A8"/>
    <w:rsid w:val="00385624"/>
    <w:rsid w:val="00385AD8"/>
    <w:rsid w:val="00385ED1"/>
    <w:rsid w:val="0038600F"/>
    <w:rsid w:val="0038607D"/>
    <w:rsid w:val="0038648C"/>
    <w:rsid w:val="00386773"/>
    <w:rsid w:val="00386799"/>
    <w:rsid w:val="00386854"/>
    <w:rsid w:val="00386884"/>
    <w:rsid w:val="00386D5C"/>
    <w:rsid w:val="003870A6"/>
    <w:rsid w:val="003870ED"/>
    <w:rsid w:val="003871EA"/>
    <w:rsid w:val="0038739F"/>
    <w:rsid w:val="0038745D"/>
    <w:rsid w:val="003876BF"/>
    <w:rsid w:val="003879B3"/>
    <w:rsid w:val="0039030E"/>
    <w:rsid w:val="0039089B"/>
    <w:rsid w:val="0039100D"/>
    <w:rsid w:val="00391A89"/>
    <w:rsid w:val="00391ABF"/>
    <w:rsid w:val="00391D1B"/>
    <w:rsid w:val="00391DC7"/>
    <w:rsid w:val="00391F76"/>
    <w:rsid w:val="0039262B"/>
    <w:rsid w:val="003926DF"/>
    <w:rsid w:val="0039285A"/>
    <w:rsid w:val="00392871"/>
    <w:rsid w:val="00392984"/>
    <w:rsid w:val="00392BF5"/>
    <w:rsid w:val="00392C92"/>
    <w:rsid w:val="00392EDA"/>
    <w:rsid w:val="00393155"/>
    <w:rsid w:val="003935C9"/>
    <w:rsid w:val="00393B77"/>
    <w:rsid w:val="00393CA4"/>
    <w:rsid w:val="003944E8"/>
    <w:rsid w:val="003948B1"/>
    <w:rsid w:val="00394A89"/>
    <w:rsid w:val="00394D0A"/>
    <w:rsid w:val="00395161"/>
    <w:rsid w:val="00395235"/>
    <w:rsid w:val="0039527B"/>
    <w:rsid w:val="0039531E"/>
    <w:rsid w:val="0039539D"/>
    <w:rsid w:val="003953FC"/>
    <w:rsid w:val="0039572B"/>
    <w:rsid w:val="00395795"/>
    <w:rsid w:val="003958BA"/>
    <w:rsid w:val="00395AE5"/>
    <w:rsid w:val="00395D4E"/>
    <w:rsid w:val="003961FE"/>
    <w:rsid w:val="003967AC"/>
    <w:rsid w:val="00396E3D"/>
    <w:rsid w:val="00396F38"/>
    <w:rsid w:val="00396FC1"/>
    <w:rsid w:val="00397099"/>
    <w:rsid w:val="0039710E"/>
    <w:rsid w:val="00397237"/>
    <w:rsid w:val="00397517"/>
    <w:rsid w:val="00397674"/>
    <w:rsid w:val="00397789"/>
    <w:rsid w:val="003978CB"/>
    <w:rsid w:val="00397D7B"/>
    <w:rsid w:val="003A0473"/>
    <w:rsid w:val="003A0C6D"/>
    <w:rsid w:val="003A0E55"/>
    <w:rsid w:val="003A0E5C"/>
    <w:rsid w:val="003A101B"/>
    <w:rsid w:val="003A120C"/>
    <w:rsid w:val="003A15B4"/>
    <w:rsid w:val="003A1907"/>
    <w:rsid w:val="003A1935"/>
    <w:rsid w:val="003A1C02"/>
    <w:rsid w:val="003A1DAC"/>
    <w:rsid w:val="003A1E95"/>
    <w:rsid w:val="003A1EC6"/>
    <w:rsid w:val="003A1FA3"/>
    <w:rsid w:val="003A1FE1"/>
    <w:rsid w:val="003A217A"/>
    <w:rsid w:val="003A23A1"/>
    <w:rsid w:val="003A25C7"/>
    <w:rsid w:val="003A2686"/>
    <w:rsid w:val="003A273F"/>
    <w:rsid w:val="003A2914"/>
    <w:rsid w:val="003A2A52"/>
    <w:rsid w:val="003A2B1D"/>
    <w:rsid w:val="003A30C3"/>
    <w:rsid w:val="003A328A"/>
    <w:rsid w:val="003A3417"/>
    <w:rsid w:val="003A34A5"/>
    <w:rsid w:val="003A3527"/>
    <w:rsid w:val="003A377C"/>
    <w:rsid w:val="003A3983"/>
    <w:rsid w:val="003A3C49"/>
    <w:rsid w:val="003A3DA1"/>
    <w:rsid w:val="003A3F70"/>
    <w:rsid w:val="003A40B7"/>
    <w:rsid w:val="003A4463"/>
    <w:rsid w:val="003A45DB"/>
    <w:rsid w:val="003A4956"/>
    <w:rsid w:val="003A49A3"/>
    <w:rsid w:val="003A4B62"/>
    <w:rsid w:val="003A4BAA"/>
    <w:rsid w:val="003A4EF0"/>
    <w:rsid w:val="003A50F3"/>
    <w:rsid w:val="003A53FF"/>
    <w:rsid w:val="003A55E7"/>
    <w:rsid w:val="003A562C"/>
    <w:rsid w:val="003A5B09"/>
    <w:rsid w:val="003A5FAB"/>
    <w:rsid w:val="003A6171"/>
    <w:rsid w:val="003A6304"/>
    <w:rsid w:val="003A63BB"/>
    <w:rsid w:val="003A645F"/>
    <w:rsid w:val="003A66BD"/>
    <w:rsid w:val="003A673C"/>
    <w:rsid w:val="003A6A38"/>
    <w:rsid w:val="003A6E7F"/>
    <w:rsid w:val="003A6EA4"/>
    <w:rsid w:val="003A7016"/>
    <w:rsid w:val="003A745E"/>
    <w:rsid w:val="003A756D"/>
    <w:rsid w:val="003A7577"/>
    <w:rsid w:val="003A7E57"/>
    <w:rsid w:val="003B01AF"/>
    <w:rsid w:val="003B01E5"/>
    <w:rsid w:val="003B098A"/>
    <w:rsid w:val="003B0997"/>
    <w:rsid w:val="003B0C92"/>
    <w:rsid w:val="003B0D49"/>
    <w:rsid w:val="003B0E1B"/>
    <w:rsid w:val="003B0E21"/>
    <w:rsid w:val="003B1129"/>
    <w:rsid w:val="003B1208"/>
    <w:rsid w:val="003B1236"/>
    <w:rsid w:val="003B127D"/>
    <w:rsid w:val="003B1498"/>
    <w:rsid w:val="003B171A"/>
    <w:rsid w:val="003B174D"/>
    <w:rsid w:val="003B2318"/>
    <w:rsid w:val="003B2513"/>
    <w:rsid w:val="003B2835"/>
    <w:rsid w:val="003B31E0"/>
    <w:rsid w:val="003B3225"/>
    <w:rsid w:val="003B3AC7"/>
    <w:rsid w:val="003B3D25"/>
    <w:rsid w:val="003B3FB0"/>
    <w:rsid w:val="003B456D"/>
    <w:rsid w:val="003B45CC"/>
    <w:rsid w:val="003B499E"/>
    <w:rsid w:val="003B4FE5"/>
    <w:rsid w:val="003B5356"/>
    <w:rsid w:val="003B55B3"/>
    <w:rsid w:val="003B5A5F"/>
    <w:rsid w:val="003B5B6A"/>
    <w:rsid w:val="003B5C0D"/>
    <w:rsid w:val="003B5D5C"/>
    <w:rsid w:val="003B6208"/>
    <w:rsid w:val="003B6330"/>
    <w:rsid w:val="003B660C"/>
    <w:rsid w:val="003B6615"/>
    <w:rsid w:val="003B66A2"/>
    <w:rsid w:val="003B66A4"/>
    <w:rsid w:val="003B67E6"/>
    <w:rsid w:val="003B6848"/>
    <w:rsid w:val="003B6915"/>
    <w:rsid w:val="003B6C59"/>
    <w:rsid w:val="003B6DB8"/>
    <w:rsid w:val="003B6DF4"/>
    <w:rsid w:val="003B6E1F"/>
    <w:rsid w:val="003B6F38"/>
    <w:rsid w:val="003B6FFD"/>
    <w:rsid w:val="003B7005"/>
    <w:rsid w:val="003B77AA"/>
    <w:rsid w:val="003B78D6"/>
    <w:rsid w:val="003B7A79"/>
    <w:rsid w:val="003C043A"/>
    <w:rsid w:val="003C0813"/>
    <w:rsid w:val="003C092B"/>
    <w:rsid w:val="003C093F"/>
    <w:rsid w:val="003C0FBE"/>
    <w:rsid w:val="003C11B6"/>
    <w:rsid w:val="003C11DD"/>
    <w:rsid w:val="003C15C4"/>
    <w:rsid w:val="003C1C48"/>
    <w:rsid w:val="003C1F22"/>
    <w:rsid w:val="003C201C"/>
    <w:rsid w:val="003C2287"/>
    <w:rsid w:val="003C250C"/>
    <w:rsid w:val="003C272A"/>
    <w:rsid w:val="003C27EB"/>
    <w:rsid w:val="003C2B40"/>
    <w:rsid w:val="003C2BCF"/>
    <w:rsid w:val="003C3036"/>
    <w:rsid w:val="003C33DB"/>
    <w:rsid w:val="003C35DB"/>
    <w:rsid w:val="003C3BB5"/>
    <w:rsid w:val="003C3DC7"/>
    <w:rsid w:val="003C3DE2"/>
    <w:rsid w:val="003C4193"/>
    <w:rsid w:val="003C423D"/>
    <w:rsid w:val="003C43EB"/>
    <w:rsid w:val="003C47C5"/>
    <w:rsid w:val="003C4DEE"/>
    <w:rsid w:val="003C4F30"/>
    <w:rsid w:val="003C500D"/>
    <w:rsid w:val="003C51A4"/>
    <w:rsid w:val="003C520C"/>
    <w:rsid w:val="003C5588"/>
    <w:rsid w:val="003C5721"/>
    <w:rsid w:val="003C59C7"/>
    <w:rsid w:val="003C5E42"/>
    <w:rsid w:val="003C5E58"/>
    <w:rsid w:val="003C6048"/>
    <w:rsid w:val="003C62BD"/>
    <w:rsid w:val="003C63D0"/>
    <w:rsid w:val="003C65F2"/>
    <w:rsid w:val="003C6732"/>
    <w:rsid w:val="003C67A0"/>
    <w:rsid w:val="003C6905"/>
    <w:rsid w:val="003C6DE0"/>
    <w:rsid w:val="003C7370"/>
    <w:rsid w:val="003C7566"/>
    <w:rsid w:val="003C7805"/>
    <w:rsid w:val="003C7859"/>
    <w:rsid w:val="003C798B"/>
    <w:rsid w:val="003C7C92"/>
    <w:rsid w:val="003C7D00"/>
    <w:rsid w:val="003C7D60"/>
    <w:rsid w:val="003C7DCD"/>
    <w:rsid w:val="003C7E98"/>
    <w:rsid w:val="003C7F21"/>
    <w:rsid w:val="003D0614"/>
    <w:rsid w:val="003D066F"/>
    <w:rsid w:val="003D1124"/>
    <w:rsid w:val="003D13E5"/>
    <w:rsid w:val="003D160B"/>
    <w:rsid w:val="003D160C"/>
    <w:rsid w:val="003D18F7"/>
    <w:rsid w:val="003D1B1F"/>
    <w:rsid w:val="003D1B65"/>
    <w:rsid w:val="003D1B83"/>
    <w:rsid w:val="003D1B8E"/>
    <w:rsid w:val="003D2200"/>
    <w:rsid w:val="003D2380"/>
    <w:rsid w:val="003D23D3"/>
    <w:rsid w:val="003D26C0"/>
    <w:rsid w:val="003D27DC"/>
    <w:rsid w:val="003D2A83"/>
    <w:rsid w:val="003D2AB7"/>
    <w:rsid w:val="003D2DA4"/>
    <w:rsid w:val="003D32C7"/>
    <w:rsid w:val="003D33D0"/>
    <w:rsid w:val="003D3630"/>
    <w:rsid w:val="003D374E"/>
    <w:rsid w:val="003D3AEE"/>
    <w:rsid w:val="003D3C10"/>
    <w:rsid w:val="003D3FE1"/>
    <w:rsid w:val="003D40FD"/>
    <w:rsid w:val="003D4255"/>
    <w:rsid w:val="003D432E"/>
    <w:rsid w:val="003D44FB"/>
    <w:rsid w:val="003D466A"/>
    <w:rsid w:val="003D47B3"/>
    <w:rsid w:val="003D4918"/>
    <w:rsid w:val="003D4B67"/>
    <w:rsid w:val="003D4C0C"/>
    <w:rsid w:val="003D505B"/>
    <w:rsid w:val="003D58B9"/>
    <w:rsid w:val="003D58C0"/>
    <w:rsid w:val="003D58D9"/>
    <w:rsid w:val="003D5A3A"/>
    <w:rsid w:val="003D5A6E"/>
    <w:rsid w:val="003D652A"/>
    <w:rsid w:val="003D69DD"/>
    <w:rsid w:val="003D6BA0"/>
    <w:rsid w:val="003D6C0C"/>
    <w:rsid w:val="003D6DB2"/>
    <w:rsid w:val="003D7061"/>
    <w:rsid w:val="003D7373"/>
    <w:rsid w:val="003D7A63"/>
    <w:rsid w:val="003D7B8F"/>
    <w:rsid w:val="003D7BBA"/>
    <w:rsid w:val="003D7C33"/>
    <w:rsid w:val="003E0113"/>
    <w:rsid w:val="003E01B2"/>
    <w:rsid w:val="003E05AB"/>
    <w:rsid w:val="003E0604"/>
    <w:rsid w:val="003E0663"/>
    <w:rsid w:val="003E0669"/>
    <w:rsid w:val="003E067B"/>
    <w:rsid w:val="003E0725"/>
    <w:rsid w:val="003E0A2D"/>
    <w:rsid w:val="003E0A46"/>
    <w:rsid w:val="003E0E3C"/>
    <w:rsid w:val="003E0FC2"/>
    <w:rsid w:val="003E0FF3"/>
    <w:rsid w:val="003E1174"/>
    <w:rsid w:val="003E117F"/>
    <w:rsid w:val="003E1331"/>
    <w:rsid w:val="003E15AB"/>
    <w:rsid w:val="003E1A08"/>
    <w:rsid w:val="003E1E0D"/>
    <w:rsid w:val="003E1F13"/>
    <w:rsid w:val="003E21FB"/>
    <w:rsid w:val="003E2853"/>
    <w:rsid w:val="003E2862"/>
    <w:rsid w:val="003E2BD3"/>
    <w:rsid w:val="003E3071"/>
    <w:rsid w:val="003E3415"/>
    <w:rsid w:val="003E34E1"/>
    <w:rsid w:val="003E372E"/>
    <w:rsid w:val="003E3B90"/>
    <w:rsid w:val="003E3B9E"/>
    <w:rsid w:val="003E3CD1"/>
    <w:rsid w:val="003E3DF0"/>
    <w:rsid w:val="003E406F"/>
    <w:rsid w:val="003E4088"/>
    <w:rsid w:val="003E4491"/>
    <w:rsid w:val="003E466F"/>
    <w:rsid w:val="003E4AF7"/>
    <w:rsid w:val="003E4B8F"/>
    <w:rsid w:val="003E4FE8"/>
    <w:rsid w:val="003E53CA"/>
    <w:rsid w:val="003E54AB"/>
    <w:rsid w:val="003E58D4"/>
    <w:rsid w:val="003E5C24"/>
    <w:rsid w:val="003E5D59"/>
    <w:rsid w:val="003E6489"/>
    <w:rsid w:val="003E64D4"/>
    <w:rsid w:val="003E64F4"/>
    <w:rsid w:val="003E689F"/>
    <w:rsid w:val="003E6ABF"/>
    <w:rsid w:val="003E6DDD"/>
    <w:rsid w:val="003E6FFD"/>
    <w:rsid w:val="003E73D4"/>
    <w:rsid w:val="003E73DD"/>
    <w:rsid w:val="003E75B9"/>
    <w:rsid w:val="003E79FD"/>
    <w:rsid w:val="003E7A28"/>
    <w:rsid w:val="003E7A42"/>
    <w:rsid w:val="003E7AC8"/>
    <w:rsid w:val="003E7B82"/>
    <w:rsid w:val="003E7BD2"/>
    <w:rsid w:val="003E7DC7"/>
    <w:rsid w:val="003E7E44"/>
    <w:rsid w:val="003EF8F5"/>
    <w:rsid w:val="003F0340"/>
    <w:rsid w:val="003F03AF"/>
    <w:rsid w:val="003F0E6E"/>
    <w:rsid w:val="003F0FE7"/>
    <w:rsid w:val="003F1082"/>
    <w:rsid w:val="003F11B2"/>
    <w:rsid w:val="003F120A"/>
    <w:rsid w:val="003F121E"/>
    <w:rsid w:val="003F14F8"/>
    <w:rsid w:val="003F1607"/>
    <w:rsid w:val="003F200C"/>
    <w:rsid w:val="003F2778"/>
    <w:rsid w:val="003F2D47"/>
    <w:rsid w:val="003F326A"/>
    <w:rsid w:val="003F33C5"/>
    <w:rsid w:val="003F351D"/>
    <w:rsid w:val="003F356A"/>
    <w:rsid w:val="003F356C"/>
    <w:rsid w:val="003F35B3"/>
    <w:rsid w:val="003F3785"/>
    <w:rsid w:val="003F378E"/>
    <w:rsid w:val="003F3F0E"/>
    <w:rsid w:val="003F423B"/>
    <w:rsid w:val="003F4441"/>
    <w:rsid w:val="003F44A8"/>
    <w:rsid w:val="003F44DD"/>
    <w:rsid w:val="003F4560"/>
    <w:rsid w:val="003F45B0"/>
    <w:rsid w:val="003F4B57"/>
    <w:rsid w:val="003F4CDF"/>
    <w:rsid w:val="003F4E9E"/>
    <w:rsid w:val="003F50F0"/>
    <w:rsid w:val="003F513C"/>
    <w:rsid w:val="003F52AF"/>
    <w:rsid w:val="003F52B3"/>
    <w:rsid w:val="003F5AB7"/>
    <w:rsid w:val="003F5BA2"/>
    <w:rsid w:val="003F6255"/>
    <w:rsid w:val="003F629D"/>
    <w:rsid w:val="003F62EA"/>
    <w:rsid w:val="003F6720"/>
    <w:rsid w:val="003F6A51"/>
    <w:rsid w:val="003F6B39"/>
    <w:rsid w:val="003F7033"/>
    <w:rsid w:val="003F7254"/>
    <w:rsid w:val="003F7729"/>
    <w:rsid w:val="003F7738"/>
    <w:rsid w:val="003F7974"/>
    <w:rsid w:val="003F7AA0"/>
    <w:rsid w:val="003F7D47"/>
    <w:rsid w:val="003F7F1C"/>
    <w:rsid w:val="00400023"/>
    <w:rsid w:val="00400205"/>
    <w:rsid w:val="00400753"/>
    <w:rsid w:val="0040076C"/>
    <w:rsid w:val="00400952"/>
    <w:rsid w:val="004009DA"/>
    <w:rsid w:val="00400AFF"/>
    <w:rsid w:val="00400B03"/>
    <w:rsid w:val="00400B13"/>
    <w:rsid w:val="004012C8"/>
    <w:rsid w:val="004012DB"/>
    <w:rsid w:val="0040134E"/>
    <w:rsid w:val="004015C7"/>
    <w:rsid w:val="0040176D"/>
    <w:rsid w:val="0040195D"/>
    <w:rsid w:val="00401A06"/>
    <w:rsid w:val="00401C36"/>
    <w:rsid w:val="00401D9E"/>
    <w:rsid w:val="00401E54"/>
    <w:rsid w:val="0040230E"/>
    <w:rsid w:val="00402480"/>
    <w:rsid w:val="0040271D"/>
    <w:rsid w:val="00402786"/>
    <w:rsid w:val="004029AF"/>
    <w:rsid w:val="00402B23"/>
    <w:rsid w:val="00402E86"/>
    <w:rsid w:val="0040337D"/>
    <w:rsid w:val="0040351C"/>
    <w:rsid w:val="00403632"/>
    <w:rsid w:val="004038CE"/>
    <w:rsid w:val="00403901"/>
    <w:rsid w:val="004039E9"/>
    <w:rsid w:val="00403DD2"/>
    <w:rsid w:val="00404155"/>
    <w:rsid w:val="004044CA"/>
    <w:rsid w:val="004044DB"/>
    <w:rsid w:val="00404B2B"/>
    <w:rsid w:val="00404CA5"/>
    <w:rsid w:val="00404F37"/>
    <w:rsid w:val="00404FD8"/>
    <w:rsid w:val="00405230"/>
    <w:rsid w:val="0040539D"/>
    <w:rsid w:val="0040570A"/>
    <w:rsid w:val="00405789"/>
    <w:rsid w:val="00405839"/>
    <w:rsid w:val="004059D4"/>
    <w:rsid w:val="00405A7F"/>
    <w:rsid w:val="00405B95"/>
    <w:rsid w:val="00405C79"/>
    <w:rsid w:val="00405E41"/>
    <w:rsid w:val="0040602E"/>
    <w:rsid w:val="004060AC"/>
    <w:rsid w:val="00406164"/>
    <w:rsid w:val="004065CD"/>
    <w:rsid w:val="004066C1"/>
    <w:rsid w:val="00406C09"/>
    <w:rsid w:val="00406DBC"/>
    <w:rsid w:val="00406EE4"/>
    <w:rsid w:val="00407184"/>
    <w:rsid w:val="004077FF"/>
    <w:rsid w:val="0040789C"/>
    <w:rsid w:val="004079DE"/>
    <w:rsid w:val="00407B28"/>
    <w:rsid w:val="00407C5D"/>
    <w:rsid w:val="00407F83"/>
    <w:rsid w:val="00410092"/>
    <w:rsid w:val="004104D9"/>
    <w:rsid w:val="004105E1"/>
    <w:rsid w:val="004106C0"/>
    <w:rsid w:val="00410738"/>
    <w:rsid w:val="0041079E"/>
    <w:rsid w:val="004107AA"/>
    <w:rsid w:val="004107B2"/>
    <w:rsid w:val="004108C1"/>
    <w:rsid w:val="00410E12"/>
    <w:rsid w:val="00410EC2"/>
    <w:rsid w:val="00411306"/>
    <w:rsid w:val="00411311"/>
    <w:rsid w:val="00411466"/>
    <w:rsid w:val="004116FA"/>
    <w:rsid w:val="00411B02"/>
    <w:rsid w:val="00411C18"/>
    <w:rsid w:val="00411C88"/>
    <w:rsid w:val="00411DBC"/>
    <w:rsid w:val="00411E3E"/>
    <w:rsid w:val="004121BF"/>
    <w:rsid w:val="004127F5"/>
    <w:rsid w:val="00412F4B"/>
    <w:rsid w:val="00413080"/>
    <w:rsid w:val="0041316E"/>
    <w:rsid w:val="004135EE"/>
    <w:rsid w:val="0041362E"/>
    <w:rsid w:val="00413790"/>
    <w:rsid w:val="00413978"/>
    <w:rsid w:val="00413A2E"/>
    <w:rsid w:val="0041402B"/>
    <w:rsid w:val="004140C9"/>
    <w:rsid w:val="00414197"/>
    <w:rsid w:val="00414202"/>
    <w:rsid w:val="0041468C"/>
    <w:rsid w:val="00414A33"/>
    <w:rsid w:val="00414CF4"/>
    <w:rsid w:val="004153DC"/>
    <w:rsid w:val="00415623"/>
    <w:rsid w:val="00415974"/>
    <w:rsid w:val="00416015"/>
    <w:rsid w:val="00416032"/>
    <w:rsid w:val="004161DE"/>
    <w:rsid w:val="004167C9"/>
    <w:rsid w:val="004168FA"/>
    <w:rsid w:val="00416BA8"/>
    <w:rsid w:val="00416C38"/>
    <w:rsid w:val="00416F89"/>
    <w:rsid w:val="0041712C"/>
    <w:rsid w:val="004171EB"/>
    <w:rsid w:val="00417692"/>
    <w:rsid w:val="0041783C"/>
    <w:rsid w:val="00417A20"/>
    <w:rsid w:val="00417DBB"/>
    <w:rsid w:val="00420465"/>
    <w:rsid w:val="00420CCE"/>
    <w:rsid w:val="00421918"/>
    <w:rsid w:val="0042191A"/>
    <w:rsid w:val="00421CAB"/>
    <w:rsid w:val="00421CDF"/>
    <w:rsid w:val="00421E75"/>
    <w:rsid w:val="0042278A"/>
    <w:rsid w:val="00422879"/>
    <w:rsid w:val="00422BD4"/>
    <w:rsid w:val="004232EE"/>
    <w:rsid w:val="004233B8"/>
    <w:rsid w:val="004234CD"/>
    <w:rsid w:val="0042399A"/>
    <w:rsid w:val="00423BF0"/>
    <w:rsid w:val="0042484D"/>
    <w:rsid w:val="00424CB8"/>
    <w:rsid w:val="00424D49"/>
    <w:rsid w:val="0042532F"/>
    <w:rsid w:val="0042555A"/>
    <w:rsid w:val="004255B6"/>
    <w:rsid w:val="00425659"/>
    <w:rsid w:val="004257C4"/>
    <w:rsid w:val="00425876"/>
    <w:rsid w:val="00425F33"/>
    <w:rsid w:val="004260BF"/>
    <w:rsid w:val="0042651A"/>
    <w:rsid w:val="00426750"/>
    <w:rsid w:val="004269AA"/>
    <w:rsid w:val="00426B07"/>
    <w:rsid w:val="00426C19"/>
    <w:rsid w:val="00426D9E"/>
    <w:rsid w:val="00427706"/>
    <w:rsid w:val="004278DB"/>
    <w:rsid w:val="00430178"/>
    <w:rsid w:val="00430278"/>
    <w:rsid w:val="00430313"/>
    <w:rsid w:val="004304B5"/>
    <w:rsid w:val="00430DDA"/>
    <w:rsid w:val="00430E62"/>
    <w:rsid w:val="00430FF2"/>
    <w:rsid w:val="004312B7"/>
    <w:rsid w:val="004314B6"/>
    <w:rsid w:val="00431793"/>
    <w:rsid w:val="00431921"/>
    <w:rsid w:val="00431B09"/>
    <w:rsid w:val="00431C81"/>
    <w:rsid w:val="00431F89"/>
    <w:rsid w:val="0043232C"/>
    <w:rsid w:val="00432519"/>
    <w:rsid w:val="0043253A"/>
    <w:rsid w:val="004325A4"/>
    <w:rsid w:val="004325C1"/>
    <w:rsid w:val="0043278B"/>
    <w:rsid w:val="00432D47"/>
    <w:rsid w:val="00432EA4"/>
    <w:rsid w:val="00432F72"/>
    <w:rsid w:val="00433729"/>
    <w:rsid w:val="00433740"/>
    <w:rsid w:val="00433C15"/>
    <w:rsid w:val="00433DBF"/>
    <w:rsid w:val="00434341"/>
    <w:rsid w:val="0043446E"/>
    <w:rsid w:val="004346EA"/>
    <w:rsid w:val="00434D4D"/>
    <w:rsid w:val="00435272"/>
    <w:rsid w:val="004358C1"/>
    <w:rsid w:val="00435A51"/>
    <w:rsid w:val="00435A7F"/>
    <w:rsid w:val="00435AA2"/>
    <w:rsid w:val="00435AAF"/>
    <w:rsid w:val="00436011"/>
    <w:rsid w:val="0043611B"/>
    <w:rsid w:val="004369EA"/>
    <w:rsid w:val="00436BFD"/>
    <w:rsid w:val="00436C71"/>
    <w:rsid w:val="00436EC7"/>
    <w:rsid w:val="00436F79"/>
    <w:rsid w:val="00437428"/>
    <w:rsid w:val="00437875"/>
    <w:rsid w:val="004378FC"/>
    <w:rsid w:val="0043792F"/>
    <w:rsid w:val="00437A0D"/>
    <w:rsid w:val="00437A97"/>
    <w:rsid w:val="00437EDD"/>
    <w:rsid w:val="0044016B"/>
    <w:rsid w:val="004401E0"/>
    <w:rsid w:val="00440492"/>
    <w:rsid w:val="00440D4A"/>
    <w:rsid w:val="00440D7D"/>
    <w:rsid w:val="00440EAD"/>
    <w:rsid w:val="00440EC9"/>
    <w:rsid w:val="00441629"/>
    <w:rsid w:val="00441695"/>
    <w:rsid w:val="004417E0"/>
    <w:rsid w:val="00441A73"/>
    <w:rsid w:val="00441B7A"/>
    <w:rsid w:val="00441BFA"/>
    <w:rsid w:val="00441FCA"/>
    <w:rsid w:val="00442308"/>
    <w:rsid w:val="004423ED"/>
    <w:rsid w:val="0044253D"/>
    <w:rsid w:val="00442705"/>
    <w:rsid w:val="00442AB4"/>
    <w:rsid w:val="004430FA"/>
    <w:rsid w:val="0044324A"/>
    <w:rsid w:val="00443659"/>
    <w:rsid w:val="00443802"/>
    <w:rsid w:val="00443A3A"/>
    <w:rsid w:val="00443BA3"/>
    <w:rsid w:val="00443F23"/>
    <w:rsid w:val="00444172"/>
    <w:rsid w:val="004444D4"/>
    <w:rsid w:val="0044475C"/>
    <w:rsid w:val="00444AC9"/>
    <w:rsid w:val="00444C6E"/>
    <w:rsid w:val="00444F80"/>
    <w:rsid w:val="00444FC4"/>
    <w:rsid w:val="00445018"/>
    <w:rsid w:val="004454CF"/>
    <w:rsid w:val="00445574"/>
    <w:rsid w:val="00445611"/>
    <w:rsid w:val="0044575E"/>
    <w:rsid w:val="004457AA"/>
    <w:rsid w:val="00445AAD"/>
    <w:rsid w:val="00445B14"/>
    <w:rsid w:val="00445D92"/>
    <w:rsid w:val="00445DF1"/>
    <w:rsid w:val="004463E4"/>
    <w:rsid w:val="00446424"/>
    <w:rsid w:val="00446654"/>
    <w:rsid w:val="0044667C"/>
    <w:rsid w:val="004467C3"/>
    <w:rsid w:val="00446958"/>
    <w:rsid w:val="00446B21"/>
    <w:rsid w:val="00446EFC"/>
    <w:rsid w:val="00446F5E"/>
    <w:rsid w:val="00447276"/>
    <w:rsid w:val="0044740B"/>
    <w:rsid w:val="0044777E"/>
    <w:rsid w:val="00447AF6"/>
    <w:rsid w:val="0045029F"/>
    <w:rsid w:val="00450400"/>
    <w:rsid w:val="00450415"/>
    <w:rsid w:val="004504BE"/>
    <w:rsid w:val="004509E9"/>
    <w:rsid w:val="00450C50"/>
    <w:rsid w:val="00450ECC"/>
    <w:rsid w:val="00451290"/>
    <w:rsid w:val="00451565"/>
    <w:rsid w:val="00451574"/>
    <w:rsid w:val="0045157C"/>
    <w:rsid w:val="004516CF"/>
    <w:rsid w:val="0045173B"/>
    <w:rsid w:val="004521B5"/>
    <w:rsid w:val="004521D6"/>
    <w:rsid w:val="0045220E"/>
    <w:rsid w:val="00452254"/>
    <w:rsid w:val="004523A9"/>
    <w:rsid w:val="004528BB"/>
    <w:rsid w:val="004528F0"/>
    <w:rsid w:val="0045290E"/>
    <w:rsid w:val="00452D2A"/>
    <w:rsid w:val="00452F5F"/>
    <w:rsid w:val="004531B6"/>
    <w:rsid w:val="00453372"/>
    <w:rsid w:val="0045355E"/>
    <w:rsid w:val="0045357B"/>
    <w:rsid w:val="00453604"/>
    <w:rsid w:val="00453BD4"/>
    <w:rsid w:val="00453C6C"/>
    <w:rsid w:val="00453D4A"/>
    <w:rsid w:val="00453FD2"/>
    <w:rsid w:val="0045419B"/>
    <w:rsid w:val="00454248"/>
    <w:rsid w:val="00454419"/>
    <w:rsid w:val="004544B7"/>
    <w:rsid w:val="0045479A"/>
    <w:rsid w:val="004548B2"/>
    <w:rsid w:val="004549B4"/>
    <w:rsid w:val="0045524A"/>
    <w:rsid w:val="004552C3"/>
    <w:rsid w:val="004553DC"/>
    <w:rsid w:val="004558B2"/>
    <w:rsid w:val="00455C03"/>
    <w:rsid w:val="00455EA2"/>
    <w:rsid w:val="00456079"/>
    <w:rsid w:val="00456759"/>
    <w:rsid w:val="00456A2C"/>
    <w:rsid w:val="00456C34"/>
    <w:rsid w:val="00457015"/>
    <w:rsid w:val="0045708C"/>
    <w:rsid w:val="004571D2"/>
    <w:rsid w:val="00457209"/>
    <w:rsid w:val="0045748F"/>
    <w:rsid w:val="004577B7"/>
    <w:rsid w:val="0046017A"/>
    <w:rsid w:val="004608A8"/>
    <w:rsid w:val="00460C1A"/>
    <w:rsid w:val="00460C38"/>
    <w:rsid w:val="00460E60"/>
    <w:rsid w:val="00460F11"/>
    <w:rsid w:val="00461732"/>
    <w:rsid w:val="0046196B"/>
    <w:rsid w:val="00461EA4"/>
    <w:rsid w:val="00462220"/>
    <w:rsid w:val="00462CA4"/>
    <w:rsid w:val="00462CC2"/>
    <w:rsid w:val="00462EA3"/>
    <w:rsid w:val="00462ED6"/>
    <w:rsid w:val="00463201"/>
    <w:rsid w:val="004632BE"/>
    <w:rsid w:val="004632D3"/>
    <w:rsid w:val="004632E5"/>
    <w:rsid w:val="0046354B"/>
    <w:rsid w:val="0046398D"/>
    <w:rsid w:val="00463A19"/>
    <w:rsid w:val="00463A3B"/>
    <w:rsid w:val="00463FE5"/>
    <w:rsid w:val="00464626"/>
    <w:rsid w:val="00464633"/>
    <w:rsid w:val="004646A5"/>
    <w:rsid w:val="00464C9B"/>
    <w:rsid w:val="00464CB2"/>
    <w:rsid w:val="00464D4D"/>
    <w:rsid w:val="00464E00"/>
    <w:rsid w:val="00465F09"/>
    <w:rsid w:val="0046630E"/>
    <w:rsid w:val="00466480"/>
    <w:rsid w:val="00466781"/>
    <w:rsid w:val="00466B8A"/>
    <w:rsid w:val="00466C8F"/>
    <w:rsid w:val="0046752B"/>
    <w:rsid w:val="00467764"/>
    <w:rsid w:val="00467850"/>
    <w:rsid w:val="004678A2"/>
    <w:rsid w:val="0046791D"/>
    <w:rsid w:val="00467A31"/>
    <w:rsid w:val="004700BD"/>
    <w:rsid w:val="004700E5"/>
    <w:rsid w:val="0047034D"/>
    <w:rsid w:val="0047036A"/>
    <w:rsid w:val="00470497"/>
    <w:rsid w:val="00470689"/>
    <w:rsid w:val="00470999"/>
    <w:rsid w:val="004709A0"/>
    <w:rsid w:val="00471E7F"/>
    <w:rsid w:val="00471F3A"/>
    <w:rsid w:val="0047211C"/>
    <w:rsid w:val="00472252"/>
    <w:rsid w:val="00472419"/>
    <w:rsid w:val="0047257E"/>
    <w:rsid w:val="004725CE"/>
    <w:rsid w:val="00472746"/>
    <w:rsid w:val="00472B1F"/>
    <w:rsid w:val="00472E02"/>
    <w:rsid w:val="0047318F"/>
    <w:rsid w:val="004731AD"/>
    <w:rsid w:val="004731C1"/>
    <w:rsid w:val="00473264"/>
    <w:rsid w:val="00473555"/>
    <w:rsid w:val="004735AD"/>
    <w:rsid w:val="00473A09"/>
    <w:rsid w:val="00473A64"/>
    <w:rsid w:val="00473B0C"/>
    <w:rsid w:val="00473C3A"/>
    <w:rsid w:val="00473CDC"/>
    <w:rsid w:val="00473DB8"/>
    <w:rsid w:val="00473E2A"/>
    <w:rsid w:val="00474377"/>
    <w:rsid w:val="004746B4"/>
    <w:rsid w:val="00474F0B"/>
    <w:rsid w:val="00474FF1"/>
    <w:rsid w:val="004752F7"/>
    <w:rsid w:val="004757F1"/>
    <w:rsid w:val="00475A7D"/>
    <w:rsid w:val="00475D4B"/>
    <w:rsid w:val="00475F2C"/>
    <w:rsid w:val="00475F69"/>
    <w:rsid w:val="0047606A"/>
    <w:rsid w:val="004761C0"/>
    <w:rsid w:val="0047627C"/>
    <w:rsid w:val="004768AF"/>
    <w:rsid w:val="00476B08"/>
    <w:rsid w:val="00477078"/>
    <w:rsid w:val="00477387"/>
    <w:rsid w:val="004773DF"/>
    <w:rsid w:val="004774A7"/>
    <w:rsid w:val="004774EF"/>
    <w:rsid w:val="00477511"/>
    <w:rsid w:val="0047786B"/>
    <w:rsid w:val="00477E52"/>
    <w:rsid w:val="00477FA8"/>
    <w:rsid w:val="0047E099"/>
    <w:rsid w:val="00480291"/>
    <w:rsid w:val="00480534"/>
    <w:rsid w:val="00480781"/>
    <w:rsid w:val="00480B4D"/>
    <w:rsid w:val="00480D85"/>
    <w:rsid w:val="0048110F"/>
    <w:rsid w:val="004813F7"/>
    <w:rsid w:val="0048155A"/>
    <w:rsid w:val="00481647"/>
    <w:rsid w:val="00481B84"/>
    <w:rsid w:val="00482220"/>
    <w:rsid w:val="00482414"/>
    <w:rsid w:val="0048254D"/>
    <w:rsid w:val="0048317D"/>
    <w:rsid w:val="0048331A"/>
    <w:rsid w:val="004833EB"/>
    <w:rsid w:val="00483496"/>
    <w:rsid w:val="0048369E"/>
    <w:rsid w:val="004837BB"/>
    <w:rsid w:val="00483819"/>
    <w:rsid w:val="00483B9E"/>
    <w:rsid w:val="00483BC3"/>
    <w:rsid w:val="00483D9C"/>
    <w:rsid w:val="004841D7"/>
    <w:rsid w:val="00484457"/>
    <w:rsid w:val="004849B1"/>
    <w:rsid w:val="00484D12"/>
    <w:rsid w:val="004851E6"/>
    <w:rsid w:val="0048557C"/>
    <w:rsid w:val="004857BD"/>
    <w:rsid w:val="0048594F"/>
    <w:rsid w:val="00485970"/>
    <w:rsid w:val="00485DDB"/>
    <w:rsid w:val="00485ED5"/>
    <w:rsid w:val="00485EFD"/>
    <w:rsid w:val="00486281"/>
    <w:rsid w:val="0048694E"/>
    <w:rsid w:val="0048698E"/>
    <w:rsid w:val="00486A89"/>
    <w:rsid w:val="00486B0A"/>
    <w:rsid w:val="00486BA1"/>
    <w:rsid w:val="00486E92"/>
    <w:rsid w:val="00486F1D"/>
    <w:rsid w:val="00486F43"/>
    <w:rsid w:val="00486FD3"/>
    <w:rsid w:val="004870B9"/>
    <w:rsid w:val="00487192"/>
    <w:rsid w:val="004871C8"/>
    <w:rsid w:val="004872DF"/>
    <w:rsid w:val="004873F6"/>
    <w:rsid w:val="00487608"/>
    <w:rsid w:val="00487745"/>
    <w:rsid w:val="00487AF2"/>
    <w:rsid w:val="00487E1D"/>
    <w:rsid w:val="00490004"/>
    <w:rsid w:val="0049028C"/>
    <w:rsid w:val="004902E4"/>
    <w:rsid w:val="004905CC"/>
    <w:rsid w:val="004908B5"/>
    <w:rsid w:val="004908F1"/>
    <w:rsid w:val="0049092E"/>
    <w:rsid w:val="00490BAF"/>
    <w:rsid w:val="00490F61"/>
    <w:rsid w:val="00491098"/>
    <w:rsid w:val="00491172"/>
    <w:rsid w:val="00491291"/>
    <w:rsid w:val="0049130D"/>
    <w:rsid w:val="0049136E"/>
    <w:rsid w:val="0049142F"/>
    <w:rsid w:val="0049143C"/>
    <w:rsid w:val="004917C5"/>
    <w:rsid w:val="00491991"/>
    <w:rsid w:val="00491E43"/>
    <w:rsid w:val="00491EF3"/>
    <w:rsid w:val="00491F86"/>
    <w:rsid w:val="00491FAD"/>
    <w:rsid w:val="004924A4"/>
    <w:rsid w:val="00492546"/>
    <w:rsid w:val="0049258E"/>
    <w:rsid w:val="00492658"/>
    <w:rsid w:val="0049277E"/>
    <w:rsid w:val="00492BA9"/>
    <w:rsid w:val="00492D59"/>
    <w:rsid w:val="00492F0F"/>
    <w:rsid w:val="00492FD5"/>
    <w:rsid w:val="00493218"/>
    <w:rsid w:val="00493256"/>
    <w:rsid w:val="00493407"/>
    <w:rsid w:val="0049348D"/>
    <w:rsid w:val="00493859"/>
    <w:rsid w:val="00493A87"/>
    <w:rsid w:val="00493B75"/>
    <w:rsid w:val="00493B91"/>
    <w:rsid w:val="00493BC2"/>
    <w:rsid w:val="00493CD8"/>
    <w:rsid w:val="00494001"/>
    <w:rsid w:val="00494176"/>
    <w:rsid w:val="0049419F"/>
    <w:rsid w:val="00494396"/>
    <w:rsid w:val="00494CA4"/>
    <w:rsid w:val="00494CFF"/>
    <w:rsid w:val="004952FE"/>
    <w:rsid w:val="00495757"/>
    <w:rsid w:val="004959E4"/>
    <w:rsid w:val="00495B06"/>
    <w:rsid w:val="00495F4C"/>
    <w:rsid w:val="004961CA"/>
    <w:rsid w:val="004963B1"/>
    <w:rsid w:val="0049654E"/>
    <w:rsid w:val="00496654"/>
    <w:rsid w:val="004966BF"/>
    <w:rsid w:val="00496795"/>
    <w:rsid w:val="004967FC"/>
    <w:rsid w:val="00496A73"/>
    <w:rsid w:val="00496B3A"/>
    <w:rsid w:val="00496BA0"/>
    <w:rsid w:val="00496EB7"/>
    <w:rsid w:val="00496F27"/>
    <w:rsid w:val="00497015"/>
    <w:rsid w:val="004971FE"/>
    <w:rsid w:val="0049728F"/>
    <w:rsid w:val="00497719"/>
    <w:rsid w:val="00497992"/>
    <w:rsid w:val="00497C59"/>
    <w:rsid w:val="00497F26"/>
    <w:rsid w:val="004A076B"/>
    <w:rsid w:val="004A0B43"/>
    <w:rsid w:val="004A0FB5"/>
    <w:rsid w:val="004A0FED"/>
    <w:rsid w:val="004A0FFC"/>
    <w:rsid w:val="004A1430"/>
    <w:rsid w:val="004A1643"/>
    <w:rsid w:val="004A1663"/>
    <w:rsid w:val="004A1724"/>
    <w:rsid w:val="004A187F"/>
    <w:rsid w:val="004A1DBB"/>
    <w:rsid w:val="004A1F04"/>
    <w:rsid w:val="004A1F59"/>
    <w:rsid w:val="004A223F"/>
    <w:rsid w:val="004A26BE"/>
    <w:rsid w:val="004A286B"/>
    <w:rsid w:val="004A2C05"/>
    <w:rsid w:val="004A2E0A"/>
    <w:rsid w:val="004A2E34"/>
    <w:rsid w:val="004A31FD"/>
    <w:rsid w:val="004A343A"/>
    <w:rsid w:val="004A3877"/>
    <w:rsid w:val="004A396C"/>
    <w:rsid w:val="004A3C0D"/>
    <w:rsid w:val="004A3D3E"/>
    <w:rsid w:val="004A416B"/>
    <w:rsid w:val="004A43F1"/>
    <w:rsid w:val="004A4486"/>
    <w:rsid w:val="004A45B1"/>
    <w:rsid w:val="004A4775"/>
    <w:rsid w:val="004A49BD"/>
    <w:rsid w:val="004A4D40"/>
    <w:rsid w:val="004A4EB9"/>
    <w:rsid w:val="004A5971"/>
    <w:rsid w:val="004A5BB7"/>
    <w:rsid w:val="004A5C08"/>
    <w:rsid w:val="004A5DA0"/>
    <w:rsid w:val="004A5FB8"/>
    <w:rsid w:val="004A5FE8"/>
    <w:rsid w:val="004A6676"/>
    <w:rsid w:val="004A6A0A"/>
    <w:rsid w:val="004A6B7D"/>
    <w:rsid w:val="004A6C23"/>
    <w:rsid w:val="004A6D92"/>
    <w:rsid w:val="004A7686"/>
    <w:rsid w:val="004A7881"/>
    <w:rsid w:val="004A789C"/>
    <w:rsid w:val="004A78D4"/>
    <w:rsid w:val="004A7A91"/>
    <w:rsid w:val="004A7D94"/>
    <w:rsid w:val="004A7F00"/>
    <w:rsid w:val="004B0166"/>
    <w:rsid w:val="004B06E2"/>
    <w:rsid w:val="004B13A1"/>
    <w:rsid w:val="004B151E"/>
    <w:rsid w:val="004B1664"/>
    <w:rsid w:val="004B16A2"/>
    <w:rsid w:val="004B16FD"/>
    <w:rsid w:val="004B177B"/>
    <w:rsid w:val="004B1B82"/>
    <w:rsid w:val="004B1DF9"/>
    <w:rsid w:val="004B21A7"/>
    <w:rsid w:val="004B2C65"/>
    <w:rsid w:val="004B319F"/>
    <w:rsid w:val="004B326A"/>
    <w:rsid w:val="004B32E0"/>
    <w:rsid w:val="004B341E"/>
    <w:rsid w:val="004B373F"/>
    <w:rsid w:val="004B37BD"/>
    <w:rsid w:val="004B38AB"/>
    <w:rsid w:val="004B3B1E"/>
    <w:rsid w:val="004B3FDC"/>
    <w:rsid w:val="004B4198"/>
    <w:rsid w:val="004B42D0"/>
    <w:rsid w:val="004B4550"/>
    <w:rsid w:val="004B458C"/>
    <w:rsid w:val="004B4600"/>
    <w:rsid w:val="004B50DB"/>
    <w:rsid w:val="004B51EC"/>
    <w:rsid w:val="004B51ED"/>
    <w:rsid w:val="004B524B"/>
    <w:rsid w:val="004B59E3"/>
    <w:rsid w:val="004B5B03"/>
    <w:rsid w:val="004B5BB0"/>
    <w:rsid w:val="004B5C0F"/>
    <w:rsid w:val="004B5C5B"/>
    <w:rsid w:val="004B5DB8"/>
    <w:rsid w:val="004B5F9D"/>
    <w:rsid w:val="004B6070"/>
    <w:rsid w:val="004B6110"/>
    <w:rsid w:val="004B6159"/>
    <w:rsid w:val="004B62F0"/>
    <w:rsid w:val="004B690B"/>
    <w:rsid w:val="004B6D66"/>
    <w:rsid w:val="004B6DD7"/>
    <w:rsid w:val="004B71AE"/>
    <w:rsid w:val="004B7251"/>
    <w:rsid w:val="004B7255"/>
    <w:rsid w:val="004B7362"/>
    <w:rsid w:val="004B7366"/>
    <w:rsid w:val="004B742F"/>
    <w:rsid w:val="004B74BA"/>
    <w:rsid w:val="004B74EF"/>
    <w:rsid w:val="004B7934"/>
    <w:rsid w:val="004B7CB7"/>
    <w:rsid w:val="004B7E36"/>
    <w:rsid w:val="004C026E"/>
    <w:rsid w:val="004C0494"/>
    <w:rsid w:val="004C05D1"/>
    <w:rsid w:val="004C074A"/>
    <w:rsid w:val="004C0918"/>
    <w:rsid w:val="004C0BFA"/>
    <w:rsid w:val="004C0C72"/>
    <w:rsid w:val="004C0CFA"/>
    <w:rsid w:val="004C0EF8"/>
    <w:rsid w:val="004C1624"/>
    <w:rsid w:val="004C18C6"/>
    <w:rsid w:val="004C1927"/>
    <w:rsid w:val="004C237D"/>
    <w:rsid w:val="004C244E"/>
    <w:rsid w:val="004C25D4"/>
    <w:rsid w:val="004C2727"/>
    <w:rsid w:val="004C2764"/>
    <w:rsid w:val="004C2860"/>
    <w:rsid w:val="004C2866"/>
    <w:rsid w:val="004C2D49"/>
    <w:rsid w:val="004C31F6"/>
    <w:rsid w:val="004C383E"/>
    <w:rsid w:val="004C3923"/>
    <w:rsid w:val="004C394C"/>
    <w:rsid w:val="004C3B1E"/>
    <w:rsid w:val="004C3C47"/>
    <w:rsid w:val="004C3D02"/>
    <w:rsid w:val="004C3E27"/>
    <w:rsid w:val="004C47BB"/>
    <w:rsid w:val="004C4993"/>
    <w:rsid w:val="004C49F6"/>
    <w:rsid w:val="004C4C21"/>
    <w:rsid w:val="004C5025"/>
    <w:rsid w:val="004C51B1"/>
    <w:rsid w:val="004C57DB"/>
    <w:rsid w:val="004C59BE"/>
    <w:rsid w:val="004C5A07"/>
    <w:rsid w:val="004C5B25"/>
    <w:rsid w:val="004C60A4"/>
    <w:rsid w:val="004C61C6"/>
    <w:rsid w:val="004C62C0"/>
    <w:rsid w:val="004C6572"/>
    <w:rsid w:val="004C6698"/>
    <w:rsid w:val="004C67E8"/>
    <w:rsid w:val="004C6924"/>
    <w:rsid w:val="004C6C56"/>
    <w:rsid w:val="004C6D64"/>
    <w:rsid w:val="004C76A0"/>
    <w:rsid w:val="004C7C01"/>
    <w:rsid w:val="004C7DA0"/>
    <w:rsid w:val="004C7F30"/>
    <w:rsid w:val="004D0715"/>
    <w:rsid w:val="004D0796"/>
    <w:rsid w:val="004D0A6D"/>
    <w:rsid w:val="004D0BBD"/>
    <w:rsid w:val="004D0E51"/>
    <w:rsid w:val="004D10F8"/>
    <w:rsid w:val="004D13D1"/>
    <w:rsid w:val="004D1408"/>
    <w:rsid w:val="004D152D"/>
    <w:rsid w:val="004D16F2"/>
    <w:rsid w:val="004D1704"/>
    <w:rsid w:val="004D1953"/>
    <w:rsid w:val="004D200D"/>
    <w:rsid w:val="004D2382"/>
    <w:rsid w:val="004D263E"/>
    <w:rsid w:val="004D27AD"/>
    <w:rsid w:val="004D27AF"/>
    <w:rsid w:val="004D2DDA"/>
    <w:rsid w:val="004D2ED6"/>
    <w:rsid w:val="004D301B"/>
    <w:rsid w:val="004D338B"/>
    <w:rsid w:val="004D338E"/>
    <w:rsid w:val="004D3623"/>
    <w:rsid w:val="004D3644"/>
    <w:rsid w:val="004D3B5F"/>
    <w:rsid w:val="004D3DC7"/>
    <w:rsid w:val="004D3FFF"/>
    <w:rsid w:val="004D4368"/>
    <w:rsid w:val="004D43C6"/>
    <w:rsid w:val="004D4A36"/>
    <w:rsid w:val="004D4C4D"/>
    <w:rsid w:val="004D4F07"/>
    <w:rsid w:val="004D4F34"/>
    <w:rsid w:val="004D4FF3"/>
    <w:rsid w:val="004D51B2"/>
    <w:rsid w:val="004D56E5"/>
    <w:rsid w:val="004D5919"/>
    <w:rsid w:val="004D5EA8"/>
    <w:rsid w:val="004D6040"/>
    <w:rsid w:val="004D6094"/>
    <w:rsid w:val="004D6194"/>
    <w:rsid w:val="004D642C"/>
    <w:rsid w:val="004D6F17"/>
    <w:rsid w:val="004D7037"/>
    <w:rsid w:val="004D74A0"/>
    <w:rsid w:val="004D761B"/>
    <w:rsid w:val="004D7FCF"/>
    <w:rsid w:val="004E049D"/>
    <w:rsid w:val="004E058D"/>
    <w:rsid w:val="004E08B6"/>
    <w:rsid w:val="004E08DB"/>
    <w:rsid w:val="004E0ABA"/>
    <w:rsid w:val="004E0B65"/>
    <w:rsid w:val="004E0B8F"/>
    <w:rsid w:val="004E1101"/>
    <w:rsid w:val="004E12D2"/>
    <w:rsid w:val="004E1381"/>
    <w:rsid w:val="004E13B9"/>
    <w:rsid w:val="004E1435"/>
    <w:rsid w:val="004E1481"/>
    <w:rsid w:val="004E16C9"/>
    <w:rsid w:val="004E17AB"/>
    <w:rsid w:val="004E19FC"/>
    <w:rsid w:val="004E1BA0"/>
    <w:rsid w:val="004E1DA7"/>
    <w:rsid w:val="004E2198"/>
    <w:rsid w:val="004E23F0"/>
    <w:rsid w:val="004E2652"/>
    <w:rsid w:val="004E2C04"/>
    <w:rsid w:val="004E2F37"/>
    <w:rsid w:val="004E2F3F"/>
    <w:rsid w:val="004E3607"/>
    <w:rsid w:val="004E3CA8"/>
    <w:rsid w:val="004E3E78"/>
    <w:rsid w:val="004E40ED"/>
    <w:rsid w:val="004E41EE"/>
    <w:rsid w:val="004E42ED"/>
    <w:rsid w:val="004E4336"/>
    <w:rsid w:val="004E480F"/>
    <w:rsid w:val="004E4D52"/>
    <w:rsid w:val="004E4D91"/>
    <w:rsid w:val="004E4F62"/>
    <w:rsid w:val="004E4F7B"/>
    <w:rsid w:val="004E524D"/>
    <w:rsid w:val="004E52EF"/>
    <w:rsid w:val="004E53C0"/>
    <w:rsid w:val="004E53C8"/>
    <w:rsid w:val="004E54F9"/>
    <w:rsid w:val="004E59C4"/>
    <w:rsid w:val="004E59EF"/>
    <w:rsid w:val="004E5DD0"/>
    <w:rsid w:val="004E5FA0"/>
    <w:rsid w:val="004E6028"/>
    <w:rsid w:val="004E6070"/>
    <w:rsid w:val="004E60DA"/>
    <w:rsid w:val="004E62A5"/>
    <w:rsid w:val="004E64A1"/>
    <w:rsid w:val="004E6523"/>
    <w:rsid w:val="004E66E6"/>
    <w:rsid w:val="004E6AEC"/>
    <w:rsid w:val="004E6D00"/>
    <w:rsid w:val="004E711E"/>
    <w:rsid w:val="004E771C"/>
    <w:rsid w:val="004E7A42"/>
    <w:rsid w:val="004E7BEA"/>
    <w:rsid w:val="004E7C61"/>
    <w:rsid w:val="004F07BA"/>
    <w:rsid w:val="004F07D1"/>
    <w:rsid w:val="004F0A31"/>
    <w:rsid w:val="004F0AF6"/>
    <w:rsid w:val="004F0CD9"/>
    <w:rsid w:val="004F0DE0"/>
    <w:rsid w:val="004F0F70"/>
    <w:rsid w:val="004F11F4"/>
    <w:rsid w:val="004F12E1"/>
    <w:rsid w:val="004F136C"/>
    <w:rsid w:val="004F16AD"/>
    <w:rsid w:val="004F1B33"/>
    <w:rsid w:val="004F2023"/>
    <w:rsid w:val="004F210A"/>
    <w:rsid w:val="004F214C"/>
    <w:rsid w:val="004F24A7"/>
    <w:rsid w:val="004F2657"/>
    <w:rsid w:val="004F27E1"/>
    <w:rsid w:val="004F27E9"/>
    <w:rsid w:val="004F2845"/>
    <w:rsid w:val="004F29A6"/>
    <w:rsid w:val="004F2C86"/>
    <w:rsid w:val="004F2FB6"/>
    <w:rsid w:val="004F3003"/>
    <w:rsid w:val="004F3063"/>
    <w:rsid w:val="004F3487"/>
    <w:rsid w:val="004F3579"/>
    <w:rsid w:val="004F35C3"/>
    <w:rsid w:val="004F39C0"/>
    <w:rsid w:val="004F4108"/>
    <w:rsid w:val="004F4284"/>
    <w:rsid w:val="004F456A"/>
    <w:rsid w:val="004F4A4F"/>
    <w:rsid w:val="004F4B42"/>
    <w:rsid w:val="004F4B65"/>
    <w:rsid w:val="004F4D58"/>
    <w:rsid w:val="004F51C2"/>
    <w:rsid w:val="004F555B"/>
    <w:rsid w:val="004F56A4"/>
    <w:rsid w:val="004F593C"/>
    <w:rsid w:val="004F5A3A"/>
    <w:rsid w:val="004F5A41"/>
    <w:rsid w:val="004F5B2E"/>
    <w:rsid w:val="004F5C4C"/>
    <w:rsid w:val="004F5E5F"/>
    <w:rsid w:val="004F5F50"/>
    <w:rsid w:val="004F620E"/>
    <w:rsid w:val="004F6460"/>
    <w:rsid w:val="004F654A"/>
    <w:rsid w:val="004F6623"/>
    <w:rsid w:val="004F671F"/>
    <w:rsid w:val="004F6C6C"/>
    <w:rsid w:val="004F6E5F"/>
    <w:rsid w:val="004F6ED5"/>
    <w:rsid w:val="004F7528"/>
    <w:rsid w:val="004F7849"/>
    <w:rsid w:val="004F78A3"/>
    <w:rsid w:val="004F7970"/>
    <w:rsid w:val="004F7ABF"/>
    <w:rsid w:val="004F7ECB"/>
    <w:rsid w:val="004F7F00"/>
    <w:rsid w:val="005003B5"/>
    <w:rsid w:val="005005BA"/>
    <w:rsid w:val="00500681"/>
    <w:rsid w:val="005008C1"/>
    <w:rsid w:val="00500B8C"/>
    <w:rsid w:val="00500E47"/>
    <w:rsid w:val="00500FA1"/>
    <w:rsid w:val="00501223"/>
    <w:rsid w:val="005015BB"/>
    <w:rsid w:val="005016A3"/>
    <w:rsid w:val="005018B0"/>
    <w:rsid w:val="00501AD2"/>
    <w:rsid w:val="00501B74"/>
    <w:rsid w:val="00501BEE"/>
    <w:rsid w:val="00501EC7"/>
    <w:rsid w:val="00501F7B"/>
    <w:rsid w:val="00502074"/>
    <w:rsid w:val="0050210E"/>
    <w:rsid w:val="00502177"/>
    <w:rsid w:val="005023CE"/>
    <w:rsid w:val="00502704"/>
    <w:rsid w:val="00503861"/>
    <w:rsid w:val="00503882"/>
    <w:rsid w:val="0050404F"/>
    <w:rsid w:val="0050411A"/>
    <w:rsid w:val="0050412C"/>
    <w:rsid w:val="0050417E"/>
    <w:rsid w:val="0050426D"/>
    <w:rsid w:val="00504702"/>
    <w:rsid w:val="00504A13"/>
    <w:rsid w:val="00504A8C"/>
    <w:rsid w:val="00504B1C"/>
    <w:rsid w:val="00504D2E"/>
    <w:rsid w:val="00504F2C"/>
    <w:rsid w:val="0050543F"/>
    <w:rsid w:val="00505613"/>
    <w:rsid w:val="00505813"/>
    <w:rsid w:val="005058C1"/>
    <w:rsid w:val="005059D4"/>
    <w:rsid w:val="00505A21"/>
    <w:rsid w:val="00505ABD"/>
    <w:rsid w:val="00505BF0"/>
    <w:rsid w:val="00505E4B"/>
    <w:rsid w:val="005062AB"/>
    <w:rsid w:val="005062E9"/>
    <w:rsid w:val="00506602"/>
    <w:rsid w:val="00506659"/>
    <w:rsid w:val="005067BF"/>
    <w:rsid w:val="00506A4F"/>
    <w:rsid w:val="00506D8E"/>
    <w:rsid w:val="00506E1A"/>
    <w:rsid w:val="00506E8F"/>
    <w:rsid w:val="005070EB"/>
    <w:rsid w:val="00507FCE"/>
    <w:rsid w:val="005101C9"/>
    <w:rsid w:val="005102E5"/>
    <w:rsid w:val="00510542"/>
    <w:rsid w:val="0051063A"/>
    <w:rsid w:val="005106BF"/>
    <w:rsid w:val="00510746"/>
    <w:rsid w:val="0051096F"/>
    <w:rsid w:val="005109C6"/>
    <w:rsid w:val="00510A16"/>
    <w:rsid w:val="00511065"/>
    <w:rsid w:val="00511426"/>
    <w:rsid w:val="00511549"/>
    <w:rsid w:val="0051161A"/>
    <w:rsid w:val="0051169E"/>
    <w:rsid w:val="00511B6F"/>
    <w:rsid w:val="00511C8B"/>
    <w:rsid w:val="00512257"/>
    <w:rsid w:val="0051232C"/>
    <w:rsid w:val="00512480"/>
    <w:rsid w:val="0051261B"/>
    <w:rsid w:val="0051282D"/>
    <w:rsid w:val="00512DEB"/>
    <w:rsid w:val="00513561"/>
    <w:rsid w:val="00513602"/>
    <w:rsid w:val="00513609"/>
    <w:rsid w:val="00513669"/>
    <w:rsid w:val="00513741"/>
    <w:rsid w:val="005137BE"/>
    <w:rsid w:val="00513F45"/>
    <w:rsid w:val="0051473A"/>
    <w:rsid w:val="00514793"/>
    <w:rsid w:val="00514823"/>
    <w:rsid w:val="00514951"/>
    <w:rsid w:val="00514DE1"/>
    <w:rsid w:val="00514EBD"/>
    <w:rsid w:val="00515208"/>
    <w:rsid w:val="00515288"/>
    <w:rsid w:val="0051563C"/>
    <w:rsid w:val="00515793"/>
    <w:rsid w:val="005158F8"/>
    <w:rsid w:val="00515F06"/>
    <w:rsid w:val="005161C0"/>
    <w:rsid w:val="00516297"/>
    <w:rsid w:val="00516B66"/>
    <w:rsid w:val="00516EB8"/>
    <w:rsid w:val="00516F5C"/>
    <w:rsid w:val="00517176"/>
    <w:rsid w:val="005175AE"/>
    <w:rsid w:val="00517709"/>
    <w:rsid w:val="00517870"/>
    <w:rsid w:val="00517920"/>
    <w:rsid w:val="005179A2"/>
    <w:rsid w:val="00517A0C"/>
    <w:rsid w:val="00517A9A"/>
    <w:rsid w:val="00517E12"/>
    <w:rsid w:val="005200C0"/>
    <w:rsid w:val="0052014B"/>
    <w:rsid w:val="005201C5"/>
    <w:rsid w:val="0052025B"/>
    <w:rsid w:val="005206DA"/>
    <w:rsid w:val="005206DC"/>
    <w:rsid w:val="00520E23"/>
    <w:rsid w:val="0052106C"/>
    <w:rsid w:val="005211BA"/>
    <w:rsid w:val="005212A3"/>
    <w:rsid w:val="00521345"/>
    <w:rsid w:val="0052194E"/>
    <w:rsid w:val="005219D5"/>
    <w:rsid w:val="00521B8C"/>
    <w:rsid w:val="00521C62"/>
    <w:rsid w:val="0052224B"/>
    <w:rsid w:val="005228F1"/>
    <w:rsid w:val="00522943"/>
    <w:rsid w:val="005229F8"/>
    <w:rsid w:val="00522A0A"/>
    <w:rsid w:val="00522CBF"/>
    <w:rsid w:val="00522FAF"/>
    <w:rsid w:val="00523253"/>
    <w:rsid w:val="00523399"/>
    <w:rsid w:val="0052350E"/>
    <w:rsid w:val="005236E2"/>
    <w:rsid w:val="0052375B"/>
    <w:rsid w:val="005237A4"/>
    <w:rsid w:val="00523AC7"/>
    <w:rsid w:val="00523B8F"/>
    <w:rsid w:val="00523BAA"/>
    <w:rsid w:val="00523FD8"/>
    <w:rsid w:val="005241DC"/>
    <w:rsid w:val="005242E7"/>
    <w:rsid w:val="00524340"/>
    <w:rsid w:val="005243F6"/>
    <w:rsid w:val="005244EC"/>
    <w:rsid w:val="00524D1D"/>
    <w:rsid w:val="00524D3E"/>
    <w:rsid w:val="00524F68"/>
    <w:rsid w:val="00525046"/>
    <w:rsid w:val="005250BE"/>
    <w:rsid w:val="00525315"/>
    <w:rsid w:val="00525339"/>
    <w:rsid w:val="005253A6"/>
    <w:rsid w:val="00525400"/>
    <w:rsid w:val="00525405"/>
    <w:rsid w:val="005254D5"/>
    <w:rsid w:val="005259F0"/>
    <w:rsid w:val="00525B9F"/>
    <w:rsid w:val="00525FB2"/>
    <w:rsid w:val="00526052"/>
    <w:rsid w:val="005260B8"/>
    <w:rsid w:val="005261D0"/>
    <w:rsid w:val="0052635C"/>
    <w:rsid w:val="00526548"/>
    <w:rsid w:val="00526870"/>
    <w:rsid w:val="00526AD9"/>
    <w:rsid w:val="00526E54"/>
    <w:rsid w:val="00527293"/>
    <w:rsid w:val="005274EA"/>
    <w:rsid w:val="005274FC"/>
    <w:rsid w:val="005277D3"/>
    <w:rsid w:val="005277F2"/>
    <w:rsid w:val="00527D5C"/>
    <w:rsid w:val="0053004B"/>
    <w:rsid w:val="005302DE"/>
    <w:rsid w:val="00530698"/>
    <w:rsid w:val="0053088C"/>
    <w:rsid w:val="00531581"/>
    <w:rsid w:val="0053174D"/>
    <w:rsid w:val="00531851"/>
    <w:rsid w:val="00532064"/>
    <w:rsid w:val="00532980"/>
    <w:rsid w:val="00532EC6"/>
    <w:rsid w:val="00532F74"/>
    <w:rsid w:val="00533473"/>
    <w:rsid w:val="00533518"/>
    <w:rsid w:val="0053374F"/>
    <w:rsid w:val="00533AC8"/>
    <w:rsid w:val="00533C29"/>
    <w:rsid w:val="00533D82"/>
    <w:rsid w:val="00533E83"/>
    <w:rsid w:val="00533F18"/>
    <w:rsid w:val="00533FBA"/>
    <w:rsid w:val="005340FA"/>
    <w:rsid w:val="00534130"/>
    <w:rsid w:val="00534902"/>
    <w:rsid w:val="00534AB4"/>
    <w:rsid w:val="00534AD7"/>
    <w:rsid w:val="00535443"/>
    <w:rsid w:val="005355FB"/>
    <w:rsid w:val="0053594B"/>
    <w:rsid w:val="00535988"/>
    <w:rsid w:val="005359B6"/>
    <w:rsid w:val="00535ACC"/>
    <w:rsid w:val="00535DBB"/>
    <w:rsid w:val="00535E19"/>
    <w:rsid w:val="005362FD"/>
    <w:rsid w:val="00536898"/>
    <w:rsid w:val="00536C92"/>
    <w:rsid w:val="00536FCC"/>
    <w:rsid w:val="0053709E"/>
    <w:rsid w:val="00537247"/>
    <w:rsid w:val="005374CA"/>
    <w:rsid w:val="005378F6"/>
    <w:rsid w:val="005379AC"/>
    <w:rsid w:val="00537D26"/>
    <w:rsid w:val="0054002F"/>
    <w:rsid w:val="005401DF"/>
    <w:rsid w:val="0054051B"/>
    <w:rsid w:val="0054083B"/>
    <w:rsid w:val="00540B40"/>
    <w:rsid w:val="00540C75"/>
    <w:rsid w:val="00540CC3"/>
    <w:rsid w:val="005413B6"/>
    <w:rsid w:val="00541508"/>
    <w:rsid w:val="005416A8"/>
    <w:rsid w:val="0054189D"/>
    <w:rsid w:val="00541FEA"/>
    <w:rsid w:val="00542061"/>
    <w:rsid w:val="00542196"/>
    <w:rsid w:val="00542A33"/>
    <w:rsid w:val="00542C62"/>
    <w:rsid w:val="00542E52"/>
    <w:rsid w:val="0054322A"/>
    <w:rsid w:val="00543272"/>
    <w:rsid w:val="005434EA"/>
    <w:rsid w:val="00543518"/>
    <w:rsid w:val="00543640"/>
    <w:rsid w:val="005436A8"/>
    <w:rsid w:val="00543727"/>
    <w:rsid w:val="00543CD3"/>
    <w:rsid w:val="00543D32"/>
    <w:rsid w:val="005443A3"/>
    <w:rsid w:val="00544430"/>
    <w:rsid w:val="00544598"/>
    <w:rsid w:val="005446EA"/>
    <w:rsid w:val="005447EC"/>
    <w:rsid w:val="00544F90"/>
    <w:rsid w:val="00545135"/>
    <w:rsid w:val="0054513F"/>
    <w:rsid w:val="00545259"/>
    <w:rsid w:val="005456E5"/>
    <w:rsid w:val="005457CA"/>
    <w:rsid w:val="00545A57"/>
    <w:rsid w:val="00545BAF"/>
    <w:rsid w:val="00545E41"/>
    <w:rsid w:val="00545E97"/>
    <w:rsid w:val="00546178"/>
    <w:rsid w:val="005462B2"/>
    <w:rsid w:val="00546C6A"/>
    <w:rsid w:val="00547760"/>
    <w:rsid w:val="00547867"/>
    <w:rsid w:val="00547B14"/>
    <w:rsid w:val="00550183"/>
    <w:rsid w:val="005503FB"/>
    <w:rsid w:val="0055047C"/>
    <w:rsid w:val="00550546"/>
    <w:rsid w:val="00550989"/>
    <w:rsid w:val="00550AB1"/>
    <w:rsid w:val="00550EEE"/>
    <w:rsid w:val="00551115"/>
    <w:rsid w:val="00551155"/>
    <w:rsid w:val="00551205"/>
    <w:rsid w:val="005512BD"/>
    <w:rsid w:val="0055150B"/>
    <w:rsid w:val="00551659"/>
    <w:rsid w:val="005516DB"/>
    <w:rsid w:val="0055179A"/>
    <w:rsid w:val="00551A5E"/>
    <w:rsid w:val="00551DDF"/>
    <w:rsid w:val="005521CB"/>
    <w:rsid w:val="0055238A"/>
    <w:rsid w:val="00552524"/>
    <w:rsid w:val="00552803"/>
    <w:rsid w:val="00552CB9"/>
    <w:rsid w:val="0055349E"/>
    <w:rsid w:val="00553859"/>
    <w:rsid w:val="005538ED"/>
    <w:rsid w:val="005539F8"/>
    <w:rsid w:val="00553B0B"/>
    <w:rsid w:val="00553DF2"/>
    <w:rsid w:val="00554237"/>
    <w:rsid w:val="005544D8"/>
    <w:rsid w:val="00554623"/>
    <w:rsid w:val="00554811"/>
    <w:rsid w:val="0055484C"/>
    <w:rsid w:val="0055496A"/>
    <w:rsid w:val="005550C8"/>
    <w:rsid w:val="00555344"/>
    <w:rsid w:val="0055561B"/>
    <w:rsid w:val="005556D1"/>
    <w:rsid w:val="0055576B"/>
    <w:rsid w:val="0055580F"/>
    <w:rsid w:val="00555818"/>
    <w:rsid w:val="0055604C"/>
    <w:rsid w:val="005561E3"/>
    <w:rsid w:val="00556567"/>
    <w:rsid w:val="00556BFE"/>
    <w:rsid w:val="0055729E"/>
    <w:rsid w:val="00557743"/>
    <w:rsid w:val="005579B5"/>
    <w:rsid w:val="005579E5"/>
    <w:rsid w:val="00557B5B"/>
    <w:rsid w:val="00560155"/>
    <w:rsid w:val="00560874"/>
    <w:rsid w:val="00560987"/>
    <w:rsid w:val="00560AD9"/>
    <w:rsid w:val="00560C62"/>
    <w:rsid w:val="00560CA8"/>
    <w:rsid w:val="00560FD3"/>
    <w:rsid w:val="00560FDC"/>
    <w:rsid w:val="0056110E"/>
    <w:rsid w:val="00561449"/>
    <w:rsid w:val="00561453"/>
    <w:rsid w:val="0056188E"/>
    <w:rsid w:val="00561CB0"/>
    <w:rsid w:val="00561CD6"/>
    <w:rsid w:val="00561F7A"/>
    <w:rsid w:val="005621D5"/>
    <w:rsid w:val="00562522"/>
    <w:rsid w:val="00562572"/>
    <w:rsid w:val="00562886"/>
    <w:rsid w:val="00562888"/>
    <w:rsid w:val="00562AA3"/>
    <w:rsid w:val="00562C78"/>
    <w:rsid w:val="00562DE1"/>
    <w:rsid w:val="00562F61"/>
    <w:rsid w:val="00562FC5"/>
    <w:rsid w:val="00563467"/>
    <w:rsid w:val="005636BD"/>
    <w:rsid w:val="00563733"/>
    <w:rsid w:val="005637DD"/>
    <w:rsid w:val="00563A7F"/>
    <w:rsid w:val="00563AB2"/>
    <w:rsid w:val="00563AD0"/>
    <w:rsid w:val="00563EC0"/>
    <w:rsid w:val="0056460F"/>
    <w:rsid w:val="00564620"/>
    <w:rsid w:val="0056490A"/>
    <w:rsid w:val="0056497D"/>
    <w:rsid w:val="00564CF4"/>
    <w:rsid w:val="00564D6A"/>
    <w:rsid w:val="0056503B"/>
    <w:rsid w:val="00565099"/>
    <w:rsid w:val="005653E3"/>
    <w:rsid w:val="00565AE7"/>
    <w:rsid w:val="00565AEF"/>
    <w:rsid w:val="00565CBB"/>
    <w:rsid w:val="00565D10"/>
    <w:rsid w:val="0056616B"/>
    <w:rsid w:val="00566180"/>
    <w:rsid w:val="00566266"/>
    <w:rsid w:val="005662B3"/>
    <w:rsid w:val="005662F4"/>
    <w:rsid w:val="005663D2"/>
    <w:rsid w:val="005664EF"/>
    <w:rsid w:val="005665D4"/>
    <w:rsid w:val="00566BD4"/>
    <w:rsid w:val="00566FC4"/>
    <w:rsid w:val="0056705F"/>
    <w:rsid w:val="00567279"/>
    <w:rsid w:val="005676E4"/>
    <w:rsid w:val="005678BB"/>
    <w:rsid w:val="0057002B"/>
    <w:rsid w:val="0057012B"/>
    <w:rsid w:val="005701E4"/>
    <w:rsid w:val="00571052"/>
    <w:rsid w:val="0057106D"/>
    <w:rsid w:val="005710E8"/>
    <w:rsid w:val="005711A2"/>
    <w:rsid w:val="00571364"/>
    <w:rsid w:val="005713BC"/>
    <w:rsid w:val="00571683"/>
    <w:rsid w:val="00571CCE"/>
    <w:rsid w:val="00571CE8"/>
    <w:rsid w:val="005724F1"/>
    <w:rsid w:val="00572EFB"/>
    <w:rsid w:val="00573718"/>
    <w:rsid w:val="005737EA"/>
    <w:rsid w:val="0057385A"/>
    <w:rsid w:val="00573AC9"/>
    <w:rsid w:val="00573BBC"/>
    <w:rsid w:val="00573CEB"/>
    <w:rsid w:val="00573EFB"/>
    <w:rsid w:val="005741CE"/>
    <w:rsid w:val="005742B5"/>
    <w:rsid w:val="005742FC"/>
    <w:rsid w:val="005743B5"/>
    <w:rsid w:val="005744A5"/>
    <w:rsid w:val="005745FB"/>
    <w:rsid w:val="00574639"/>
    <w:rsid w:val="005746EB"/>
    <w:rsid w:val="00574AC0"/>
    <w:rsid w:val="00574C43"/>
    <w:rsid w:val="00574E03"/>
    <w:rsid w:val="005752D8"/>
    <w:rsid w:val="00575922"/>
    <w:rsid w:val="00575994"/>
    <w:rsid w:val="00575D0C"/>
    <w:rsid w:val="0057614A"/>
    <w:rsid w:val="00576185"/>
    <w:rsid w:val="00576243"/>
    <w:rsid w:val="0057664E"/>
    <w:rsid w:val="00576F9C"/>
    <w:rsid w:val="00577632"/>
    <w:rsid w:val="00577B35"/>
    <w:rsid w:val="00577BC9"/>
    <w:rsid w:val="00577CFA"/>
    <w:rsid w:val="00580570"/>
    <w:rsid w:val="005806B5"/>
    <w:rsid w:val="005806FF"/>
    <w:rsid w:val="00580F5F"/>
    <w:rsid w:val="00580FCC"/>
    <w:rsid w:val="005810B8"/>
    <w:rsid w:val="00581126"/>
    <w:rsid w:val="00581157"/>
    <w:rsid w:val="005812E9"/>
    <w:rsid w:val="00581333"/>
    <w:rsid w:val="00581663"/>
    <w:rsid w:val="005816EA"/>
    <w:rsid w:val="005817FA"/>
    <w:rsid w:val="00581D4B"/>
    <w:rsid w:val="00581F5F"/>
    <w:rsid w:val="0058232B"/>
    <w:rsid w:val="005824C7"/>
    <w:rsid w:val="0058275F"/>
    <w:rsid w:val="00583046"/>
    <w:rsid w:val="0058310C"/>
    <w:rsid w:val="0058318B"/>
    <w:rsid w:val="00583337"/>
    <w:rsid w:val="00583778"/>
    <w:rsid w:val="0058377E"/>
    <w:rsid w:val="00583803"/>
    <w:rsid w:val="00583AEC"/>
    <w:rsid w:val="00583E7D"/>
    <w:rsid w:val="005843D6"/>
    <w:rsid w:val="0058493D"/>
    <w:rsid w:val="00584AC8"/>
    <w:rsid w:val="00584C1D"/>
    <w:rsid w:val="005850FB"/>
    <w:rsid w:val="00585564"/>
    <w:rsid w:val="005858DC"/>
    <w:rsid w:val="00585F92"/>
    <w:rsid w:val="005865F4"/>
    <w:rsid w:val="00586865"/>
    <w:rsid w:val="00586A07"/>
    <w:rsid w:val="00587238"/>
    <w:rsid w:val="005873B1"/>
    <w:rsid w:val="0058755E"/>
    <w:rsid w:val="005901E2"/>
    <w:rsid w:val="0059023D"/>
    <w:rsid w:val="005902AC"/>
    <w:rsid w:val="005904F1"/>
    <w:rsid w:val="005906FB"/>
    <w:rsid w:val="00590921"/>
    <w:rsid w:val="00590F08"/>
    <w:rsid w:val="00590F72"/>
    <w:rsid w:val="00590FBD"/>
    <w:rsid w:val="005910B6"/>
    <w:rsid w:val="00591637"/>
    <w:rsid w:val="005917AA"/>
    <w:rsid w:val="00591A04"/>
    <w:rsid w:val="00591A2C"/>
    <w:rsid w:val="00591B2C"/>
    <w:rsid w:val="005924BB"/>
    <w:rsid w:val="0059250E"/>
    <w:rsid w:val="005928CE"/>
    <w:rsid w:val="00592926"/>
    <w:rsid w:val="005929ED"/>
    <w:rsid w:val="00592E09"/>
    <w:rsid w:val="00592E1E"/>
    <w:rsid w:val="005933C3"/>
    <w:rsid w:val="005938E4"/>
    <w:rsid w:val="00593DDC"/>
    <w:rsid w:val="0059419A"/>
    <w:rsid w:val="005943C0"/>
    <w:rsid w:val="0059445B"/>
    <w:rsid w:val="00594510"/>
    <w:rsid w:val="005945E3"/>
    <w:rsid w:val="00594650"/>
    <w:rsid w:val="005946C0"/>
    <w:rsid w:val="00594775"/>
    <w:rsid w:val="00594A6A"/>
    <w:rsid w:val="00594D40"/>
    <w:rsid w:val="00594E16"/>
    <w:rsid w:val="00594F81"/>
    <w:rsid w:val="00595161"/>
    <w:rsid w:val="0059531C"/>
    <w:rsid w:val="005954A5"/>
    <w:rsid w:val="0059571C"/>
    <w:rsid w:val="0059572E"/>
    <w:rsid w:val="00595A7F"/>
    <w:rsid w:val="0059602B"/>
    <w:rsid w:val="00596058"/>
    <w:rsid w:val="0059607C"/>
    <w:rsid w:val="0059646B"/>
    <w:rsid w:val="005968BC"/>
    <w:rsid w:val="00596B82"/>
    <w:rsid w:val="00596E76"/>
    <w:rsid w:val="00596F77"/>
    <w:rsid w:val="00597166"/>
    <w:rsid w:val="00597285"/>
    <w:rsid w:val="0059740B"/>
    <w:rsid w:val="0059756B"/>
    <w:rsid w:val="005976C6"/>
    <w:rsid w:val="005976CA"/>
    <w:rsid w:val="005976CE"/>
    <w:rsid w:val="00597706"/>
    <w:rsid w:val="00597779"/>
    <w:rsid w:val="00597C64"/>
    <w:rsid w:val="00597DC3"/>
    <w:rsid w:val="00597DE6"/>
    <w:rsid w:val="005A00CA"/>
    <w:rsid w:val="005A04FD"/>
    <w:rsid w:val="005A0757"/>
    <w:rsid w:val="005A07FC"/>
    <w:rsid w:val="005A0D79"/>
    <w:rsid w:val="005A0EC1"/>
    <w:rsid w:val="005A0FCA"/>
    <w:rsid w:val="005A0FF5"/>
    <w:rsid w:val="005A1075"/>
    <w:rsid w:val="005A1C49"/>
    <w:rsid w:val="005A1C9F"/>
    <w:rsid w:val="005A1EC4"/>
    <w:rsid w:val="005A205C"/>
    <w:rsid w:val="005A20D3"/>
    <w:rsid w:val="005A28BA"/>
    <w:rsid w:val="005A2A20"/>
    <w:rsid w:val="005A2BC6"/>
    <w:rsid w:val="005A3130"/>
    <w:rsid w:val="005A3337"/>
    <w:rsid w:val="005A3446"/>
    <w:rsid w:val="005A3830"/>
    <w:rsid w:val="005A3C59"/>
    <w:rsid w:val="005A3D00"/>
    <w:rsid w:val="005A3E26"/>
    <w:rsid w:val="005A3EC4"/>
    <w:rsid w:val="005A3F8E"/>
    <w:rsid w:val="005A40D3"/>
    <w:rsid w:val="005A417E"/>
    <w:rsid w:val="005A417F"/>
    <w:rsid w:val="005A42C0"/>
    <w:rsid w:val="005A43B2"/>
    <w:rsid w:val="005A441C"/>
    <w:rsid w:val="005A48D4"/>
    <w:rsid w:val="005A4B19"/>
    <w:rsid w:val="005A4C88"/>
    <w:rsid w:val="005A575C"/>
    <w:rsid w:val="005A58C8"/>
    <w:rsid w:val="005A5E30"/>
    <w:rsid w:val="005A5E9F"/>
    <w:rsid w:val="005A5F03"/>
    <w:rsid w:val="005A634B"/>
    <w:rsid w:val="005A6814"/>
    <w:rsid w:val="005A6878"/>
    <w:rsid w:val="005A68EC"/>
    <w:rsid w:val="005A6E65"/>
    <w:rsid w:val="005A702E"/>
    <w:rsid w:val="005A707B"/>
    <w:rsid w:val="005A74B6"/>
    <w:rsid w:val="005A7527"/>
    <w:rsid w:val="005A7ABF"/>
    <w:rsid w:val="005A7D0C"/>
    <w:rsid w:val="005A7D53"/>
    <w:rsid w:val="005A7FC2"/>
    <w:rsid w:val="005B03F5"/>
    <w:rsid w:val="005B08FE"/>
    <w:rsid w:val="005B0963"/>
    <w:rsid w:val="005B0BFA"/>
    <w:rsid w:val="005B0F92"/>
    <w:rsid w:val="005B10D3"/>
    <w:rsid w:val="005B13AE"/>
    <w:rsid w:val="005B16CA"/>
    <w:rsid w:val="005B1CE3"/>
    <w:rsid w:val="005B1CEE"/>
    <w:rsid w:val="005B1D72"/>
    <w:rsid w:val="005B1D73"/>
    <w:rsid w:val="005B1D82"/>
    <w:rsid w:val="005B1F28"/>
    <w:rsid w:val="005B2064"/>
    <w:rsid w:val="005B2407"/>
    <w:rsid w:val="005B261D"/>
    <w:rsid w:val="005B2635"/>
    <w:rsid w:val="005B2943"/>
    <w:rsid w:val="005B2AA9"/>
    <w:rsid w:val="005B2C2C"/>
    <w:rsid w:val="005B2FD0"/>
    <w:rsid w:val="005B301A"/>
    <w:rsid w:val="005B31EA"/>
    <w:rsid w:val="005B35C2"/>
    <w:rsid w:val="005B3644"/>
    <w:rsid w:val="005B36DA"/>
    <w:rsid w:val="005B39E8"/>
    <w:rsid w:val="005B3F79"/>
    <w:rsid w:val="005B4202"/>
    <w:rsid w:val="005B4623"/>
    <w:rsid w:val="005B49CD"/>
    <w:rsid w:val="005B4A6B"/>
    <w:rsid w:val="005B4C3D"/>
    <w:rsid w:val="005B4CB4"/>
    <w:rsid w:val="005B4CDF"/>
    <w:rsid w:val="005B5094"/>
    <w:rsid w:val="005B524D"/>
    <w:rsid w:val="005B52A4"/>
    <w:rsid w:val="005B5C1E"/>
    <w:rsid w:val="005B5DBB"/>
    <w:rsid w:val="005B5F34"/>
    <w:rsid w:val="005B61A2"/>
    <w:rsid w:val="005B658C"/>
    <w:rsid w:val="005B6A23"/>
    <w:rsid w:val="005B6F57"/>
    <w:rsid w:val="005B79AB"/>
    <w:rsid w:val="005B7B62"/>
    <w:rsid w:val="005B7CF3"/>
    <w:rsid w:val="005C032A"/>
    <w:rsid w:val="005C0520"/>
    <w:rsid w:val="005C06CC"/>
    <w:rsid w:val="005C0A2D"/>
    <w:rsid w:val="005C0DF5"/>
    <w:rsid w:val="005C13FC"/>
    <w:rsid w:val="005C14FC"/>
    <w:rsid w:val="005C165A"/>
    <w:rsid w:val="005C1CBD"/>
    <w:rsid w:val="005C1D45"/>
    <w:rsid w:val="005C2CB1"/>
    <w:rsid w:val="005C2CF1"/>
    <w:rsid w:val="005C32A0"/>
    <w:rsid w:val="005C32CD"/>
    <w:rsid w:val="005C397C"/>
    <w:rsid w:val="005C3A8C"/>
    <w:rsid w:val="005C3E1F"/>
    <w:rsid w:val="005C4230"/>
    <w:rsid w:val="005C4291"/>
    <w:rsid w:val="005C42AC"/>
    <w:rsid w:val="005C4975"/>
    <w:rsid w:val="005C4B2E"/>
    <w:rsid w:val="005C4B74"/>
    <w:rsid w:val="005C4BC4"/>
    <w:rsid w:val="005C4C45"/>
    <w:rsid w:val="005C5085"/>
    <w:rsid w:val="005C5913"/>
    <w:rsid w:val="005C5AC3"/>
    <w:rsid w:val="005C5B5E"/>
    <w:rsid w:val="005C6071"/>
    <w:rsid w:val="005C6C33"/>
    <w:rsid w:val="005C6CED"/>
    <w:rsid w:val="005C6CFB"/>
    <w:rsid w:val="005C6E09"/>
    <w:rsid w:val="005C6F0B"/>
    <w:rsid w:val="005C703E"/>
    <w:rsid w:val="005C7428"/>
    <w:rsid w:val="005C7638"/>
    <w:rsid w:val="005C79DF"/>
    <w:rsid w:val="005C7C0E"/>
    <w:rsid w:val="005C7ED3"/>
    <w:rsid w:val="005D0213"/>
    <w:rsid w:val="005D032B"/>
    <w:rsid w:val="005D0464"/>
    <w:rsid w:val="005D094D"/>
    <w:rsid w:val="005D0D0C"/>
    <w:rsid w:val="005D0F7D"/>
    <w:rsid w:val="005D10B5"/>
    <w:rsid w:val="005D1569"/>
    <w:rsid w:val="005D158A"/>
    <w:rsid w:val="005D176E"/>
    <w:rsid w:val="005D27A2"/>
    <w:rsid w:val="005D2870"/>
    <w:rsid w:val="005D2BC2"/>
    <w:rsid w:val="005D2DBB"/>
    <w:rsid w:val="005D2DED"/>
    <w:rsid w:val="005D2F0E"/>
    <w:rsid w:val="005D31DD"/>
    <w:rsid w:val="005D3476"/>
    <w:rsid w:val="005D3D39"/>
    <w:rsid w:val="005D3D61"/>
    <w:rsid w:val="005D472A"/>
    <w:rsid w:val="005D4744"/>
    <w:rsid w:val="005D47EC"/>
    <w:rsid w:val="005D4931"/>
    <w:rsid w:val="005D4BB3"/>
    <w:rsid w:val="005D4D95"/>
    <w:rsid w:val="005D4E06"/>
    <w:rsid w:val="005D50BE"/>
    <w:rsid w:val="005D5228"/>
    <w:rsid w:val="005D56CE"/>
    <w:rsid w:val="005D56D5"/>
    <w:rsid w:val="005D5793"/>
    <w:rsid w:val="005D593D"/>
    <w:rsid w:val="005D5B81"/>
    <w:rsid w:val="005D5C8E"/>
    <w:rsid w:val="005D612E"/>
    <w:rsid w:val="005D63F3"/>
    <w:rsid w:val="005D64B2"/>
    <w:rsid w:val="005D67FC"/>
    <w:rsid w:val="005D6828"/>
    <w:rsid w:val="005D68D8"/>
    <w:rsid w:val="005D6CC9"/>
    <w:rsid w:val="005D6DC9"/>
    <w:rsid w:val="005D6F71"/>
    <w:rsid w:val="005D7436"/>
    <w:rsid w:val="005D74F7"/>
    <w:rsid w:val="005D755B"/>
    <w:rsid w:val="005D767F"/>
    <w:rsid w:val="005E007B"/>
    <w:rsid w:val="005E00B1"/>
    <w:rsid w:val="005E0411"/>
    <w:rsid w:val="005E0B64"/>
    <w:rsid w:val="005E0DB5"/>
    <w:rsid w:val="005E0DC8"/>
    <w:rsid w:val="005E0F08"/>
    <w:rsid w:val="005E102F"/>
    <w:rsid w:val="005E182D"/>
    <w:rsid w:val="005E18D7"/>
    <w:rsid w:val="005E1D1F"/>
    <w:rsid w:val="005E1DFD"/>
    <w:rsid w:val="005E1F78"/>
    <w:rsid w:val="005E1FE3"/>
    <w:rsid w:val="005E2022"/>
    <w:rsid w:val="005E254B"/>
    <w:rsid w:val="005E27F7"/>
    <w:rsid w:val="005E29FD"/>
    <w:rsid w:val="005E2CED"/>
    <w:rsid w:val="005E3506"/>
    <w:rsid w:val="005E358E"/>
    <w:rsid w:val="005E3687"/>
    <w:rsid w:val="005E37F9"/>
    <w:rsid w:val="005E39B9"/>
    <w:rsid w:val="005E3F77"/>
    <w:rsid w:val="005E3FDB"/>
    <w:rsid w:val="005E405C"/>
    <w:rsid w:val="005E43B2"/>
    <w:rsid w:val="005E43C1"/>
    <w:rsid w:val="005E454B"/>
    <w:rsid w:val="005E4A4E"/>
    <w:rsid w:val="005E4C8C"/>
    <w:rsid w:val="005E53BD"/>
    <w:rsid w:val="005E553E"/>
    <w:rsid w:val="005E5742"/>
    <w:rsid w:val="005E5ACC"/>
    <w:rsid w:val="005E5EAC"/>
    <w:rsid w:val="005E6063"/>
    <w:rsid w:val="005E662F"/>
    <w:rsid w:val="005E66FA"/>
    <w:rsid w:val="005E6755"/>
    <w:rsid w:val="005E67CC"/>
    <w:rsid w:val="005E6AA0"/>
    <w:rsid w:val="005E6C1E"/>
    <w:rsid w:val="005E6EC9"/>
    <w:rsid w:val="005E6FCD"/>
    <w:rsid w:val="005E7428"/>
    <w:rsid w:val="005E7746"/>
    <w:rsid w:val="005E77DC"/>
    <w:rsid w:val="005E7849"/>
    <w:rsid w:val="005E78A2"/>
    <w:rsid w:val="005E7A2B"/>
    <w:rsid w:val="005E7D7A"/>
    <w:rsid w:val="005F08A6"/>
    <w:rsid w:val="005F093B"/>
    <w:rsid w:val="005F0BEC"/>
    <w:rsid w:val="005F0CF8"/>
    <w:rsid w:val="005F0F12"/>
    <w:rsid w:val="005F0F46"/>
    <w:rsid w:val="005F12EF"/>
    <w:rsid w:val="005F15EE"/>
    <w:rsid w:val="005F1AB5"/>
    <w:rsid w:val="005F1ADE"/>
    <w:rsid w:val="005F1B19"/>
    <w:rsid w:val="005F1C02"/>
    <w:rsid w:val="005F1D1D"/>
    <w:rsid w:val="005F1E27"/>
    <w:rsid w:val="005F2222"/>
    <w:rsid w:val="005F2270"/>
    <w:rsid w:val="005F22A7"/>
    <w:rsid w:val="005F2368"/>
    <w:rsid w:val="005F27E1"/>
    <w:rsid w:val="005F287C"/>
    <w:rsid w:val="005F2F73"/>
    <w:rsid w:val="005F30EA"/>
    <w:rsid w:val="005F316D"/>
    <w:rsid w:val="005F345C"/>
    <w:rsid w:val="005F35C9"/>
    <w:rsid w:val="005F366D"/>
    <w:rsid w:val="005F36AB"/>
    <w:rsid w:val="005F3FAF"/>
    <w:rsid w:val="005F4018"/>
    <w:rsid w:val="005F41BF"/>
    <w:rsid w:val="005F4679"/>
    <w:rsid w:val="005F480B"/>
    <w:rsid w:val="005F4C81"/>
    <w:rsid w:val="005F4D27"/>
    <w:rsid w:val="005F514F"/>
    <w:rsid w:val="005F5281"/>
    <w:rsid w:val="005F549D"/>
    <w:rsid w:val="005F5635"/>
    <w:rsid w:val="005F5975"/>
    <w:rsid w:val="005F5F35"/>
    <w:rsid w:val="005F6080"/>
    <w:rsid w:val="005F60F0"/>
    <w:rsid w:val="005F6610"/>
    <w:rsid w:val="005F6729"/>
    <w:rsid w:val="005F6763"/>
    <w:rsid w:val="005F68D9"/>
    <w:rsid w:val="005F7081"/>
    <w:rsid w:val="005F738F"/>
    <w:rsid w:val="005F7E1F"/>
    <w:rsid w:val="005F7FE3"/>
    <w:rsid w:val="0060060B"/>
    <w:rsid w:val="00600847"/>
    <w:rsid w:val="00600A11"/>
    <w:rsid w:val="00600A89"/>
    <w:rsid w:val="00600D48"/>
    <w:rsid w:val="00600E07"/>
    <w:rsid w:val="00600E82"/>
    <w:rsid w:val="00600ECB"/>
    <w:rsid w:val="006013F9"/>
    <w:rsid w:val="0060179A"/>
    <w:rsid w:val="0060196E"/>
    <w:rsid w:val="006019FE"/>
    <w:rsid w:val="00601B2A"/>
    <w:rsid w:val="00601CF2"/>
    <w:rsid w:val="006024DA"/>
    <w:rsid w:val="00602CE3"/>
    <w:rsid w:val="00602D80"/>
    <w:rsid w:val="00602E67"/>
    <w:rsid w:val="00602EC2"/>
    <w:rsid w:val="00602F57"/>
    <w:rsid w:val="00603232"/>
    <w:rsid w:val="0060359D"/>
    <w:rsid w:val="006036F9"/>
    <w:rsid w:val="00603762"/>
    <w:rsid w:val="00603A46"/>
    <w:rsid w:val="00603DC9"/>
    <w:rsid w:val="00604223"/>
    <w:rsid w:val="00604265"/>
    <w:rsid w:val="006043A4"/>
    <w:rsid w:val="006045CE"/>
    <w:rsid w:val="00604743"/>
    <w:rsid w:val="00604B14"/>
    <w:rsid w:val="00604B85"/>
    <w:rsid w:val="00604BB5"/>
    <w:rsid w:val="00604C2E"/>
    <w:rsid w:val="00604FD9"/>
    <w:rsid w:val="00605210"/>
    <w:rsid w:val="006054AA"/>
    <w:rsid w:val="00605988"/>
    <w:rsid w:val="00605A44"/>
    <w:rsid w:val="00605ACE"/>
    <w:rsid w:val="00605C4D"/>
    <w:rsid w:val="00605D19"/>
    <w:rsid w:val="0060636C"/>
    <w:rsid w:val="0060669A"/>
    <w:rsid w:val="00606D78"/>
    <w:rsid w:val="00606DB1"/>
    <w:rsid w:val="00606F7C"/>
    <w:rsid w:val="00607115"/>
    <w:rsid w:val="00607654"/>
    <w:rsid w:val="006076E3"/>
    <w:rsid w:val="0060777D"/>
    <w:rsid w:val="006078CA"/>
    <w:rsid w:val="0060797E"/>
    <w:rsid w:val="00607D2F"/>
    <w:rsid w:val="00607D43"/>
    <w:rsid w:val="0061032D"/>
    <w:rsid w:val="006105A9"/>
    <w:rsid w:val="006109A5"/>
    <w:rsid w:val="00610B1F"/>
    <w:rsid w:val="006116A4"/>
    <w:rsid w:val="006119A7"/>
    <w:rsid w:val="00611B23"/>
    <w:rsid w:val="00611FAF"/>
    <w:rsid w:val="006120D5"/>
    <w:rsid w:val="006122BC"/>
    <w:rsid w:val="006123E1"/>
    <w:rsid w:val="00612427"/>
    <w:rsid w:val="0061242F"/>
    <w:rsid w:val="006125F3"/>
    <w:rsid w:val="0061271F"/>
    <w:rsid w:val="006127A6"/>
    <w:rsid w:val="00612BC3"/>
    <w:rsid w:val="00612C4F"/>
    <w:rsid w:val="00612EBD"/>
    <w:rsid w:val="00612F75"/>
    <w:rsid w:val="00613162"/>
    <w:rsid w:val="0061347D"/>
    <w:rsid w:val="006138CB"/>
    <w:rsid w:val="0061444B"/>
    <w:rsid w:val="006145D1"/>
    <w:rsid w:val="00614CC6"/>
    <w:rsid w:val="006150DF"/>
    <w:rsid w:val="0061534F"/>
    <w:rsid w:val="00615600"/>
    <w:rsid w:val="00615782"/>
    <w:rsid w:val="00615CA1"/>
    <w:rsid w:val="00615CC2"/>
    <w:rsid w:val="00615D98"/>
    <w:rsid w:val="00616105"/>
    <w:rsid w:val="00616408"/>
    <w:rsid w:val="00616747"/>
    <w:rsid w:val="0061691F"/>
    <w:rsid w:val="00616CCE"/>
    <w:rsid w:val="00617016"/>
    <w:rsid w:val="006171C4"/>
    <w:rsid w:val="00617392"/>
    <w:rsid w:val="00617A4A"/>
    <w:rsid w:val="00617AAD"/>
    <w:rsid w:val="00617E70"/>
    <w:rsid w:val="00620198"/>
    <w:rsid w:val="00620447"/>
    <w:rsid w:val="00620A0E"/>
    <w:rsid w:val="00620AA8"/>
    <w:rsid w:val="00620BE5"/>
    <w:rsid w:val="00621280"/>
    <w:rsid w:val="00621281"/>
    <w:rsid w:val="0062174B"/>
    <w:rsid w:val="0062176D"/>
    <w:rsid w:val="00621FBE"/>
    <w:rsid w:val="006220BE"/>
    <w:rsid w:val="0062223E"/>
    <w:rsid w:val="00622268"/>
    <w:rsid w:val="0062238E"/>
    <w:rsid w:val="00622CD8"/>
    <w:rsid w:val="006234BC"/>
    <w:rsid w:val="006235B1"/>
    <w:rsid w:val="00623636"/>
    <w:rsid w:val="00623C5F"/>
    <w:rsid w:val="00623D98"/>
    <w:rsid w:val="00623E74"/>
    <w:rsid w:val="00624001"/>
    <w:rsid w:val="006242F0"/>
    <w:rsid w:val="00624372"/>
    <w:rsid w:val="00624BF3"/>
    <w:rsid w:val="00624D09"/>
    <w:rsid w:val="00624D51"/>
    <w:rsid w:val="00625012"/>
    <w:rsid w:val="006250E8"/>
    <w:rsid w:val="00625188"/>
    <w:rsid w:val="006252A6"/>
    <w:rsid w:val="006252F2"/>
    <w:rsid w:val="00625466"/>
    <w:rsid w:val="00625830"/>
    <w:rsid w:val="00625E5B"/>
    <w:rsid w:val="006260D4"/>
    <w:rsid w:val="006262E5"/>
    <w:rsid w:val="0062660C"/>
    <w:rsid w:val="00626CC0"/>
    <w:rsid w:val="0062718F"/>
    <w:rsid w:val="006272DB"/>
    <w:rsid w:val="00627993"/>
    <w:rsid w:val="006279D3"/>
    <w:rsid w:val="006279F9"/>
    <w:rsid w:val="00627AC0"/>
    <w:rsid w:val="00627BA2"/>
    <w:rsid w:val="00627C32"/>
    <w:rsid w:val="006307A2"/>
    <w:rsid w:val="00630A72"/>
    <w:rsid w:val="00630C54"/>
    <w:rsid w:val="00630C57"/>
    <w:rsid w:val="00630D58"/>
    <w:rsid w:val="00630EE3"/>
    <w:rsid w:val="0063144E"/>
    <w:rsid w:val="0063168D"/>
    <w:rsid w:val="00631C36"/>
    <w:rsid w:val="00631C54"/>
    <w:rsid w:val="00631E24"/>
    <w:rsid w:val="006322F5"/>
    <w:rsid w:val="00632326"/>
    <w:rsid w:val="0063262E"/>
    <w:rsid w:val="00632CB1"/>
    <w:rsid w:val="00632CB2"/>
    <w:rsid w:val="00633184"/>
    <w:rsid w:val="006334B9"/>
    <w:rsid w:val="006334E7"/>
    <w:rsid w:val="00633990"/>
    <w:rsid w:val="00633AC1"/>
    <w:rsid w:val="00633B74"/>
    <w:rsid w:val="00633E41"/>
    <w:rsid w:val="00634222"/>
    <w:rsid w:val="00634258"/>
    <w:rsid w:val="0063433E"/>
    <w:rsid w:val="0063458B"/>
    <w:rsid w:val="006346A8"/>
    <w:rsid w:val="00634817"/>
    <w:rsid w:val="00634902"/>
    <w:rsid w:val="00634952"/>
    <w:rsid w:val="00634E08"/>
    <w:rsid w:val="00634ECC"/>
    <w:rsid w:val="00634F22"/>
    <w:rsid w:val="006350B8"/>
    <w:rsid w:val="00635371"/>
    <w:rsid w:val="00635678"/>
    <w:rsid w:val="00635C6F"/>
    <w:rsid w:val="00635F2E"/>
    <w:rsid w:val="00635FB3"/>
    <w:rsid w:val="006367BB"/>
    <w:rsid w:val="006367F3"/>
    <w:rsid w:val="00636814"/>
    <w:rsid w:val="00636B72"/>
    <w:rsid w:val="00637937"/>
    <w:rsid w:val="00637B6B"/>
    <w:rsid w:val="00637C03"/>
    <w:rsid w:val="00640102"/>
    <w:rsid w:val="00640D09"/>
    <w:rsid w:val="00640E96"/>
    <w:rsid w:val="00640FA4"/>
    <w:rsid w:val="00641355"/>
    <w:rsid w:val="006413F5"/>
    <w:rsid w:val="0064153F"/>
    <w:rsid w:val="00641F81"/>
    <w:rsid w:val="00642984"/>
    <w:rsid w:val="00642B18"/>
    <w:rsid w:val="00642C09"/>
    <w:rsid w:val="00642D29"/>
    <w:rsid w:val="00642D5E"/>
    <w:rsid w:val="00642DBD"/>
    <w:rsid w:val="00642FB8"/>
    <w:rsid w:val="006439FA"/>
    <w:rsid w:val="00643A91"/>
    <w:rsid w:val="00643AF7"/>
    <w:rsid w:val="00643B3C"/>
    <w:rsid w:val="00644129"/>
    <w:rsid w:val="006446B6"/>
    <w:rsid w:val="00644A0F"/>
    <w:rsid w:val="00644F2C"/>
    <w:rsid w:val="006452DD"/>
    <w:rsid w:val="0064545C"/>
    <w:rsid w:val="0064563C"/>
    <w:rsid w:val="006456F7"/>
    <w:rsid w:val="0064608E"/>
    <w:rsid w:val="00646117"/>
    <w:rsid w:val="0064617C"/>
    <w:rsid w:val="0064622F"/>
    <w:rsid w:val="00646284"/>
    <w:rsid w:val="0064629C"/>
    <w:rsid w:val="00646385"/>
    <w:rsid w:val="006463F3"/>
    <w:rsid w:val="006466D7"/>
    <w:rsid w:val="0064676C"/>
    <w:rsid w:val="00646ACF"/>
    <w:rsid w:val="00646BE4"/>
    <w:rsid w:val="00646C43"/>
    <w:rsid w:val="00646D1C"/>
    <w:rsid w:val="00646F66"/>
    <w:rsid w:val="00647043"/>
    <w:rsid w:val="006470EC"/>
    <w:rsid w:val="00647B58"/>
    <w:rsid w:val="00647BDD"/>
    <w:rsid w:val="00647D72"/>
    <w:rsid w:val="006504FE"/>
    <w:rsid w:val="00650827"/>
    <w:rsid w:val="00650F7A"/>
    <w:rsid w:val="006513D1"/>
    <w:rsid w:val="00651523"/>
    <w:rsid w:val="00651772"/>
    <w:rsid w:val="0065198C"/>
    <w:rsid w:val="00651AE7"/>
    <w:rsid w:val="00651BF3"/>
    <w:rsid w:val="00651DF1"/>
    <w:rsid w:val="0065213D"/>
    <w:rsid w:val="006528F8"/>
    <w:rsid w:val="00652A05"/>
    <w:rsid w:val="00652CEF"/>
    <w:rsid w:val="00652EBE"/>
    <w:rsid w:val="006530B8"/>
    <w:rsid w:val="006531AD"/>
    <w:rsid w:val="00653207"/>
    <w:rsid w:val="00653660"/>
    <w:rsid w:val="006537C8"/>
    <w:rsid w:val="0065389B"/>
    <w:rsid w:val="006538AD"/>
    <w:rsid w:val="00653936"/>
    <w:rsid w:val="00653EF2"/>
    <w:rsid w:val="0065460F"/>
    <w:rsid w:val="0065478D"/>
    <w:rsid w:val="00654819"/>
    <w:rsid w:val="006548D8"/>
    <w:rsid w:val="006548DC"/>
    <w:rsid w:val="00654E64"/>
    <w:rsid w:val="00654F90"/>
    <w:rsid w:val="00655265"/>
    <w:rsid w:val="006552BD"/>
    <w:rsid w:val="0065558D"/>
    <w:rsid w:val="00655820"/>
    <w:rsid w:val="00655843"/>
    <w:rsid w:val="00655AF9"/>
    <w:rsid w:val="00655B2C"/>
    <w:rsid w:val="00655C4A"/>
    <w:rsid w:val="00655D86"/>
    <w:rsid w:val="006560A0"/>
    <w:rsid w:val="006560B4"/>
    <w:rsid w:val="0065660D"/>
    <w:rsid w:val="00656776"/>
    <w:rsid w:val="00656A2E"/>
    <w:rsid w:val="00656B4E"/>
    <w:rsid w:val="0065711D"/>
    <w:rsid w:val="006572A3"/>
    <w:rsid w:val="006576FE"/>
    <w:rsid w:val="00657924"/>
    <w:rsid w:val="00657C5C"/>
    <w:rsid w:val="00657F1D"/>
    <w:rsid w:val="00657F5A"/>
    <w:rsid w:val="006600B0"/>
    <w:rsid w:val="006605C5"/>
    <w:rsid w:val="006606A8"/>
    <w:rsid w:val="006608AA"/>
    <w:rsid w:val="00660D16"/>
    <w:rsid w:val="00660DAE"/>
    <w:rsid w:val="006615D7"/>
    <w:rsid w:val="00661648"/>
    <w:rsid w:val="006617FD"/>
    <w:rsid w:val="00661CF1"/>
    <w:rsid w:val="00662860"/>
    <w:rsid w:val="006628C1"/>
    <w:rsid w:val="00662A6D"/>
    <w:rsid w:val="00662ADC"/>
    <w:rsid w:val="00662EBA"/>
    <w:rsid w:val="006630AF"/>
    <w:rsid w:val="0066311F"/>
    <w:rsid w:val="006637D4"/>
    <w:rsid w:val="006638BB"/>
    <w:rsid w:val="00663F0D"/>
    <w:rsid w:val="00663F10"/>
    <w:rsid w:val="00664032"/>
    <w:rsid w:val="006643D8"/>
    <w:rsid w:val="00664557"/>
    <w:rsid w:val="0066478A"/>
    <w:rsid w:val="00664B13"/>
    <w:rsid w:val="00664E4D"/>
    <w:rsid w:val="00665524"/>
    <w:rsid w:val="006657E4"/>
    <w:rsid w:val="00665979"/>
    <w:rsid w:val="006659D8"/>
    <w:rsid w:val="00665CE4"/>
    <w:rsid w:val="00665D0E"/>
    <w:rsid w:val="00665DB9"/>
    <w:rsid w:val="00665E39"/>
    <w:rsid w:val="00666011"/>
    <w:rsid w:val="00666379"/>
    <w:rsid w:val="00667141"/>
    <w:rsid w:val="00667465"/>
    <w:rsid w:val="00667711"/>
    <w:rsid w:val="00667817"/>
    <w:rsid w:val="00667C72"/>
    <w:rsid w:val="00667DC2"/>
    <w:rsid w:val="00667F06"/>
    <w:rsid w:val="00670080"/>
    <w:rsid w:val="00670FE8"/>
    <w:rsid w:val="00671274"/>
    <w:rsid w:val="00671A1A"/>
    <w:rsid w:val="00671C2C"/>
    <w:rsid w:val="00671C5A"/>
    <w:rsid w:val="00671CBE"/>
    <w:rsid w:val="00671E72"/>
    <w:rsid w:val="00671EE8"/>
    <w:rsid w:val="006721BC"/>
    <w:rsid w:val="0067222C"/>
    <w:rsid w:val="006724BD"/>
    <w:rsid w:val="00672534"/>
    <w:rsid w:val="00672714"/>
    <w:rsid w:val="00672808"/>
    <w:rsid w:val="00672F00"/>
    <w:rsid w:val="00673070"/>
    <w:rsid w:val="0067350F"/>
    <w:rsid w:val="0067387E"/>
    <w:rsid w:val="00673F2B"/>
    <w:rsid w:val="00674038"/>
    <w:rsid w:val="00674045"/>
    <w:rsid w:val="0067418F"/>
    <w:rsid w:val="00674634"/>
    <w:rsid w:val="00674782"/>
    <w:rsid w:val="00674931"/>
    <w:rsid w:val="00674975"/>
    <w:rsid w:val="0067501A"/>
    <w:rsid w:val="0067529B"/>
    <w:rsid w:val="006754D6"/>
    <w:rsid w:val="006754EE"/>
    <w:rsid w:val="006754FF"/>
    <w:rsid w:val="006755B6"/>
    <w:rsid w:val="00675694"/>
    <w:rsid w:val="00675CAC"/>
    <w:rsid w:val="00675E02"/>
    <w:rsid w:val="00675F63"/>
    <w:rsid w:val="006760EA"/>
    <w:rsid w:val="006761E1"/>
    <w:rsid w:val="00676338"/>
    <w:rsid w:val="00676446"/>
    <w:rsid w:val="0067647A"/>
    <w:rsid w:val="00676576"/>
    <w:rsid w:val="00676D6E"/>
    <w:rsid w:val="006772AE"/>
    <w:rsid w:val="0067744A"/>
    <w:rsid w:val="00677674"/>
    <w:rsid w:val="00677788"/>
    <w:rsid w:val="00677A6F"/>
    <w:rsid w:val="00677A96"/>
    <w:rsid w:val="00677AEF"/>
    <w:rsid w:val="00680056"/>
    <w:rsid w:val="0068064A"/>
    <w:rsid w:val="00680A62"/>
    <w:rsid w:val="00680D58"/>
    <w:rsid w:val="00681478"/>
    <w:rsid w:val="006817B5"/>
    <w:rsid w:val="006817F7"/>
    <w:rsid w:val="00681889"/>
    <w:rsid w:val="00681D57"/>
    <w:rsid w:val="00682188"/>
    <w:rsid w:val="006825BA"/>
    <w:rsid w:val="00682636"/>
    <w:rsid w:val="006828CB"/>
    <w:rsid w:val="00682978"/>
    <w:rsid w:val="00682A7E"/>
    <w:rsid w:val="00682C6C"/>
    <w:rsid w:val="00682D10"/>
    <w:rsid w:val="00682D9B"/>
    <w:rsid w:val="00683662"/>
    <w:rsid w:val="00683786"/>
    <w:rsid w:val="00683961"/>
    <w:rsid w:val="00683B0C"/>
    <w:rsid w:val="00683D7B"/>
    <w:rsid w:val="00683DF8"/>
    <w:rsid w:val="00683EAD"/>
    <w:rsid w:val="00683F28"/>
    <w:rsid w:val="00684021"/>
    <w:rsid w:val="00684074"/>
    <w:rsid w:val="00684222"/>
    <w:rsid w:val="00684401"/>
    <w:rsid w:val="00684403"/>
    <w:rsid w:val="00684542"/>
    <w:rsid w:val="00684A3E"/>
    <w:rsid w:val="00684CEB"/>
    <w:rsid w:val="00685562"/>
    <w:rsid w:val="0068567E"/>
    <w:rsid w:val="00685779"/>
    <w:rsid w:val="006857CC"/>
    <w:rsid w:val="00685A58"/>
    <w:rsid w:val="0068669D"/>
    <w:rsid w:val="006869A7"/>
    <w:rsid w:val="00686A85"/>
    <w:rsid w:val="00686BDC"/>
    <w:rsid w:val="00687115"/>
    <w:rsid w:val="006875AA"/>
    <w:rsid w:val="00687A44"/>
    <w:rsid w:val="00687E62"/>
    <w:rsid w:val="00690399"/>
    <w:rsid w:val="00690541"/>
    <w:rsid w:val="006907E1"/>
    <w:rsid w:val="006908A3"/>
    <w:rsid w:val="00690B31"/>
    <w:rsid w:val="00690C0E"/>
    <w:rsid w:val="00691377"/>
    <w:rsid w:val="006914A1"/>
    <w:rsid w:val="00691A16"/>
    <w:rsid w:val="00691B4C"/>
    <w:rsid w:val="006924CD"/>
    <w:rsid w:val="00692639"/>
    <w:rsid w:val="00692829"/>
    <w:rsid w:val="00692939"/>
    <w:rsid w:val="006929A1"/>
    <w:rsid w:val="006929DA"/>
    <w:rsid w:val="00692AEA"/>
    <w:rsid w:val="00692C6B"/>
    <w:rsid w:val="00692D00"/>
    <w:rsid w:val="00692D28"/>
    <w:rsid w:val="00693059"/>
    <w:rsid w:val="00693070"/>
    <w:rsid w:val="0069309C"/>
    <w:rsid w:val="00693118"/>
    <w:rsid w:val="006933AC"/>
    <w:rsid w:val="0069361A"/>
    <w:rsid w:val="00693783"/>
    <w:rsid w:val="00693A26"/>
    <w:rsid w:val="00693A80"/>
    <w:rsid w:val="00693DDE"/>
    <w:rsid w:val="00694274"/>
    <w:rsid w:val="006946A7"/>
    <w:rsid w:val="0069475B"/>
    <w:rsid w:val="0069488C"/>
    <w:rsid w:val="00694BF9"/>
    <w:rsid w:val="00695032"/>
    <w:rsid w:val="00695188"/>
    <w:rsid w:val="006954EB"/>
    <w:rsid w:val="00695982"/>
    <w:rsid w:val="00695C63"/>
    <w:rsid w:val="00695DB0"/>
    <w:rsid w:val="006960E9"/>
    <w:rsid w:val="0069614E"/>
    <w:rsid w:val="00696A1E"/>
    <w:rsid w:val="00696D99"/>
    <w:rsid w:val="006972F2"/>
    <w:rsid w:val="00697692"/>
    <w:rsid w:val="00697C07"/>
    <w:rsid w:val="00697E40"/>
    <w:rsid w:val="00697FA2"/>
    <w:rsid w:val="006A01D2"/>
    <w:rsid w:val="006A02B2"/>
    <w:rsid w:val="006A0B04"/>
    <w:rsid w:val="006A0F5F"/>
    <w:rsid w:val="006A106F"/>
    <w:rsid w:val="006A1104"/>
    <w:rsid w:val="006A130E"/>
    <w:rsid w:val="006A1330"/>
    <w:rsid w:val="006A133D"/>
    <w:rsid w:val="006A13EB"/>
    <w:rsid w:val="006A143D"/>
    <w:rsid w:val="006A1DA5"/>
    <w:rsid w:val="006A1E75"/>
    <w:rsid w:val="006A1EA6"/>
    <w:rsid w:val="006A20EC"/>
    <w:rsid w:val="006A216A"/>
    <w:rsid w:val="006A21F0"/>
    <w:rsid w:val="006A228B"/>
    <w:rsid w:val="006A22E8"/>
    <w:rsid w:val="006A23B3"/>
    <w:rsid w:val="006A241A"/>
    <w:rsid w:val="006A2A0A"/>
    <w:rsid w:val="006A2A91"/>
    <w:rsid w:val="006A2AD9"/>
    <w:rsid w:val="006A2C00"/>
    <w:rsid w:val="006A2C27"/>
    <w:rsid w:val="006A2CC7"/>
    <w:rsid w:val="006A2D2F"/>
    <w:rsid w:val="006A31E3"/>
    <w:rsid w:val="006A328E"/>
    <w:rsid w:val="006A3A8E"/>
    <w:rsid w:val="006A3C30"/>
    <w:rsid w:val="006A3CF5"/>
    <w:rsid w:val="006A3D36"/>
    <w:rsid w:val="006A3E02"/>
    <w:rsid w:val="006A40B3"/>
    <w:rsid w:val="006A4213"/>
    <w:rsid w:val="006A43AB"/>
    <w:rsid w:val="006A4820"/>
    <w:rsid w:val="006A483A"/>
    <w:rsid w:val="006A4909"/>
    <w:rsid w:val="006A4A4C"/>
    <w:rsid w:val="006A4A6A"/>
    <w:rsid w:val="006A4E5F"/>
    <w:rsid w:val="006A50D9"/>
    <w:rsid w:val="006A58BE"/>
    <w:rsid w:val="006A5A7D"/>
    <w:rsid w:val="006A5A99"/>
    <w:rsid w:val="006A5B61"/>
    <w:rsid w:val="006A5E57"/>
    <w:rsid w:val="006A5E7A"/>
    <w:rsid w:val="006A63EC"/>
    <w:rsid w:val="006A6528"/>
    <w:rsid w:val="006A6972"/>
    <w:rsid w:val="006A6D00"/>
    <w:rsid w:val="006A70B5"/>
    <w:rsid w:val="006A78E8"/>
    <w:rsid w:val="006A7E72"/>
    <w:rsid w:val="006A7EAD"/>
    <w:rsid w:val="006B0B43"/>
    <w:rsid w:val="006B0BBD"/>
    <w:rsid w:val="006B0BEE"/>
    <w:rsid w:val="006B0CEB"/>
    <w:rsid w:val="006B0EB4"/>
    <w:rsid w:val="006B10DE"/>
    <w:rsid w:val="006B1208"/>
    <w:rsid w:val="006B14C5"/>
    <w:rsid w:val="006B1B06"/>
    <w:rsid w:val="006B1BA4"/>
    <w:rsid w:val="006B1BB2"/>
    <w:rsid w:val="006B1FB6"/>
    <w:rsid w:val="006B2026"/>
    <w:rsid w:val="006B219F"/>
    <w:rsid w:val="006B21DE"/>
    <w:rsid w:val="006B2926"/>
    <w:rsid w:val="006B2CC6"/>
    <w:rsid w:val="006B2DBE"/>
    <w:rsid w:val="006B2DD7"/>
    <w:rsid w:val="006B2E97"/>
    <w:rsid w:val="006B2E9E"/>
    <w:rsid w:val="006B300B"/>
    <w:rsid w:val="006B310F"/>
    <w:rsid w:val="006B318C"/>
    <w:rsid w:val="006B3336"/>
    <w:rsid w:val="006B3368"/>
    <w:rsid w:val="006B3476"/>
    <w:rsid w:val="006B34BE"/>
    <w:rsid w:val="006B3788"/>
    <w:rsid w:val="006B37A8"/>
    <w:rsid w:val="006B39CB"/>
    <w:rsid w:val="006B39DB"/>
    <w:rsid w:val="006B3A5F"/>
    <w:rsid w:val="006B45E9"/>
    <w:rsid w:val="006B4871"/>
    <w:rsid w:val="006B4EBD"/>
    <w:rsid w:val="006B5B8E"/>
    <w:rsid w:val="006B5DA7"/>
    <w:rsid w:val="006B5E8D"/>
    <w:rsid w:val="006B6444"/>
    <w:rsid w:val="006B657B"/>
    <w:rsid w:val="006B673A"/>
    <w:rsid w:val="006B678B"/>
    <w:rsid w:val="006B67FE"/>
    <w:rsid w:val="006B6961"/>
    <w:rsid w:val="006B69BD"/>
    <w:rsid w:val="006B6D1B"/>
    <w:rsid w:val="006B6E31"/>
    <w:rsid w:val="006B6EDF"/>
    <w:rsid w:val="006B70A9"/>
    <w:rsid w:val="006B7577"/>
    <w:rsid w:val="006B7F81"/>
    <w:rsid w:val="006C0151"/>
    <w:rsid w:val="006C023F"/>
    <w:rsid w:val="006C02A5"/>
    <w:rsid w:val="006C037C"/>
    <w:rsid w:val="006C07FE"/>
    <w:rsid w:val="006C0ABC"/>
    <w:rsid w:val="006C0B83"/>
    <w:rsid w:val="006C0E2A"/>
    <w:rsid w:val="006C0F6D"/>
    <w:rsid w:val="006C0F80"/>
    <w:rsid w:val="006C1060"/>
    <w:rsid w:val="006C1410"/>
    <w:rsid w:val="006C151D"/>
    <w:rsid w:val="006C19A4"/>
    <w:rsid w:val="006C1C11"/>
    <w:rsid w:val="006C1C25"/>
    <w:rsid w:val="006C1F65"/>
    <w:rsid w:val="006C2265"/>
    <w:rsid w:val="006C2357"/>
    <w:rsid w:val="006C23BC"/>
    <w:rsid w:val="006C26C9"/>
    <w:rsid w:val="006C2B13"/>
    <w:rsid w:val="006C300B"/>
    <w:rsid w:val="006C3204"/>
    <w:rsid w:val="006C3469"/>
    <w:rsid w:val="006C34F4"/>
    <w:rsid w:val="006C3525"/>
    <w:rsid w:val="006C3633"/>
    <w:rsid w:val="006C3715"/>
    <w:rsid w:val="006C3E8E"/>
    <w:rsid w:val="006C3EB1"/>
    <w:rsid w:val="006C40BD"/>
    <w:rsid w:val="006C443D"/>
    <w:rsid w:val="006C45DF"/>
    <w:rsid w:val="006C46D0"/>
    <w:rsid w:val="006C4A03"/>
    <w:rsid w:val="006C4B3C"/>
    <w:rsid w:val="006C4C2E"/>
    <w:rsid w:val="006C58D8"/>
    <w:rsid w:val="006C5A02"/>
    <w:rsid w:val="006C5A72"/>
    <w:rsid w:val="006C5B5C"/>
    <w:rsid w:val="006C5CE0"/>
    <w:rsid w:val="006C5ECD"/>
    <w:rsid w:val="006C5F1F"/>
    <w:rsid w:val="006C62B7"/>
    <w:rsid w:val="006C6336"/>
    <w:rsid w:val="006C65F7"/>
    <w:rsid w:val="006C674D"/>
    <w:rsid w:val="006C6824"/>
    <w:rsid w:val="006C68EE"/>
    <w:rsid w:val="006C6BE9"/>
    <w:rsid w:val="006C6BEE"/>
    <w:rsid w:val="006C6D4E"/>
    <w:rsid w:val="006C6D9D"/>
    <w:rsid w:val="006C6DF1"/>
    <w:rsid w:val="006C6F0D"/>
    <w:rsid w:val="006C730D"/>
    <w:rsid w:val="006C73BF"/>
    <w:rsid w:val="006C759E"/>
    <w:rsid w:val="006C7941"/>
    <w:rsid w:val="006C7B23"/>
    <w:rsid w:val="006C7DCC"/>
    <w:rsid w:val="006D0128"/>
    <w:rsid w:val="006D0424"/>
    <w:rsid w:val="006D0754"/>
    <w:rsid w:val="006D090F"/>
    <w:rsid w:val="006D0997"/>
    <w:rsid w:val="006D0D81"/>
    <w:rsid w:val="006D0DD0"/>
    <w:rsid w:val="006D1369"/>
    <w:rsid w:val="006D15D3"/>
    <w:rsid w:val="006D1A6A"/>
    <w:rsid w:val="006D1EF1"/>
    <w:rsid w:val="006D20D1"/>
    <w:rsid w:val="006D21C3"/>
    <w:rsid w:val="006D227B"/>
    <w:rsid w:val="006D22C8"/>
    <w:rsid w:val="006D2777"/>
    <w:rsid w:val="006D284F"/>
    <w:rsid w:val="006D2BF5"/>
    <w:rsid w:val="006D3800"/>
    <w:rsid w:val="006D3814"/>
    <w:rsid w:val="006D3D9B"/>
    <w:rsid w:val="006D4017"/>
    <w:rsid w:val="006D422B"/>
    <w:rsid w:val="006D4967"/>
    <w:rsid w:val="006D4B1A"/>
    <w:rsid w:val="006D4CBF"/>
    <w:rsid w:val="006D4DE7"/>
    <w:rsid w:val="006D504E"/>
    <w:rsid w:val="006D574E"/>
    <w:rsid w:val="006D5CDB"/>
    <w:rsid w:val="006D5E9A"/>
    <w:rsid w:val="006D5FE0"/>
    <w:rsid w:val="006D60BD"/>
    <w:rsid w:val="006D65A8"/>
    <w:rsid w:val="006D6669"/>
    <w:rsid w:val="006D69B2"/>
    <w:rsid w:val="006D6D7B"/>
    <w:rsid w:val="006D6F6B"/>
    <w:rsid w:val="006D7227"/>
    <w:rsid w:val="006D7508"/>
    <w:rsid w:val="006D77D9"/>
    <w:rsid w:val="006D7BDD"/>
    <w:rsid w:val="006E03A1"/>
    <w:rsid w:val="006E05DE"/>
    <w:rsid w:val="006E09B8"/>
    <w:rsid w:val="006E09F7"/>
    <w:rsid w:val="006E1057"/>
    <w:rsid w:val="006E1458"/>
    <w:rsid w:val="006E1638"/>
    <w:rsid w:val="006E17A6"/>
    <w:rsid w:val="006E18F4"/>
    <w:rsid w:val="006E1976"/>
    <w:rsid w:val="006E1AFD"/>
    <w:rsid w:val="006E2187"/>
    <w:rsid w:val="006E22C1"/>
    <w:rsid w:val="006E2659"/>
    <w:rsid w:val="006E26C5"/>
    <w:rsid w:val="006E2C83"/>
    <w:rsid w:val="006E2D8A"/>
    <w:rsid w:val="006E2DEA"/>
    <w:rsid w:val="006E2E59"/>
    <w:rsid w:val="006E2E94"/>
    <w:rsid w:val="006E3226"/>
    <w:rsid w:val="006E3278"/>
    <w:rsid w:val="006E3535"/>
    <w:rsid w:val="006E3949"/>
    <w:rsid w:val="006E3B23"/>
    <w:rsid w:val="006E3C5F"/>
    <w:rsid w:val="006E4015"/>
    <w:rsid w:val="006E4096"/>
    <w:rsid w:val="006E412C"/>
    <w:rsid w:val="006E4435"/>
    <w:rsid w:val="006E4652"/>
    <w:rsid w:val="006E4671"/>
    <w:rsid w:val="006E47AF"/>
    <w:rsid w:val="006E4A9F"/>
    <w:rsid w:val="006E4C28"/>
    <w:rsid w:val="006E4C7F"/>
    <w:rsid w:val="006E4D13"/>
    <w:rsid w:val="006E4D6B"/>
    <w:rsid w:val="006E5351"/>
    <w:rsid w:val="006E54C7"/>
    <w:rsid w:val="006E56C5"/>
    <w:rsid w:val="006E56E0"/>
    <w:rsid w:val="006E5EA3"/>
    <w:rsid w:val="006E5F38"/>
    <w:rsid w:val="006E5F55"/>
    <w:rsid w:val="006E5F84"/>
    <w:rsid w:val="006E6409"/>
    <w:rsid w:val="006E6484"/>
    <w:rsid w:val="006E6662"/>
    <w:rsid w:val="006E6C3E"/>
    <w:rsid w:val="006E6CDC"/>
    <w:rsid w:val="006E6EB2"/>
    <w:rsid w:val="006E70F6"/>
    <w:rsid w:val="006E7303"/>
    <w:rsid w:val="006E7715"/>
    <w:rsid w:val="006E7AAC"/>
    <w:rsid w:val="006E7C03"/>
    <w:rsid w:val="006E7DFC"/>
    <w:rsid w:val="006E7E9B"/>
    <w:rsid w:val="006E7F85"/>
    <w:rsid w:val="006F00C0"/>
    <w:rsid w:val="006F0974"/>
    <w:rsid w:val="006F1297"/>
    <w:rsid w:val="006F132F"/>
    <w:rsid w:val="006F17DE"/>
    <w:rsid w:val="006F1A78"/>
    <w:rsid w:val="006F1CF9"/>
    <w:rsid w:val="006F1E35"/>
    <w:rsid w:val="006F1E3A"/>
    <w:rsid w:val="006F2094"/>
    <w:rsid w:val="006F2255"/>
    <w:rsid w:val="006F234A"/>
    <w:rsid w:val="006F23AF"/>
    <w:rsid w:val="006F2539"/>
    <w:rsid w:val="006F26F0"/>
    <w:rsid w:val="006F2766"/>
    <w:rsid w:val="006F2B90"/>
    <w:rsid w:val="006F2EB8"/>
    <w:rsid w:val="006F2FA7"/>
    <w:rsid w:val="006F30C7"/>
    <w:rsid w:val="006F3127"/>
    <w:rsid w:val="006F333D"/>
    <w:rsid w:val="006F33AE"/>
    <w:rsid w:val="006F35F8"/>
    <w:rsid w:val="006F3952"/>
    <w:rsid w:val="006F3A1D"/>
    <w:rsid w:val="006F3A9B"/>
    <w:rsid w:val="006F3BDF"/>
    <w:rsid w:val="006F3ED6"/>
    <w:rsid w:val="006F3ED7"/>
    <w:rsid w:val="006F3F92"/>
    <w:rsid w:val="006F40EA"/>
    <w:rsid w:val="006F4561"/>
    <w:rsid w:val="006F4621"/>
    <w:rsid w:val="006F46E9"/>
    <w:rsid w:val="006F4772"/>
    <w:rsid w:val="006F4D8C"/>
    <w:rsid w:val="006F4F4F"/>
    <w:rsid w:val="006F4F52"/>
    <w:rsid w:val="006F5086"/>
    <w:rsid w:val="006F5399"/>
    <w:rsid w:val="006F5778"/>
    <w:rsid w:val="006F5C2F"/>
    <w:rsid w:val="006F5E44"/>
    <w:rsid w:val="006F66C5"/>
    <w:rsid w:val="006F6774"/>
    <w:rsid w:val="006F6E28"/>
    <w:rsid w:val="006F6EA4"/>
    <w:rsid w:val="006F7266"/>
    <w:rsid w:val="006F7325"/>
    <w:rsid w:val="006F76A6"/>
    <w:rsid w:val="006F7794"/>
    <w:rsid w:val="006F77C3"/>
    <w:rsid w:val="006F7B1C"/>
    <w:rsid w:val="00700013"/>
    <w:rsid w:val="0070020F"/>
    <w:rsid w:val="007004ED"/>
    <w:rsid w:val="007007AF"/>
    <w:rsid w:val="0070093E"/>
    <w:rsid w:val="00700AAA"/>
    <w:rsid w:val="00700F22"/>
    <w:rsid w:val="00700F79"/>
    <w:rsid w:val="00701010"/>
    <w:rsid w:val="007010E9"/>
    <w:rsid w:val="00701203"/>
    <w:rsid w:val="007016B9"/>
    <w:rsid w:val="0070194B"/>
    <w:rsid w:val="00701998"/>
    <w:rsid w:val="00701C6B"/>
    <w:rsid w:val="00701D18"/>
    <w:rsid w:val="00702214"/>
    <w:rsid w:val="007022B6"/>
    <w:rsid w:val="00702444"/>
    <w:rsid w:val="00702747"/>
    <w:rsid w:val="00702748"/>
    <w:rsid w:val="00702DC5"/>
    <w:rsid w:val="00702FB1"/>
    <w:rsid w:val="0070350D"/>
    <w:rsid w:val="00703587"/>
    <w:rsid w:val="00703777"/>
    <w:rsid w:val="007038DB"/>
    <w:rsid w:val="00703A3B"/>
    <w:rsid w:val="00703C36"/>
    <w:rsid w:val="007044B8"/>
    <w:rsid w:val="0070470D"/>
    <w:rsid w:val="00704CE1"/>
    <w:rsid w:val="00704DAD"/>
    <w:rsid w:val="00704DC1"/>
    <w:rsid w:val="007050F3"/>
    <w:rsid w:val="007053BD"/>
    <w:rsid w:val="00705416"/>
    <w:rsid w:val="007055A0"/>
    <w:rsid w:val="007056FD"/>
    <w:rsid w:val="0070582E"/>
    <w:rsid w:val="0070582F"/>
    <w:rsid w:val="00705995"/>
    <w:rsid w:val="00705AF8"/>
    <w:rsid w:val="00705F43"/>
    <w:rsid w:val="00705F50"/>
    <w:rsid w:val="007060A4"/>
    <w:rsid w:val="007060EA"/>
    <w:rsid w:val="00706125"/>
    <w:rsid w:val="0070624F"/>
    <w:rsid w:val="00706450"/>
    <w:rsid w:val="007066F2"/>
    <w:rsid w:val="0070691B"/>
    <w:rsid w:val="00707041"/>
    <w:rsid w:val="007072D3"/>
    <w:rsid w:val="007075B6"/>
    <w:rsid w:val="00707678"/>
    <w:rsid w:val="00707974"/>
    <w:rsid w:val="00707CA2"/>
    <w:rsid w:val="00707CA6"/>
    <w:rsid w:val="00707F4A"/>
    <w:rsid w:val="007105AA"/>
    <w:rsid w:val="00710833"/>
    <w:rsid w:val="00711125"/>
    <w:rsid w:val="00711ABD"/>
    <w:rsid w:val="00711B02"/>
    <w:rsid w:val="00711B4F"/>
    <w:rsid w:val="007120AC"/>
    <w:rsid w:val="007121DD"/>
    <w:rsid w:val="007122D8"/>
    <w:rsid w:val="00712A45"/>
    <w:rsid w:val="00712AF1"/>
    <w:rsid w:val="00712AF4"/>
    <w:rsid w:val="00712BD2"/>
    <w:rsid w:val="00712D29"/>
    <w:rsid w:val="00713096"/>
    <w:rsid w:val="0071336A"/>
    <w:rsid w:val="00713690"/>
    <w:rsid w:val="00713915"/>
    <w:rsid w:val="00713947"/>
    <w:rsid w:val="007139CA"/>
    <w:rsid w:val="00713AF5"/>
    <w:rsid w:val="00713C4B"/>
    <w:rsid w:val="00713D49"/>
    <w:rsid w:val="00714121"/>
    <w:rsid w:val="0071439B"/>
    <w:rsid w:val="007147F3"/>
    <w:rsid w:val="00714B98"/>
    <w:rsid w:val="00714D1A"/>
    <w:rsid w:val="00714D93"/>
    <w:rsid w:val="00715450"/>
    <w:rsid w:val="007156A7"/>
    <w:rsid w:val="007156CE"/>
    <w:rsid w:val="0071577C"/>
    <w:rsid w:val="0071583E"/>
    <w:rsid w:val="0071593C"/>
    <w:rsid w:val="00715F28"/>
    <w:rsid w:val="00715F72"/>
    <w:rsid w:val="0071663E"/>
    <w:rsid w:val="007169CE"/>
    <w:rsid w:val="007169F7"/>
    <w:rsid w:val="00716EE0"/>
    <w:rsid w:val="00716EF9"/>
    <w:rsid w:val="00717444"/>
    <w:rsid w:val="0071751B"/>
    <w:rsid w:val="00717644"/>
    <w:rsid w:val="00717676"/>
    <w:rsid w:val="0071773B"/>
    <w:rsid w:val="00717F98"/>
    <w:rsid w:val="00717FD5"/>
    <w:rsid w:val="007200C2"/>
    <w:rsid w:val="00720B94"/>
    <w:rsid w:val="00720CD9"/>
    <w:rsid w:val="00720DB1"/>
    <w:rsid w:val="00721379"/>
    <w:rsid w:val="007213C5"/>
    <w:rsid w:val="00721903"/>
    <w:rsid w:val="00721B5A"/>
    <w:rsid w:val="00721BDF"/>
    <w:rsid w:val="00721CBC"/>
    <w:rsid w:val="00721E64"/>
    <w:rsid w:val="00721F7F"/>
    <w:rsid w:val="007220DC"/>
    <w:rsid w:val="007223CD"/>
    <w:rsid w:val="00722412"/>
    <w:rsid w:val="0072243A"/>
    <w:rsid w:val="007227C1"/>
    <w:rsid w:val="007229CF"/>
    <w:rsid w:val="00723530"/>
    <w:rsid w:val="00723945"/>
    <w:rsid w:val="00723B30"/>
    <w:rsid w:val="00723B85"/>
    <w:rsid w:val="00723C09"/>
    <w:rsid w:val="00724127"/>
    <w:rsid w:val="0072420A"/>
    <w:rsid w:val="00724397"/>
    <w:rsid w:val="0072461C"/>
    <w:rsid w:val="007247EF"/>
    <w:rsid w:val="00724A06"/>
    <w:rsid w:val="00724B14"/>
    <w:rsid w:val="007250B2"/>
    <w:rsid w:val="0072517E"/>
    <w:rsid w:val="007253F5"/>
    <w:rsid w:val="00725697"/>
    <w:rsid w:val="00725B9F"/>
    <w:rsid w:val="00725DEC"/>
    <w:rsid w:val="00725E67"/>
    <w:rsid w:val="00726335"/>
    <w:rsid w:val="007263BB"/>
    <w:rsid w:val="00726448"/>
    <w:rsid w:val="00726887"/>
    <w:rsid w:val="007269F7"/>
    <w:rsid w:val="00726AFD"/>
    <w:rsid w:val="00726C8F"/>
    <w:rsid w:val="00726D39"/>
    <w:rsid w:val="00726F4B"/>
    <w:rsid w:val="00727382"/>
    <w:rsid w:val="00727BB8"/>
    <w:rsid w:val="00727C69"/>
    <w:rsid w:val="00727FAD"/>
    <w:rsid w:val="00727FC1"/>
    <w:rsid w:val="007301D0"/>
    <w:rsid w:val="00730335"/>
    <w:rsid w:val="00730491"/>
    <w:rsid w:val="00730755"/>
    <w:rsid w:val="00730C92"/>
    <w:rsid w:val="0073111A"/>
    <w:rsid w:val="00731182"/>
    <w:rsid w:val="007311C9"/>
    <w:rsid w:val="007312EB"/>
    <w:rsid w:val="00731697"/>
    <w:rsid w:val="007317CB"/>
    <w:rsid w:val="0073195E"/>
    <w:rsid w:val="00731AC4"/>
    <w:rsid w:val="0073252C"/>
    <w:rsid w:val="00732609"/>
    <w:rsid w:val="0073274E"/>
    <w:rsid w:val="007327FB"/>
    <w:rsid w:val="00732C6A"/>
    <w:rsid w:val="00732DE0"/>
    <w:rsid w:val="00732ED7"/>
    <w:rsid w:val="00732FF7"/>
    <w:rsid w:val="00733075"/>
    <w:rsid w:val="007331B6"/>
    <w:rsid w:val="007337CA"/>
    <w:rsid w:val="00733839"/>
    <w:rsid w:val="00733B6B"/>
    <w:rsid w:val="00733C55"/>
    <w:rsid w:val="00733F0C"/>
    <w:rsid w:val="007344DA"/>
    <w:rsid w:val="007344E0"/>
    <w:rsid w:val="0073453A"/>
    <w:rsid w:val="00734607"/>
    <w:rsid w:val="0073460A"/>
    <w:rsid w:val="00734BB7"/>
    <w:rsid w:val="00734C57"/>
    <w:rsid w:val="00735181"/>
    <w:rsid w:val="007357E5"/>
    <w:rsid w:val="00735E3D"/>
    <w:rsid w:val="00735F70"/>
    <w:rsid w:val="00736124"/>
    <w:rsid w:val="00736BDF"/>
    <w:rsid w:val="00736CA5"/>
    <w:rsid w:val="00736CC5"/>
    <w:rsid w:val="00736D13"/>
    <w:rsid w:val="00737134"/>
    <w:rsid w:val="007374EF"/>
    <w:rsid w:val="00737EA3"/>
    <w:rsid w:val="00737EE6"/>
    <w:rsid w:val="00740229"/>
    <w:rsid w:val="0074023A"/>
    <w:rsid w:val="007408F0"/>
    <w:rsid w:val="00740A8F"/>
    <w:rsid w:val="00740ACB"/>
    <w:rsid w:val="00740BA9"/>
    <w:rsid w:val="00740C44"/>
    <w:rsid w:val="00740FE4"/>
    <w:rsid w:val="00741084"/>
    <w:rsid w:val="0074148E"/>
    <w:rsid w:val="007415B9"/>
    <w:rsid w:val="007415ED"/>
    <w:rsid w:val="007416F6"/>
    <w:rsid w:val="0074189D"/>
    <w:rsid w:val="007418FB"/>
    <w:rsid w:val="00741995"/>
    <w:rsid w:val="00741B63"/>
    <w:rsid w:val="00741C0B"/>
    <w:rsid w:val="00741C98"/>
    <w:rsid w:val="00741CA6"/>
    <w:rsid w:val="00741F96"/>
    <w:rsid w:val="007425C5"/>
    <w:rsid w:val="00742763"/>
    <w:rsid w:val="007429F9"/>
    <w:rsid w:val="00742C6F"/>
    <w:rsid w:val="00742EFB"/>
    <w:rsid w:val="00742FB5"/>
    <w:rsid w:val="007432EB"/>
    <w:rsid w:val="0074349F"/>
    <w:rsid w:val="0074361F"/>
    <w:rsid w:val="00743696"/>
    <w:rsid w:val="007436D3"/>
    <w:rsid w:val="00743B15"/>
    <w:rsid w:val="00743BAB"/>
    <w:rsid w:val="00743E8D"/>
    <w:rsid w:val="00743EFC"/>
    <w:rsid w:val="007443AC"/>
    <w:rsid w:val="007445C0"/>
    <w:rsid w:val="00744832"/>
    <w:rsid w:val="00744981"/>
    <w:rsid w:val="00744BBE"/>
    <w:rsid w:val="00744DC0"/>
    <w:rsid w:val="00745038"/>
    <w:rsid w:val="00745236"/>
    <w:rsid w:val="007455B2"/>
    <w:rsid w:val="0074569E"/>
    <w:rsid w:val="007459DD"/>
    <w:rsid w:val="00745B7C"/>
    <w:rsid w:val="00745E46"/>
    <w:rsid w:val="00745E80"/>
    <w:rsid w:val="00746109"/>
    <w:rsid w:val="0074641E"/>
    <w:rsid w:val="007464D4"/>
    <w:rsid w:val="00746C59"/>
    <w:rsid w:val="007470F2"/>
    <w:rsid w:val="007472AD"/>
    <w:rsid w:val="0074737D"/>
    <w:rsid w:val="00747467"/>
    <w:rsid w:val="007475F2"/>
    <w:rsid w:val="00747710"/>
    <w:rsid w:val="00747E75"/>
    <w:rsid w:val="00747F19"/>
    <w:rsid w:val="00750242"/>
    <w:rsid w:val="007503C6"/>
    <w:rsid w:val="00750660"/>
    <w:rsid w:val="0075083A"/>
    <w:rsid w:val="00750D57"/>
    <w:rsid w:val="00750F47"/>
    <w:rsid w:val="00750FBC"/>
    <w:rsid w:val="007510F8"/>
    <w:rsid w:val="007511D3"/>
    <w:rsid w:val="0075122C"/>
    <w:rsid w:val="007514A8"/>
    <w:rsid w:val="00751551"/>
    <w:rsid w:val="0075179B"/>
    <w:rsid w:val="00751AF7"/>
    <w:rsid w:val="00751C54"/>
    <w:rsid w:val="00751EF3"/>
    <w:rsid w:val="00751EFE"/>
    <w:rsid w:val="00752049"/>
    <w:rsid w:val="00752131"/>
    <w:rsid w:val="00752196"/>
    <w:rsid w:val="007523F6"/>
    <w:rsid w:val="00752448"/>
    <w:rsid w:val="0075245C"/>
    <w:rsid w:val="00752B76"/>
    <w:rsid w:val="00752E32"/>
    <w:rsid w:val="0075305D"/>
    <w:rsid w:val="007530F1"/>
    <w:rsid w:val="007532A0"/>
    <w:rsid w:val="007532DE"/>
    <w:rsid w:val="00753524"/>
    <w:rsid w:val="007535A2"/>
    <w:rsid w:val="00753687"/>
    <w:rsid w:val="0075396C"/>
    <w:rsid w:val="00754651"/>
    <w:rsid w:val="0075479F"/>
    <w:rsid w:val="007547B8"/>
    <w:rsid w:val="00754877"/>
    <w:rsid w:val="00754AD2"/>
    <w:rsid w:val="00754D6B"/>
    <w:rsid w:val="00754E27"/>
    <w:rsid w:val="00755294"/>
    <w:rsid w:val="0075574A"/>
    <w:rsid w:val="007557FD"/>
    <w:rsid w:val="0075594C"/>
    <w:rsid w:val="00755A09"/>
    <w:rsid w:val="00755C48"/>
    <w:rsid w:val="00755C4F"/>
    <w:rsid w:val="00755C9E"/>
    <w:rsid w:val="00755DCA"/>
    <w:rsid w:val="00756156"/>
    <w:rsid w:val="007561C2"/>
    <w:rsid w:val="007561F0"/>
    <w:rsid w:val="00756602"/>
    <w:rsid w:val="00756858"/>
    <w:rsid w:val="007568FD"/>
    <w:rsid w:val="0075698F"/>
    <w:rsid w:val="00756D4E"/>
    <w:rsid w:val="00756D64"/>
    <w:rsid w:val="00757051"/>
    <w:rsid w:val="007572CD"/>
    <w:rsid w:val="00757316"/>
    <w:rsid w:val="00757376"/>
    <w:rsid w:val="00757447"/>
    <w:rsid w:val="00757A98"/>
    <w:rsid w:val="00757F49"/>
    <w:rsid w:val="00760381"/>
    <w:rsid w:val="00760392"/>
    <w:rsid w:val="007603E5"/>
    <w:rsid w:val="00760870"/>
    <w:rsid w:val="00760AA7"/>
    <w:rsid w:val="00761282"/>
    <w:rsid w:val="00761570"/>
    <w:rsid w:val="007616D3"/>
    <w:rsid w:val="007616ED"/>
    <w:rsid w:val="00761AFE"/>
    <w:rsid w:val="00761BD3"/>
    <w:rsid w:val="00761BFE"/>
    <w:rsid w:val="00761C8B"/>
    <w:rsid w:val="00761D16"/>
    <w:rsid w:val="00761DEB"/>
    <w:rsid w:val="00761F55"/>
    <w:rsid w:val="007621C8"/>
    <w:rsid w:val="00762329"/>
    <w:rsid w:val="0076280F"/>
    <w:rsid w:val="0076299B"/>
    <w:rsid w:val="007629F8"/>
    <w:rsid w:val="00762A48"/>
    <w:rsid w:val="00762B8D"/>
    <w:rsid w:val="00762CF4"/>
    <w:rsid w:val="00762D56"/>
    <w:rsid w:val="00762DAA"/>
    <w:rsid w:val="00762DEF"/>
    <w:rsid w:val="00762F90"/>
    <w:rsid w:val="007632B0"/>
    <w:rsid w:val="0076358C"/>
    <w:rsid w:val="0076395F"/>
    <w:rsid w:val="00763963"/>
    <w:rsid w:val="00763DBD"/>
    <w:rsid w:val="0076419A"/>
    <w:rsid w:val="0076457A"/>
    <w:rsid w:val="007646B2"/>
    <w:rsid w:val="007648A5"/>
    <w:rsid w:val="00765588"/>
    <w:rsid w:val="0076580A"/>
    <w:rsid w:val="00765880"/>
    <w:rsid w:val="00765AA8"/>
    <w:rsid w:val="007661EA"/>
    <w:rsid w:val="00766240"/>
    <w:rsid w:val="00766800"/>
    <w:rsid w:val="007668E6"/>
    <w:rsid w:val="00766AFF"/>
    <w:rsid w:val="00766B66"/>
    <w:rsid w:val="00766E28"/>
    <w:rsid w:val="00767434"/>
    <w:rsid w:val="007677C2"/>
    <w:rsid w:val="0076790C"/>
    <w:rsid w:val="00767C28"/>
    <w:rsid w:val="00767D45"/>
    <w:rsid w:val="007701CB"/>
    <w:rsid w:val="0077068F"/>
    <w:rsid w:val="007706EA"/>
    <w:rsid w:val="00770877"/>
    <w:rsid w:val="00770DD2"/>
    <w:rsid w:val="00771167"/>
    <w:rsid w:val="00771C0E"/>
    <w:rsid w:val="007720C2"/>
    <w:rsid w:val="00772218"/>
    <w:rsid w:val="0077243B"/>
    <w:rsid w:val="00772D0E"/>
    <w:rsid w:val="0077314E"/>
    <w:rsid w:val="007732F3"/>
    <w:rsid w:val="007738A1"/>
    <w:rsid w:val="00773997"/>
    <w:rsid w:val="00773A77"/>
    <w:rsid w:val="00773CDA"/>
    <w:rsid w:val="00773D63"/>
    <w:rsid w:val="0077410F"/>
    <w:rsid w:val="00774A72"/>
    <w:rsid w:val="00774BB9"/>
    <w:rsid w:val="00774C76"/>
    <w:rsid w:val="00774C98"/>
    <w:rsid w:val="007751EA"/>
    <w:rsid w:val="00775243"/>
    <w:rsid w:val="0077528C"/>
    <w:rsid w:val="0077561D"/>
    <w:rsid w:val="00775F00"/>
    <w:rsid w:val="00775F4A"/>
    <w:rsid w:val="007761F1"/>
    <w:rsid w:val="00776245"/>
    <w:rsid w:val="007762EF"/>
    <w:rsid w:val="00776778"/>
    <w:rsid w:val="007776DB"/>
    <w:rsid w:val="00777E6B"/>
    <w:rsid w:val="00780053"/>
    <w:rsid w:val="007801BE"/>
    <w:rsid w:val="007802C8"/>
    <w:rsid w:val="0078040C"/>
    <w:rsid w:val="0078040E"/>
    <w:rsid w:val="0078041D"/>
    <w:rsid w:val="007809FE"/>
    <w:rsid w:val="00780AE1"/>
    <w:rsid w:val="00780BCC"/>
    <w:rsid w:val="00780E12"/>
    <w:rsid w:val="007811F8"/>
    <w:rsid w:val="007813A3"/>
    <w:rsid w:val="007815A3"/>
    <w:rsid w:val="007817C2"/>
    <w:rsid w:val="00781C04"/>
    <w:rsid w:val="00782767"/>
    <w:rsid w:val="0078362C"/>
    <w:rsid w:val="0078369E"/>
    <w:rsid w:val="00783794"/>
    <w:rsid w:val="007838F6"/>
    <w:rsid w:val="00783960"/>
    <w:rsid w:val="00783988"/>
    <w:rsid w:val="007839E5"/>
    <w:rsid w:val="00783B99"/>
    <w:rsid w:val="007840B7"/>
    <w:rsid w:val="0078412B"/>
    <w:rsid w:val="00784180"/>
    <w:rsid w:val="00784383"/>
    <w:rsid w:val="007844F3"/>
    <w:rsid w:val="00784549"/>
    <w:rsid w:val="007848F9"/>
    <w:rsid w:val="007849D5"/>
    <w:rsid w:val="00784EEB"/>
    <w:rsid w:val="007851A3"/>
    <w:rsid w:val="00785449"/>
    <w:rsid w:val="0078548D"/>
    <w:rsid w:val="007856A1"/>
    <w:rsid w:val="00785F11"/>
    <w:rsid w:val="007864E9"/>
    <w:rsid w:val="0078650D"/>
    <w:rsid w:val="0078675D"/>
    <w:rsid w:val="00786763"/>
    <w:rsid w:val="0078695A"/>
    <w:rsid w:val="00786D8D"/>
    <w:rsid w:val="00786D9F"/>
    <w:rsid w:val="007870AA"/>
    <w:rsid w:val="00787319"/>
    <w:rsid w:val="00787686"/>
    <w:rsid w:val="007877BF"/>
    <w:rsid w:val="00787928"/>
    <w:rsid w:val="00787AA9"/>
    <w:rsid w:val="00787D5D"/>
    <w:rsid w:val="00787EEB"/>
    <w:rsid w:val="007901E4"/>
    <w:rsid w:val="00790252"/>
    <w:rsid w:val="00790500"/>
    <w:rsid w:val="00790531"/>
    <w:rsid w:val="0079053D"/>
    <w:rsid w:val="007907FF"/>
    <w:rsid w:val="00790BD1"/>
    <w:rsid w:val="00791558"/>
    <w:rsid w:val="007916DA"/>
    <w:rsid w:val="00791F9F"/>
    <w:rsid w:val="0079201F"/>
    <w:rsid w:val="007922E8"/>
    <w:rsid w:val="00792463"/>
    <w:rsid w:val="00792505"/>
    <w:rsid w:val="0079257D"/>
    <w:rsid w:val="007926AE"/>
    <w:rsid w:val="00792997"/>
    <w:rsid w:val="00792B1A"/>
    <w:rsid w:val="00792DE4"/>
    <w:rsid w:val="007938BB"/>
    <w:rsid w:val="00793EEC"/>
    <w:rsid w:val="007941D3"/>
    <w:rsid w:val="00794452"/>
    <w:rsid w:val="00794595"/>
    <w:rsid w:val="00794666"/>
    <w:rsid w:val="007947CB"/>
    <w:rsid w:val="007948B8"/>
    <w:rsid w:val="00794972"/>
    <w:rsid w:val="007949CE"/>
    <w:rsid w:val="00794D83"/>
    <w:rsid w:val="00794FB4"/>
    <w:rsid w:val="007956B1"/>
    <w:rsid w:val="007956DE"/>
    <w:rsid w:val="00795A23"/>
    <w:rsid w:val="00795AFF"/>
    <w:rsid w:val="00795B83"/>
    <w:rsid w:val="00795BC0"/>
    <w:rsid w:val="007964B2"/>
    <w:rsid w:val="007964EC"/>
    <w:rsid w:val="007969C2"/>
    <w:rsid w:val="00796A41"/>
    <w:rsid w:val="00796F4F"/>
    <w:rsid w:val="007971F0"/>
    <w:rsid w:val="007971FE"/>
    <w:rsid w:val="0079720A"/>
    <w:rsid w:val="00797731"/>
    <w:rsid w:val="00797BDC"/>
    <w:rsid w:val="00797C20"/>
    <w:rsid w:val="00797C3A"/>
    <w:rsid w:val="00797F19"/>
    <w:rsid w:val="007A0155"/>
    <w:rsid w:val="007A02D5"/>
    <w:rsid w:val="007A0347"/>
    <w:rsid w:val="007A04D3"/>
    <w:rsid w:val="007A081C"/>
    <w:rsid w:val="007A0B91"/>
    <w:rsid w:val="007A0DEE"/>
    <w:rsid w:val="007A1083"/>
    <w:rsid w:val="007A127B"/>
    <w:rsid w:val="007A129A"/>
    <w:rsid w:val="007A133D"/>
    <w:rsid w:val="007A1999"/>
    <w:rsid w:val="007A2288"/>
    <w:rsid w:val="007A228C"/>
    <w:rsid w:val="007A22B8"/>
    <w:rsid w:val="007A23B2"/>
    <w:rsid w:val="007A2A01"/>
    <w:rsid w:val="007A2A98"/>
    <w:rsid w:val="007A2B48"/>
    <w:rsid w:val="007A2B7D"/>
    <w:rsid w:val="007A2B7F"/>
    <w:rsid w:val="007A2BD2"/>
    <w:rsid w:val="007A2C92"/>
    <w:rsid w:val="007A2EB8"/>
    <w:rsid w:val="007A3002"/>
    <w:rsid w:val="007A310B"/>
    <w:rsid w:val="007A3605"/>
    <w:rsid w:val="007A395E"/>
    <w:rsid w:val="007A3DFF"/>
    <w:rsid w:val="007A3E78"/>
    <w:rsid w:val="007A3F5E"/>
    <w:rsid w:val="007A3F91"/>
    <w:rsid w:val="007A43BC"/>
    <w:rsid w:val="007A46B3"/>
    <w:rsid w:val="007A49E3"/>
    <w:rsid w:val="007A4B25"/>
    <w:rsid w:val="007A4BA9"/>
    <w:rsid w:val="007A4DA3"/>
    <w:rsid w:val="007A4DDD"/>
    <w:rsid w:val="007A5110"/>
    <w:rsid w:val="007A51BB"/>
    <w:rsid w:val="007A53E7"/>
    <w:rsid w:val="007A55B7"/>
    <w:rsid w:val="007A5735"/>
    <w:rsid w:val="007A575B"/>
    <w:rsid w:val="007A577A"/>
    <w:rsid w:val="007A5919"/>
    <w:rsid w:val="007A59B4"/>
    <w:rsid w:val="007A5A05"/>
    <w:rsid w:val="007A5FF3"/>
    <w:rsid w:val="007A649C"/>
    <w:rsid w:val="007A64C5"/>
    <w:rsid w:val="007A64F6"/>
    <w:rsid w:val="007A65E8"/>
    <w:rsid w:val="007A672B"/>
    <w:rsid w:val="007A6869"/>
    <w:rsid w:val="007A69C3"/>
    <w:rsid w:val="007A701C"/>
    <w:rsid w:val="007A7311"/>
    <w:rsid w:val="007A783B"/>
    <w:rsid w:val="007A7AE3"/>
    <w:rsid w:val="007A7B4C"/>
    <w:rsid w:val="007A7CDE"/>
    <w:rsid w:val="007A7E5D"/>
    <w:rsid w:val="007B0075"/>
    <w:rsid w:val="007B01D3"/>
    <w:rsid w:val="007B0816"/>
    <w:rsid w:val="007B0AEF"/>
    <w:rsid w:val="007B0EBC"/>
    <w:rsid w:val="007B0EF8"/>
    <w:rsid w:val="007B1717"/>
    <w:rsid w:val="007B1A1C"/>
    <w:rsid w:val="007B1AA7"/>
    <w:rsid w:val="007B1AFF"/>
    <w:rsid w:val="007B1E0A"/>
    <w:rsid w:val="007B206E"/>
    <w:rsid w:val="007B21ED"/>
    <w:rsid w:val="007B25B4"/>
    <w:rsid w:val="007B266C"/>
    <w:rsid w:val="007B26C2"/>
    <w:rsid w:val="007B28EC"/>
    <w:rsid w:val="007B2AA5"/>
    <w:rsid w:val="007B2E50"/>
    <w:rsid w:val="007B2ECF"/>
    <w:rsid w:val="007B3040"/>
    <w:rsid w:val="007B32A9"/>
    <w:rsid w:val="007B3625"/>
    <w:rsid w:val="007B371D"/>
    <w:rsid w:val="007B3A46"/>
    <w:rsid w:val="007B4667"/>
    <w:rsid w:val="007B493B"/>
    <w:rsid w:val="007B49C0"/>
    <w:rsid w:val="007B4AB0"/>
    <w:rsid w:val="007B4C3D"/>
    <w:rsid w:val="007B4C43"/>
    <w:rsid w:val="007B4FB2"/>
    <w:rsid w:val="007B510F"/>
    <w:rsid w:val="007B5265"/>
    <w:rsid w:val="007B52F4"/>
    <w:rsid w:val="007B54C6"/>
    <w:rsid w:val="007B582F"/>
    <w:rsid w:val="007B5EED"/>
    <w:rsid w:val="007B5F12"/>
    <w:rsid w:val="007B622C"/>
    <w:rsid w:val="007B64D5"/>
    <w:rsid w:val="007B6970"/>
    <w:rsid w:val="007B6C05"/>
    <w:rsid w:val="007B72B1"/>
    <w:rsid w:val="007B74AF"/>
    <w:rsid w:val="007B7822"/>
    <w:rsid w:val="007B7858"/>
    <w:rsid w:val="007B78D1"/>
    <w:rsid w:val="007B78F6"/>
    <w:rsid w:val="007B78FC"/>
    <w:rsid w:val="007C0324"/>
    <w:rsid w:val="007C04A8"/>
    <w:rsid w:val="007C05EB"/>
    <w:rsid w:val="007C08B8"/>
    <w:rsid w:val="007C0E12"/>
    <w:rsid w:val="007C0F15"/>
    <w:rsid w:val="007C11DB"/>
    <w:rsid w:val="007C1C38"/>
    <w:rsid w:val="007C1D4B"/>
    <w:rsid w:val="007C1E0D"/>
    <w:rsid w:val="007C1FFC"/>
    <w:rsid w:val="007C207F"/>
    <w:rsid w:val="007C28C7"/>
    <w:rsid w:val="007C2B4D"/>
    <w:rsid w:val="007C3456"/>
    <w:rsid w:val="007C3570"/>
    <w:rsid w:val="007C35CD"/>
    <w:rsid w:val="007C361B"/>
    <w:rsid w:val="007C367D"/>
    <w:rsid w:val="007C3778"/>
    <w:rsid w:val="007C3867"/>
    <w:rsid w:val="007C3E31"/>
    <w:rsid w:val="007C406C"/>
    <w:rsid w:val="007C41BA"/>
    <w:rsid w:val="007C4215"/>
    <w:rsid w:val="007C4A82"/>
    <w:rsid w:val="007C5520"/>
    <w:rsid w:val="007C560F"/>
    <w:rsid w:val="007C56AD"/>
    <w:rsid w:val="007C5740"/>
    <w:rsid w:val="007C5825"/>
    <w:rsid w:val="007C5F13"/>
    <w:rsid w:val="007C618B"/>
    <w:rsid w:val="007C61A4"/>
    <w:rsid w:val="007C66E2"/>
    <w:rsid w:val="007C6794"/>
    <w:rsid w:val="007C6ACB"/>
    <w:rsid w:val="007C6B9C"/>
    <w:rsid w:val="007C6C0E"/>
    <w:rsid w:val="007C710A"/>
    <w:rsid w:val="007C73FE"/>
    <w:rsid w:val="007C7908"/>
    <w:rsid w:val="007C7D19"/>
    <w:rsid w:val="007D03BB"/>
    <w:rsid w:val="007D0AB9"/>
    <w:rsid w:val="007D0E5B"/>
    <w:rsid w:val="007D1308"/>
    <w:rsid w:val="007D16DD"/>
    <w:rsid w:val="007D1908"/>
    <w:rsid w:val="007D1958"/>
    <w:rsid w:val="007D1B07"/>
    <w:rsid w:val="007D1B41"/>
    <w:rsid w:val="007D1CFE"/>
    <w:rsid w:val="007D2171"/>
    <w:rsid w:val="007D21CA"/>
    <w:rsid w:val="007D24C8"/>
    <w:rsid w:val="007D2544"/>
    <w:rsid w:val="007D25FB"/>
    <w:rsid w:val="007D2B86"/>
    <w:rsid w:val="007D2C1F"/>
    <w:rsid w:val="007D2EE9"/>
    <w:rsid w:val="007D32B1"/>
    <w:rsid w:val="007D360B"/>
    <w:rsid w:val="007D387D"/>
    <w:rsid w:val="007D3B7D"/>
    <w:rsid w:val="007D3D59"/>
    <w:rsid w:val="007D3E8F"/>
    <w:rsid w:val="007D407D"/>
    <w:rsid w:val="007D41D3"/>
    <w:rsid w:val="007D44F3"/>
    <w:rsid w:val="007D450E"/>
    <w:rsid w:val="007D46C6"/>
    <w:rsid w:val="007D4729"/>
    <w:rsid w:val="007D4985"/>
    <w:rsid w:val="007D4E85"/>
    <w:rsid w:val="007D4F82"/>
    <w:rsid w:val="007D532B"/>
    <w:rsid w:val="007D5A65"/>
    <w:rsid w:val="007D5B9E"/>
    <w:rsid w:val="007D5F03"/>
    <w:rsid w:val="007D603C"/>
    <w:rsid w:val="007D60E4"/>
    <w:rsid w:val="007D6423"/>
    <w:rsid w:val="007D65B1"/>
    <w:rsid w:val="007D670F"/>
    <w:rsid w:val="007D6CC6"/>
    <w:rsid w:val="007D6FD6"/>
    <w:rsid w:val="007D7179"/>
    <w:rsid w:val="007D72F3"/>
    <w:rsid w:val="007D7439"/>
    <w:rsid w:val="007D7552"/>
    <w:rsid w:val="007D7719"/>
    <w:rsid w:val="007D77ED"/>
    <w:rsid w:val="007D7B6B"/>
    <w:rsid w:val="007D7C87"/>
    <w:rsid w:val="007E007A"/>
    <w:rsid w:val="007E02EB"/>
    <w:rsid w:val="007E033D"/>
    <w:rsid w:val="007E03E2"/>
    <w:rsid w:val="007E045B"/>
    <w:rsid w:val="007E061B"/>
    <w:rsid w:val="007E0985"/>
    <w:rsid w:val="007E0B84"/>
    <w:rsid w:val="007E1104"/>
    <w:rsid w:val="007E1253"/>
    <w:rsid w:val="007E12F4"/>
    <w:rsid w:val="007E1753"/>
    <w:rsid w:val="007E1801"/>
    <w:rsid w:val="007E1C2B"/>
    <w:rsid w:val="007E1C9B"/>
    <w:rsid w:val="007E1FFC"/>
    <w:rsid w:val="007E220E"/>
    <w:rsid w:val="007E259D"/>
    <w:rsid w:val="007E25A0"/>
    <w:rsid w:val="007E25AB"/>
    <w:rsid w:val="007E261E"/>
    <w:rsid w:val="007E2875"/>
    <w:rsid w:val="007E2E43"/>
    <w:rsid w:val="007E324E"/>
    <w:rsid w:val="007E34FF"/>
    <w:rsid w:val="007E3598"/>
    <w:rsid w:val="007E3B91"/>
    <w:rsid w:val="007E3CC4"/>
    <w:rsid w:val="007E40EC"/>
    <w:rsid w:val="007E46F8"/>
    <w:rsid w:val="007E490E"/>
    <w:rsid w:val="007E4AD5"/>
    <w:rsid w:val="007E4E02"/>
    <w:rsid w:val="007E520F"/>
    <w:rsid w:val="007E52EB"/>
    <w:rsid w:val="007E53CD"/>
    <w:rsid w:val="007E55C4"/>
    <w:rsid w:val="007E57CA"/>
    <w:rsid w:val="007E5C72"/>
    <w:rsid w:val="007E5DAA"/>
    <w:rsid w:val="007E628A"/>
    <w:rsid w:val="007E63DB"/>
    <w:rsid w:val="007E6696"/>
    <w:rsid w:val="007E66E1"/>
    <w:rsid w:val="007E6ACF"/>
    <w:rsid w:val="007E6B52"/>
    <w:rsid w:val="007E6DD9"/>
    <w:rsid w:val="007E6F49"/>
    <w:rsid w:val="007E7251"/>
    <w:rsid w:val="007E72AA"/>
    <w:rsid w:val="007E73AA"/>
    <w:rsid w:val="007E742F"/>
    <w:rsid w:val="007E748E"/>
    <w:rsid w:val="007E766E"/>
    <w:rsid w:val="007E76F8"/>
    <w:rsid w:val="007E77CD"/>
    <w:rsid w:val="007F0066"/>
    <w:rsid w:val="007F06E7"/>
    <w:rsid w:val="007F0A21"/>
    <w:rsid w:val="007F0A3E"/>
    <w:rsid w:val="007F0CDB"/>
    <w:rsid w:val="007F0D72"/>
    <w:rsid w:val="007F12CC"/>
    <w:rsid w:val="007F13F1"/>
    <w:rsid w:val="007F15CC"/>
    <w:rsid w:val="007F18C8"/>
    <w:rsid w:val="007F1921"/>
    <w:rsid w:val="007F1B05"/>
    <w:rsid w:val="007F1D2F"/>
    <w:rsid w:val="007F2394"/>
    <w:rsid w:val="007F256D"/>
    <w:rsid w:val="007F2887"/>
    <w:rsid w:val="007F2B7D"/>
    <w:rsid w:val="007F2EEA"/>
    <w:rsid w:val="007F2F3D"/>
    <w:rsid w:val="007F30CD"/>
    <w:rsid w:val="007F3330"/>
    <w:rsid w:val="007F36EF"/>
    <w:rsid w:val="007F39BB"/>
    <w:rsid w:val="007F3A3A"/>
    <w:rsid w:val="007F3A86"/>
    <w:rsid w:val="007F3A87"/>
    <w:rsid w:val="007F3B00"/>
    <w:rsid w:val="007F3B64"/>
    <w:rsid w:val="007F3D4C"/>
    <w:rsid w:val="007F411C"/>
    <w:rsid w:val="007F4376"/>
    <w:rsid w:val="007F43B9"/>
    <w:rsid w:val="007F4686"/>
    <w:rsid w:val="007F4A44"/>
    <w:rsid w:val="007F4CFA"/>
    <w:rsid w:val="007F4D19"/>
    <w:rsid w:val="007F4EEC"/>
    <w:rsid w:val="007F4F70"/>
    <w:rsid w:val="007F514A"/>
    <w:rsid w:val="007F5300"/>
    <w:rsid w:val="007F56DF"/>
    <w:rsid w:val="007F5BC5"/>
    <w:rsid w:val="007F5CAE"/>
    <w:rsid w:val="007F5D3A"/>
    <w:rsid w:val="007F639A"/>
    <w:rsid w:val="007F668E"/>
    <w:rsid w:val="007F66C4"/>
    <w:rsid w:val="007F6964"/>
    <w:rsid w:val="007F6A27"/>
    <w:rsid w:val="007F6C62"/>
    <w:rsid w:val="007F6D13"/>
    <w:rsid w:val="007F6D29"/>
    <w:rsid w:val="007F6DAF"/>
    <w:rsid w:val="007F6DD9"/>
    <w:rsid w:val="007F701A"/>
    <w:rsid w:val="007F7049"/>
    <w:rsid w:val="007F7569"/>
    <w:rsid w:val="007F7579"/>
    <w:rsid w:val="007F7AEB"/>
    <w:rsid w:val="008001BA"/>
    <w:rsid w:val="00800362"/>
    <w:rsid w:val="0080058E"/>
    <w:rsid w:val="00800A77"/>
    <w:rsid w:val="00800CB4"/>
    <w:rsid w:val="00800D17"/>
    <w:rsid w:val="0080116B"/>
    <w:rsid w:val="008012F1"/>
    <w:rsid w:val="00801699"/>
    <w:rsid w:val="00801753"/>
    <w:rsid w:val="00801972"/>
    <w:rsid w:val="00801D5D"/>
    <w:rsid w:val="00801D6A"/>
    <w:rsid w:val="00801D9F"/>
    <w:rsid w:val="0080202B"/>
    <w:rsid w:val="008020B2"/>
    <w:rsid w:val="0080251D"/>
    <w:rsid w:val="0080262C"/>
    <w:rsid w:val="00802A55"/>
    <w:rsid w:val="00802AFB"/>
    <w:rsid w:val="00802D96"/>
    <w:rsid w:val="00802DEB"/>
    <w:rsid w:val="00802FDC"/>
    <w:rsid w:val="00803046"/>
    <w:rsid w:val="008030A1"/>
    <w:rsid w:val="008030AF"/>
    <w:rsid w:val="008031AE"/>
    <w:rsid w:val="008034D8"/>
    <w:rsid w:val="00803709"/>
    <w:rsid w:val="0080382E"/>
    <w:rsid w:val="00803856"/>
    <w:rsid w:val="0080388F"/>
    <w:rsid w:val="00804243"/>
    <w:rsid w:val="008042FE"/>
    <w:rsid w:val="0080461B"/>
    <w:rsid w:val="00804F4E"/>
    <w:rsid w:val="008050E0"/>
    <w:rsid w:val="008056AA"/>
    <w:rsid w:val="008057A0"/>
    <w:rsid w:val="008058F7"/>
    <w:rsid w:val="00805DCC"/>
    <w:rsid w:val="00805DDE"/>
    <w:rsid w:val="00805F55"/>
    <w:rsid w:val="00806048"/>
    <w:rsid w:val="0080644E"/>
    <w:rsid w:val="00806589"/>
    <w:rsid w:val="008066CA"/>
    <w:rsid w:val="00806782"/>
    <w:rsid w:val="00806B13"/>
    <w:rsid w:val="00806C9A"/>
    <w:rsid w:val="00806EE5"/>
    <w:rsid w:val="008072C3"/>
    <w:rsid w:val="008076EB"/>
    <w:rsid w:val="00807760"/>
    <w:rsid w:val="00807BD1"/>
    <w:rsid w:val="008102A2"/>
    <w:rsid w:val="00810470"/>
    <w:rsid w:val="0081093D"/>
    <w:rsid w:val="00810DFE"/>
    <w:rsid w:val="00811284"/>
    <w:rsid w:val="008112AE"/>
    <w:rsid w:val="008115FE"/>
    <w:rsid w:val="00811645"/>
    <w:rsid w:val="008116BC"/>
    <w:rsid w:val="00811788"/>
    <w:rsid w:val="00812258"/>
    <w:rsid w:val="008122E2"/>
    <w:rsid w:val="00812821"/>
    <w:rsid w:val="00812851"/>
    <w:rsid w:val="0081285F"/>
    <w:rsid w:val="00812AAB"/>
    <w:rsid w:val="00812E80"/>
    <w:rsid w:val="00813231"/>
    <w:rsid w:val="008135CF"/>
    <w:rsid w:val="00813612"/>
    <w:rsid w:val="00813925"/>
    <w:rsid w:val="00814755"/>
    <w:rsid w:val="00814823"/>
    <w:rsid w:val="00814B39"/>
    <w:rsid w:val="00814D8E"/>
    <w:rsid w:val="00815161"/>
    <w:rsid w:val="00815361"/>
    <w:rsid w:val="0081569F"/>
    <w:rsid w:val="008156A3"/>
    <w:rsid w:val="00815803"/>
    <w:rsid w:val="00815834"/>
    <w:rsid w:val="0081584E"/>
    <w:rsid w:val="008159C3"/>
    <w:rsid w:val="0081616E"/>
    <w:rsid w:val="0081656F"/>
    <w:rsid w:val="008165A1"/>
    <w:rsid w:val="0081674F"/>
    <w:rsid w:val="008167A3"/>
    <w:rsid w:val="008167B9"/>
    <w:rsid w:val="008168A2"/>
    <w:rsid w:val="00816960"/>
    <w:rsid w:val="00817506"/>
    <w:rsid w:val="0081756C"/>
    <w:rsid w:val="008176F3"/>
    <w:rsid w:val="00817976"/>
    <w:rsid w:val="00817B3A"/>
    <w:rsid w:val="00817BE6"/>
    <w:rsid w:val="008200C2"/>
    <w:rsid w:val="0082093B"/>
    <w:rsid w:val="00820E6F"/>
    <w:rsid w:val="00820EEF"/>
    <w:rsid w:val="0082199A"/>
    <w:rsid w:val="00821A8E"/>
    <w:rsid w:val="00821BD6"/>
    <w:rsid w:val="00821EC6"/>
    <w:rsid w:val="00822139"/>
    <w:rsid w:val="00822A5C"/>
    <w:rsid w:val="00822D21"/>
    <w:rsid w:val="00822DBF"/>
    <w:rsid w:val="00822FF8"/>
    <w:rsid w:val="00823BAF"/>
    <w:rsid w:val="00823C39"/>
    <w:rsid w:val="00823F58"/>
    <w:rsid w:val="00823FC2"/>
    <w:rsid w:val="00824190"/>
    <w:rsid w:val="00824416"/>
    <w:rsid w:val="00824784"/>
    <w:rsid w:val="00824801"/>
    <w:rsid w:val="00824A5F"/>
    <w:rsid w:val="00824C64"/>
    <w:rsid w:val="00824CCE"/>
    <w:rsid w:val="00824D85"/>
    <w:rsid w:val="00824ECF"/>
    <w:rsid w:val="0082513E"/>
    <w:rsid w:val="00825B6D"/>
    <w:rsid w:val="00825C7F"/>
    <w:rsid w:val="00825EF7"/>
    <w:rsid w:val="00826116"/>
    <w:rsid w:val="00826256"/>
    <w:rsid w:val="0082649B"/>
    <w:rsid w:val="00826EC5"/>
    <w:rsid w:val="00826FD8"/>
    <w:rsid w:val="008272F7"/>
    <w:rsid w:val="008272F9"/>
    <w:rsid w:val="00827BEE"/>
    <w:rsid w:val="00827DA9"/>
    <w:rsid w:val="00827E2D"/>
    <w:rsid w:val="00827ED5"/>
    <w:rsid w:val="00827EF2"/>
    <w:rsid w:val="00827F3E"/>
    <w:rsid w:val="00830101"/>
    <w:rsid w:val="00830355"/>
    <w:rsid w:val="008303EE"/>
    <w:rsid w:val="008304EE"/>
    <w:rsid w:val="00830662"/>
    <w:rsid w:val="0083068B"/>
    <w:rsid w:val="008306FD"/>
    <w:rsid w:val="0083076C"/>
    <w:rsid w:val="008307A2"/>
    <w:rsid w:val="00830A53"/>
    <w:rsid w:val="00830CDC"/>
    <w:rsid w:val="00830E53"/>
    <w:rsid w:val="008310CF"/>
    <w:rsid w:val="0083148C"/>
    <w:rsid w:val="008314EB"/>
    <w:rsid w:val="008315D2"/>
    <w:rsid w:val="00831971"/>
    <w:rsid w:val="00831E74"/>
    <w:rsid w:val="00832171"/>
    <w:rsid w:val="00832288"/>
    <w:rsid w:val="008322EE"/>
    <w:rsid w:val="008324B0"/>
    <w:rsid w:val="00832565"/>
    <w:rsid w:val="0083263B"/>
    <w:rsid w:val="00832956"/>
    <w:rsid w:val="008329C3"/>
    <w:rsid w:val="00832AEA"/>
    <w:rsid w:val="00832D04"/>
    <w:rsid w:val="00833077"/>
    <w:rsid w:val="00833BB4"/>
    <w:rsid w:val="00833D7A"/>
    <w:rsid w:val="00833E06"/>
    <w:rsid w:val="00833F4D"/>
    <w:rsid w:val="00834114"/>
    <w:rsid w:val="008343D2"/>
    <w:rsid w:val="008344E6"/>
    <w:rsid w:val="00834743"/>
    <w:rsid w:val="00834AA7"/>
    <w:rsid w:val="00834C67"/>
    <w:rsid w:val="00834DBF"/>
    <w:rsid w:val="0083527D"/>
    <w:rsid w:val="008353E0"/>
    <w:rsid w:val="008353FE"/>
    <w:rsid w:val="00835462"/>
    <w:rsid w:val="00835491"/>
    <w:rsid w:val="00835AA4"/>
    <w:rsid w:val="00835B17"/>
    <w:rsid w:val="00835E4B"/>
    <w:rsid w:val="00835ED0"/>
    <w:rsid w:val="008360A2"/>
    <w:rsid w:val="00836380"/>
    <w:rsid w:val="008363E0"/>
    <w:rsid w:val="00836472"/>
    <w:rsid w:val="008369A9"/>
    <w:rsid w:val="00836DFD"/>
    <w:rsid w:val="00837094"/>
    <w:rsid w:val="00837323"/>
    <w:rsid w:val="0083741D"/>
    <w:rsid w:val="00837420"/>
    <w:rsid w:val="00837878"/>
    <w:rsid w:val="00837A61"/>
    <w:rsid w:val="00837D20"/>
    <w:rsid w:val="008401B2"/>
    <w:rsid w:val="00840251"/>
    <w:rsid w:val="00840CCF"/>
    <w:rsid w:val="00840D93"/>
    <w:rsid w:val="00841A57"/>
    <w:rsid w:val="00841B57"/>
    <w:rsid w:val="00842111"/>
    <w:rsid w:val="00842465"/>
    <w:rsid w:val="0084297C"/>
    <w:rsid w:val="008429FD"/>
    <w:rsid w:val="00842DE9"/>
    <w:rsid w:val="00842F1C"/>
    <w:rsid w:val="00842F8B"/>
    <w:rsid w:val="00843501"/>
    <w:rsid w:val="00843931"/>
    <w:rsid w:val="0084396F"/>
    <w:rsid w:val="00843B64"/>
    <w:rsid w:val="00843D02"/>
    <w:rsid w:val="00843D19"/>
    <w:rsid w:val="00844052"/>
    <w:rsid w:val="008440EF"/>
    <w:rsid w:val="0084450B"/>
    <w:rsid w:val="00844879"/>
    <w:rsid w:val="00844886"/>
    <w:rsid w:val="00844A15"/>
    <w:rsid w:val="00844AE2"/>
    <w:rsid w:val="00844D31"/>
    <w:rsid w:val="00844DCE"/>
    <w:rsid w:val="00844E51"/>
    <w:rsid w:val="00844FE5"/>
    <w:rsid w:val="008450A1"/>
    <w:rsid w:val="00845392"/>
    <w:rsid w:val="008453EB"/>
    <w:rsid w:val="00845408"/>
    <w:rsid w:val="00845446"/>
    <w:rsid w:val="0084556C"/>
    <w:rsid w:val="0084570E"/>
    <w:rsid w:val="0084572D"/>
    <w:rsid w:val="00845A7F"/>
    <w:rsid w:val="00845B66"/>
    <w:rsid w:val="00845F5B"/>
    <w:rsid w:val="008464CE"/>
    <w:rsid w:val="008465C0"/>
    <w:rsid w:val="008465DF"/>
    <w:rsid w:val="00846607"/>
    <w:rsid w:val="00846622"/>
    <w:rsid w:val="00846649"/>
    <w:rsid w:val="008466E7"/>
    <w:rsid w:val="00846968"/>
    <w:rsid w:val="00846D0C"/>
    <w:rsid w:val="00847498"/>
    <w:rsid w:val="00847789"/>
    <w:rsid w:val="00847901"/>
    <w:rsid w:val="00847A19"/>
    <w:rsid w:val="00847B51"/>
    <w:rsid w:val="00847C62"/>
    <w:rsid w:val="00847E80"/>
    <w:rsid w:val="00847EF2"/>
    <w:rsid w:val="0085014D"/>
    <w:rsid w:val="00850675"/>
    <w:rsid w:val="0085088B"/>
    <w:rsid w:val="00850977"/>
    <w:rsid w:val="00850BC6"/>
    <w:rsid w:val="00850C55"/>
    <w:rsid w:val="00850C90"/>
    <w:rsid w:val="00851B1C"/>
    <w:rsid w:val="00851EE3"/>
    <w:rsid w:val="00851F17"/>
    <w:rsid w:val="00851FE2"/>
    <w:rsid w:val="00852126"/>
    <w:rsid w:val="00852400"/>
    <w:rsid w:val="00852A4E"/>
    <w:rsid w:val="00852CCF"/>
    <w:rsid w:val="00852D94"/>
    <w:rsid w:val="00853448"/>
    <w:rsid w:val="0085390C"/>
    <w:rsid w:val="00853D90"/>
    <w:rsid w:val="00853F41"/>
    <w:rsid w:val="00854216"/>
    <w:rsid w:val="008544AE"/>
    <w:rsid w:val="00854663"/>
    <w:rsid w:val="0085472B"/>
    <w:rsid w:val="008547B9"/>
    <w:rsid w:val="008548E0"/>
    <w:rsid w:val="00854A42"/>
    <w:rsid w:val="00854A65"/>
    <w:rsid w:val="00854E2F"/>
    <w:rsid w:val="00855062"/>
    <w:rsid w:val="008550F0"/>
    <w:rsid w:val="008555D1"/>
    <w:rsid w:val="00855BCC"/>
    <w:rsid w:val="00855F2F"/>
    <w:rsid w:val="00855FB4"/>
    <w:rsid w:val="00856076"/>
    <w:rsid w:val="0085618D"/>
    <w:rsid w:val="00856CF1"/>
    <w:rsid w:val="0085702A"/>
    <w:rsid w:val="008575E1"/>
    <w:rsid w:val="00857648"/>
    <w:rsid w:val="00857813"/>
    <w:rsid w:val="00857CCB"/>
    <w:rsid w:val="00857F6E"/>
    <w:rsid w:val="0086002C"/>
    <w:rsid w:val="00860146"/>
    <w:rsid w:val="00860293"/>
    <w:rsid w:val="0086067B"/>
    <w:rsid w:val="0086082B"/>
    <w:rsid w:val="00860B92"/>
    <w:rsid w:val="00860E42"/>
    <w:rsid w:val="00861259"/>
    <w:rsid w:val="00861277"/>
    <w:rsid w:val="0086159F"/>
    <w:rsid w:val="0086180E"/>
    <w:rsid w:val="00861848"/>
    <w:rsid w:val="00861B83"/>
    <w:rsid w:val="00861CCE"/>
    <w:rsid w:val="00861DBB"/>
    <w:rsid w:val="008620F0"/>
    <w:rsid w:val="00862201"/>
    <w:rsid w:val="00862FC8"/>
    <w:rsid w:val="008630FA"/>
    <w:rsid w:val="0086318D"/>
    <w:rsid w:val="008631C3"/>
    <w:rsid w:val="00863692"/>
    <w:rsid w:val="008639B0"/>
    <w:rsid w:val="00863B8B"/>
    <w:rsid w:val="00863DE5"/>
    <w:rsid w:val="00863EE8"/>
    <w:rsid w:val="00863FFD"/>
    <w:rsid w:val="00864001"/>
    <w:rsid w:val="008640E3"/>
    <w:rsid w:val="008641DE"/>
    <w:rsid w:val="00864418"/>
    <w:rsid w:val="00864B8A"/>
    <w:rsid w:val="00865592"/>
    <w:rsid w:val="008656A2"/>
    <w:rsid w:val="00865969"/>
    <w:rsid w:val="00865E70"/>
    <w:rsid w:val="00865EA5"/>
    <w:rsid w:val="00866173"/>
    <w:rsid w:val="0086633D"/>
    <w:rsid w:val="00866374"/>
    <w:rsid w:val="0086661B"/>
    <w:rsid w:val="0086667F"/>
    <w:rsid w:val="00866879"/>
    <w:rsid w:val="0086690C"/>
    <w:rsid w:val="00866A4C"/>
    <w:rsid w:val="00866A79"/>
    <w:rsid w:val="00866B78"/>
    <w:rsid w:val="0086706D"/>
    <w:rsid w:val="008670A9"/>
    <w:rsid w:val="0086737F"/>
    <w:rsid w:val="0086738E"/>
    <w:rsid w:val="0086767E"/>
    <w:rsid w:val="00867BFB"/>
    <w:rsid w:val="00867CEF"/>
    <w:rsid w:val="00867EDB"/>
    <w:rsid w:val="00870966"/>
    <w:rsid w:val="0087131F"/>
    <w:rsid w:val="00871DDB"/>
    <w:rsid w:val="00871EB6"/>
    <w:rsid w:val="00871F8B"/>
    <w:rsid w:val="00872261"/>
    <w:rsid w:val="008722A8"/>
    <w:rsid w:val="00872457"/>
    <w:rsid w:val="0087247E"/>
    <w:rsid w:val="00872835"/>
    <w:rsid w:val="00872878"/>
    <w:rsid w:val="008728E7"/>
    <w:rsid w:val="00872A9F"/>
    <w:rsid w:val="00872DB1"/>
    <w:rsid w:val="00872DD8"/>
    <w:rsid w:val="00872FE3"/>
    <w:rsid w:val="008733E7"/>
    <w:rsid w:val="00873498"/>
    <w:rsid w:val="0087350F"/>
    <w:rsid w:val="00873556"/>
    <w:rsid w:val="00873641"/>
    <w:rsid w:val="008736D5"/>
    <w:rsid w:val="0087378D"/>
    <w:rsid w:val="008737D2"/>
    <w:rsid w:val="00873DA3"/>
    <w:rsid w:val="0087400D"/>
    <w:rsid w:val="0087421D"/>
    <w:rsid w:val="00874467"/>
    <w:rsid w:val="0087446F"/>
    <w:rsid w:val="008744C3"/>
    <w:rsid w:val="008744DD"/>
    <w:rsid w:val="008747A4"/>
    <w:rsid w:val="00874C2B"/>
    <w:rsid w:val="00875114"/>
    <w:rsid w:val="0087514D"/>
    <w:rsid w:val="0087548A"/>
    <w:rsid w:val="008755DE"/>
    <w:rsid w:val="0087572E"/>
    <w:rsid w:val="0087591D"/>
    <w:rsid w:val="00875D66"/>
    <w:rsid w:val="00875F20"/>
    <w:rsid w:val="00876045"/>
    <w:rsid w:val="0087629C"/>
    <w:rsid w:val="0087639E"/>
    <w:rsid w:val="008769E2"/>
    <w:rsid w:val="00876C08"/>
    <w:rsid w:val="00876C18"/>
    <w:rsid w:val="00876E04"/>
    <w:rsid w:val="00876E94"/>
    <w:rsid w:val="008770BA"/>
    <w:rsid w:val="00877174"/>
    <w:rsid w:val="008773D7"/>
    <w:rsid w:val="00877A9B"/>
    <w:rsid w:val="00877BA7"/>
    <w:rsid w:val="00877D4F"/>
    <w:rsid w:val="008800D0"/>
    <w:rsid w:val="00880187"/>
    <w:rsid w:val="00880532"/>
    <w:rsid w:val="00880561"/>
    <w:rsid w:val="00880BD4"/>
    <w:rsid w:val="00881710"/>
    <w:rsid w:val="0088184B"/>
    <w:rsid w:val="00881A01"/>
    <w:rsid w:val="00882036"/>
    <w:rsid w:val="008820B0"/>
    <w:rsid w:val="008823FD"/>
    <w:rsid w:val="00882470"/>
    <w:rsid w:val="008828E0"/>
    <w:rsid w:val="008829CB"/>
    <w:rsid w:val="00882BE8"/>
    <w:rsid w:val="00882C84"/>
    <w:rsid w:val="008833C9"/>
    <w:rsid w:val="00883795"/>
    <w:rsid w:val="008838F8"/>
    <w:rsid w:val="00883996"/>
    <w:rsid w:val="00883A9D"/>
    <w:rsid w:val="00883B50"/>
    <w:rsid w:val="00883CB3"/>
    <w:rsid w:val="00883CF8"/>
    <w:rsid w:val="00883CFA"/>
    <w:rsid w:val="00883DAE"/>
    <w:rsid w:val="00884041"/>
    <w:rsid w:val="00884240"/>
    <w:rsid w:val="00884742"/>
    <w:rsid w:val="00884B0F"/>
    <w:rsid w:val="00884C39"/>
    <w:rsid w:val="00884D1B"/>
    <w:rsid w:val="00884E91"/>
    <w:rsid w:val="00884EF7"/>
    <w:rsid w:val="00884F31"/>
    <w:rsid w:val="00885207"/>
    <w:rsid w:val="0088543A"/>
    <w:rsid w:val="00885596"/>
    <w:rsid w:val="008856D0"/>
    <w:rsid w:val="00885737"/>
    <w:rsid w:val="008859DA"/>
    <w:rsid w:val="00885A42"/>
    <w:rsid w:val="00886354"/>
    <w:rsid w:val="008864BA"/>
    <w:rsid w:val="00886637"/>
    <w:rsid w:val="008866FA"/>
    <w:rsid w:val="00886743"/>
    <w:rsid w:val="008867EC"/>
    <w:rsid w:val="00886AAD"/>
    <w:rsid w:val="00886EE1"/>
    <w:rsid w:val="00886FFE"/>
    <w:rsid w:val="0088735F"/>
    <w:rsid w:val="008873AD"/>
    <w:rsid w:val="008873F6"/>
    <w:rsid w:val="0088745B"/>
    <w:rsid w:val="00887571"/>
    <w:rsid w:val="00887616"/>
    <w:rsid w:val="00887745"/>
    <w:rsid w:val="00887A9B"/>
    <w:rsid w:val="00890158"/>
    <w:rsid w:val="0089092C"/>
    <w:rsid w:val="00890DC8"/>
    <w:rsid w:val="00890F44"/>
    <w:rsid w:val="008913E0"/>
    <w:rsid w:val="00891514"/>
    <w:rsid w:val="0089167C"/>
    <w:rsid w:val="00891A80"/>
    <w:rsid w:val="00891AE0"/>
    <w:rsid w:val="00891CAF"/>
    <w:rsid w:val="00891CBB"/>
    <w:rsid w:val="00891DA8"/>
    <w:rsid w:val="00891DD2"/>
    <w:rsid w:val="00891DFD"/>
    <w:rsid w:val="00892003"/>
    <w:rsid w:val="0089205A"/>
    <w:rsid w:val="008920F1"/>
    <w:rsid w:val="0089223A"/>
    <w:rsid w:val="00892451"/>
    <w:rsid w:val="00892641"/>
    <w:rsid w:val="0089264C"/>
    <w:rsid w:val="008926C9"/>
    <w:rsid w:val="00892732"/>
    <w:rsid w:val="00892B2A"/>
    <w:rsid w:val="00892C36"/>
    <w:rsid w:val="00892FC2"/>
    <w:rsid w:val="008932BF"/>
    <w:rsid w:val="00893359"/>
    <w:rsid w:val="008933C6"/>
    <w:rsid w:val="008935AB"/>
    <w:rsid w:val="0089374E"/>
    <w:rsid w:val="00893B04"/>
    <w:rsid w:val="00893C37"/>
    <w:rsid w:val="00893D31"/>
    <w:rsid w:val="00893F32"/>
    <w:rsid w:val="0089405D"/>
    <w:rsid w:val="008943A6"/>
    <w:rsid w:val="00894423"/>
    <w:rsid w:val="00894475"/>
    <w:rsid w:val="0089461B"/>
    <w:rsid w:val="00895195"/>
    <w:rsid w:val="00895402"/>
    <w:rsid w:val="00895819"/>
    <w:rsid w:val="00895E33"/>
    <w:rsid w:val="00895F81"/>
    <w:rsid w:val="00896317"/>
    <w:rsid w:val="0089674C"/>
    <w:rsid w:val="00896869"/>
    <w:rsid w:val="008968CD"/>
    <w:rsid w:val="00896934"/>
    <w:rsid w:val="00896AAF"/>
    <w:rsid w:val="00896BC0"/>
    <w:rsid w:val="00896FF3"/>
    <w:rsid w:val="0089733E"/>
    <w:rsid w:val="0089742A"/>
    <w:rsid w:val="0089774F"/>
    <w:rsid w:val="0089783D"/>
    <w:rsid w:val="00897C9C"/>
    <w:rsid w:val="00897CE9"/>
    <w:rsid w:val="00897E0B"/>
    <w:rsid w:val="00897F19"/>
    <w:rsid w:val="00897FB0"/>
    <w:rsid w:val="008A003F"/>
    <w:rsid w:val="008A0100"/>
    <w:rsid w:val="008A0144"/>
    <w:rsid w:val="008A01E5"/>
    <w:rsid w:val="008A0206"/>
    <w:rsid w:val="008A03F1"/>
    <w:rsid w:val="008A0560"/>
    <w:rsid w:val="008A06C5"/>
    <w:rsid w:val="008A076C"/>
    <w:rsid w:val="008A0947"/>
    <w:rsid w:val="008A0BAC"/>
    <w:rsid w:val="008A0CF2"/>
    <w:rsid w:val="008A1110"/>
    <w:rsid w:val="008A1197"/>
    <w:rsid w:val="008A125F"/>
    <w:rsid w:val="008A1337"/>
    <w:rsid w:val="008A1782"/>
    <w:rsid w:val="008A19F5"/>
    <w:rsid w:val="008A1DF0"/>
    <w:rsid w:val="008A2794"/>
    <w:rsid w:val="008A28BE"/>
    <w:rsid w:val="008A290E"/>
    <w:rsid w:val="008A2AEA"/>
    <w:rsid w:val="008A2DFD"/>
    <w:rsid w:val="008A2E70"/>
    <w:rsid w:val="008A32B3"/>
    <w:rsid w:val="008A33FD"/>
    <w:rsid w:val="008A3418"/>
    <w:rsid w:val="008A3565"/>
    <w:rsid w:val="008A3678"/>
    <w:rsid w:val="008A36C1"/>
    <w:rsid w:val="008A3CE0"/>
    <w:rsid w:val="008A3DBA"/>
    <w:rsid w:val="008A3F04"/>
    <w:rsid w:val="008A3F61"/>
    <w:rsid w:val="008A422E"/>
    <w:rsid w:val="008A4897"/>
    <w:rsid w:val="008A49E0"/>
    <w:rsid w:val="008A4B56"/>
    <w:rsid w:val="008A4F0E"/>
    <w:rsid w:val="008A5315"/>
    <w:rsid w:val="008A54CD"/>
    <w:rsid w:val="008A5566"/>
    <w:rsid w:val="008A55A6"/>
    <w:rsid w:val="008A6077"/>
    <w:rsid w:val="008A614E"/>
    <w:rsid w:val="008A6756"/>
    <w:rsid w:val="008A69F8"/>
    <w:rsid w:val="008A6B98"/>
    <w:rsid w:val="008A70A6"/>
    <w:rsid w:val="008A71A4"/>
    <w:rsid w:val="008A7236"/>
    <w:rsid w:val="008A74D5"/>
    <w:rsid w:val="008A7B79"/>
    <w:rsid w:val="008A7EC2"/>
    <w:rsid w:val="008B0558"/>
    <w:rsid w:val="008B05A1"/>
    <w:rsid w:val="008B08FE"/>
    <w:rsid w:val="008B0C0B"/>
    <w:rsid w:val="008B0CCA"/>
    <w:rsid w:val="008B1403"/>
    <w:rsid w:val="008B1481"/>
    <w:rsid w:val="008B15AC"/>
    <w:rsid w:val="008B16DC"/>
    <w:rsid w:val="008B1792"/>
    <w:rsid w:val="008B18F0"/>
    <w:rsid w:val="008B1998"/>
    <w:rsid w:val="008B1D5E"/>
    <w:rsid w:val="008B1D68"/>
    <w:rsid w:val="008B1E5B"/>
    <w:rsid w:val="008B23B2"/>
    <w:rsid w:val="008B241F"/>
    <w:rsid w:val="008B26A0"/>
    <w:rsid w:val="008B2798"/>
    <w:rsid w:val="008B28B1"/>
    <w:rsid w:val="008B2909"/>
    <w:rsid w:val="008B2AE3"/>
    <w:rsid w:val="008B2BB9"/>
    <w:rsid w:val="008B2D82"/>
    <w:rsid w:val="008B2F7D"/>
    <w:rsid w:val="008B319A"/>
    <w:rsid w:val="008B3296"/>
    <w:rsid w:val="008B33F9"/>
    <w:rsid w:val="008B3790"/>
    <w:rsid w:val="008B37B2"/>
    <w:rsid w:val="008B38D9"/>
    <w:rsid w:val="008B39D5"/>
    <w:rsid w:val="008B3B96"/>
    <w:rsid w:val="008B3EE8"/>
    <w:rsid w:val="008B42D6"/>
    <w:rsid w:val="008B42D7"/>
    <w:rsid w:val="008B4478"/>
    <w:rsid w:val="008B48C1"/>
    <w:rsid w:val="008B4BF4"/>
    <w:rsid w:val="008B4F64"/>
    <w:rsid w:val="008B4FA0"/>
    <w:rsid w:val="008B5226"/>
    <w:rsid w:val="008B559F"/>
    <w:rsid w:val="008B584C"/>
    <w:rsid w:val="008B59D4"/>
    <w:rsid w:val="008B5ABB"/>
    <w:rsid w:val="008B5B9D"/>
    <w:rsid w:val="008B5D2F"/>
    <w:rsid w:val="008B5E07"/>
    <w:rsid w:val="008B5F64"/>
    <w:rsid w:val="008B5F99"/>
    <w:rsid w:val="008B60D9"/>
    <w:rsid w:val="008B6357"/>
    <w:rsid w:val="008B6F49"/>
    <w:rsid w:val="008B7132"/>
    <w:rsid w:val="008B7319"/>
    <w:rsid w:val="008B745B"/>
    <w:rsid w:val="008B75C7"/>
    <w:rsid w:val="008B76C5"/>
    <w:rsid w:val="008B7A7D"/>
    <w:rsid w:val="008B7DA2"/>
    <w:rsid w:val="008B7E38"/>
    <w:rsid w:val="008B8910"/>
    <w:rsid w:val="008C0276"/>
    <w:rsid w:val="008C075A"/>
    <w:rsid w:val="008C0848"/>
    <w:rsid w:val="008C0A9B"/>
    <w:rsid w:val="008C0B8F"/>
    <w:rsid w:val="008C0DAC"/>
    <w:rsid w:val="008C0DFD"/>
    <w:rsid w:val="008C0E15"/>
    <w:rsid w:val="008C1011"/>
    <w:rsid w:val="008C1239"/>
    <w:rsid w:val="008C17A9"/>
    <w:rsid w:val="008C1841"/>
    <w:rsid w:val="008C1BF3"/>
    <w:rsid w:val="008C1E5B"/>
    <w:rsid w:val="008C2501"/>
    <w:rsid w:val="008C2542"/>
    <w:rsid w:val="008C260B"/>
    <w:rsid w:val="008C30A9"/>
    <w:rsid w:val="008C3492"/>
    <w:rsid w:val="008C351D"/>
    <w:rsid w:val="008C3A61"/>
    <w:rsid w:val="008C3B69"/>
    <w:rsid w:val="008C3BB0"/>
    <w:rsid w:val="008C3D73"/>
    <w:rsid w:val="008C3EEF"/>
    <w:rsid w:val="008C40D6"/>
    <w:rsid w:val="008C43C9"/>
    <w:rsid w:val="008C4419"/>
    <w:rsid w:val="008C454C"/>
    <w:rsid w:val="008C47A9"/>
    <w:rsid w:val="008C482B"/>
    <w:rsid w:val="008C48BB"/>
    <w:rsid w:val="008C49F2"/>
    <w:rsid w:val="008C4FD2"/>
    <w:rsid w:val="008C53EF"/>
    <w:rsid w:val="008C5401"/>
    <w:rsid w:val="008C5894"/>
    <w:rsid w:val="008C58BE"/>
    <w:rsid w:val="008C5AD2"/>
    <w:rsid w:val="008C5C75"/>
    <w:rsid w:val="008C5F55"/>
    <w:rsid w:val="008C61BB"/>
    <w:rsid w:val="008C6667"/>
    <w:rsid w:val="008C6846"/>
    <w:rsid w:val="008C68FE"/>
    <w:rsid w:val="008C6D48"/>
    <w:rsid w:val="008C6D80"/>
    <w:rsid w:val="008C7962"/>
    <w:rsid w:val="008C7EA0"/>
    <w:rsid w:val="008D015B"/>
    <w:rsid w:val="008D0182"/>
    <w:rsid w:val="008D027D"/>
    <w:rsid w:val="008D0677"/>
    <w:rsid w:val="008D07D6"/>
    <w:rsid w:val="008D09E4"/>
    <w:rsid w:val="008D0DF5"/>
    <w:rsid w:val="008D10F4"/>
    <w:rsid w:val="008D117E"/>
    <w:rsid w:val="008D11DD"/>
    <w:rsid w:val="008D1244"/>
    <w:rsid w:val="008D1259"/>
    <w:rsid w:val="008D13D9"/>
    <w:rsid w:val="008D1536"/>
    <w:rsid w:val="008D158B"/>
    <w:rsid w:val="008D1765"/>
    <w:rsid w:val="008D1878"/>
    <w:rsid w:val="008D187B"/>
    <w:rsid w:val="008D188B"/>
    <w:rsid w:val="008D1A78"/>
    <w:rsid w:val="008D1AE7"/>
    <w:rsid w:val="008D1EA7"/>
    <w:rsid w:val="008D2281"/>
    <w:rsid w:val="008D22D3"/>
    <w:rsid w:val="008D2661"/>
    <w:rsid w:val="008D292C"/>
    <w:rsid w:val="008D297E"/>
    <w:rsid w:val="008D302D"/>
    <w:rsid w:val="008D32A7"/>
    <w:rsid w:val="008D3A6B"/>
    <w:rsid w:val="008D3C9E"/>
    <w:rsid w:val="008D4024"/>
    <w:rsid w:val="008D405F"/>
    <w:rsid w:val="008D443B"/>
    <w:rsid w:val="008D4A8C"/>
    <w:rsid w:val="008D4C7C"/>
    <w:rsid w:val="008D5105"/>
    <w:rsid w:val="008D558D"/>
    <w:rsid w:val="008D5826"/>
    <w:rsid w:val="008D5E13"/>
    <w:rsid w:val="008D5F7C"/>
    <w:rsid w:val="008D600A"/>
    <w:rsid w:val="008D660E"/>
    <w:rsid w:val="008D679F"/>
    <w:rsid w:val="008D67C1"/>
    <w:rsid w:val="008D6816"/>
    <w:rsid w:val="008D69A3"/>
    <w:rsid w:val="008D6EB4"/>
    <w:rsid w:val="008D6F7C"/>
    <w:rsid w:val="008D7090"/>
    <w:rsid w:val="008D756D"/>
    <w:rsid w:val="008D75A4"/>
    <w:rsid w:val="008D75D2"/>
    <w:rsid w:val="008D7A15"/>
    <w:rsid w:val="008D7D93"/>
    <w:rsid w:val="008D7F22"/>
    <w:rsid w:val="008D7FF5"/>
    <w:rsid w:val="008E00C3"/>
    <w:rsid w:val="008E02F9"/>
    <w:rsid w:val="008E04BD"/>
    <w:rsid w:val="008E0684"/>
    <w:rsid w:val="008E0774"/>
    <w:rsid w:val="008E09AF"/>
    <w:rsid w:val="008E0CA2"/>
    <w:rsid w:val="008E160A"/>
    <w:rsid w:val="008E1A61"/>
    <w:rsid w:val="008E1AAE"/>
    <w:rsid w:val="008E1C11"/>
    <w:rsid w:val="008E1F42"/>
    <w:rsid w:val="008E21B6"/>
    <w:rsid w:val="008E21ED"/>
    <w:rsid w:val="008E250B"/>
    <w:rsid w:val="008E274A"/>
    <w:rsid w:val="008E2909"/>
    <w:rsid w:val="008E312F"/>
    <w:rsid w:val="008E3181"/>
    <w:rsid w:val="008E36BA"/>
    <w:rsid w:val="008E3D56"/>
    <w:rsid w:val="008E3F0F"/>
    <w:rsid w:val="008E426C"/>
    <w:rsid w:val="008E4349"/>
    <w:rsid w:val="008E453A"/>
    <w:rsid w:val="008E45A0"/>
    <w:rsid w:val="008E466F"/>
    <w:rsid w:val="008E46DB"/>
    <w:rsid w:val="008E4854"/>
    <w:rsid w:val="008E4A9C"/>
    <w:rsid w:val="008E4B78"/>
    <w:rsid w:val="008E4D7A"/>
    <w:rsid w:val="008E51FC"/>
    <w:rsid w:val="008E59DD"/>
    <w:rsid w:val="008E5B37"/>
    <w:rsid w:val="008E6879"/>
    <w:rsid w:val="008E692A"/>
    <w:rsid w:val="008E698E"/>
    <w:rsid w:val="008E6CCE"/>
    <w:rsid w:val="008E6E35"/>
    <w:rsid w:val="008E6E87"/>
    <w:rsid w:val="008E702E"/>
    <w:rsid w:val="008E728E"/>
    <w:rsid w:val="008E73D3"/>
    <w:rsid w:val="008E7441"/>
    <w:rsid w:val="008E7971"/>
    <w:rsid w:val="008E7AD8"/>
    <w:rsid w:val="008E7C71"/>
    <w:rsid w:val="008E7CED"/>
    <w:rsid w:val="008E7D3E"/>
    <w:rsid w:val="008E7FA0"/>
    <w:rsid w:val="008F02D0"/>
    <w:rsid w:val="008F039E"/>
    <w:rsid w:val="008F06D7"/>
    <w:rsid w:val="008F082E"/>
    <w:rsid w:val="008F099F"/>
    <w:rsid w:val="008F0D46"/>
    <w:rsid w:val="008F130A"/>
    <w:rsid w:val="008F1357"/>
    <w:rsid w:val="008F157E"/>
    <w:rsid w:val="008F1ACA"/>
    <w:rsid w:val="008F1F42"/>
    <w:rsid w:val="008F203C"/>
    <w:rsid w:val="008F2058"/>
    <w:rsid w:val="008F27F2"/>
    <w:rsid w:val="008F28E6"/>
    <w:rsid w:val="008F2995"/>
    <w:rsid w:val="008F2D10"/>
    <w:rsid w:val="008F2E9A"/>
    <w:rsid w:val="008F2EF6"/>
    <w:rsid w:val="008F2F87"/>
    <w:rsid w:val="008F2FAE"/>
    <w:rsid w:val="008F3473"/>
    <w:rsid w:val="008F3769"/>
    <w:rsid w:val="008F40AE"/>
    <w:rsid w:val="008F43D7"/>
    <w:rsid w:val="008F448C"/>
    <w:rsid w:val="008F46FE"/>
    <w:rsid w:val="008F49EE"/>
    <w:rsid w:val="008F4B1B"/>
    <w:rsid w:val="008F4C19"/>
    <w:rsid w:val="008F4C6C"/>
    <w:rsid w:val="008F55FA"/>
    <w:rsid w:val="008F5D4C"/>
    <w:rsid w:val="008F606C"/>
    <w:rsid w:val="008F60D1"/>
    <w:rsid w:val="008F618F"/>
    <w:rsid w:val="008F69C0"/>
    <w:rsid w:val="008F6B3C"/>
    <w:rsid w:val="008F6E4C"/>
    <w:rsid w:val="008F6EC7"/>
    <w:rsid w:val="008F72BE"/>
    <w:rsid w:val="008F7510"/>
    <w:rsid w:val="008F7544"/>
    <w:rsid w:val="008F7579"/>
    <w:rsid w:val="008F7708"/>
    <w:rsid w:val="008F77B9"/>
    <w:rsid w:val="008F7E5B"/>
    <w:rsid w:val="009000B4"/>
    <w:rsid w:val="00900138"/>
    <w:rsid w:val="009001B1"/>
    <w:rsid w:val="009001D7"/>
    <w:rsid w:val="00900295"/>
    <w:rsid w:val="009005BB"/>
    <w:rsid w:val="009005CA"/>
    <w:rsid w:val="009005EB"/>
    <w:rsid w:val="00900673"/>
    <w:rsid w:val="00900998"/>
    <w:rsid w:val="00900CEE"/>
    <w:rsid w:val="00900DCB"/>
    <w:rsid w:val="009010BC"/>
    <w:rsid w:val="00901372"/>
    <w:rsid w:val="00901868"/>
    <w:rsid w:val="00901979"/>
    <w:rsid w:val="00901C5A"/>
    <w:rsid w:val="00901D23"/>
    <w:rsid w:val="00901F83"/>
    <w:rsid w:val="009020E0"/>
    <w:rsid w:val="009024C4"/>
    <w:rsid w:val="00902927"/>
    <w:rsid w:val="00902FB7"/>
    <w:rsid w:val="009030EA"/>
    <w:rsid w:val="009031E5"/>
    <w:rsid w:val="009039D1"/>
    <w:rsid w:val="00903A2B"/>
    <w:rsid w:val="00904123"/>
    <w:rsid w:val="00904227"/>
    <w:rsid w:val="009043D9"/>
    <w:rsid w:val="00904A46"/>
    <w:rsid w:val="00904B8F"/>
    <w:rsid w:val="00904CB3"/>
    <w:rsid w:val="00904D19"/>
    <w:rsid w:val="009052B6"/>
    <w:rsid w:val="00905667"/>
    <w:rsid w:val="00905A54"/>
    <w:rsid w:val="00905F13"/>
    <w:rsid w:val="00906275"/>
    <w:rsid w:val="009065AA"/>
    <w:rsid w:val="0090665F"/>
    <w:rsid w:val="0090666C"/>
    <w:rsid w:val="009067E3"/>
    <w:rsid w:val="00906B6D"/>
    <w:rsid w:val="00906CAC"/>
    <w:rsid w:val="00907319"/>
    <w:rsid w:val="009074B1"/>
    <w:rsid w:val="00907A41"/>
    <w:rsid w:val="00907B05"/>
    <w:rsid w:val="00907C1F"/>
    <w:rsid w:val="00907C8D"/>
    <w:rsid w:val="00907CB8"/>
    <w:rsid w:val="00907E10"/>
    <w:rsid w:val="00907E9D"/>
    <w:rsid w:val="00910013"/>
    <w:rsid w:val="009101F0"/>
    <w:rsid w:val="0091029F"/>
    <w:rsid w:val="00910348"/>
    <w:rsid w:val="00910940"/>
    <w:rsid w:val="0091106D"/>
    <w:rsid w:val="00911B14"/>
    <w:rsid w:val="00911B6E"/>
    <w:rsid w:val="00911B88"/>
    <w:rsid w:val="00911CC1"/>
    <w:rsid w:val="00911F11"/>
    <w:rsid w:val="009127DD"/>
    <w:rsid w:val="009127EF"/>
    <w:rsid w:val="009129EB"/>
    <w:rsid w:val="00912A35"/>
    <w:rsid w:val="00912E8D"/>
    <w:rsid w:val="00913536"/>
    <w:rsid w:val="009139E6"/>
    <w:rsid w:val="00913A9E"/>
    <w:rsid w:val="0091458C"/>
    <w:rsid w:val="0091486E"/>
    <w:rsid w:val="00914F96"/>
    <w:rsid w:val="009153EF"/>
    <w:rsid w:val="009155D7"/>
    <w:rsid w:val="009157B3"/>
    <w:rsid w:val="00915B8B"/>
    <w:rsid w:val="0091626A"/>
    <w:rsid w:val="00916347"/>
    <w:rsid w:val="009167B6"/>
    <w:rsid w:val="00916BD1"/>
    <w:rsid w:val="00916EF9"/>
    <w:rsid w:val="009172D3"/>
    <w:rsid w:val="00917651"/>
    <w:rsid w:val="0091773C"/>
    <w:rsid w:val="00917CA2"/>
    <w:rsid w:val="00917F74"/>
    <w:rsid w:val="00917FB2"/>
    <w:rsid w:val="0092039B"/>
    <w:rsid w:val="0092074C"/>
    <w:rsid w:val="00920E77"/>
    <w:rsid w:val="00920ED6"/>
    <w:rsid w:val="00920F6C"/>
    <w:rsid w:val="009211B1"/>
    <w:rsid w:val="009211DE"/>
    <w:rsid w:val="009212FC"/>
    <w:rsid w:val="00921360"/>
    <w:rsid w:val="00921830"/>
    <w:rsid w:val="00921BCA"/>
    <w:rsid w:val="00921CB4"/>
    <w:rsid w:val="00921D91"/>
    <w:rsid w:val="00921E96"/>
    <w:rsid w:val="00921F65"/>
    <w:rsid w:val="0092215B"/>
    <w:rsid w:val="00922359"/>
    <w:rsid w:val="009229F6"/>
    <w:rsid w:val="00922E94"/>
    <w:rsid w:val="00923035"/>
    <w:rsid w:val="009232CF"/>
    <w:rsid w:val="00923443"/>
    <w:rsid w:val="00923512"/>
    <w:rsid w:val="00923936"/>
    <w:rsid w:val="00923CC0"/>
    <w:rsid w:val="00923CDF"/>
    <w:rsid w:val="00923D4E"/>
    <w:rsid w:val="00923DB6"/>
    <w:rsid w:val="00923E1F"/>
    <w:rsid w:val="00923F9A"/>
    <w:rsid w:val="0092403D"/>
    <w:rsid w:val="009244A9"/>
    <w:rsid w:val="00924583"/>
    <w:rsid w:val="00924AB2"/>
    <w:rsid w:val="00924E3B"/>
    <w:rsid w:val="009255F2"/>
    <w:rsid w:val="00925816"/>
    <w:rsid w:val="00925965"/>
    <w:rsid w:val="00925A2D"/>
    <w:rsid w:val="00925ADF"/>
    <w:rsid w:val="00925BCD"/>
    <w:rsid w:val="00925BDC"/>
    <w:rsid w:val="00925F21"/>
    <w:rsid w:val="009261FC"/>
    <w:rsid w:val="0092633F"/>
    <w:rsid w:val="00926749"/>
    <w:rsid w:val="00926A5F"/>
    <w:rsid w:val="00926C73"/>
    <w:rsid w:val="00927331"/>
    <w:rsid w:val="00927401"/>
    <w:rsid w:val="00927A2C"/>
    <w:rsid w:val="00927CA3"/>
    <w:rsid w:val="00927EBA"/>
    <w:rsid w:val="00930134"/>
    <w:rsid w:val="00930B24"/>
    <w:rsid w:val="00931150"/>
    <w:rsid w:val="0093149D"/>
    <w:rsid w:val="00931CFC"/>
    <w:rsid w:val="00931D1F"/>
    <w:rsid w:val="00931FF5"/>
    <w:rsid w:val="00932369"/>
    <w:rsid w:val="009324AC"/>
    <w:rsid w:val="0093261C"/>
    <w:rsid w:val="009326F4"/>
    <w:rsid w:val="009327F9"/>
    <w:rsid w:val="00932F4A"/>
    <w:rsid w:val="00932F66"/>
    <w:rsid w:val="00932F70"/>
    <w:rsid w:val="00933079"/>
    <w:rsid w:val="0093355E"/>
    <w:rsid w:val="00933FF3"/>
    <w:rsid w:val="0093407E"/>
    <w:rsid w:val="00934179"/>
    <w:rsid w:val="009341E0"/>
    <w:rsid w:val="00934517"/>
    <w:rsid w:val="009346D2"/>
    <w:rsid w:val="009347D0"/>
    <w:rsid w:val="00934BFB"/>
    <w:rsid w:val="00934E36"/>
    <w:rsid w:val="0093509F"/>
    <w:rsid w:val="00935445"/>
    <w:rsid w:val="009354D2"/>
    <w:rsid w:val="009359D4"/>
    <w:rsid w:val="00935F0B"/>
    <w:rsid w:val="00935F34"/>
    <w:rsid w:val="00935FD7"/>
    <w:rsid w:val="0093627A"/>
    <w:rsid w:val="0093629B"/>
    <w:rsid w:val="00936EDB"/>
    <w:rsid w:val="00936EF0"/>
    <w:rsid w:val="009373EC"/>
    <w:rsid w:val="00937AD5"/>
    <w:rsid w:val="00937AF8"/>
    <w:rsid w:val="00937BBA"/>
    <w:rsid w:val="00937DED"/>
    <w:rsid w:val="00937F1E"/>
    <w:rsid w:val="0093E2D7"/>
    <w:rsid w:val="0094056C"/>
    <w:rsid w:val="0094058F"/>
    <w:rsid w:val="009406E4"/>
    <w:rsid w:val="00940833"/>
    <w:rsid w:val="00940CB7"/>
    <w:rsid w:val="00940CC8"/>
    <w:rsid w:val="009413F1"/>
    <w:rsid w:val="00941475"/>
    <w:rsid w:val="0094178F"/>
    <w:rsid w:val="0094188D"/>
    <w:rsid w:val="009418C7"/>
    <w:rsid w:val="00941AF4"/>
    <w:rsid w:val="00941E98"/>
    <w:rsid w:val="00941EC9"/>
    <w:rsid w:val="009427B9"/>
    <w:rsid w:val="00942924"/>
    <w:rsid w:val="00942C68"/>
    <w:rsid w:val="0094307D"/>
    <w:rsid w:val="009432A0"/>
    <w:rsid w:val="009432C4"/>
    <w:rsid w:val="00943701"/>
    <w:rsid w:val="00943A52"/>
    <w:rsid w:val="00943AEF"/>
    <w:rsid w:val="00943E7F"/>
    <w:rsid w:val="00944195"/>
    <w:rsid w:val="009443EF"/>
    <w:rsid w:val="00944415"/>
    <w:rsid w:val="00944A0F"/>
    <w:rsid w:val="00944C8D"/>
    <w:rsid w:val="00945134"/>
    <w:rsid w:val="0094563D"/>
    <w:rsid w:val="00945897"/>
    <w:rsid w:val="00945E04"/>
    <w:rsid w:val="009462C3"/>
    <w:rsid w:val="00946C5B"/>
    <w:rsid w:val="00946DE3"/>
    <w:rsid w:val="00946EF9"/>
    <w:rsid w:val="00947151"/>
    <w:rsid w:val="009471F5"/>
    <w:rsid w:val="00947266"/>
    <w:rsid w:val="00947C6B"/>
    <w:rsid w:val="00950722"/>
    <w:rsid w:val="00950CAF"/>
    <w:rsid w:val="00950DBD"/>
    <w:rsid w:val="009511E5"/>
    <w:rsid w:val="009513AB"/>
    <w:rsid w:val="009515AB"/>
    <w:rsid w:val="009515F6"/>
    <w:rsid w:val="00951829"/>
    <w:rsid w:val="00951D63"/>
    <w:rsid w:val="009522DE"/>
    <w:rsid w:val="009523E9"/>
    <w:rsid w:val="009524E8"/>
    <w:rsid w:val="00952BBD"/>
    <w:rsid w:val="00952C87"/>
    <w:rsid w:val="00952DE3"/>
    <w:rsid w:val="00953071"/>
    <w:rsid w:val="00953106"/>
    <w:rsid w:val="00953200"/>
    <w:rsid w:val="0095347F"/>
    <w:rsid w:val="00953504"/>
    <w:rsid w:val="00953A23"/>
    <w:rsid w:val="00953AE8"/>
    <w:rsid w:val="00953F04"/>
    <w:rsid w:val="009541DF"/>
    <w:rsid w:val="00954289"/>
    <w:rsid w:val="00954459"/>
    <w:rsid w:val="00954601"/>
    <w:rsid w:val="0095482C"/>
    <w:rsid w:val="0095482E"/>
    <w:rsid w:val="009549FA"/>
    <w:rsid w:val="00954A8D"/>
    <w:rsid w:val="009553E4"/>
    <w:rsid w:val="009558E7"/>
    <w:rsid w:val="00955AA5"/>
    <w:rsid w:val="00955E70"/>
    <w:rsid w:val="00955F0A"/>
    <w:rsid w:val="00956285"/>
    <w:rsid w:val="00956729"/>
    <w:rsid w:val="009569D8"/>
    <w:rsid w:val="00956AF7"/>
    <w:rsid w:val="00956B0E"/>
    <w:rsid w:val="00956B81"/>
    <w:rsid w:val="00956D62"/>
    <w:rsid w:val="00956D65"/>
    <w:rsid w:val="0095738E"/>
    <w:rsid w:val="00957610"/>
    <w:rsid w:val="0095781D"/>
    <w:rsid w:val="0095789D"/>
    <w:rsid w:val="0095798F"/>
    <w:rsid w:val="00957B7D"/>
    <w:rsid w:val="00957D4A"/>
    <w:rsid w:val="00957E5E"/>
    <w:rsid w:val="00960097"/>
    <w:rsid w:val="009604DD"/>
    <w:rsid w:val="0096083E"/>
    <w:rsid w:val="009609CC"/>
    <w:rsid w:val="00960B5A"/>
    <w:rsid w:val="00960C48"/>
    <w:rsid w:val="00960D9E"/>
    <w:rsid w:val="00960ECB"/>
    <w:rsid w:val="00960F95"/>
    <w:rsid w:val="00960FB2"/>
    <w:rsid w:val="0096121C"/>
    <w:rsid w:val="00961522"/>
    <w:rsid w:val="009618FE"/>
    <w:rsid w:val="00961A41"/>
    <w:rsid w:val="00961AC6"/>
    <w:rsid w:val="00961B1E"/>
    <w:rsid w:val="00961E63"/>
    <w:rsid w:val="00961F03"/>
    <w:rsid w:val="009620A2"/>
    <w:rsid w:val="009629BF"/>
    <w:rsid w:val="009634F1"/>
    <w:rsid w:val="00963741"/>
    <w:rsid w:val="00963990"/>
    <w:rsid w:val="009639CB"/>
    <w:rsid w:val="00963B6B"/>
    <w:rsid w:val="009644BD"/>
    <w:rsid w:val="00964614"/>
    <w:rsid w:val="009647DA"/>
    <w:rsid w:val="00964897"/>
    <w:rsid w:val="0096497B"/>
    <w:rsid w:val="00965250"/>
    <w:rsid w:val="00965A9A"/>
    <w:rsid w:val="0096604F"/>
    <w:rsid w:val="00966788"/>
    <w:rsid w:val="009667F1"/>
    <w:rsid w:val="009669F5"/>
    <w:rsid w:val="00966A7C"/>
    <w:rsid w:val="00966AFD"/>
    <w:rsid w:val="00966C47"/>
    <w:rsid w:val="00966D58"/>
    <w:rsid w:val="00966F82"/>
    <w:rsid w:val="009673D2"/>
    <w:rsid w:val="009674DE"/>
    <w:rsid w:val="00967615"/>
    <w:rsid w:val="00967641"/>
    <w:rsid w:val="00967744"/>
    <w:rsid w:val="00967AD2"/>
    <w:rsid w:val="00967B05"/>
    <w:rsid w:val="00967F60"/>
    <w:rsid w:val="00970553"/>
    <w:rsid w:val="00970BF3"/>
    <w:rsid w:val="00970D34"/>
    <w:rsid w:val="0097135D"/>
    <w:rsid w:val="0097146E"/>
    <w:rsid w:val="0097180D"/>
    <w:rsid w:val="00971ABB"/>
    <w:rsid w:val="00972090"/>
    <w:rsid w:val="00972136"/>
    <w:rsid w:val="0097257D"/>
    <w:rsid w:val="00972678"/>
    <w:rsid w:val="00972749"/>
    <w:rsid w:val="00972FEF"/>
    <w:rsid w:val="00973148"/>
    <w:rsid w:val="009731C9"/>
    <w:rsid w:val="00973469"/>
    <w:rsid w:val="00973508"/>
    <w:rsid w:val="00973976"/>
    <w:rsid w:val="00973EFD"/>
    <w:rsid w:val="009741F0"/>
    <w:rsid w:val="009744E3"/>
    <w:rsid w:val="009747D3"/>
    <w:rsid w:val="00974F36"/>
    <w:rsid w:val="009750DA"/>
    <w:rsid w:val="00975143"/>
    <w:rsid w:val="009754FC"/>
    <w:rsid w:val="009756B1"/>
    <w:rsid w:val="00975752"/>
    <w:rsid w:val="00975834"/>
    <w:rsid w:val="00975C38"/>
    <w:rsid w:val="00976390"/>
    <w:rsid w:val="009763F8"/>
    <w:rsid w:val="0097642D"/>
    <w:rsid w:val="009767BF"/>
    <w:rsid w:val="00976B2B"/>
    <w:rsid w:val="00976BA2"/>
    <w:rsid w:val="00976CA4"/>
    <w:rsid w:val="00976F39"/>
    <w:rsid w:val="0097736E"/>
    <w:rsid w:val="0097763A"/>
    <w:rsid w:val="009777EF"/>
    <w:rsid w:val="009778F8"/>
    <w:rsid w:val="00977CF6"/>
    <w:rsid w:val="00980286"/>
    <w:rsid w:val="00980655"/>
    <w:rsid w:val="00980728"/>
    <w:rsid w:val="0098099E"/>
    <w:rsid w:val="009809B9"/>
    <w:rsid w:val="00980ABD"/>
    <w:rsid w:val="00980C4E"/>
    <w:rsid w:val="00980EEA"/>
    <w:rsid w:val="00980F01"/>
    <w:rsid w:val="009810E4"/>
    <w:rsid w:val="009811C7"/>
    <w:rsid w:val="009817B8"/>
    <w:rsid w:val="00981B09"/>
    <w:rsid w:val="00981B1E"/>
    <w:rsid w:val="00981C65"/>
    <w:rsid w:val="00981E05"/>
    <w:rsid w:val="009821E7"/>
    <w:rsid w:val="0098249E"/>
    <w:rsid w:val="0098268F"/>
    <w:rsid w:val="009826B5"/>
    <w:rsid w:val="009829F6"/>
    <w:rsid w:val="00982BB5"/>
    <w:rsid w:val="00982D88"/>
    <w:rsid w:val="00982F85"/>
    <w:rsid w:val="0098309D"/>
    <w:rsid w:val="00983188"/>
    <w:rsid w:val="009833E0"/>
    <w:rsid w:val="009836C2"/>
    <w:rsid w:val="00983815"/>
    <w:rsid w:val="0098384D"/>
    <w:rsid w:val="009840E1"/>
    <w:rsid w:val="009841E2"/>
    <w:rsid w:val="00984278"/>
    <w:rsid w:val="00984330"/>
    <w:rsid w:val="00984433"/>
    <w:rsid w:val="009845E6"/>
    <w:rsid w:val="00984817"/>
    <w:rsid w:val="00984884"/>
    <w:rsid w:val="00984C69"/>
    <w:rsid w:val="00984F40"/>
    <w:rsid w:val="009851DB"/>
    <w:rsid w:val="009852DD"/>
    <w:rsid w:val="00985384"/>
    <w:rsid w:val="00985AC6"/>
    <w:rsid w:val="00985F29"/>
    <w:rsid w:val="0098602B"/>
    <w:rsid w:val="009860D0"/>
    <w:rsid w:val="009863D8"/>
    <w:rsid w:val="00986560"/>
    <w:rsid w:val="0098656E"/>
    <w:rsid w:val="00986826"/>
    <w:rsid w:val="00986829"/>
    <w:rsid w:val="0098683E"/>
    <w:rsid w:val="00986B1E"/>
    <w:rsid w:val="00986D6D"/>
    <w:rsid w:val="00987031"/>
    <w:rsid w:val="0098715B"/>
    <w:rsid w:val="009872F7"/>
    <w:rsid w:val="0098735A"/>
    <w:rsid w:val="0098741A"/>
    <w:rsid w:val="0098775E"/>
    <w:rsid w:val="00987774"/>
    <w:rsid w:val="009877A4"/>
    <w:rsid w:val="009877FC"/>
    <w:rsid w:val="00987B91"/>
    <w:rsid w:val="00987BED"/>
    <w:rsid w:val="00987F82"/>
    <w:rsid w:val="00990238"/>
    <w:rsid w:val="009902C6"/>
    <w:rsid w:val="0099039A"/>
    <w:rsid w:val="009903CC"/>
    <w:rsid w:val="0099062D"/>
    <w:rsid w:val="00990AA6"/>
    <w:rsid w:val="00990E88"/>
    <w:rsid w:val="00991096"/>
    <w:rsid w:val="0099131A"/>
    <w:rsid w:val="009917A6"/>
    <w:rsid w:val="0099188D"/>
    <w:rsid w:val="00991E27"/>
    <w:rsid w:val="009920EE"/>
    <w:rsid w:val="009921D7"/>
    <w:rsid w:val="009924BE"/>
    <w:rsid w:val="0099265C"/>
    <w:rsid w:val="009929C6"/>
    <w:rsid w:val="00992A33"/>
    <w:rsid w:val="00992B65"/>
    <w:rsid w:val="00992B7D"/>
    <w:rsid w:val="00992C80"/>
    <w:rsid w:val="00993157"/>
    <w:rsid w:val="0099319E"/>
    <w:rsid w:val="009932D2"/>
    <w:rsid w:val="00993546"/>
    <w:rsid w:val="00993C61"/>
    <w:rsid w:val="00993EC7"/>
    <w:rsid w:val="00993FEA"/>
    <w:rsid w:val="0099425D"/>
    <w:rsid w:val="009942AA"/>
    <w:rsid w:val="009949C4"/>
    <w:rsid w:val="00994B20"/>
    <w:rsid w:val="00994E2A"/>
    <w:rsid w:val="00994F17"/>
    <w:rsid w:val="00994F19"/>
    <w:rsid w:val="00995157"/>
    <w:rsid w:val="00995163"/>
    <w:rsid w:val="00995834"/>
    <w:rsid w:val="00995968"/>
    <w:rsid w:val="00995CFC"/>
    <w:rsid w:val="00995F1E"/>
    <w:rsid w:val="00995FDD"/>
    <w:rsid w:val="00996336"/>
    <w:rsid w:val="009963CC"/>
    <w:rsid w:val="0099656A"/>
    <w:rsid w:val="00996E53"/>
    <w:rsid w:val="00997059"/>
    <w:rsid w:val="00997559"/>
    <w:rsid w:val="009976E2"/>
    <w:rsid w:val="00997A42"/>
    <w:rsid w:val="00997B7B"/>
    <w:rsid w:val="00997C17"/>
    <w:rsid w:val="009A0506"/>
    <w:rsid w:val="009A07A4"/>
    <w:rsid w:val="009A0A37"/>
    <w:rsid w:val="009A0CB4"/>
    <w:rsid w:val="009A0DF0"/>
    <w:rsid w:val="009A0DF5"/>
    <w:rsid w:val="009A0FEA"/>
    <w:rsid w:val="009A11ED"/>
    <w:rsid w:val="009A159D"/>
    <w:rsid w:val="009A163D"/>
    <w:rsid w:val="009A171E"/>
    <w:rsid w:val="009A1C5B"/>
    <w:rsid w:val="009A1CAA"/>
    <w:rsid w:val="009A1CE0"/>
    <w:rsid w:val="009A1F31"/>
    <w:rsid w:val="009A1F77"/>
    <w:rsid w:val="009A22B7"/>
    <w:rsid w:val="009A22D6"/>
    <w:rsid w:val="009A259C"/>
    <w:rsid w:val="009A3333"/>
    <w:rsid w:val="009A33E4"/>
    <w:rsid w:val="009A3BBF"/>
    <w:rsid w:val="009A3CB0"/>
    <w:rsid w:val="009A3F05"/>
    <w:rsid w:val="009A4374"/>
    <w:rsid w:val="009A4504"/>
    <w:rsid w:val="009A463E"/>
    <w:rsid w:val="009A46C2"/>
    <w:rsid w:val="009A48B0"/>
    <w:rsid w:val="009A4CE5"/>
    <w:rsid w:val="009A50AD"/>
    <w:rsid w:val="009A52D1"/>
    <w:rsid w:val="009A54A2"/>
    <w:rsid w:val="009A625A"/>
    <w:rsid w:val="009A6358"/>
    <w:rsid w:val="009A6699"/>
    <w:rsid w:val="009A6AAD"/>
    <w:rsid w:val="009A6AFB"/>
    <w:rsid w:val="009A752D"/>
    <w:rsid w:val="009A7556"/>
    <w:rsid w:val="009A7568"/>
    <w:rsid w:val="009A756F"/>
    <w:rsid w:val="009A774C"/>
    <w:rsid w:val="009A7992"/>
    <w:rsid w:val="009A7FA3"/>
    <w:rsid w:val="009B0017"/>
    <w:rsid w:val="009B0051"/>
    <w:rsid w:val="009B0188"/>
    <w:rsid w:val="009B0197"/>
    <w:rsid w:val="009B045D"/>
    <w:rsid w:val="009B1022"/>
    <w:rsid w:val="009B108D"/>
    <w:rsid w:val="009B13FB"/>
    <w:rsid w:val="009B143E"/>
    <w:rsid w:val="009B16E7"/>
    <w:rsid w:val="009B19B2"/>
    <w:rsid w:val="009B1CE0"/>
    <w:rsid w:val="009B1EE5"/>
    <w:rsid w:val="009B1F26"/>
    <w:rsid w:val="009B219B"/>
    <w:rsid w:val="009B231D"/>
    <w:rsid w:val="009B2358"/>
    <w:rsid w:val="009B2431"/>
    <w:rsid w:val="009B24E8"/>
    <w:rsid w:val="009B26E7"/>
    <w:rsid w:val="009B29E9"/>
    <w:rsid w:val="009B2D14"/>
    <w:rsid w:val="009B305E"/>
    <w:rsid w:val="009B3110"/>
    <w:rsid w:val="009B3747"/>
    <w:rsid w:val="009B3C35"/>
    <w:rsid w:val="009B3DC1"/>
    <w:rsid w:val="009B3EDB"/>
    <w:rsid w:val="009B406B"/>
    <w:rsid w:val="009B4665"/>
    <w:rsid w:val="009B47B4"/>
    <w:rsid w:val="009B48F4"/>
    <w:rsid w:val="009B4AE6"/>
    <w:rsid w:val="009B4B2B"/>
    <w:rsid w:val="009B50EB"/>
    <w:rsid w:val="009B5156"/>
    <w:rsid w:val="009B59D1"/>
    <w:rsid w:val="009B5B5B"/>
    <w:rsid w:val="009B5BAB"/>
    <w:rsid w:val="009B6678"/>
    <w:rsid w:val="009B66F2"/>
    <w:rsid w:val="009B6A77"/>
    <w:rsid w:val="009B6CAC"/>
    <w:rsid w:val="009B6E15"/>
    <w:rsid w:val="009B6E24"/>
    <w:rsid w:val="009B6E89"/>
    <w:rsid w:val="009B6ECA"/>
    <w:rsid w:val="009B6EFF"/>
    <w:rsid w:val="009B71FF"/>
    <w:rsid w:val="009B73D0"/>
    <w:rsid w:val="009B7A33"/>
    <w:rsid w:val="009B7CC2"/>
    <w:rsid w:val="009B7CFD"/>
    <w:rsid w:val="009B7D71"/>
    <w:rsid w:val="009C0541"/>
    <w:rsid w:val="009C0568"/>
    <w:rsid w:val="009C0ACD"/>
    <w:rsid w:val="009C0ADF"/>
    <w:rsid w:val="009C0B5A"/>
    <w:rsid w:val="009C0C2B"/>
    <w:rsid w:val="009C1076"/>
    <w:rsid w:val="009C1318"/>
    <w:rsid w:val="009C165F"/>
    <w:rsid w:val="009C167F"/>
    <w:rsid w:val="009C177D"/>
    <w:rsid w:val="009C195A"/>
    <w:rsid w:val="009C1BE4"/>
    <w:rsid w:val="009C1D78"/>
    <w:rsid w:val="009C1DCE"/>
    <w:rsid w:val="009C1FAF"/>
    <w:rsid w:val="009C2726"/>
    <w:rsid w:val="009C27D1"/>
    <w:rsid w:val="009C28C3"/>
    <w:rsid w:val="009C2DD6"/>
    <w:rsid w:val="009C2E9A"/>
    <w:rsid w:val="009C3334"/>
    <w:rsid w:val="009C3BBD"/>
    <w:rsid w:val="009C3DA7"/>
    <w:rsid w:val="009C3F2D"/>
    <w:rsid w:val="009C41CC"/>
    <w:rsid w:val="009C4277"/>
    <w:rsid w:val="009C442D"/>
    <w:rsid w:val="009C4479"/>
    <w:rsid w:val="009C4690"/>
    <w:rsid w:val="009C46D7"/>
    <w:rsid w:val="009C49D1"/>
    <w:rsid w:val="009C4E75"/>
    <w:rsid w:val="009C5102"/>
    <w:rsid w:val="009C5614"/>
    <w:rsid w:val="009C58D1"/>
    <w:rsid w:val="009C5BFF"/>
    <w:rsid w:val="009C5D17"/>
    <w:rsid w:val="009C6144"/>
    <w:rsid w:val="009C63D4"/>
    <w:rsid w:val="009C63D8"/>
    <w:rsid w:val="009C65C5"/>
    <w:rsid w:val="009C65E8"/>
    <w:rsid w:val="009C66BC"/>
    <w:rsid w:val="009C6A6D"/>
    <w:rsid w:val="009C72EC"/>
    <w:rsid w:val="009C7513"/>
    <w:rsid w:val="009C7AAE"/>
    <w:rsid w:val="009D0363"/>
    <w:rsid w:val="009D0533"/>
    <w:rsid w:val="009D05D2"/>
    <w:rsid w:val="009D0D59"/>
    <w:rsid w:val="009D0F33"/>
    <w:rsid w:val="009D0FC6"/>
    <w:rsid w:val="009D0FE8"/>
    <w:rsid w:val="009D0FFE"/>
    <w:rsid w:val="009D10E6"/>
    <w:rsid w:val="009D2152"/>
    <w:rsid w:val="009D2329"/>
    <w:rsid w:val="009D2445"/>
    <w:rsid w:val="009D24F4"/>
    <w:rsid w:val="009D2633"/>
    <w:rsid w:val="009D2889"/>
    <w:rsid w:val="009D2ACD"/>
    <w:rsid w:val="009D3135"/>
    <w:rsid w:val="009D3413"/>
    <w:rsid w:val="009D354D"/>
    <w:rsid w:val="009D3681"/>
    <w:rsid w:val="009D3898"/>
    <w:rsid w:val="009D3D0D"/>
    <w:rsid w:val="009D41BE"/>
    <w:rsid w:val="009D44FD"/>
    <w:rsid w:val="009D461B"/>
    <w:rsid w:val="009D467C"/>
    <w:rsid w:val="009D4BB3"/>
    <w:rsid w:val="009D4BEC"/>
    <w:rsid w:val="009D4C9E"/>
    <w:rsid w:val="009D4F21"/>
    <w:rsid w:val="009D5012"/>
    <w:rsid w:val="009D5046"/>
    <w:rsid w:val="009D5C2D"/>
    <w:rsid w:val="009D5FFB"/>
    <w:rsid w:val="009D67C4"/>
    <w:rsid w:val="009D6822"/>
    <w:rsid w:val="009D6B02"/>
    <w:rsid w:val="009D6CB1"/>
    <w:rsid w:val="009D6D77"/>
    <w:rsid w:val="009D6F16"/>
    <w:rsid w:val="009D712C"/>
    <w:rsid w:val="009D73C2"/>
    <w:rsid w:val="009D743C"/>
    <w:rsid w:val="009D7923"/>
    <w:rsid w:val="009E00C4"/>
    <w:rsid w:val="009E0123"/>
    <w:rsid w:val="009E067A"/>
    <w:rsid w:val="009E06FB"/>
    <w:rsid w:val="009E0A01"/>
    <w:rsid w:val="009E0D01"/>
    <w:rsid w:val="009E115B"/>
    <w:rsid w:val="009E11BB"/>
    <w:rsid w:val="009E1498"/>
    <w:rsid w:val="009E14CC"/>
    <w:rsid w:val="009E150C"/>
    <w:rsid w:val="009E1945"/>
    <w:rsid w:val="009E1B17"/>
    <w:rsid w:val="009E1DB6"/>
    <w:rsid w:val="009E1E22"/>
    <w:rsid w:val="009E227A"/>
    <w:rsid w:val="009E2650"/>
    <w:rsid w:val="009E2938"/>
    <w:rsid w:val="009E29BD"/>
    <w:rsid w:val="009E2B75"/>
    <w:rsid w:val="009E33E0"/>
    <w:rsid w:val="009E35DA"/>
    <w:rsid w:val="009E36A2"/>
    <w:rsid w:val="009E37A6"/>
    <w:rsid w:val="009E38B8"/>
    <w:rsid w:val="009E3D16"/>
    <w:rsid w:val="009E3D27"/>
    <w:rsid w:val="009E3FF9"/>
    <w:rsid w:val="009E464A"/>
    <w:rsid w:val="009E47F3"/>
    <w:rsid w:val="009E4A76"/>
    <w:rsid w:val="009E4B29"/>
    <w:rsid w:val="009E4B63"/>
    <w:rsid w:val="009E50FC"/>
    <w:rsid w:val="009E5889"/>
    <w:rsid w:val="009E5BD0"/>
    <w:rsid w:val="009E5CBD"/>
    <w:rsid w:val="009E5FD4"/>
    <w:rsid w:val="009E62E7"/>
    <w:rsid w:val="009E6456"/>
    <w:rsid w:val="009E69C3"/>
    <w:rsid w:val="009E6E43"/>
    <w:rsid w:val="009E728E"/>
    <w:rsid w:val="009E76D2"/>
    <w:rsid w:val="009E7C66"/>
    <w:rsid w:val="009E7DAE"/>
    <w:rsid w:val="009E7E33"/>
    <w:rsid w:val="009F0240"/>
    <w:rsid w:val="009F0523"/>
    <w:rsid w:val="009F06D3"/>
    <w:rsid w:val="009F07DE"/>
    <w:rsid w:val="009F0C33"/>
    <w:rsid w:val="009F0E32"/>
    <w:rsid w:val="009F0E93"/>
    <w:rsid w:val="009F1464"/>
    <w:rsid w:val="009F1BA8"/>
    <w:rsid w:val="009F1F3D"/>
    <w:rsid w:val="009F22A8"/>
    <w:rsid w:val="009F24B6"/>
    <w:rsid w:val="009F2B7B"/>
    <w:rsid w:val="009F2DB5"/>
    <w:rsid w:val="009F3072"/>
    <w:rsid w:val="009F3136"/>
    <w:rsid w:val="009F316C"/>
    <w:rsid w:val="009F329F"/>
    <w:rsid w:val="009F3392"/>
    <w:rsid w:val="009F35B4"/>
    <w:rsid w:val="009F3824"/>
    <w:rsid w:val="009F4057"/>
    <w:rsid w:val="009F40D0"/>
    <w:rsid w:val="009F4429"/>
    <w:rsid w:val="009F4478"/>
    <w:rsid w:val="009F47A9"/>
    <w:rsid w:val="009F47B5"/>
    <w:rsid w:val="009F480F"/>
    <w:rsid w:val="009F4BC2"/>
    <w:rsid w:val="009F4BE7"/>
    <w:rsid w:val="009F4EFB"/>
    <w:rsid w:val="009F51DF"/>
    <w:rsid w:val="009F5362"/>
    <w:rsid w:val="009F57F7"/>
    <w:rsid w:val="009F5BEA"/>
    <w:rsid w:val="009F5CD1"/>
    <w:rsid w:val="009F614E"/>
    <w:rsid w:val="009F6172"/>
    <w:rsid w:val="009F6456"/>
    <w:rsid w:val="009F6465"/>
    <w:rsid w:val="009F6715"/>
    <w:rsid w:val="009F6DC4"/>
    <w:rsid w:val="009F7395"/>
    <w:rsid w:val="009F74F2"/>
    <w:rsid w:val="009F775F"/>
    <w:rsid w:val="009F77AB"/>
    <w:rsid w:val="009F7B5F"/>
    <w:rsid w:val="009F7BC5"/>
    <w:rsid w:val="009F7DAA"/>
    <w:rsid w:val="009F7F5B"/>
    <w:rsid w:val="00A0002D"/>
    <w:rsid w:val="00A00104"/>
    <w:rsid w:val="00A00107"/>
    <w:rsid w:val="00A00654"/>
    <w:rsid w:val="00A0090B"/>
    <w:rsid w:val="00A00AC2"/>
    <w:rsid w:val="00A00C1B"/>
    <w:rsid w:val="00A0131F"/>
    <w:rsid w:val="00A01C87"/>
    <w:rsid w:val="00A01F46"/>
    <w:rsid w:val="00A0207D"/>
    <w:rsid w:val="00A020E6"/>
    <w:rsid w:val="00A021A1"/>
    <w:rsid w:val="00A02C9F"/>
    <w:rsid w:val="00A02E4A"/>
    <w:rsid w:val="00A03829"/>
    <w:rsid w:val="00A03D17"/>
    <w:rsid w:val="00A03D19"/>
    <w:rsid w:val="00A03EEB"/>
    <w:rsid w:val="00A04204"/>
    <w:rsid w:val="00A0439C"/>
    <w:rsid w:val="00A0443C"/>
    <w:rsid w:val="00A0455A"/>
    <w:rsid w:val="00A04BBC"/>
    <w:rsid w:val="00A04C67"/>
    <w:rsid w:val="00A04F0B"/>
    <w:rsid w:val="00A05040"/>
    <w:rsid w:val="00A051FE"/>
    <w:rsid w:val="00A0552E"/>
    <w:rsid w:val="00A0586F"/>
    <w:rsid w:val="00A05BCD"/>
    <w:rsid w:val="00A06158"/>
    <w:rsid w:val="00A06168"/>
    <w:rsid w:val="00A06291"/>
    <w:rsid w:val="00A0635C"/>
    <w:rsid w:val="00A06665"/>
    <w:rsid w:val="00A0692B"/>
    <w:rsid w:val="00A069C6"/>
    <w:rsid w:val="00A06BDB"/>
    <w:rsid w:val="00A06EA5"/>
    <w:rsid w:val="00A0716F"/>
    <w:rsid w:val="00A0746B"/>
    <w:rsid w:val="00A0756B"/>
    <w:rsid w:val="00A07D6D"/>
    <w:rsid w:val="00A07F9A"/>
    <w:rsid w:val="00A1027A"/>
    <w:rsid w:val="00A10892"/>
    <w:rsid w:val="00A10A87"/>
    <w:rsid w:val="00A10B33"/>
    <w:rsid w:val="00A10E8D"/>
    <w:rsid w:val="00A10F0E"/>
    <w:rsid w:val="00A110A6"/>
    <w:rsid w:val="00A116C4"/>
    <w:rsid w:val="00A11A44"/>
    <w:rsid w:val="00A11A72"/>
    <w:rsid w:val="00A11BBE"/>
    <w:rsid w:val="00A11C5D"/>
    <w:rsid w:val="00A11D08"/>
    <w:rsid w:val="00A120AA"/>
    <w:rsid w:val="00A121B8"/>
    <w:rsid w:val="00A122A6"/>
    <w:rsid w:val="00A1243F"/>
    <w:rsid w:val="00A12487"/>
    <w:rsid w:val="00A12597"/>
    <w:rsid w:val="00A125A9"/>
    <w:rsid w:val="00A126FB"/>
    <w:rsid w:val="00A12AB7"/>
    <w:rsid w:val="00A12B8C"/>
    <w:rsid w:val="00A12E02"/>
    <w:rsid w:val="00A1306D"/>
    <w:rsid w:val="00A13256"/>
    <w:rsid w:val="00A1336F"/>
    <w:rsid w:val="00A13775"/>
    <w:rsid w:val="00A13BFF"/>
    <w:rsid w:val="00A13D59"/>
    <w:rsid w:val="00A13DDF"/>
    <w:rsid w:val="00A13F65"/>
    <w:rsid w:val="00A1420A"/>
    <w:rsid w:val="00A1442C"/>
    <w:rsid w:val="00A14597"/>
    <w:rsid w:val="00A147FB"/>
    <w:rsid w:val="00A147FF"/>
    <w:rsid w:val="00A1552D"/>
    <w:rsid w:val="00A155F7"/>
    <w:rsid w:val="00A156B2"/>
    <w:rsid w:val="00A156D5"/>
    <w:rsid w:val="00A157FD"/>
    <w:rsid w:val="00A158CC"/>
    <w:rsid w:val="00A15BBA"/>
    <w:rsid w:val="00A15E3F"/>
    <w:rsid w:val="00A1620D"/>
    <w:rsid w:val="00A1623F"/>
    <w:rsid w:val="00A162C8"/>
    <w:rsid w:val="00A166F0"/>
    <w:rsid w:val="00A16735"/>
    <w:rsid w:val="00A16924"/>
    <w:rsid w:val="00A16A24"/>
    <w:rsid w:val="00A16DCF"/>
    <w:rsid w:val="00A170C5"/>
    <w:rsid w:val="00A177D9"/>
    <w:rsid w:val="00A1799B"/>
    <w:rsid w:val="00A17CD5"/>
    <w:rsid w:val="00A200B4"/>
    <w:rsid w:val="00A203E9"/>
    <w:rsid w:val="00A204D0"/>
    <w:rsid w:val="00A20519"/>
    <w:rsid w:val="00A20704"/>
    <w:rsid w:val="00A20D25"/>
    <w:rsid w:val="00A20D9C"/>
    <w:rsid w:val="00A2132E"/>
    <w:rsid w:val="00A21729"/>
    <w:rsid w:val="00A217D4"/>
    <w:rsid w:val="00A21954"/>
    <w:rsid w:val="00A21EDD"/>
    <w:rsid w:val="00A21F82"/>
    <w:rsid w:val="00A22109"/>
    <w:rsid w:val="00A22356"/>
    <w:rsid w:val="00A2250E"/>
    <w:rsid w:val="00A228E9"/>
    <w:rsid w:val="00A22971"/>
    <w:rsid w:val="00A22A2B"/>
    <w:rsid w:val="00A22D6F"/>
    <w:rsid w:val="00A232A0"/>
    <w:rsid w:val="00A233D0"/>
    <w:rsid w:val="00A234D1"/>
    <w:rsid w:val="00A23532"/>
    <w:rsid w:val="00A23E63"/>
    <w:rsid w:val="00A243B8"/>
    <w:rsid w:val="00A24431"/>
    <w:rsid w:val="00A24464"/>
    <w:rsid w:val="00A2447F"/>
    <w:rsid w:val="00A2455E"/>
    <w:rsid w:val="00A246B2"/>
    <w:rsid w:val="00A24D8A"/>
    <w:rsid w:val="00A25208"/>
    <w:rsid w:val="00A252F7"/>
    <w:rsid w:val="00A25657"/>
    <w:rsid w:val="00A25A6B"/>
    <w:rsid w:val="00A25A97"/>
    <w:rsid w:val="00A25C37"/>
    <w:rsid w:val="00A25C83"/>
    <w:rsid w:val="00A25DFF"/>
    <w:rsid w:val="00A25E82"/>
    <w:rsid w:val="00A25FE1"/>
    <w:rsid w:val="00A26346"/>
    <w:rsid w:val="00A2694A"/>
    <w:rsid w:val="00A26A46"/>
    <w:rsid w:val="00A27757"/>
    <w:rsid w:val="00A277A4"/>
    <w:rsid w:val="00A27915"/>
    <w:rsid w:val="00A27A2E"/>
    <w:rsid w:val="00A27B62"/>
    <w:rsid w:val="00A27C65"/>
    <w:rsid w:val="00A27DC0"/>
    <w:rsid w:val="00A27F27"/>
    <w:rsid w:val="00A30DBD"/>
    <w:rsid w:val="00A3108F"/>
    <w:rsid w:val="00A311A1"/>
    <w:rsid w:val="00A311B4"/>
    <w:rsid w:val="00A31352"/>
    <w:rsid w:val="00A31437"/>
    <w:rsid w:val="00A31702"/>
    <w:rsid w:val="00A31C91"/>
    <w:rsid w:val="00A31DF4"/>
    <w:rsid w:val="00A320C4"/>
    <w:rsid w:val="00A325B3"/>
    <w:rsid w:val="00A3265D"/>
    <w:rsid w:val="00A326A6"/>
    <w:rsid w:val="00A32B0A"/>
    <w:rsid w:val="00A32E44"/>
    <w:rsid w:val="00A3306B"/>
    <w:rsid w:val="00A3309D"/>
    <w:rsid w:val="00A33849"/>
    <w:rsid w:val="00A33C8A"/>
    <w:rsid w:val="00A343B1"/>
    <w:rsid w:val="00A34B93"/>
    <w:rsid w:val="00A35883"/>
    <w:rsid w:val="00A35DD0"/>
    <w:rsid w:val="00A35F45"/>
    <w:rsid w:val="00A35F73"/>
    <w:rsid w:val="00A35F76"/>
    <w:rsid w:val="00A3634B"/>
    <w:rsid w:val="00A3638F"/>
    <w:rsid w:val="00A36950"/>
    <w:rsid w:val="00A36979"/>
    <w:rsid w:val="00A36C3C"/>
    <w:rsid w:val="00A36C6C"/>
    <w:rsid w:val="00A36E69"/>
    <w:rsid w:val="00A36F2B"/>
    <w:rsid w:val="00A3702D"/>
    <w:rsid w:val="00A37068"/>
    <w:rsid w:val="00A37085"/>
    <w:rsid w:val="00A37132"/>
    <w:rsid w:val="00A373B9"/>
    <w:rsid w:val="00A37456"/>
    <w:rsid w:val="00A37642"/>
    <w:rsid w:val="00A376F7"/>
    <w:rsid w:val="00A37738"/>
    <w:rsid w:val="00A37766"/>
    <w:rsid w:val="00A37A2A"/>
    <w:rsid w:val="00A37B7E"/>
    <w:rsid w:val="00A37DA9"/>
    <w:rsid w:val="00A400CA"/>
    <w:rsid w:val="00A40115"/>
    <w:rsid w:val="00A403EB"/>
    <w:rsid w:val="00A4041E"/>
    <w:rsid w:val="00A40737"/>
    <w:rsid w:val="00A40E6D"/>
    <w:rsid w:val="00A40EE1"/>
    <w:rsid w:val="00A4189F"/>
    <w:rsid w:val="00A41C83"/>
    <w:rsid w:val="00A42123"/>
    <w:rsid w:val="00A426E2"/>
    <w:rsid w:val="00A42C60"/>
    <w:rsid w:val="00A42D05"/>
    <w:rsid w:val="00A42EB3"/>
    <w:rsid w:val="00A42ECC"/>
    <w:rsid w:val="00A42FE7"/>
    <w:rsid w:val="00A430CB"/>
    <w:rsid w:val="00A4363F"/>
    <w:rsid w:val="00A4384C"/>
    <w:rsid w:val="00A43A95"/>
    <w:rsid w:val="00A43BAE"/>
    <w:rsid w:val="00A43D63"/>
    <w:rsid w:val="00A43D6D"/>
    <w:rsid w:val="00A43E02"/>
    <w:rsid w:val="00A43F85"/>
    <w:rsid w:val="00A442BB"/>
    <w:rsid w:val="00A447BF"/>
    <w:rsid w:val="00A4494D"/>
    <w:rsid w:val="00A449EF"/>
    <w:rsid w:val="00A44F29"/>
    <w:rsid w:val="00A45073"/>
    <w:rsid w:val="00A4545F"/>
    <w:rsid w:val="00A458F9"/>
    <w:rsid w:val="00A45A91"/>
    <w:rsid w:val="00A45B6E"/>
    <w:rsid w:val="00A46002"/>
    <w:rsid w:val="00A461A8"/>
    <w:rsid w:val="00A46495"/>
    <w:rsid w:val="00A46532"/>
    <w:rsid w:val="00A46BF8"/>
    <w:rsid w:val="00A46E0E"/>
    <w:rsid w:val="00A46F8B"/>
    <w:rsid w:val="00A4714E"/>
    <w:rsid w:val="00A475D2"/>
    <w:rsid w:val="00A47642"/>
    <w:rsid w:val="00A47776"/>
    <w:rsid w:val="00A479F2"/>
    <w:rsid w:val="00A47A7B"/>
    <w:rsid w:val="00A47AC4"/>
    <w:rsid w:val="00A47C14"/>
    <w:rsid w:val="00A47D86"/>
    <w:rsid w:val="00A47F55"/>
    <w:rsid w:val="00A501A9"/>
    <w:rsid w:val="00A5024B"/>
    <w:rsid w:val="00A50493"/>
    <w:rsid w:val="00A5099D"/>
    <w:rsid w:val="00A50A5E"/>
    <w:rsid w:val="00A510B8"/>
    <w:rsid w:val="00A510FF"/>
    <w:rsid w:val="00A51260"/>
    <w:rsid w:val="00A512F5"/>
    <w:rsid w:val="00A51328"/>
    <w:rsid w:val="00A5137F"/>
    <w:rsid w:val="00A518D8"/>
    <w:rsid w:val="00A5193B"/>
    <w:rsid w:val="00A51DD9"/>
    <w:rsid w:val="00A51FC1"/>
    <w:rsid w:val="00A523F6"/>
    <w:rsid w:val="00A524C8"/>
    <w:rsid w:val="00A5257B"/>
    <w:rsid w:val="00A5284A"/>
    <w:rsid w:val="00A5295E"/>
    <w:rsid w:val="00A5304B"/>
    <w:rsid w:val="00A53060"/>
    <w:rsid w:val="00A5308B"/>
    <w:rsid w:val="00A53098"/>
    <w:rsid w:val="00A53159"/>
    <w:rsid w:val="00A5318F"/>
    <w:rsid w:val="00A532B9"/>
    <w:rsid w:val="00A53331"/>
    <w:rsid w:val="00A53464"/>
    <w:rsid w:val="00A53881"/>
    <w:rsid w:val="00A53B12"/>
    <w:rsid w:val="00A53DD3"/>
    <w:rsid w:val="00A53F1A"/>
    <w:rsid w:val="00A54026"/>
    <w:rsid w:val="00A5414A"/>
    <w:rsid w:val="00A545A0"/>
    <w:rsid w:val="00A545B9"/>
    <w:rsid w:val="00A54910"/>
    <w:rsid w:val="00A549C0"/>
    <w:rsid w:val="00A54F68"/>
    <w:rsid w:val="00A55076"/>
    <w:rsid w:val="00A550C7"/>
    <w:rsid w:val="00A550DC"/>
    <w:rsid w:val="00A55279"/>
    <w:rsid w:val="00A55477"/>
    <w:rsid w:val="00A558CE"/>
    <w:rsid w:val="00A55B31"/>
    <w:rsid w:val="00A55E53"/>
    <w:rsid w:val="00A55FF8"/>
    <w:rsid w:val="00A56478"/>
    <w:rsid w:val="00A56560"/>
    <w:rsid w:val="00A567F2"/>
    <w:rsid w:val="00A56A7B"/>
    <w:rsid w:val="00A56B13"/>
    <w:rsid w:val="00A573EB"/>
    <w:rsid w:val="00A5774C"/>
    <w:rsid w:val="00A57841"/>
    <w:rsid w:val="00A57870"/>
    <w:rsid w:val="00A57B28"/>
    <w:rsid w:val="00A600A0"/>
    <w:rsid w:val="00A601FC"/>
    <w:rsid w:val="00A60401"/>
    <w:rsid w:val="00A6048E"/>
    <w:rsid w:val="00A6057F"/>
    <w:rsid w:val="00A60803"/>
    <w:rsid w:val="00A60E8F"/>
    <w:rsid w:val="00A60FE9"/>
    <w:rsid w:val="00A610EC"/>
    <w:rsid w:val="00A613EB"/>
    <w:rsid w:val="00A619B2"/>
    <w:rsid w:val="00A61B48"/>
    <w:rsid w:val="00A61D0A"/>
    <w:rsid w:val="00A61DB2"/>
    <w:rsid w:val="00A62101"/>
    <w:rsid w:val="00A6220E"/>
    <w:rsid w:val="00A624EE"/>
    <w:rsid w:val="00A624EF"/>
    <w:rsid w:val="00A62581"/>
    <w:rsid w:val="00A6258B"/>
    <w:rsid w:val="00A62884"/>
    <w:rsid w:val="00A630C7"/>
    <w:rsid w:val="00A632F1"/>
    <w:rsid w:val="00A633BC"/>
    <w:rsid w:val="00A6341F"/>
    <w:rsid w:val="00A636C8"/>
    <w:rsid w:val="00A63C22"/>
    <w:rsid w:val="00A63C83"/>
    <w:rsid w:val="00A63CFF"/>
    <w:rsid w:val="00A6410A"/>
    <w:rsid w:val="00A64123"/>
    <w:rsid w:val="00A64301"/>
    <w:rsid w:val="00A6458D"/>
    <w:rsid w:val="00A64640"/>
    <w:rsid w:val="00A64B91"/>
    <w:rsid w:val="00A64C7E"/>
    <w:rsid w:val="00A64DCC"/>
    <w:rsid w:val="00A64E16"/>
    <w:rsid w:val="00A65252"/>
    <w:rsid w:val="00A6525C"/>
    <w:rsid w:val="00A652E3"/>
    <w:rsid w:val="00A65408"/>
    <w:rsid w:val="00A654B5"/>
    <w:rsid w:val="00A65AF6"/>
    <w:rsid w:val="00A65C08"/>
    <w:rsid w:val="00A65CD4"/>
    <w:rsid w:val="00A65EC0"/>
    <w:rsid w:val="00A65EFD"/>
    <w:rsid w:val="00A669A2"/>
    <w:rsid w:val="00A66A14"/>
    <w:rsid w:val="00A66DB6"/>
    <w:rsid w:val="00A66FD5"/>
    <w:rsid w:val="00A6709D"/>
    <w:rsid w:val="00A670F7"/>
    <w:rsid w:val="00A6729D"/>
    <w:rsid w:val="00A677EE"/>
    <w:rsid w:val="00A67ED4"/>
    <w:rsid w:val="00A702D9"/>
    <w:rsid w:val="00A705E0"/>
    <w:rsid w:val="00A70A30"/>
    <w:rsid w:val="00A70A61"/>
    <w:rsid w:val="00A70ECB"/>
    <w:rsid w:val="00A70F1E"/>
    <w:rsid w:val="00A70F2B"/>
    <w:rsid w:val="00A7111A"/>
    <w:rsid w:val="00A7124F"/>
    <w:rsid w:val="00A7158B"/>
    <w:rsid w:val="00A715EB"/>
    <w:rsid w:val="00A71600"/>
    <w:rsid w:val="00A717F7"/>
    <w:rsid w:val="00A71ECE"/>
    <w:rsid w:val="00A7248E"/>
    <w:rsid w:val="00A728FD"/>
    <w:rsid w:val="00A72A49"/>
    <w:rsid w:val="00A72B37"/>
    <w:rsid w:val="00A72D79"/>
    <w:rsid w:val="00A72F10"/>
    <w:rsid w:val="00A72FF3"/>
    <w:rsid w:val="00A7308A"/>
    <w:rsid w:val="00A730E1"/>
    <w:rsid w:val="00A73133"/>
    <w:rsid w:val="00A7321A"/>
    <w:rsid w:val="00A7339C"/>
    <w:rsid w:val="00A73495"/>
    <w:rsid w:val="00A736D9"/>
    <w:rsid w:val="00A7420E"/>
    <w:rsid w:val="00A7423D"/>
    <w:rsid w:val="00A744DA"/>
    <w:rsid w:val="00A74792"/>
    <w:rsid w:val="00A74D92"/>
    <w:rsid w:val="00A74DE4"/>
    <w:rsid w:val="00A74F0F"/>
    <w:rsid w:val="00A74F3E"/>
    <w:rsid w:val="00A752F9"/>
    <w:rsid w:val="00A7539A"/>
    <w:rsid w:val="00A753FC"/>
    <w:rsid w:val="00A7560F"/>
    <w:rsid w:val="00A757E8"/>
    <w:rsid w:val="00A759E4"/>
    <w:rsid w:val="00A75A37"/>
    <w:rsid w:val="00A75CB1"/>
    <w:rsid w:val="00A75CBA"/>
    <w:rsid w:val="00A75ED7"/>
    <w:rsid w:val="00A75FBE"/>
    <w:rsid w:val="00A76015"/>
    <w:rsid w:val="00A761B3"/>
    <w:rsid w:val="00A76381"/>
    <w:rsid w:val="00A768E6"/>
    <w:rsid w:val="00A76B7D"/>
    <w:rsid w:val="00A76E21"/>
    <w:rsid w:val="00A771E5"/>
    <w:rsid w:val="00A775F8"/>
    <w:rsid w:val="00A77603"/>
    <w:rsid w:val="00A77640"/>
    <w:rsid w:val="00A77817"/>
    <w:rsid w:val="00A7787C"/>
    <w:rsid w:val="00A7799D"/>
    <w:rsid w:val="00A779AA"/>
    <w:rsid w:val="00A808E4"/>
    <w:rsid w:val="00A80A56"/>
    <w:rsid w:val="00A80BFE"/>
    <w:rsid w:val="00A80C39"/>
    <w:rsid w:val="00A80F8C"/>
    <w:rsid w:val="00A8103B"/>
    <w:rsid w:val="00A813AE"/>
    <w:rsid w:val="00A81569"/>
    <w:rsid w:val="00A81841"/>
    <w:rsid w:val="00A81A5B"/>
    <w:rsid w:val="00A81B5A"/>
    <w:rsid w:val="00A822C5"/>
    <w:rsid w:val="00A8284D"/>
    <w:rsid w:val="00A82CFC"/>
    <w:rsid w:val="00A83131"/>
    <w:rsid w:val="00A8335F"/>
    <w:rsid w:val="00A833A1"/>
    <w:rsid w:val="00A83490"/>
    <w:rsid w:val="00A834EF"/>
    <w:rsid w:val="00A835C7"/>
    <w:rsid w:val="00A83B56"/>
    <w:rsid w:val="00A83B97"/>
    <w:rsid w:val="00A83F11"/>
    <w:rsid w:val="00A841C9"/>
    <w:rsid w:val="00A84273"/>
    <w:rsid w:val="00A8434E"/>
    <w:rsid w:val="00A844C3"/>
    <w:rsid w:val="00A844DA"/>
    <w:rsid w:val="00A845CC"/>
    <w:rsid w:val="00A84963"/>
    <w:rsid w:val="00A84A61"/>
    <w:rsid w:val="00A84BEC"/>
    <w:rsid w:val="00A84DB0"/>
    <w:rsid w:val="00A851FE"/>
    <w:rsid w:val="00A85712"/>
    <w:rsid w:val="00A85952"/>
    <w:rsid w:val="00A85A6A"/>
    <w:rsid w:val="00A8605F"/>
    <w:rsid w:val="00A861F9"/>
    <w:rsid w:val="00A8625B"/>
    <w:rsid w:val="00A86452"/>
    <w:rsid w:val="00A86489"/>
    <w:rsid w:val="00A8661F"/>
    <w:rsid w:val="00A869CE"/>
    <w:rsid w:val="00A86C24"/>
    <w:rsid w:val="00A86C89"/>
    <w:rsid w:val="00A86EED"/>
    <w:rsid w:val="00A87147"/>
    <w:rsid w:val="00A871A8"/>
    <w:rsid w:val="00A87905"/>
    <w:rsid w:val="00A8798C"/>
    <w:rsid w:val="00A879A7"/>
    <w:rsid w:val="00A87A8C"/>
    <w:rsid w:val="00A87AA6"/>
    <w:rsid w:val="00A87CF5"/>
    <w:rsid w:val="00A87E8C"/>
    <w:rsid w:val="00A87EAF"/>
    <w:rsid w:val="00A907B1"/>
    <w:rsid w:val="00A909AF"/>
    <w:rsid w:val="00A90EAC"/>
    <w:rsid w:val="00A91050"/>
    <w:rsid w:val="00A9132C"/>
    <w:rsid w:val="00A9155F"/>
    <w:rsid w:val="00A917D2"/>
    <w:rsid w:val="00A918BE"/>
    <w:rsid w:val="00A91BE1"/>
    <w:rsid w:val="00A91E93"/>
    <w:rsid w:val="00A91EF2"/>
    <w:rsid w:val="00A920AC"/>
    <w:rsid w:val="00A92867"/>
    <w:rsid w:val="00A92996"/>
    <w:rsid w:val="00A92B69"/>
    <w:rsid w:val="00A92F59"/>
    <w:rsid w:val="00A930EC"/>
    <w:rsid w:val="00A931D9"/>
    <w:rsid w:val="00A932FE"/>
    <w:rsid w:val="00A93AD4"/>
    <w:rsid w:val="00A93D5B"/>
    <w:rsid w:val="00A93FDE"/>
    <w:rsid w:val="00A94678"/>
    <w:rsid w:val="00A947C7"/>
    <w:rsid w:val="00A949EA"/>
    <w:rsid w:val="00A94B82"/>
    <w:rsid w:val="00A954C5"/>
    <w:rsid w:val="00A95500"/>
    <w:rsid w:val="00A95C72"/>
    <w:rsid w:val="00A95DB2"/>
    <w:rsid w:val="00A95F49"/>
    <w:rsid w:val="00A95F67"/>
    <w:rsid w:val="00A9608A"/>
    <w:rsid w:val="00A962B5"/>
    <w:rsid w:val="00A9670D"/>
    <w:rsid w:val="00A9674D"/>
    <w:rsid w:val="00A974A2"/>
    <w:rsid w:val="00A97566"/>
    <w:rsid w:val="00A9763D"/>
    <w:rsid w:val="00A977F0"/>
    <w:rsid w:val="00A979EF"/>
    <w:rsid w:val="00A979F8"/>
    <w:rsid w:val="00A97AA7"/>
    <w:rsid w:val="00A97AF8"/>
    <w:rsid w:val="00A97B95"/>
    <w:rsid w:val="00A97CA7"/>
    <w:rsid w:val="00A97CE9"/>
    <w:rsid w:val="00A97D52"/>
    <w:rsid w:val="00AA019C"/>
    <w:rsid w:val="00AA0273"/>
    <w:rsid w:val="00AA03D1"/>
    <w:rsid w:val="00AA06B6"/>
    <w:rsid w:val="00AA0DE5"/>
    <w:rsid w:val="00AA0FBC"/>
    <w:rsid w:val="00AA12B3"/>
    <w:rsid w:val="00AA1316"/>
    <w:rsid w:val="00AA1422"/>
    <w:rsid w:val="00AA1722"/>
    <w:rsid w:val="00AA2115"/>
    <w:rsid w:val="00AA28C1"/>
    <w:rsid w:val="00AA2C7C"/>
    <w:rsid w:val="00AA3270"/>
    <w:rsid w:val="00AA33D4"/>
    <w:rsid w:val="00AA33D9"/>
    <w:rsid w:val="00AA358C"/>
    <w:rsid w:val="00AA365F"/>
    <w:rsid w:val="00AA370B"/>
    <w:rsid w:val="00AA3796"/>
    <w:rsid w:val="00AA3B2C"/>
    <w:rsid w:val="00AA3E5F"/>
    <w:rsid w:val="00AA3F52"/>
    <w:rsid w:val="00AA442F"/>
    <w:rsid w:val="00AA4750"/>
    <w:rsid w:val="00AA5562"/>
    <w:rsid w:val="00AA5601"/>
    <w:rsid w:val="00AA567F"/>
    <w:rsid w:val="00AA614D"/>
    <w:rsid w:val="00AA6496"/>
    <w:rsid w:val="00AA652C"/>
    <w:rsid w:val="00AA6C62"/>
    <w:rsid w:val="00AA6DC1"/>
    <w:rsid w:val="00AA6EBE"/>
    <w:rsid w:val="00AA7157"/>
    <w:rsid w:val="00AA72AE"/>
    <w:rsid w:val="00AA73F8"/>
    <w:rsid w:val="00AA76F9"/>
    <w:rsid w:val="00AA7B79"/>
    <w:rsid w:val="00AB000D"/>
    <w:rsid w:val="00AB02EB"/>
    <w:rsid w:val="00AB04AF"/>
    <w:rsid w:val="00AB0700"/>
    <w:rsid w:val="00AB0890"/>
    <w:rsid w:val="00AB0AC3"/>
    <w:rsid w:val="00AB0C5F"/>
    <w:rsid w:val="00AB0C7E"/>
    <w:rsid w:val="00AB0E21"/>
    <w:rsid w:val="00AB0F4F"/>
    <w:rsid w:val="00AB107C"/>
    <w:rsid w:val="00AB10F2"/>
    <w:rsid w:val="00AB15A4"/>
    <w:rsid w:val="00AB1716"/>
    <w:rsid w:val="00AB1831"/>
    <w:rsid w:val="00AB2140"/>
    <w:rsid w:val="00AB2304"/>
    <w:rsid w:val="00AB2419"/>
    <w:rsid w:val="00AB24AE"/>
    <w:rsid w:val="00AB2645"/>
    <w:rsid w:val="00AB26B8"/>
    <w:rsid w:val="00AB2756"/>
    <w:rsid w:val="00AB2B63"/>
    <w:rsid w:val="00AB2BB3"/>
    <w:rsid w:val="00AB2CD1"/>
    <w:rsid w:val="00AB2D42"/>
    <w:rsid w:val="00AB303E"/>
    <w:rsid w:val="00AB3167"/>
    <w:rsid w:val="00AB3447"/>
    <w:rsid w:val="00AB35BF"/>
    <w:rsid w:val="00AB361A"/>
    <w:rsid w:val="00AB389B"/>
    <w:rsid w:val="00AB43D1"/>
    <w:rsid w:val="00AB4705"/>
    <w:rsid w:val="00AB56C4"/>
    <w:rsid w:val="00AB5896"/>
    <w:rsid w:val="00AB5C14"/>
    <w:rsid w:val="00AB5C74"/>
    <w:rsid w:val="00AB606F"/>
    <w:rsid w:val="00AB650B"/>
    <w:rsid w:val="00AB67A1"/>
    <w:rsid w:val="00AB7794"/>
    <w:rsid w:val="00AB7CDE"/>
    <w:rsid w:val="00AB7DA3"/>
    <w:rsid w:val="00AB7DBD"/>
    <w:rsid w:val="00AB7E04"/>
    <w:rsid w:val="00AB7E0A"/>
    <w:rsid w:val="00AB7EE2"/>
    <w:rsid w:val="00AC046E"/>
    <w:rsid w:val="00AC06E4"/>
    <w:rsid w:val="00AC088A"/>
    <w:rsid w:val="00AC0C79"/>
    <w:rsid w:val="00AC0E88"/>
    <w:rsid w:val="00AC0FFF"/>
    <w:rsid w:val="00AC105D"/>
    <w:rsid w:val="00AC1455"/>
    <w:rsid w:val="00AC1725"/>
    <w:rsid w:val="00AC1900"/>
    <w:rsid w:val="00AC19B2"/>
    <w:rsid w:val="00AC1B4A"/>
    <w:rsid w:val="00AC1BA2"/>
    <w:rsid w:val="00AC1CD2"/>
    <w:rsid w:val="00AC1DB7"/>
    <w:rsid w:val="00AC202F"/>
    <w:rsid w:val="00AC205A"/>
    <w:rsid w:val="00AC2EDD"/>
    <w:rsid w:val="00AC3218"/>
    <w:rsid w:val="00AC368B"/>
    <w:rsid w:val="00AC37F4"/>
    <w:rsid w:val="00AC37FB"/>
    <w:rsid w:val="00AC3821"/>
    <w:rsid w:val="00AC385A"/>
    <w:rsid w:val="00AC39DD"/>
    <w:rsid w:val="00AC3A5E"/>
    <w:rsid w:val="00AC3D35"/>
    <w:rsid w:val="00AC4255"/>
    <w:rsid w:val="00AC42CE"/>
    <w:rsid w:val="00AC42DF"/>
    <w:rsid w:val="00AC4AA3"/>
    <w:rsid w:val="00AC4B43"/>
    <w:rsid w:val="00AC4BDD"/>
    <w:rsid w:val="00AC50EC"/>
    <w:rsid w:val="00AC56F0"/>
    <w:rsid w:val="00AC58AF"/>
    <w:rsid w:val="00AC5E71"/>
    <w:rsid w:val="00AC5F8E"/>
    <w:rsid w:val="00AC6534"/>
    <w:rsid w:val="00AC682F"/>
    <w:rsid w:val="00AC6832"/>
    <w:rsid w:val="00AC6A20"/>
    <w:rsid w:val="00AC6B38"/>
    <w:rsid w:val="00AC6DBD"/>
    <w:rsid w:val="00AC733C"/>
    <w:rsid w:val="00AC7589"/>
    <w:rsid w:val="00AC76D2"/>
    <w:rsid w:val="00AC7769"/>
    <w:rsid w:val="00AC7BFA"/>
    <w:rsid w:val="00AC7E4A"/>
    <w:rsid w:val="00AC7F42"/>
    <w:rsid w:val="00AD0251"/>
    <w:rsid w:val="00AD0373"/>
    <w:rsid w:val="00AD0393"/>
    <w:rsid w:val="00AD0615"/>
    <w:rsid w:val="00AD06CD"/>
    <w:rsid w:val="00AD0B70"/>
    <w:rsid w:val="00AD0BA7"/>
    <w:rsid w:val="00AD0EA8"/>
    <w:rsid w:val="00AD13C5"/>
    <w:rsid w:val="00AD140D"/>
    <w:rsid w:val="00AD16B4"/>
    <w:rsid w:val="00AD1E04"/>
    <w:rsid w:val="00AD1E72"/>
    <w:rsid w:val="00AD2034"/>
    <w:rsid w:val="00AD20E4"/>
    <w:rsid w:val="00AD2770"/>
    <w:rsid w:val="00AD283F"/>
    <w:rsid w:val="00AD2B82"/>
    <w:rsid w:val="00AD2D89"/>
    <w:rsid w:val="00AD3173"/>
    <w:rsid w:val="00AD31D9"/>
    <w:rsid w:val="00AD3329"/>
    <w:rsid w:val="00AD3685"/>
    <w:rsid w:val="00AD3999"/>
    <w:rsid w:val="00AD3A48"/>
    <w:rsid w:val="00AD3FD8"/>
    <w:rsid w:val="00AD416C"/>
    <w:rsid w:val="00AD420A"/>
    <w:rsid w:val="00AD4503"/>
    <w:rsid w:val="00AD4C65"/>
    <w:rsid w:val="00AD4C6D"/>
    <w:rsid w:val="00AD500A"/>
    <w:rsid w:val="00AD50F9"/>
    <w:rsid w:val="00AD54C7"/>
    <w:rsid w:val="00AD5957"/>
    <w:rsid w:val="00AD5C00"/>
    <w:rsid w:val="00AD5FFB"/>
    <w:rsid w:val="00AD66EC"/>
    <w:rsid w:val="00AD6700"/>
    <w:rsid w:val="00AD676A"/>
    <w:rsid w:val="00AD6A1B"/>
    <w:rsid w:val="00AD6AC8"/>
    <w:rsid w:val="00AD6C1D"/>
    <w:rsid w:val="00AD6E1F"/>
    <w:rsid w:val="00AD723F"/>
    <w:rsid w:val="00AD72F4"/>
    <w:rsid w:val="00AD7329"/>
    <w:rsid w:val="00AD7541"/>
    <w:rsid w:val="00AD7593"/>
    <w:rsid w:val="00AD7A85"/>
    <w:rsid w:val="00AD7AD7"/>
    <w:rsid w:val="00AD7D2E"/>
    <w:rsid w:val="00AD7DB9"/>
    <w:rsid w:val="00AD7FB4"/>
    <w:rsid w:val="00AE01AC"/>
    <w:rsid w:val="00AE01EA"/>
    <w:rsid w:val="00AE0280"/>
    <w:rsid w:val="00AE05FE"/>
    <w:rsid w:val="00AE064A"/>
    <w:rsid w:val="00AE0B50"/>
    <w:rsid w:val="00AE0F1D"/>
    <w:rsid w:val="00AE106F"/>
    <w:rsid w:val="00AE1416"/>
    <w:rsid w:val="00AE1867"/>
    <w:rsid w:val="00AE1918"/>
    <w:rsid w:val="00AE19A7"/>
    <w:rsid w:val="00AE1D0F"/>
    <w:rsid w:val="00AE1E42"/>
    <w:rsid w:val="00AE1FB0"/>
    <w:rsid w:val="00AE1FE3"/>
    <w:rsid w:val="00AE2065"/>
    <w:rsid w:val="00AE2454"/>
    <w:rsid w:val="00AE25D5"/>
    <w:rsid w:val="00AE277A"/>
    <w:rsid w:val="00AE2925"/>
    <w:rsid w:val="00AE2A93"/>
    <w:rsid w:val="00AE2B43"/>
    <w:rsid w:val="00AE2EA5"/>
    <w:rsid w:val="00AE34AF"/>
    <w:rsid w:val="00AE352D"/>
    <w:rsid w:val="00AE36CC"/>
    <w:rsid w:val="00AE3EB8"/>
    <w:rsid w:val="00AE3F73"/>
    <w:rsid w:val="00AE4343"/>
    <w:rsid w:val="00AE4446"/>
    <w:rsid w:val="00AE4610"/>
    <w:rsid w:val="00AE4B7C"/>
    <w:rsid w:val="00AE55A1"/>
    <w:rsid w:val="00AE55AF"/>
    <w:rsid w:val="00AE5868"/>
    <w:rsid w:val="00AE5886"/>
    <w:rsid w:val="00AE5BB1"/>
    <w:rsid w:val="00AE5E20"/>
    <w:rsid w:val="00AE5F7A"/>
    <w:rsid w:val="00AE6015"/>
    <w:rsid w:val="00AE6184"/>
    <w:rsid w:val="00AE6C0D"/>
    <w:rsid w:val="00AE6FDD"/>
    <w:rsid w:val="00AE7351"/>
    <w:rsid w:val="00AE74B7"/>
    <w:rsid w:val="00AE7540"/>
    <w:rsid w:val="00AE7674"/>
    <w:rsid w:val="00AE7776"/>
    <w:rsid w:val="00AE788C"/>
    <w:rsid w:val="00AE7AD0"/>
    <w:rsid w:val="00AF0185"/>
    <w:rsid w:val="00AF02EF"/>
    <w:rsid w:val="00AF063F"/>
    <w:rsid w:val="00AF06C8"/>
    <w:rsid w:val="00AF0E57"/>
    <w:rsid w:val="00AF1437"/>
    <w:rsid w:val="00AF188C"/>
    <w:rsid w:val="00AF1AD4"/>
    <w:rsid w:val="00AF1BCE"/>
    <w:rsid w:val="00AF1CA7"/>
    <w:rsid w:val="00AF1E3C"/>
    <w:rsid w:val="00AF2053"/>
    <w:rsid w:val="00AF250C"/>
    <w:rsid w:val="00AF2598"/>
    <w:rsid w:val="00AF29C0"/>
    <w:rsid w:val="00AF2AFD"/>
    <w:rsid w:val="00AF2EA4"/>
    <w:rsid w:val="00AF2F9A"/>
    <w:rsid w:val="00AF3174"/>
    <w:rsid w:val="00AF3711"/>
    <w:rsid w:val="00AF3801"/>
    <w:rsid w:val="00AF3956"/>
    <w:rsid w:val="00AF3DE3"/>
    <w:rsid w:val="00AF3DE9"/>
    <w:rsid w:val="00AF4865"/>
    <w:rsid w:val="00AF501E"/>
    <w:rsid w:val="00AF5348"/>
    <w:rsid w:val="00AF5808"/>
    <w:rsid w:val="00AF5985"/>
    <w:rsid w:val="00AF5AA7"/>
    <w:rsid w:val="00AF5C05"/>
    <w:rsid w:val="00AF5E96"/>
    <w:rsid w:val="00AF5E9C"/>
    <w:rsid w:val="00AF5ECD"/>
    <w:rsid w:val="00AF5F73"/>
    <w:rsid w:val="00AF66E8"/>
    <w:rsid w:val="00AF67C5"/>
    <w:rsid w:val="00AF6C8C"/>
    <w:rsid w:val="00AF6D15"/>
    <w:rsid w:val="00AF6E85"/>
    <w:rsid w:val="00AF6EBB"/>
    <w:rsid w:val="00AF6F45"/>
    <w:rsid w:val="00AF73E2"/>
    <w:rsid w:val="00AF78DA"/>
    <w:rsid w:val="00AF7934"/>
    <w:rsid w:val="00AF7E30"/>
    <w:rsid w:val="00B00B30"/>
    <w:rsid w:val="00B00CDD"/>
    <w:rsid w:val="00B00E06"/>
    <w:rsid w:val="00B010DF"/>
    <w:rsid w:val="00B01B37"/>
    <w:rsid w:val="00B02065"/>
    <w:rsid w:val="00B020EF"/>
    <w:rsid w:val="00B023F5"/>
    <w:rsid w:val="00B02470"/>
    <w:rsid w:val="00B024A9"/>
    <w:rsid w:val="00B02EEA"/>
    <w:rsid w:val="00B035FD"/>
    <w:rsid w:val="00B03B15"/>
    <w:rsid w:val="00B03C65"/>
    <w:rsid w:val="00B03C78"/>
    <w:rsid w:val="00B04149"/>
    <w:rsid w:val="00B04E1D"/>
    <w:rsid w:val="00B04F60"/>
    <w:rsid w:val="00B0539C"/>
    <w:rsid w:val="00B05829"/>
    <w:rsid w:val="00B05A5F"/>
    <w:rsid w:val="00B05A98"/>
    <w:rsid w:val="00B060CC"/>
    <w:rsid w:val="00B06171"/>
    <w:rsid w:val="00B06257"/>
    <w:rsid w:val="00B063EF"/>
    <w:rsid w:val="00B06613"/>
    <w:rsid w:val="00B06C77"/>
    <w:rsid w:val="00B06C88"/>
    <w:rsid w:val="00B070A5"/>
    <w:rsid w:val="00B071A6"/>
    <w:rsid w:val="00B071C8"/>
    <w:rsid w:val="00B07205"/>
    <w:rsid w:val="00B076FD"/>
    <w:rsid w:val="00B07AEB"/>
    <w:rsid w:val="00B10157"/>
    <w:rsid w:val="00B1017C"/>
    <w:rsid w:val="00B103FF"/>
    <w:rsid w:val="00B10C47"/>
    <w:rsid w:val="00B112AD"/>
    <w:rsid w:val="00B11480"/>
    <w:rsid w:val="00B116CA"/>
    <w:rsid w:val="00B117BA"/>
    <w:rsid w:val="00B12091"/>
    <w:rsid w:val="00B1229D"/>
    <w:rsid w:val="00B1269D"/>
    <w:rsid w:val="00B12B38"/>
    <w:rsid w:val="00B12DD9"/>
    <w:rsid w:val="00B1300C"/>
    <w:rsid w:val="00B1306E"/>
    <w:rsid w:val="00B13294"/>
    <w:rsid w:val="00B1367C"/>
    <w:rsid w:val="00B136C4"/>
    <w:rsid w:val="00B137DA"/>
    <w:rsid w:val="00B1388B"/>
    <w:rsid w:val="00B13920"/>
    <w:rsid w:val="00B139E5"/>
    <w:rsid w:val="00B13A0F"/>
    <w:rsid w:val="00B13B52"/>
    <w:rsid w:val="00B13C3C"/>
    <w:rsid w:val="00B13E7C"/>
    <w:rsid w:val="00B14074"/>
    <w:rsid w:val="00B1407B"/>
    <w:rsid w:val="00B14400"/>
    <w:rsid w:val="00B14751"/>
    <w:rsid w:val="00B14AE4"/>
    <w:rsid w:val="00B14B46"/>
    <w:rsid w:val="00B14C9C"/>
    <w:rsid w:val="00B15116"/>
    <w:rsid w:val="00B15129"/>
    <w:rsid w:val="00B151A6"/>
    <w:rsid w:val="00B1533C"/>
    <w:rsid w:val="00B153B7"/>
    <w:rsid w:val="00B15666"/>
    <w:rsid w:val="00B15A4C"/>
    <w:rsid w:val="00B15C66"/>
    <w:rsid w:val="00B15ED2"/>
    <w:rsid w:val="00B15F3D"/>
    <w:rsid w:val="00B16400"/>
    <w:rsid w:val="00B16BD4"/>
    <w:rsid w:val="00B16DA5"/>
    <w:rsid w:val="00B16DD6"/>
    <w:rsid w:val="00B1769E"/>
    <w:rsid w:val="00B176C2"/>
    <w:rsid w:val="00B1771A"/>
    <w:rsid w:val="00B17818"/>
    <w:rsid w:val="00B17F2A"/>
    <w:rsid w:val="00B17FA7"/>
    <w:rsid w:val="00B17FB7"/>
    <w:rsid w:val="00B200C1"/>
    <w:rsid w:val="00B20B7E"/>
    <w:rsid w:val="00B20D60"/>
    <w:rsid w:val="00B20DC9"/>
    <w:rsid w:val="00B20EAD"/>
    <w:rsid w:val="00B20EC8"/>
    <w:rsid w:val="00B20EF8"/>
    <w:rsid w:val="00B20F9D"/>
    <w:rsid w:val="00B20FC9"/>
    <w:rsid w:val="00B21272"/>
    <w:rsid w:val="00B2133C"/>
    <w:rsid w:val="00B21619"/>
    <w:rsid w:val="00B218FB"/>
    <w:rsid w:val="00B219CD"/>
    <w:rsid w:val="00B21A2B"/>
    <w:rsid w:val="00B21CF0"/>
    <w:rsid w:val="00B21DAE"/>
    <w:rsid w:val="00B224B1"/>
    <w:rsid w:val="00B2273F"/>
    <w:rsid w:val="00B2289F"/>
    <w:rsid w:val="00B22A4A"/>
    <w:rsid w:val="00B22AF7"/>
    <w:rsid w:val="00B22D6D"/>
    <w:rsid w:val="00B2332B"/>
    <w:rsid w:val="00B2396F"/>
    <w:rsid w:val="00B23B3F"/>
    <w:rsid w:val="00B23DA0"/>
    <w:rsid w:val="00B240D2"/>
    <w:rsid w:val="00B24261"/>
    <w:rsid w:val="00B243D9"/>
    <w:rsid w:val="00B245A3"/>
    <w:rsid w:val="00B24768"/>
    <w:rsid w:val="00B248EF"/>
    <w:rsid w:val="00B24998"/>
    <w:rsid w:val="00B24C0A"/>
    <w:rsid w:val="00B25028"/>
    <w:rsid w:val="00B253FA"/>
    <w:rsid w:val="00B25D7F"/>
    <w:rsid w:val="00B261A9"/>
    <w:rsid w:val="00B261E6"/>
    <w:rsid w:val="00B26207"/>
    <w:rsid w:val="00B26421"/>
    <w:rsid w:val="00B2668E"/>
    <w:rsid w:val="00B266FC"/>
    <w:rsid w:val="00B2670A"/>
    <w:rsid w:val="00B26D3A"/>
    <w:rsid w:val="00B26D46"/>
    <w:rsid w:val="00B26EA2"/>
    <w:rsid w:val="00B2702C"/>
    <w:rsid w:val="00B27068"/>
    <w:rsid w:val="00B2708E"/>
    <w:rsid w:val="00B27366"/>
    <w:rsid w:val="00B276E6"/>
    <w:rsid w:val="00B2773B"/>
    <w:rsid w:val="00B2776F"/>
    <w:rsid w:val="00B27EE1"/>
    <w:rsid w:val="00B30476"/>
    <w:rsid w:val="00B31028"/>
    <w:rsid w:val="00B31344"/>
    <w:rsid w:val="00B314A7"/>
    <w:rsid w:val="00B317EE"/>
    <w:rsid w:val="00B318D6"/>
    <w:rsid w:val="00B31DFF"/>
    <w:rsid w:val="00B31F90"/>
    <w:rsid w:val="00B32348"/>
    <w:rsid w:val="00B3250D"/>
    <w:rsid w:val="00B32611"/>
    <w:rsid w:val="00B32E45"/>
    <w:rsid w:val="00B33439"/>
    <w:rsid w:val="00B33651"/>
    <w:rsid w:val="00B33694"/>
    <w:rsid w:val="00B336D7"/>
    <w:rsid w:val="00B3378E"/>
    <w:rsid w:val="00B3412B"/>
    <w:rsid w:val="00B3416F"/>
    <w:rsid w:val="00B34739"/>
    <w:rsid w:val="00B34824"/>
    <w:rsid w:val="00B34A8F"/>
    <w:rsid w:val="00B34AD0"/>
    <w:rsid w:val="00B34F93"/>
    <w:rsid w:val="00B35180"/>
    <w:rsid w:val="00B352BF"/>
    <w:rsid w:val="00B35681"/>
    <w:rsid w:val="00B358A9"/>
    <w:rsid w:val="00B35BDB"/>
    <w:rsid w:val="00B35ECC"/>
    <w:rsid w:val="00B36390"/>
    <w:rsid w:val="00B363C6"/>
    <w:rsid w:val="00B363EA"/>
    <w:rsid w:val="00B36871"/>
    <w:rsid w:val="00B36939"/>
    <w:rsid w:val="00B370F6"/>
    <w:rsid w:val="00B37338"/>
    <w:rsid w:val="00B37372"/>
    <w:rsid w:val="00B37376"/>
    <w:rsid w:val="00B3741B"/>
    <w:rsid w:val="00B374C4"/>
    <w:rsid w:val="00B378A6"/>
    <w:rsid w:val="00B37A2E"/>
    <w:rsid w:val="00B37BDF"/>
    <w:rsid w:val="00B37CCC"/>
    <w:rsid w:val="00B40201"/>
    <w:rsid w:val="00B40768"/>
    <w:rsid w:val="00B41052"/>
    <w:rsid w:val="00B411E2"/>
    <w:rsid w:val="00B4154A"/>
    <w:rsid w:val="00B419B4"/>
    <w:rsid w:val="00B41A4F"/>
    <w:rsid w:val="00B41BC8"/>
    <w:rsid w:val="00B41E97"/>
    <w:rsid w:val="00B423C0"/>
    <w:rsid w:val="00B4255D"/>
    <w:rsid w:val="00B427E7"/>
    <w:rsid w:val="00B42CF8"/>
    <w:rsid w:val="00B43398"/>
    <w:rsid w:val="00B433D8"/>
    <w:rsid w:val="00B436C4"/>
    <w:rsid w:val="00B43F12"/>
    <w:rsid w:val="00B43F1D"/>
    <w:rsid w:val="00B44087"/>
    <w:rsid w:val="00B44166"/>
    <w:rsid w:val="00B44312"/>
    <w:rsid w:val="00B44509"/>
    <w:rsid w:val="00B44711"/>
    <w:rsid w:val="00B44843"/>
    <w:rsid w:val="00B44B2A"/>
    <w:rsid w:val="00B44C73"/>
    <w:rsid w:val="00B45920"/>
    <w:rsid w:val="00B4598A"/>
    <w:rsid w:val="00B45A08"/>
    <w:rsid w:val="00B45A83"/>
    <w:rsid w:val="00B4622C"/>
    <w:rsid w:val="00B462A0"/>
    <w:rsid w:val="00B462AB"/>
    <w:rsid w:val="00B464A6"/>
    <w:rsid w:val="00B46986"/>
    <w:rsid w:val="00B46999"/>
    <w:rsid w:val="00B46ED9"/>
    <w:rsid w:val="00B46F7E"/>
    <w:rsid w:val="00B46FE0"/>
    <w:rsid w:val="00B47554"/>
    <w:rsid w:val="00B47749"/>
    <w:rsid w:val="00B47911"/>
    <w:rsid w:val="00B47951"/>
    <w:rsid w:val="00B4795A"/>
    <w:rsid w:val="00B47B0B"/>
    <w:rsid w:val="00B47EC8"/>
    <w:rsid w:val="00B502EC"/>
    <w:rsid w:val="00B50440"/>
    <w:rsid w:val="00B504C3"/>
    <w:rsid w:val="00B50A91"/>
    <w:rsid w:val="00B50DAD"/>
    <w:rsid w:val="00B50EB5"/>
    <w:rsid w:val="00B50F9E"/>
    <w:rsid w:val="00B51072"/>
    <w:rsid w:val="00B51625"/>
    <w:rsid w:val="00B5165B"/>
    <w:rsid w:val="00B51696"/>
    <w:rsid w:val="00B51A2E"/>
    <w:rsid w:val="00B51B79"/>
    <w:rsid w:val="00B51BCB"/>
    <w:rsid w:val="00B51F11"/>
    <w:rsid w:val="00B51F1E"/>
    <w:rsid w:val="00B522C6"/>
    <w:rsid w:val="00B52457"/>
    <w:rsid w:val="00B52770"/>
    <w:rsid w:val="00B52A03"/>
    <w:rsid w:val="00B52E22"/>
    <w:rsid w:val="00B5302B"/>
    <w:rsid w:val="00B53070"/>
    <w:rsid w:val="00B538C7"/>
    <w:rsid w:val="00B53C41"/>
    <w:rsid w:val="00B53CF5"/>
    <w:rsid w:val="00B54271"/>
    <w:rsid w:val="00B54492"/>
    <w:rsid w:val="00B54678"/>
    <w:rsid w:val="00B5499C"/>
    <w:rsid w:val="00B54A53"/>
    <w:rsid w:val="00B54A6F"/>
    <w:rsid w:val="00B54A8D"/>
    <w:rsid w:val="00B54C25"/>
    <w:rsid w:val="00B55291"/>
    <w:rsid w:val="00B56222"/>
    <w:rsid w:val="00B56538"/>
    <w:rsid w:val="00B565B7"/>
    <w:rsid w:val="00B56948"/>
    <w:rsid w:val="00B56FEF"/>
    <w:rsid w:val="00B57465"/>
    <w:rsid w:val="00B575DF"/>
    <w:rsid w:val="00B57738"/>
    <w:rsid w:val="00B57B13"/>
    <w:rsid w:val="00B60064"/>
    <w:rsid w:val="00B60171"/>
    <w:rsid w:val="00B60395"/>
    <w:rsid w:val="00B604B4"/>
    <w:rsid w:val="00B605CA"/>
    <w:rsid w:val="00B609C6"/>
    <w:rsid w:val="00B6110E"/>
    <w:rsid w:val="00B61225"/>
    <w:rsid w:val="00B61C9D"/>
    <w:rsid w:val="00B61F69"/>
    <w:rsid w:val="00B62434"/>
    <w:rsid w:val="00B62AF8"/>
    <w:rsid w:val="00B62B03"/>
    <w:rsid w:val="00B62C89"/>
    <w:rsid w:val="00B62D64"/>
    <w:rsid w:val="00B6302F"/>
    <w:rsid w:val="00B630E4"/>
    <w:rsid w:val="00B63307"/>
    <w:rsid w:val="00B63405"/>
    <w:rsid w:val="00B6341C"/>
    <w:rsid w:val="00B63497"/>
    <w:rsid w:val="00B634E7"/>
    <w:rsid w:val="00B63529"/>
    <w:rsid w:val="00B6396C"/>
    <w:rsid w:val="00B63B16"/>
    <w:rsid w:val="00B63B9C"/>
    <w:rsid w:val="00B63F7C"/>
    <w:rsid w:val="00B63F85"/>
    <w:rsid w:val="00B64053"/>
    <w:rsid w:val="00B641A6"/>
    <w:rsid w:val="00B642B1"/>
    <w:rsid w:val="00B642D1"/>
    <w:rsid w:val="00B645AC"/>
    <w:rsid w:val="00B64D9E"/>
    <w:rsid w:val="00B64DFE"/>
    <w:rsid w:val="00B64FEE"/>
    <w:rsid w:val="00B658E9"/>
    <w:rsid w:val="00B65B6E"/>
    <w:rsid w:val="00B65CB0"/>
    <w:rsid w:val="00B65CCD"/>
    <w:rsid w:val="00B6614B"/>
    <w:rsid w:val="00B66525"/>
    <w:rsid w:val="00B66643"/>
    <w:rsid w:val="00B6664D"/>
    <w:rsid w:val="00B666DE"/>
    <w:rsid w:val="00B66A55"/>
    <w:rsid w:val="00B66ADE"/>
    <w:rsid w:val="00B66D72"/>
    <w:rsid w:val="00B671CA"/>
    <w:rsid w:val="00B67325"/>
    <w:rsid w:val="00B67457"/>
    <w:rsid w:val="00B67534"/>
    <w:rsid w:val="00B6798B"/>
    <w:rsid w:val="00B67CED"/>
    <w:rsid w:val="00B704D6"/>
    <w:rsid w:val="00B704F6"/>
    <w:rsid w:val="00B707E9"/>
    <w:rsid w:val="00B7099A"/>
    <w:rsid w:val="00B70DE9"/>
    <w:rsid w:val="00B70F55"/>
    <w:rsid w:val="00B7122A"/>
    <w:rsid w:val="00B713DA"/>
    <w:rsid w:val="00B71462"/>
    <w:rsid w:val="00B714DA"/>
    <w:rsid w:val="00B716C5"/>
    <w:rsid w:val="00B7183E"/>
    <w:rsid w:val="00B718E4"/>
    <w:rsid w:val="00B718FE"/>
    <w:rsid w:val="00B71EBE"/>
    <w:rsid w:val="00B7211F"/>
    <w:rsid w:val="00B7214D"/>
    <w:rsid w:val="00B721AA"/>
    <w:rsid w:val="00B725FD"/>
    <w:rsid w:val="00B72859"/>
    <w:rsid w:val="00B72993"/>
    <w:rsid w:val="00B729D6"/>
    <w:rsid w:val="00B72C3F"/>
    <w:rsid w:val="00B72D9C"/>
    <w:rsid w:val="00B72FEE"/>
    <w:rsid w:val="00B73438"/>
    <w:rsid w:val="00B736EA"/>
    <w:rsid w:val="00B7378E"/>
    <w:rsid w:val="00B73E1E"/>
    <w:rsid w:val="00B74102"/>
    <w:rsid w:val="00B74211"/>
    <w:rsid w:val="00B742FE"/>
    <w:rsid w:val="00B74531"/>
    <w:rsid w:val="00B748A7"/>
    <w:rsid w:val="00B7491E"/>
    <w:rsid w:val="00B749A8"/>
    <w:rsid w:val="00B74A90"/>
    <w:rsid w:val="00B74BEA"/>
    <w:rsid w:val="00B74D3B"/>
    <w:rsid w:val="00B751BD"/>
    <w:rsid w:val="00B75430"/>
    <w:rsid w:val="00B762BB"/>
    <w:rsid w:val="00B7632A"/>
    <w:rsid w:val="00B767EE"/>
    <w:rsid w:val="00B76BC4"/>
    <w:rsid w:val="00B76EDA"/>
    <w:rsid w:val="00B770FD"/>
    <w:rsid w:val="00B772A9"/>
    <w:rsid w:val="00B77B8D"/>
    <w:rsid w:val="00B77F18"/>
    <w:rsid w:val="00B8041D"/>
    <w:rsid w:val="00B80566"/>
    <w:rsid w:val="00B8065A"/>
    <w:rsid w:val="00B80D20"/>
    <w:rsid w:val="00B81016"/>
    <w:rsid w:val="00B8133C"/>
    <w:rsid w:val="00B815B8"/>
    <w:rsid w:val="00B81D57"/>
    <w:rsid w:val="00B822C0"/>
    <w:rsid w:val="00B826A6"/>
    <w:rsid w:val="00B82760"/>
    <w:rsid w:val="00B828C7"/>
    <w:rsid w:val="00B82B37"/>
    <w:rsid w:val="00B82B8E"/>
    <w:rsid w:val="00B83492"/>
    <w:rsid w:val="00B834AF"/>
    <w:rsid w:val="00B838A4"/>
    <w:rsid w:val="00B83CC3"/>
    <w:rsid w:val="00B83D15"/>
    <w:rsid w:val="00B840FF"/>
    <w:rsid w:val="00B8412E"/>
    <w:rsid w:val="00B842DA"/>
    <w:rsid w:val="00B844A9"/>
    <w:rsid w:val="00B84EA9"/>
    <w:rsid w:val="00B85252"/>
    <w:rsid w:val="00B8551E"/>
    <w:rsid w:val="00B85551"/>
    <w:rsid w:val="00B85968"/>
    <w:rsid w:val="00B859D5"/>
    <w:rsid w:val="00B85C4F"/>
    <w:rsid w:val="00B85E08"/>
    <w:rsid w:val="00B860AD"/>
    <w:rsid w:val="00B86341"/>
    <w:rsid w:val="00B864B3"/>
    <w:rsid w:val="00B8693A"/>
    <w:rsid w:val="00B869C3"/>
    <w:rsid w:val="00B86B0E"/>
    <w:rsid w:val="00B86BA8"/>
    <w:rsid w:val="00B86C3A"/>
    <w:rsid w:val="00B86D42"/>
    <w:rsid w:val="00B87207"/>
    <w:rsid w:val="00B8752C"/>
    <w:rsid w:val="00B87593"/>
    <w:rsid w:val="00B875A1"/>
    <w:rsid w:val="00B8799C"/>
    <w:rsid w:val="00B87ABC"/>
    <w:rsid w:val="00B87D8D"/>
    <w:rsid w:val="00B87FA0"/>
    <w:rsid w:val="00B87FED"/>
    <w:rsid w:val="00B90170"/>
    <w:rsid w:val="00B90257"/>
    <w:rsid w:val="00B903DB"/>
    <w:rsid w:val="00B907D9"/>
    <w:rsid w:val="00B90A1B"/>
    <w:rsid w:val="00B90DF6"/>
    <w:rsid w:val="00B90E7B"/>
    <w:rsid w:val="00B90E9B"/>
    <w:rsid w:val="00B90FED"/>
    <w:rsid w:val="00B910F3"/>
    <w:rsid w:val="00B916ED"/>
    <w:rsid w:val="00B91711"/>
    <w:rsid w:val="00B91738"/>
    <w:rsid w:val="00B91A73"/>
    <w:rsid w:val="00B91B15"/>
    <w:rsid w:val="00B91E66"/>
    <w:rsid w:val="00B92143"/>
    <w:rsid w:val="00B921F2"/>
    <w:rsid w:val="00B92273"/>
    <w:rsid w:val="00B9241E"/>
    <w:rsid w:val="00B924F0"/>
    <w:rsid w:val="00B9295C"/>
    <w:rsid w:val="00B92AE9"/>
    <w:rsid w:val="00B92C88"/>
    <w:rsid w:val="00B92D6E"/>
    <w:rsid w:val="00B93571"/>
    <w:rsid w:val="00B9367A"/>
    <w:rsid w:val="00B936EE"/>
    <w:rsid w:val="00B937B8"/>
    <w:rsid w:val="00B9396D"/>
    <w:rsid w:val="00B93A31"/>
    <w:rsid w:val="00B93E1C"/>
    <w:rsid w:val="00B93E76"/>
    <w:rsid w:val="00B942C2"/>
    <w:rsid w:val="00B9445F"/>
    <w:rsid w:val="00B94793"/>
    <w:rsid w:val="00B9481C"/>
    <w:rsid w:val="00B948DD"/>
    <w:rsid w:val="00B949C5"/>
    <w:rsid w:val="00B949DA"/>
    <w:rsid w:val="00B94D3F"/>
    <w:rsid w:val="00B9517C"/>
    <w:rsid w:val="00B9566C"/>
    <w:rsid w:val="00B95DD6"/>
    <w:rsid w:val="00B95EFF"/>
    <w:rsid w:val="00B961F2"/>
    <w:rsid w:val="00B96402"/>
    <w:rsid w:val="00B96602"/>
    <w:rsid w:val="00B9660D"/>
    <w:rsid w:val="00B96743"/>
    <w:rsid w:val="00B96775"/>
    <w:rsid w:val="00B96CC8"/>
    <w:rsid w:val="00B96E99"/>
    <w:rsid w:val="00B9774A"/>
    <w:rsid w:val="00B97940"/>
    <w:rsid w:val="00B97B5E"/>
    <w:rsid w:val="00BA02A8"/>
    <w:rsid w:val="00BA033B"/>
    <w:rsid w:val="00BA039E"/>
    <w:rsid w:val="00BA03A9"/>
    <w:rsid w:val="00BA0614"/>
    <w:rsid w:val="00BA08FD"/>
    <w:rsid w:val="00BA0A79"/>
    <w:rsid w:val="00BA104B"/>
    <w:rsid w:val="00BA138F"/>
    <w:rsid w:val="00BA1BFF"/>
    <w:rsid w:val="00BA1F6E"/>
    <w:rsid w:val="00BA2105"/>
    <w:rsid w:val="00BA23FF"/>
    <w:rsid w:val="00BA3068"/>
    <w:rsid w:val="00BA3156"/>
    <w:rsid w:val="00BA323B"/>
    <w:rsid w:val="00BA329C"/>
    <w:rsid w:val="00BA333C"/>
    <w:rsid w:val="00BA3661"/>
    <w:rsid w:val="00BA36AA"/>
    <w:rsid w:val="00BA3B66"/>
    <w:rsid w:val="00BA3CC4"/>
    <w:rsid w:val="00BA3CF3"/>
    <w:rsid w:val="00BA3D59"/>
    <w:rsid w:val="00BA3F88"/>
    <w:rsid w:val="00BA4132"/>
    <w:rsid w:val="00BA43F5"/>
    <w:rsid w:val="00BA47AD"/>
    <w:rsid w:val="00BA48CA"/>
    <w:rsid w:val="00BA4B88"/>
    <w:rsid w:val="00BA4C04"/>
    <w:rsid w:val="00BA4ECC"/>
    <w:rsid w:val="00BA539C"/>
    <w:rsid w:val="00BA5618"/>
    <w:rsid w:val="00BA5B39"/>
    <w:rsid w:val="00BA5B46"/>
    <w:rsid w:val="00BA5C9F"/>
    <w:rsid w:val="00BA6009"/>
    <w:rsid w:val="00BA635D"/>
    <w:rsid w:val="00BA6436"/>
    <w:rsid w:val="00BA6448"/>
    <w:rsid w:val="00BA664E"/>
    <w:rsid w:val="00BA69AD"/>
    <w:rsid w:val="00BA6A08"/>
    <w:rsid w:val="00BA6AC0"/>
    <w:rsid w:val="00BA6ADD"/>
    <w:rsid w:val="00BA6CC2"/>
    <w:rsid w:val="00BA6E69"/>
    <w:rsid w:val="00BA6F45"/>
    <w:rsid w:val="00BA70D7"/>
    <w:rsid w:val="00BA716A"/>
    <w:rsid w:val="00BA7340"/>
    <w:rsid w:val="00BA736F"/>
    <w:rsid w:val="00BA7441"/>
    <w:rsid w:val="00BA74BB"/>
    <w:rsid w:val="00BA74E2"/>
    <w:rsid w:val="00BA7587"/>
    <w:rsid w:val="00BA75EF"/>
    <w:rsid w:val="00BA779A"/>
    <w:rsid w:val="00BA7A3B"/>
    <w:rsid w:val="00BA7B68"/>
    <w:rsid w:val="00BA7B96"/>
    <w:rsid w:val="00BA7BF3"/>
    <w:rsid w:val="00BA7BF6"/>
    <w:rsid w:val="00BA7C0D"/>
    <w:rsid w:val="00BB021D"/>
    <w:rsid w:val="00BB0333"/>
    <w:rsid w:val="00BB04C4"/>
    <w:rsid w:val="00BB06F1"/>
    <w:rsid w:val="00BB0F13"/>
    <w:rsid w:val="00BB110C"/>
    <w:rsid w:val="00BB13F3"/>
    <w:rsid w:val="00BB147B"/>
    <w:rsid w:val="00BB16AA"/>
    <w:rsid w:val="00BB181F"/>
    <w:rsid w:val="00BB1838"/>
    <w:rsid w:val="00BB18C6"/>
    <w:rsid w:val="00BB1983"/>
    <w:rsid w:val="00BB1D2E"/>
    <w:rsid w:val="00BB21FC"/>
    <w:rsid w:val="00BB2241"/>
    <w:rsid w:val="00BB22CF"/>
    <w:rsid w:val="00BB2796"/>
    <w:rsid w:val="00BB283C"/>
    <w:rsid w:val="00BB2A0A"/>
    <w:rsid w:val="00BB2B4D"/>
    <w:rsid w:val="00BB2BCF"/>
    <w:rsid w:val="00BB317D"/>
    <w:rsid w:val="00BB34BF"/>
    <w:rsid w:val="00BB37E9"/>
    <w:rsid w:val="00BB3A54"/>
    <w:rsid w:val="00BB3ABA"/>
    <w:rsid w:val="00BB3F34"/>
    <w:rsid w:val="00BB405C"/>
    <w:rsid w:val="00BB415D"/>
    <w:rsid w:val="00BB41B0"/>
    <w:rsid w:val="00BB43F0"/>
    <w:rsid w:val="00BB4640"/>
    <w:rsid w:val="00BB467D"/>
    <w:rsid w:val="00BB4B6D"/>
    <w:rsid w:val="00BB4D3C"/>
    <w:rsid w:val="00BB5679"/>
    <w:rsid w:val="00BB56EF"/>
    <w:rsid w:val="00BB5A14"/>
    <w:rsid w:val="00BB5A70"/>
    <w:rsid w:val="00BB5C88"/>
    <w:rsid w:val="00BB5E9F"/>
    <w:rsid w:val="00BB5FAC"/>
    <w:rsid w:val="00BB6066"/>
    <w:rsid w:val="00BB61F2"/>
    <w:rsid w:val="00BB6765"/>
    <w:rsid w:val="00BB68B4"/>
    <w:rsid w:val="00BB6B49"/>
    <w:rsid w:val="00BB6B7A"/>
    <w:rsid w:val="00BB6DED"/>
    <w:rsid w:val="00BB6F16"/>
    <w:rsid w:val="00BB753A"/>
    <w:rsid w:val="00BB7D19"/>
    <w:rsid w:val="00BB7E79"/>
    <w:rsid w:val="00BC00BA"/>
    <w:rsid w:val="00BC00D8"/>
    <w:rsid w:val="00BC0536"/>
    <w:rsid w:val="00BC056F"/>
    <w:rsid w:val="00BC07AD"/>
    <w:rsid w:val="00BC08F5"/>
    <w:rsid w:val="00BC0A2B"/>
    <w:rsid w:val="00BC1087"/>
    <w:rsid w:val="00BC1123"/>
    <w:rsid w:val="00BC12DA"/>
    <w:rsid w:val="00BC1398"/>
    <w:rsid w:val="00BC17CA"/>
    <w:rsid w:val="00BC18AD"/>
    <w:rsid w:val="00BC1A1D"/>
    <w:rsid w:val="00BC1ADE"/>
    <w:rsid w:val="00BC1D2D"/>
    <w:rsid w:val="00BC28C5"/>
    <w:rsid w:val="00BC2E02"/>
    <w:rsid w:val="00BC2E81"/>
    <w:rsid w:val="00BC2F58"/>
    <w:rsid w:val="00BC34DD"/>
    <w:rsid w:val="00BC35FB"/>
    <w:rsid w:val="00BC36D6"/>
    <w:rsid w:val="00BC3ACA"/>
    <w:rsid w:val="00BC3FDF"/>
    <w:rsid w:val="00BC4162"/>
    <w:rsid w:val="00BC4214"/>
    <w:rsid w:val="00BC43E5"/>
    <w:rsid w:val="00BC47C3"/>
    <w:rsid w:val="00BC4A5C"/>
    <w:rsid w:val="00BC4D70"/>
    <w:rsid w:val="00BC4DF5"/>
    <w:rsid w:val="00BC51A8"/>
    <w:rsid w:val="00BC5A68"/>
    <w:rsid w:val="00BC5EEF"/>
    <w:rsid w:val="00BC6146"/>
    <w:rsid w:val="00BC63B3"/>
    <w:rsid w:val="00BC6605"/>
    <w:rsid w:val="00BC69EA"/>
    <w:rsid w:val="00BC6A60"/>
    <w:rsid w:val="00BC74BC"/>
    <w:rsid w:val="00BC7B21"/>
    <w:rsid w:val="00BC7D3C"/>
    <w:rsid w:val="00BD05BA"/>
    <w:rsid w:val="00BD0630"/>
    <w:rsid w:val="00BD077C"/>
    <w:rsid w:val="00BD0892"/>
    <w:rsid w:val="00BD133C"/>
    <w:rsid w:val="00BD1486"/>
    <w:rsid w:val="00BD18A7"/>
    <w:rsid w:val="00BD1979"/>
    <w:rsid w:val="00BD1CCB"/>
    <w:rsid w:val="00BD1E1B"/>
    <w:rsid w:val="00BD2164"/>
    <w:rsid w:val="00BD238D"/>
    <w:rsid w:val="00BD23C3"/>
    <w:rsid w:val="00BD25E1"/>
    <w:rsid w:val="00BD2C65"/>
    <w:rsid w:val="00BD2F88"/>
    <w:rsid w:val="00BD2FF0"/>
    <w:rsid w:val="00BD325E"/>
    <w:rsid w:val="00BD37F2"/>
    <w:rsid w:val="00BD3B8D"/>
    <w:rsid w:val="00BD3C24"/>
    <w:rsid w:val="00BD3E3F"/>
    <w:rsid w:val="00BD3FAD"/>
    <w:rsid w:val="00BD410C"/>
    <w:rsid w:val="00BD491A"/>
    <w:rsid w:val="00BD495C"/>
    <w:rsid w:val="00BD4AC1"/>
    <w:rsid w:val="00BD4C33"/>
    <w:rsid w:val="00BD508B"/>
    <w:rsid w:val="00BD50C1"/>
    <w:rsid w:val="00BD518A"/>
    <w:rsid w:val="00BD5199"/>
    <w:rsid w:val="00BD525E"/>
    <w:rsid w:val="00BD53AA"/>
    <w:rsid w:val="00BD5456"/>
    <w:rsid w:val="00BD5777"/>
    <w:rsid w:val="00BD5CC7"/>
    <w:rsid w:val="00BD5DCE"/>
    <w:rsid w:val="00BD5DF6"/>
    <w:rsid w:val="00BD649F"/>
    <w:rsid w:val="00BD658D"/>
    <w:rsid w:val="00BD67D8"/>
    <w:rsid w:val="00BD682F"/>
    <w:rsid w:val="00BD6A8B"/>
    <w:rsid w:val="00BD6D9B"/>
    <w:rsid w:val="00BD6E67"/>
    <w:rsid w:val="00BD6E91"/>
    <w:rsid w:val="00BD713C"/>
    <w:rsid w:val="00BD7857"/>
    <w:rsid w:val="00BD7994"/>
    <w:rsid w:val="00BD79E8"/>
    <w:rsid w:val="00BD7A0E"/>
    <w:rsid w:val="00BD7CBC"/>
    <w:rsid w:val="00BD7FA9"/>
    <w:rsid w:val="00BE012A"/>
    <w:rsid w:val="00BE02F9"/>
    <w:rsid w:val="00BE034A"/>
    <w:rsid w:val="00BE03B0"/>
    <w:rsid w:val="00BE0492"/>
    <w:rsid w:val="00BE0815"/>
    <w:rsid w:val="00BE09E9"/>
    <w:rsid w:val="00BE0CD1"/>
    <w:rsid w:val="00BE0F22"/>
    <w:rsid w:val="00BE132B"/>
    <w:rsid w:val="00BE13D3"/>
    <w:rsid w:val="00BE1544"/>
    <w:rsid w:val="00BE169E"/>
    <w:rsid w:val="00BE18A0"/>
    <w:rsid w:val="00BE19E6"/>
    <w:rsid w:val="00BE1B63"/>
    <w:rsid w:val="00BE1BED"/>
    <w:rsid w:val="00BE1CFA"/>
    <w:rsid w:val="00BE1E62"/>
    <w:rsid w:val="00BE1EAD"/>
    <w:rsid w:val="00BE207C"/>
    <w:rsid w:val="00BE23D5"/>
    <w:rsid w:val="00BE252C"/>
    <w:rsid w:val="00BE275F"/>
    <w:rsid w:val="00BE2A44"/>
    <w:rsid w:val="00BE2AF8"/>
    <w:rsid w:val="00BE2E9A"/>
    <w:rsid w:val="00BE30EA"/>
    <w:rsid w:val="00BE3581"/>
    <w:rsid w:val="00BE35BE"/>
    <w:rsid w:val="00BE3846"/>
    <w:rsid w:val="00BE38C3"/>
    <w:rsid w:val="00BE38D0"/>
    <w:rsid w:val="00BE3C55"/>
    <w:rsid w:val="00BE3D5C"/>
    <w:rsid w:val="00BE3DAE"/>
    <w:rsid w:val="00BE3E29"/>
    <w:rsid w:val="00BE41F6"/>
    <w:rsid w:val="00BE45E4"/>
    <w:rsid w:val="00BE48E7"/>
    <w:rsid w:val="00BE4B09"/>
    <w:rsid w:val="00BE4B98"/>
    <w:rsid w:val="00BE4F1E"/>
    <w:rsid w:val="00BE4FD7"/>
    <w:rsid w:val="00BE501B"/>
    <w:rsid w:val="00BE50CD"/>
    <w:rsid w:val="00BE5484"/>
    <w:rsid w:val="00BE54A2"/>
    <w:rsid w:val="00BE65B6"/>
    <w:rsid w:val="00BE6A9D"/>
    <w:rsid w:val="00BE6E6D"/>
    <w:rsid w:val="00BE7096"/>
    <w:rsid w:val="00BE72C1"/>
    <w:rsid w:val="00BE7362"/>
    <w:rsid w:val="00BE73EA"/>
    <w:rsid w:val="00BE767D"/>
    <w:rsid w:val="00BF0B66"/>
    <w:rsid w:val="00BF11AF"/>
    <w:rsid w:val="00BF1279"/>
    <w:rsid w:val="00BF1454"/>
    <w:rsid w:val="00BF1872"/>
    <w:rsid w:val="00BF1C98"/>
    <w:rsid w:val="00BF1CD0"/>
    <w:rsid w:val="00BF1EFF"/>
    <w:rsid w:val="00BF227F"/>
    <w:rsid w:val="00BF292E"/>
    <w:rsid w:val="00BF2BDA"/>
    <w:rsid w:val="00BF311A"/>
    <w:rsid w:val="00BF331F"/>
    <w:rsid w:val="00BF349C"/>
    <w:rsid w:val="00BF39C3"/>
    <w:rsid w:val="00BF3C74"/>
    <w:rsid w:val="00BF3CC3"/>
    <w:rsid w:val="00BF3DA3"/>
    <w:rsid w:val="00BF434F"/>
    <w:rsid w:val="00BF4543"/>
    <w:rsid w:val="00BF46FD"/>
    <w:rsid w:val="00BF49C5"/>
    <w:rsid w:val="00BF54D3"/>
    <w:rsid w:val="00BF56E7"/>
    <w:rsid w:val="00BF5778"/>
    <w:rsid w:val="00BF57F5"/>
    <w:rsid w:val="00BF59B7"/>
    <w:rsid w:val="00BF5AC1"/>
    <w:rsid w:val="00BF618E"/>
    <w:rsid w:val="00BF6397"/>
    <w:rsid w:val="00BF64DC"/>
    <w:rsid w:val="00BF6628"/>
    <w:rsid w:val="00BF6815"/>
    <w:rsid w:val="00BF68F0"/>
    <w:rsid w:val="00BF692A"/>
    <w:rsid w:val="00BF6E20"/>
    <w:rsid w:val="00BF706C"/>
    <w:rsid w:val="00BF716E"/>
    <w:rsid w:val="00BF71CD"/>
    <w:rsid w:val="00BF783B"/>
    <w:rsid w:val="00BF7CE9"/>
    <w:rsid w:val="00BF7F7E"/>
    <w:rsid w:val="00C00213"/>
    <w:rsid w:val="00C00232"/>
    <w:rsid w:val="00C002A0"/>
    <w:rsid w:val="00C002B3"/>
    <w:rsid w:val="00C0033C"/>
    <w:rsid w:val="00C005E7"/>
    <w:rsid w:val="00C0061C"/>
    <w:rsid w:val="00C007F5"/>
    <w:rsid w:val="00C00983"/>
    <w:rsid w:val="00C009D8"/>
    <w:rsid w:val="00C00A7E"/>
    <w:rsid w:val="00C00B4F"/>
    <w:rsid w:val="00C00FEF"/>
    <w:rsid w:val="00C01104"/>
    <w:rsid w:val="00C013BB"/>
    <w:rsid w:val="00C014B2"/>
    <w:rsid w:val="00C016CA"/>
    <w:rsid w:val="00C01948"/>
    <w:rsid w:val="00C01A66"/>
    <w:rsid w:val="00C01D8F"/>
    <w:rsid w:val="00C022A1"/>
    <w:rsid w:val="00C02429"/>
    <w:rsid w:val="00C024C2"/>
    <w:rsid w:val="00C02A4D"/>
    <w:rsid w:val="00C02CB9"/>
    <w:rsid w:val="00C02CE3"/>
    <w:rsid w:val="00C02E87"/>
    <w:rsid w:val="00C03180"/>
    <w:rsid w:val="00C03181"/>
    <w:rsid w:val="00C03272"/>
    <w:rsid w:val="00C034A5"/>
    <w:rsid w:val="00C034AB"/>
    <w:rsid w:val="00C03674"/>
    <w:rsid w:val="00C0372B"/>
    <w:rsid w:val="00C04008"/>
    <w:rsid w:val="00C0403E"/>
    <w:rsid w:val="00C04133"/>
    <w:rsid w:val="00C043B6"/>
    <w:rsid w:val="00C04698"/>
    <w:rsid w:val="00C046F9"/>
    <w:rsid w:val="00C04C49"/>
    <w:rsid w:val="00C04F78"/>
    <w:rsid w:val="00C05111"/>
    <w:rsid w:val="00C05834"/>
    <w:rsid w:val="00C05A3E"/>
    <w:rsid w:val="00C06520"/>
    <w:rsid w:val="00C06601"/>
    <w:rsid w:val="00C06E55"/>
    <w:rsid w:val="00C07116"/>
    <w:rsid w:val="00C07181"/>
    <w:rsid w:val="00C0740C"/>
    <w:rsid w:val="00C0774A"/>
    <w:rsid w:val="00C07DAB"/>
    <w:rsid w:val="00C10032"/>
    <w:rsid w:val="00C1023B"/>
    <w:rsid w:val="00C1024D"/>
    <w:rsid w:val="00C103E1"/>
    <w:rsid w:val="00C10856"/>
    <w:rsid w:val="00C10878"/>
    <w:rsid w:val="00C10C3C"/>
    <w:rsid w:val="00C1162D"/>
    <w:rsid w:val="00C116FC"/>
    <w:rsid w:val="00C119B4"/>
    <w:rsid w:val="00C11C11"/>
    <w:rsid w:val="00C11D15"/>
    <w:rsid w:val="00C12063"/>
    <w:rsid w:val="00C120B8"/>
    <w:rsid w:val="00C122FE"/>
    <w:rsid w:val="00C12617"/>
    <w:rsid w:val="00C12935"/>
    <w:rsid w:val="00C12B31"/>
    <w:rsid w:val="00C12C19"/>
    <w:rsid w:val="00C12E07"/>
    <w:rsid w:val="00C13261"/>
    <w:rsid w:val="00C13319"/>
    <w:rsid w:val="00C133E0"/>
    <w:rsid w:val="00C13458"/>
    <w:rsid w:val="00C134D2"/>
    <w:rsid w:val="00C13C56"/>
    <w:rsid w:val="00C13DB7"/>
    <w:rsid w:val="00C14137"/>
    <w:rsid w:val="00C143ED"/>
    <w:rsid w:val="00C14481"/>
    <w:rsid w:val="00C14491"/>
    <w:rsid w:val="00C145C0"/>
    <w:rsid w:val="00C148B4"/>
    <w:rsid w:val="00C148D3"/>
    <w:rsid w:val="00C1498C"/>
    <w:rsid w:val="00C14D58"/>
    <w:rsid w:val="00C14FE1"/>
    <w:rsid w:val="00C1501D"/>
    <w:rsid w:val="00C15638"/>
    <w:rsid w:val="00C159F5"/>
    <w:rsid w:val="00C15BDF"/>
    <w:rsid w:val="00C15BFC"/>
    <w:rsid w:val="00C15D20"/>
    <w:rsid w:val="00C16083"/>
    <w:rsid w:val="00C16612"/>
    <w:rsid w:val="00C16D7D"/>
    <w:rsid w:val="00C16FB5"/>
    <w:rsid w:val="00C175DA"/>
    <w:rsid w:val="00C176B6"/>
    <w:rsid w:val="00C17E02"/>
    <w:rsid w:val="00C17F34"/>
    <w:rsid w:val="00C202F0"/>
    <w:rsid w:val="00C204AB"/>
    <w:rsid w:val="00C205A6"/>
    <w:rsid w:val="00C20A05"/>
    <w:rsid w:val="00C20F0F"/>
    <w:rsid w:val="00C20FD8"/>
    <w:rsid w:val="00C2149E"/>
    <w:rsid w:val="00C2159A"/>
    <w:rsid w:val="00C21C8F"/>
    <w:rsid w:val="00C21D5C"/>
    <w:rsid w:val="00C2224A"/>
    <w:rsid w:val="00C2241A"/>
    <w:rsid w:val="00C226FF"/>
    <w:rsid w:val="00C22939"/>
    <w:rsid w:val="00C22A5D"/>
    <w:rsid w:val="00C22C2E"/>
    <w:rsid w:val="00C22F07"/>
    <w:rsid w:val="00C23974"/>
    <w:rsid w:val="00C23C0B"/>
    <w:rsid w:val="00C23C11"/>
    <w:rsid w:val="00C23C64"/>
    <w:rsid w:val="00C23EA7"/>
    <w:rsid w:val="00C244A1"/>
    <w:rsid w:val="00C24E30"/>
    <w:rsid w:val="00C24F09"/>
    <w:rsid w:val="00C25284"/>
    <w:rsid w:val="00C25532"/>
    <w:rsid w:val="00C2559B"/>
    <w:rsid w:val="00C25A8C"/>
    <w:rsid w:val="00C25BD0"/>
    <w:rsid w:val="00C260C5"/>
    <w:rsid w:val="00C261E9"/>
    <w:rsid w:val="00C2662B"/>
    <w:rsid w:val="00C266F6"/>
    <w:rsid w:val="00C26BDA"/>
    <w:rsid w:val="00C275F7"/>
    <w:rsid w:val="00C27621"/>
    <w:rsid w:val="00C276A4"/>
    <w:rsid w:val="00C27F28"/>
    <w:rsid w:val="00C27FDA"/>
    <w:rsid w:val="00C300B0"/>
    <w:rsid w:val="00C3019A"/>
    <w:rsid w:val="00C301F1"/>
    <w:rsid w:val="00C302A2"/>
    <w:rsid w:val="00C306CD"/>
    <w:rsid w:val="00C30748"/>
    <w:rsid w:val="00C30897"/>
    <w:rsid w:val="00C308BF"/>
    <w:rsid w:val="00C308DC"/>
    <w:rsid w:val="00C30BAD"/>
    <w:rsid w:val="00C30D32"/>
    <w:rsid w:val="00C31032"/>
    <w:rsid w:val="00C3124C"/>
    <w:rsid w:val="00C314AA"/>
    <w:rsid w:val="00C31561"/>
    <w:rsid w:val="00C318E6"/>
    <w:rsid w:val="00C31961"/>
    <w:rsid w:val="00C31E37"/>
    <w:rsid w:val="00C325C5"/>
    <w:rsid w:val="00C327B7"/>
    <w:rsid w:val="00C327BB"/>
    <w:rsid w:val="00C3294C"/>
    <w:rsid w:val="00C32B62"/>
    <w:rsid w:val="00C32FDB"/>
    <w:rsid w:val="00C32FFA"/>
    <w:rsid w:val="00C3321F"/>
    <w:rsid w:val="00C33290"/>
    <w:rsid w:val="00C337B2"/>
    <w:rsid w:val="00C33814"/>
    <w:rsid w:val="00C339D7"/>
    <w:rsid w:val="00C33AA3"/>
    <w:rsid w:val="00C33C50"/>
    <w:rsid w:val="00C3403D"/>
    <w:rsid w:val="00C341D6"/>
    <w:rsid w:val="00C34510"/>
    <w:rsid w:val="00C346E7"/>
    <w:rsid w:val="00C3490C"/>
    <w:rsid w:val="00C34A08"/>
    <w:rsid w:val="00C3514A"/>
    <w:rsid w:val="00C35156"/>
    <w:rsid w:val="00C3542F"/>
    <w:rsid w:val="00C35497"/>
    <w:rsid w:val="00C356FC"/>
    <w:rsid w:val="00C35870"/>
    <w:rsid w:val="00C35879"/>
    <w:rsid w:val="00C35A1E"/>
    <w:rsid w:val="00C363EC"/>
    <w:rsid w:val="00C3649D"/>
    <w:rsid w:val="00C36573"/>
    <w:rsid w:val="00C36806"/>
    <w:rsid w:val="00C369D9"/>
    <w:rsid w:val="00C369DB"/>
    <w:rsid w:val="00C36FDB"/>
    <w:rsid w:val="00C37024"/>
    <w:rsid w:val="00C371A5"/>
    <w:rsid w:val="00C371CA"/>
    <w:rsid w:val="00C37300"/>
    <w:rsid w:val="00C37539"/>
    <w:rsid w:val="00C377F7"/>
    <w:rsid w:val="00C3791F"/>
    <w:rsid w:val="00C39C16"/>
    <w:rsid w:val="00C404F8"/>
    <w:rsid w:val="00C4079A"/>
    <w:rsid w:val="00C40825"/>
    <w:rsid w:val="00C408B2"/>
    <w:rsid w:val="00C40D78"/>
    <w:rsid w:val="00C40EF5"/>
    <w:rsid w:val="00C40EF8"/>
    <w:rsid w:val="00C410E0"/>
    <w:rsid w:val="00C41111"/>
    <w:rsid w:val="00C41312"/>
    <w:rsid w:val="00C41782"/>
    <w:rsid w:val="00C41810"/>
    <w:rsid w:val="00C418F6"/>
    <w:rsid w:val="00C41913"/>
    <w:rsid w:val="00C41DE0"/>
    <w:rsid w:val="00C41F13"/>
    <w:rsid w:val="00C41FCB"/>
    <w:rsid w:val="00C420EC"/>
    <w:rsid w:val="00C42127"/>
    <w:rsid w:val="00C421A4"/>
    <w:rsid w:val="00C4227B"/>
    <w:rsid w:val="00C436C3"/>
    <w:rsid w:val="00C436F6"/>
    <w:rsid w:val="00C43821"/>
    <w:rsid w:val="00C43884"/>
    <w:rsid w:val="00C43960"/>
    <w:rsid w:val="00C43D23"/>
    <w:rsid w:val="00C44004"/>
    <w:rsid w:val="00C443D0"/>
    <w:rsid w:val="00C44644"/>
    <w:rsid w:val="00C4469E"/>
    <w:rsid w:val="00C4472B"/>
    <w:rsid w:val="00C44866"/>
    <w:rsid w:val="00C44B84"/>
    <w:rsid w:val="00C44C1F"/>
    <w:rsid w:val="00C44EF9"/>
    <w:rsid w:val="00C45023"/>
    <w:rsid w:val="00C451ED"/>
    <w:rsid w:val="00C45313"/>
    <w:rsid w:val="00C4534D"/>
    <w:rsid w:val="00C458E0"/>
    <w:rsid w:val="00C45913"/>
    <w:rsid w:val="00C4595B"/>
    <w:rsid w:val="00C45A10"/>
    <w:rsid w:val="00C45F5F"/>
    <w:rsid w:val="00C462D0"/>
    <w:rsid w:val="00C464F2"/>
    <w:rsid w:val="00C465DB"/>
    <w:rsid w:val="00C4666E"/>
    <w:rsid w:val="00C46DB3"/>
    <w:rsid w:val="00C46E14"/>
    <w:rsid w:val="00C46F78"/>
    <w:rsid w:val="00C470C6"/>
    <w:rsid w:val="00C47461"/>
    <w:rsid w:val="00C474F3"/>
    <w:rsid w:val="00C475F1"/>
    <w:rsid w:val="00C47AA8"/>
    <w:rsid w:val="00C47FF1"/>
    <w:rsid w:val="00C5013D"/>
    <w:rsid w:val="00C5032F"/>
    <w:rsid w:val="00C5033F"/>
    <w:rsid w:val="00C5043C"/>
    <w:rsid w:val="00C504EC"/>
    <w:rsid w:val="00C50A1F"/>
    <w:rsid w:val="00C50C04"/>
    <w:rsid w:val="00C50E19"/>
    <w:rsid w:val="00C5102B"/>
    <w:rsid w:val="00C51060"/>
    <w:rsid w:val="00C513DA"/>
    <w:rsid w:val="00C51504"/>
    <w:rsid w:val="00C51559"/>
    <w:rsid w:val="00C515D4"/>
    <w:rsid w:val="00C51742"/>
    <w:rsid w:val="00C5175F"/>
    <w:rsid w:val="00C51EF6"/>
    <w:rsid w:val="00C52019"/>
    <w:rsid w:val="00C5211F"/>
    <w:rsid w:val="00C5265D"/>
    <w:rsid w:val="00C52A44"/>
    <w:rsid w:val="00C52B53"/>
    <w:rsid w:val="00C52C91"/>
    <w:rsid w:val="00C5304F"/>
    <w:rsid w:val="00C530F1"/>
    <w:rsid w:val="00C532B1"/>
    <w:rsid w:val="00C5339C"/>
    <w:rsid w:val="00C53523"/>
    <w:rsid w:val="00C5385C"/>
    <w:rsid w:val="00C53C53"/>
    <w:rsid w:val="00C53E34"/>
    <w:rsid w:val="00C53ED8"/>
    <w:rsid w:val="00C54763"/>
    <w:rsid w:val="00C547BF"/>
    <w:rsid w:val="00C5494E"/>
    <w:rsid w:val="00C54B5C"/>
    <w:rsid w:val="00C54B77"/>
    <w:rsid w:val="00C54F56"/>
    <w:rsid w:val="00C5517E"/>
    <w:rsid w:val="00C558FA"/>
    <w:rsid w:val="00C55A38"/>
    <w:rsid w:val="00C55E8B"/>
    <w:rsid w:val="00C55F05"/>
    <w:rsid w:val="00C55F6F"/>
    <w:rsid w:val="00C5618F"/>
    <w:rsid w:val="00C561E4"/>
    <w:rsid w:val="00C566AC"/>
    <w:rsid w:val="00C566E0"/>
    <w:rsid w:val="00C56889"/>
    <w:rsid w:val="00C56E03"/>
    <w:rsid w:val="00C57137"/>
    <w:rsid w:val="00C571BC"/>
    <w:rsid w:val="00C572E5"/>
    <w:rsid w:val="00C5768A"/>
    <w:rsid w:val="00C57935"/>
    <w:rsid w:val="00C57AF8"/>
    <w:rsid w:val="00C57ED4"/>
    <w:rsid w:val="00C6078A"/>
    <w:rsid w:val="00C60899"/>
    <w:rsid w:val="00C60A47"/>
    <w:rsid w:val="00C60B7B"/>
    <w:rsid w:val="00C60E53"/>
    <w:rsid w:val="00C61067"/>
    <w:rsid w:val="00C6125A"/>
    <w:rsid w:val="00C614A8"/>
    <w:rsid w:val="00C615D0"/>
    <w:rsid w:val="00C61835"/>
    <w:rsid w:val="00C619C7"/>
    <w:rsid w:val="00C61B83"/>
    <w:rsid w:val="00C61C2D"/>
    <w:rsid w:val="00C61FB8"/>
    <w:rsid w:val="00C621E3"/>
    <w:rsid w:val="00C626F6"/>
    <w:rsid w:val="00C62A0C"/>
    <w:rsid w:val="00C62A4F"/>
    <w:rsid w:val="00C62AF1"/>
    <w:rsid w:val="00C62E2D"/>
    <w:rsid w:val="00C63212"/>
    <w:rsid w:val="00C6336D"/>
    <w:rsid w:val="00C636DE"/>
    <w:rsid w:val="00C63885"/>
    <w:rsid w:val="00C638DF"/>
    <w:rsid w:val="00C63CFA"/>
    <w:rsid w:val="00C64067"/>
    <w:rsid w:val="00C6406A"/>
    <w:rsid w:val="00C64089"/>
    <w:rsid w:val="00C6415B"/>
    <w:rsid w:val="00C64205"/>
    <w:rsid w:val="00C645A4"/>
    <w:rsid w:val="00C64BD0"/>
    <w:rsid w:val="00C64D19"/>
    <w:rsid w:val="00C64DAD"/>
    <w:rsid w:val="00C6530C"/>
    <w:rsid w:val="00C655AB"/>
    <w:rsid w:val="00C6578A"/>
    <w:rsid w:val="00C65B4C"/>
    <w:rsid w:val="00C65CBB"/>
    <w:rsid w:val="00C65F49"/>
    <w:rsid w:val="00C660AA"/>
    <w:rsid w:val="00C6615D"/>
    <w:rsid w:val="00C661AE"/>
    <w:rsid w:val="00C661F0"/>
    <w:rsid w:val="00C6624C"/>
    <w:rsid w:val="00C66921"/>
    <w:rsid w:val="00C66961"/>
    <w:rsid w:val="00C6734E"/>
    <w:rsid w:val="00C674B7"/>
    <w:rsid w:val="00C679A3"/>
    <w:rsid w:val="00C67A81"/>
    <w:rsid w:val="00C701A0"/>
    <w:rsid w:val="00C701FB"/>
    <w:rsid w:val="00C702BA"/>
    <w:rsid w:val="00C703BB"/>
    <w:rsid w:val="00C7077B"/>
    <w:rsid w:val="00C708C3"/>
    <w:rsid w:val="00C709FF"/>
    <w:rsid w:val="00C70A8B"/>
    <w:rsid w:val="00C70C6C"/>
    <w:rsid w:val="00C70EEC"/>
    <w:rsid w:val="00C71774"/>
    <w:rsid w:val="00C71B4D"/>
    <w:rsid w:val="00C71C84"/>
    <w:rsid w:val="00C71D87"/>
    <w:rsid w:val="00C721A9"/>
    <w:rsid w:val="00C72AD9"/>
    <w:rsid w:val="00C72DFC"/>
    <w:rsid w:val="00C73175"/>
    <w:rsid w:val="00C73536"/>
    <w:rsid w:val="00C735AF"/>
    <w:rsid w:val="00C7380A"/>
    <w:rsid w:val="00C739C1"/>
    <w:rsid w:val="00C73D4D"/>
    <w:rsid w:val="00C74154"/>
    <w:rsid w:val="00C74217"/>
    <w:rsid w:val="00C74618"/>
    <w:rsid w:val="00C74710"/>
    <w:rsid w:val="00C749EA"/>
    <w:rsid w:val="00C74DED"/>
    <w:rsid w:val="00C75047"/>
    <w:rsid w:val="00C75054"/>
    <w:rsid w:val="00C75403"/>
    <w:rsid w:val="00C7592A"/>
    <w:rsid w:val="00C75D43"/>
    <w:rsid w:val="00C7600C"/>
    <w:rsid w:val="00C7633F"/>
    <w:rsid w:val="00C76773"/>
    <w:rsid w:val="00C768DB"/>
    <w:rsid w:val="00C769F9"/>
    <w:rsid w:val="00C76A18"/>
    <w:rsid w:val="00C76AEB"/>
    <w:rsid w:val="00C76E12"/>
    <w:rsid w:val="00C76E97"/>
    <w:rsid w:val="00C774D3"/>
    <w:rsid w:val="00C77564"/>
    <w:rsid w:val="00C775FB"/>
    <w:rsid w:val="00C77610"/>
    <w:rsid w:val="00C77664"/>
    <w:rsid w:val="00C7771A"/>
    <w:rsid w:val="00C7771F"/>
    <w:rsid w:val="00C779CF"/>
    <w:rsid w:val="00C77E1C"/>
    <w:rsid w:val="00C7BF60"/>
    <w:rsid w:val="00C8005A"/>
    <w:rsid w:val="00C800BB"/>
    <w:rsid w:val="00C80552"/>
    <w:rsid w:val="00C80823"/>
    <w:rsid w:val="00C80848"/>
    <w:rsid w:val="00C80B5C"/>
    <w:rsid w:val="00C80D3D"/>
    <w:rsid w:val="00C80D9E"/>
    <w:rsid w:val="00C81706"/>
    <w:rsid w:val="00C81B68"/>
    <w:rsid w:val="00C81FB7"/>
    <w:rsid w:val="00C821E7"/>
    <w:rsid w:val="00C821E8"/>
    <w:rsid w:val="00C82213"/>
    <w:rsid w:val="00C8256D"/>
    <w:rsid w:val="00C82DD6"/>
    <w:rsid w:val="00C830BD"/>
    <w:rsid w:val="00C831B0"/>
    <w:rsid w:val="00C837CE"/>
    <w:rsid w:val="00C83835"/>
    <w:rsid w:val="00C838D7"/>
    <w:rsid w:val="00C839E3"/>
    <w:rsid w:val="00C83EEA"/>
    <w:rsid w:val="00C84918"/>
    <w:rsid w:val="00C84EFF"/>
    <w:rsid w:val="00C85042"/>
    <w:rsid w:val="00C852EE"/>
    <w:rsid w:val="00C85432"/>
    <w:rsid w:val="00C856F3"/>
    <w:rsid w:val="00C8591D"/>
    <w:rsid w:val="00C85986"/>
    <w:rsid w:val="00C8598B"/>
    <w:rsid w:val="00C85CC9"/>
    <w:rsid w:val="00C85D7F"/>
    <w:rsid w:val="00C860EA"/>
    <w:rsid w:val="00C86169"/>
    <w:rsid w:val="00C8619E"/>
    <w:rsid w:val="00C861FD"/>
    <w:rsid w:val="00C8642E"/>
    <w:rsid w:val="00C86498"/>
    <w:rsid w:val="00C865F2"/>
    <w:rsid w:val="00C86DFA"/>
    <w:rsid w:val="00C870D8"/>
    <w:rsid w:val="00C876FD"/>
    <w:rsid w:val="00C87772"/>
    <w:rsid w:val="00C8794D"/>
    <w:rsid w:val="00C90091"/>
    <w:rsid w:val="00C904B6"/>
    <w:rsid w:val="00C90824"/>
    <w:rsid w:val="00C90CA0"/>
    <w:rsid w:val="00C91626"/>
    <w:rsid w:val="00C91A45"/>
    <w:rsid w:val="00C91C33"/>
    <w:rsid w:val="00C91F86"/>
    <w:rsid w:val="00C9229A"/>
    <w:rsid w:val="00C9238E"/>
    <w:rsid w:val="00C92704"/>
    <w:rsid w:val="00C929E1"/>
    <w:rsid w:val="00C92DFA"/>
    <w:rsid w:val="00C92EC3"/>
    <w:rsid w:val="00C92EF1"/>
    <w:rsid w:val="00C934A5"/>
    <w:rsid w:val="00C9365C"/>
    <w:rsid w:val="00C9373E"/>
    <w:rsid w:val="00C937D4"/>
    <w:rsid w:val="00C93B23"/>
    <w:rsid w:val="00C93F4C"/>
    <w:rsid w:val="00C94071"/>
    <w:rsid w:val="00C9416A"/>
    <w:rsid w:val="00C94183"/>
    <w:rsid w:val="00C9420D"/>
    <w:rsid w:val="00C9447C"/>
    <w:rsid w:val="00C94544"/>
    <w:rsid w:val="00C946A3"/>
    <w:rsid w:val="00C94E2F"/>
    <w:rsid w:val="00C9514F"/>
    <w:rsid w:val="00C95496"/>
    <w:rsid w:val="00C95599"/>
    <w:rsid w:val="00C955B9"/>
    <w:rsid w:val="00C957F8"/>
    <w:rsid w:val="00C9591E"/>
    <w:rsid w:val="00C959F9"/>
    <w:rsid w:val="00C95E1C"/>
    <w:rsid w:val="00C95E31"/>
    <w:rsid w:val="00C96317"/>
    <w:rsid w:val="00C963FD"/>
    <w:rsid w:val="00C9685D"/>
    <w:rsid w:val="00C96AAA"/>
    <w:rsid w:val="00C96E88"/>
    <w:rsid w:val="00C96F7B"/>
    <w:rsid w:val="00C9722D"/>
    <w:rsid w:val="00C97A47"/>
    <w:rsid w:val="00C97CB6"/>
    <w:rsid w:val="00C97D60"/>
    <w:rsid w:val="00CA0022"/>
    <w:rsid w:val="00CA0215"/>
    <w:rsid w:val="00CA02E1"/>
    <w:rsid w:val="00CA0514"/>
    <w:rsid w:val="00CA05DF"/>
    <w:rsid w:val="00CA095B"/>
    <w:rsid w:val="00CA10E3"/>
    <w:rsid w:val="00CA12F5"/>
    <w:rsid w:val="00CA184D"/>
    <w:rsid w:val="00CA187D"/>
    <w:rsid w:val="00CA1956"/>
    <w:rsid w:val="00CA1BF7"/>
    <w:rsid w:val="00CA1DF5"/>
    <w:rsid w:val="00CA1E94"/>
    <w:rsid w:val="00CA206C"/>
    <w:rsid w:val="00CA2229"/>
    <w:rsid w:val="00CA2303"/>
    <w:rsid w:val="00CA2718"/>
    <w:rsid w:val="00CA2960"/>
    <w:rsid w:val="00CA2EF1"/>
    <w:rsid w:val="00CA2F7D"/>
    <w:rsid w:val="00CA3509"/>
    <w:rsid w:val="00CA3ABF"/>
    <w:rsid w:val="00CA3B0F"/>
    <w:rsid w:val="00CA3BA9"/>
    <w:rsid w:val="00CA3BE7"/>
    <w:rsid w:val="00CA3E82"/>
    <w:rsid w:val="00CA42B9"/>
    <w:rsid w:val="00CA47DF"/>
    <w:rsid w:val="00CA4CC6"/>
    <w:rsid w:val="00CA547C"/>
    <w:rsid w:val="00CA55B7"/>
    <w:rsid w:val="00CA57D6"/>
    <w:rsid w:val="00CA5B4D"/>
    <w:rsid w:val="00CA6411"/>
    <w:rsid w:val="00CA65E1"/>
    <w:rsid w:val="00CA6707"/>
    <w:rsid w:val="00CA68D3"/>
    <w:rsid w:val="00CA6994"/>
    <w:rsid w:val="00CA69DF"/>
    <w:rsid w:val="00CA6CBF"/>
    <w:rsid w:val="00CA71B0"/>
    <w:rsid w:val="00CA72C6"/>
    <w:rsid w:val="00CA7499"/>
    <w:rsid w:val="00CA755A"/>
    <w:rsid w:val="00CA75BE"/>
    <w:rsid w:val="00CA76B3"/>
    <w:rsid w:val="00CA7DD8"/>
    <w:rsid w:val="00CB03EE"/>
    <w:rsid w:val="00CB0706"/>
    <w:rsid w:val="00CB08EF"/>
    <w:rsid w:val="00CB0A51"/>
    <w:rsid w:val="00CB0C0B"/>
    <w:rsid w:val="00CB0C73"/>
    <w:rsid w:val="00CB0C98"/>
    <w:rsid w:val="00CB100A"/>
    <w:rsid w:val="00CB1158"/>
    <w:rsid w:val="00CB12B7"/>
    <w:rsid w:val="00CB14D0"/>
    <w:rsid w:val="00CB15A0"/>
    <w:rsid w:val="00CB1854"/>
    <w:rsid w:val="00CB1939"/>
    <w:rsid w:val="00CB1CC7"/>
    <w:rsid w:val="00CB1F19"/>
    <w:rsid w:val="00CB20E7"/>
    <w:rsid w:val="00CB23A4"/>
    <w:rsid w:val="00CB2685"/>
    <w:rsid w:val="00CB28D4"/>
    <w:rsid w:val="00CB2D11"/>
    <w:rsid w:val="00CB2D21"/>
    <w:rsid w:val="00CB2DA2"/>
    <w:rsid w:val="00CB2F24"/>
    <w:rsid w:val="00CB3831"/>
    <w:rsid w:val="00CB3A09"/>
    <w:rsid w:val="00CB3C34"/>
    <w:rsid w:val="00CB3D4A"/>
    <w:rsid w:val="00CB448D"/>
    <w:rsid w:val="00CB4569"/>
    <w:rsid w:val="00CB4611"/>
    <w:rsid w:val="00CB462B"/>
    <w:rsid w:val="00CB5093"/>
    <w:rsid w:val="00CB552B"/>
    <w:rsid w:val="00CB5576"/>
    <w:rsid w:val="00CB55A9"/>
    <w:rsid w:val="00CB55CF"/>
    <w:rsid w:val="00CB581B"/>
    <w:rsid w:val="00CB5897"/>
    <w:rsid w:val="00CB58DF"/>
    <w:rsid w:val="00CB5A0E"/>
    <w:rsid w:val="00CB5A4B"/>
    <w:rsid w:val="00CB5C25"/>
    <w:rsid w:val="00CB5CB1"/>
    <w:rsid w:val="00CB5E3E"/>
    <w:rsid w:val="00CB622E"/>
    <w:rsid w:val="00CB63E0"/>
    <w:rsid w:val="00CB6547"/>
    <w:rsid w:val="00CB66BD"/>
    <w:rsid w:val="00CB6994"/>
    <w:rsid w:val="00CB6D5F"/>
    <w:rsid w:val="00CB6F0D"/>
    <w:rsid w:val="00CB7844"/>
    <w:rsid w:val="00CB7975"/>
    <w:rsid w:val="00CB7DE9"/>
    <w:rsid w:val="00CB7F83"/>
    <w:rsid w:val="00CC010C"/>
    <w:rsid w:val="00CC03AA"/>
    <w:rsid w:val="00CC0464"/>
    <w:rsid w:val="00CC08B8"/>
    <w:rsid w:val="00CC08C3"/>
    <w:rsid w:val="00CC0BA7"/>
    <w:rsid w:val="00CC114E"/>
    <w:rsid w:val="00CC14A9"/>
    <w:rsid w:val="00CC151E"/>
    <w:rsid w:val="00CC197E"/>
    <w:rsid w:val="00CC19F2"/>
    <w:rsid w:val="00CC1A57"/>
    <w:rsid w:val="00CC1BF0"/>
    <w:rsid w:val="00CC1CE5"/>
    <w:rsid w:val="00CC20DB"/>
    <w:rsid w:val="00CC2A7A"/>
    <w:rsid w:val="00CC2C37"/>
    <w:rsid w:val="00CC2CF9"/>
    <w:rsid w:val="00CC2E9E"/>
    <w:rsid w:val="00CC2FDE"/>
    <w:rsid w:val="00CC3634"/>
    <w:rsid w:val="00CC3790"/>
    <w:rsid w:val="00CC37F7"/>
    <w:rsid w:val="00CC3C10"/>
    <w:rsid w:val="00CC3C47"/>
    <w:rsid w:val="00CC3DAE"/>
    <w:rsid w:val="00CC3E50"/>
    <w:rsid w:val="00CC4403"/>
    <w:rsid w:val="00CC452A"/>
    <w:rsid w:val="00CC4AC2"/>
    <w:rsid w:val="00CC4E4B"/>
    <w:rsid w:val="00CC4E6B"/>
    <w:rsid w:val="00CC509B"/>
    <w:rsid w:val="00CC53D4"/>
    <w:rsid w:val="00CC5639"/>
    <w:rsid w:val="00CC5823"/>
    <w:rsid w:val="00CC59D4"/>
    <w:rsid w:val="00CC5C0C"/>
    <w:rsid w:val="00CC5C19"/>
    <w:rsid w:val="00CC6047"/>
    <w:rsid w:val="00CC6410"/>
    <w:rsid w:val="00CC6485"/>
    <w:rsid w:val="00CC64D3"/>
    <w:rsid w:val="00CC654D"/>
    <w:rsid w:val="00CC6A0D"/>
    <w:rsid w:val="00CC6A5B"/>
    <w:rsid w:val="00CC6CD1"/>
    <w:rsid w:val="00CC6CF2"/>
    <w:rsid w:val="00CC6D8D"/>
    <w:rsid w:val="00CC6F22"/>
    <w:rsid w:val="00CC7235"/>
    <w:rsid w:val="00CC72C3"/>
    <w:rsid w:val="00CC7D2D"/>
    <w:rsid w:val="00CC7D33"/>
    <w:rsid w:val="00CC7D49"/>
    <w:rsid w:val="00CC7DA5"/>
    <w:rsid w:val="00CD03AC"/>
    <w:rsid w:val="00CD04CD"/>
    <w:rsid w:val="00CD06DB"/>
    <w:rsid w:val="00CD0762"/>
    <w:rsid w:val="00CD08B3"/>
    <w:rsid w:val="00CD0F50"/>
    <w:rsid w:val="00CD0F8E"/>
    <w:rsid w:val="00CD1068"/>
    <w:rsid w:val="00CD1073"/>
    <w:rsid w:val="00CD1A08"/>
    <w:rsid w:val="00CD1E16"/>
    <w:rsid w:val="00CD1F62"/>
    <w:rsid w:val="00CD209B"/>
    <w:rsid w:val="00CD20D1"/>
    <w:rsid w:val="00CD252A"/>
    <w:rsid w:val="00CD28D5"/>
    <w:rsid w:val="00CD2B83"/>
    <w:rsid w:val="00CD2D3C"/>
    <w:rsid w:val="00CD2D54"/>
    <w:rsid w:val="00CD2E5F"/>
    <w:rsid w:val="00CD30C0"/>
    <w:rsid w:val="00CD3164"/>
    <w:rsid w:val="00CD3188"/>
    <w:rsid w:val="00CD3354"/>
    <w:rsid w:val="00CD363F"/>
    <w:rsid w:val="00CD37D0"/>
    <w:rsid w:val="00CD37D6"/>
    <w:rsid w:val="00CD41F4"/>
    <w:rsid w:val="00CD4227"/>
    <w:rsid w:val="00CD4606"/>
    <w:rsid w:val="00CD475A"/>
    <w:rsid w:val="00CD483E"/>
    <w:rsid w:val="00CD48CA"/>
    <w:rsid w:val="00CD4C3E"/>
    <w:rsid w:val="00CD509D"/>
    <w:rsid w:val="00CD51D6"/>
    <w:rsid w:val="00CD5575"/>
    <w:rsid w:val="00CD55F5"/>
    <w:rsid w:val="00CD5702"/>
    <w:rsid w:val="00CD61FB"/>
    <w:rsid w:val="00CD6298"/>
    <w:rsid w:val="00CD6471"/>
    <w:rsid w:val="00CD663C"/>
    <w:rsid w:val="00CD67D2"/>
    <w:rsid w:val="00CD690D"/>
    <w:rsid w:val="00CD691E"/>
    <w:rsid w:val="00CD6B33"/>
    <w:rsid w:val="00CD6B45"/>
    <w:rsid w:val="00CD6BE0"/>
    <w:rsid w:val="00CD6CA4"/>
    <w:rsid w:val="00CD6CD0"/>
    <w:rsid w:val="00CD6DC5"/>
    <w:rsid w:val="00CD6F52"/>
    <w:rsid w:val="00CD7224"/>
    <w:rsid w:val="00CD7298"/>
    <w:rsid w:val="00CD75EE"/>
    <w:rsid w:val="00CD769B"/>
    <w:rsid w:val="00CD7712"/>
    <w:rsid w:val="00CD7BBA"/>
    <w:rsid w:val="00CD7CB0"/>
    <w:rsid w:val="00CD7D28"/>
    <w:rsid w:val="00CD7FD6"/>
    <w:rsid w:val="00CE0C4B"/>
    <w:rsid w:val="00CE0D5F"/>
    <w:rsid w:val="00CE10EC"/>
    <w:rsid w:val="00CE190D"/>
    <w:rsid w:val="00CE1C90"/>
    <w:rsid w:val="00CE1E91"/>
    <w:rsid w:val="00CE1F77"/>
    <w:rsid w:val="00CE1FBA"/>
    <w:rsid w:val="00CE202A"/>
    <w:rsid w:val="00CE207F"/>
    <w:rsid w:val="00CE20CB"/>
    <w:rsid w:val="00CE2124"/>
    <w:rsid w:val="00CE21C0"/>
    <w:rsid w:val="00CE23D1"/>
    <w:rsid w:val="00CE2E65"/>
    <w:rsid w:val="00CE325F"/>
    <w:rsid w:val="00CE32AE"/>
    <w:rsid w:val="00CE3779"/>
    <w:rsid w:val="00CE3A40"/>
    <w:rsid w:val="00CE423A"/>
    <w:rsid w:val="00CE46AD"/>
    <w:rsid w:val="00CE476C"/>
    <w:rsid w:val="00CE48DB"/>
    <w:rsid w:val="00CE49F3"/>
    <w:rsid w:val="00CE4B64"/>
    <w:rsid w:val="00CE5016"/>
    <w:rsid w:val="00CE5362"/>
    <w:rsid w:val="00CE53C3"/>
    <w:rsid w:val="00CE59F0"/>
    <w:rsid w:val="00CE5E0F"/>
    <w:rsid w:val="00CE5F34"/>
    <w:rsid w:val="00CE5FEA"/>
    <w:rsid w:val="00CE618F"/>
    <w:rsid w:val="00CE62B7"/>
    <w:rsid w:val="00CE63BD"/>
    <w:rsid w:val="00CE63C7"/>
    <w:rsid w:val="00CE6603"/>
    <w:rsid w:val="00CE6AB3"/>
    <w:rsid w:val="00CE6E00"/>
    <w:rsid w:val="00CE6F8B"/>
    <w:rsid w:val="00CE7347"/>
    <w:rsid w:val="00CE74A5"/>
    <w:rsid w:val="00CE759C"/>
    <w:rsid w:val="00CE75A1"/>
    <w:rsid w:val="00CE7699"/>
    <w:rsid w:val="00CE7F24"/>
    <w:rsid w:val="00CF069D"/>
    <w:rsid w:val="00CF07A9"/>
    <w:rsid w:val="00CF0D53"/>
    <w:rsid w:val="00CF0ECF"/>
    <w:rsid w:val="00CF126C"/>
    <w:rsid w:val="00CF14DB"/>
    <w:rsid w:val="00CF14E1"/>
    <w:rsid w:val="00CF16DF"/>
    <w:rsid w:val="00CF1C38"/>
    <w:rsid w:val="00CF211C"/>
    <w:rsid w:val="00CF287B"/>
    <w:rsid w:val="00CF28F1"/>
    <w:rsid w:val="00CF2A8C"/>
    <w:rsid w:val="00CF2ACA"/>
    <w:rsid w:val="00CF2ACF"/>
    <w:rsid w:val="00CF3091"/>
    <w:rsid w:val="00CF3187"/>
    <w:rsid w:val="00CF34D1"/>
    <w:rsid w:val="00CF3580"/>
    <w:rsid w:val="00CF35A3"/>
    <w:rsid w:val="00CF3657"/>
    <w:rsid w:val="00CF36A2"/>
    <w:rsid w:val="00CF38BE"/>
    <w:rsid w:val="00CF39D2"/>
    <w:rsid w:val="00CF3ADB"/>
    <w:rsid w:val="00CF3CD3"/>
    <w:rsid w:val="00CF3D50"/>
    <w:rsid w:val="00CF4461"/>
    <w:rsid w:val="00CF4541"/>
    <w:rsid w:val="00CF4B47"/>
    <w:rsid w:val="00CF4B76"/>
    <w:rsid w:val="00CF4BEC"/>
    <w:rsid w:val="00CF4DA5"/>
    <w:rsid w:val="00CF4DAA"/>
    <w:rsid w:val="00CF4EF5"/>
    <w:rsid w:val="00CF4F31"/>
    <w:rsid w:val="00CF4F70"/>
    <w:rsid w:val="00CF4FD6"/>
    <w:rsid w:val="00CF50F2"/>
    <w:rsid w:val="00CF576B"/>
    <w:rsid w:val="00CF580F"/>
    <w:rsid w:val="00CF597E"/>
    <w:rsid w:val="00CF5A98"/>
    <w:rsid w:val="00CF5B12"/>
    <w:rsid w:val="00CF636D"/>
    <w:rsid w:val="00CF68FB"/>
    <w:rsid w:val="00CF69C4"/>
    <w:rsid w:val="00CF7097"/>
    <w:rsid w:val="00CF73CB"/>
    <w:rsid w:val="00CF750A"/>
    <w:rsid w:val="00CF7C5D"/>
    <w:rsid w:val="00CFF6A0"/>
    <w:rsid w:val="00D0058A"/>
    <w:rsid w:val="00D006F0"/>
    <w:rsid w:val="00D008CC"/>
    <w:rsid w:val="00D010A3"/>
    <w:rsid w:val="00D010C9"/>
    <w:rsid w:val="00D012DC"/>
    <w:rsid w:val="00D01758"/>
    <w:rsid w:val="00D01879"/>
    <w:rsid w:val="00D019B9"/>
    <w:rsid w:val="00D019D0"/>
    <w:rsid w:val="00D01B29"/>
    <w:rsid w:val="00D01BC0"/>
    <w:rsid w:val="00D01F50"/>
    <w:rsid w:val="00D0218A"/>
    <w:rsid w:val="00D02301"/>
    <w:rsid w:val="00D02372"/>
    <w:rsid w:val="00D02665"/>
    <w:rsid w:val="00D0269C"/>
    <w:rsid w:val="00D027A6"/>
    <w:rsid w:val="00D02852"/>
    <w:rsid w:val="00D02DB9"/>
    <w:rsid w:val="00D02E5A"/>
    <w:rsid w:val="00D02E92"/>
    <w:rsid w:val="00D02EB7"/>
    <w:rsid w:val="00D02F11"/>
    <w:rsid w:val="00D02F6E"/>
    <w:rsid w:val="00D03145"/>
    <w:rsid w:val="00D0317F"/>
    <w:rsid w:val="00D031AA"/>
    <w:rsid w:val="00D0321D"/>
    <w:rsid w:val="00D03257"/>
    <w:rsid w:val="00D03284"/>
    <w:rsid w:val="00D03B6D"/>
    <w:rsid w:val="00D03B78"/>
    <w:rsid w:val="00D03DC0"/>
    <w:rsid w:val="00D03EE8"/>
    <w:rsid w:val="00D03FC7"/>
    <w:rsid w:val="00D040D3"/>
    <w:rsid w:val="00D04320"/>
    <w:rsid w:val="00D044EC"/>
    <w:rsid w:val="00D04747"/>
    <w:rsid w:val="00D0494E"/>
    <w:rsid w:val="00D049A2"/>
    <w:rsid w:val="00D04D81"/>
    <w:rsid w:val="00D04FAB"/>
    <w:rsid w:val="00D04FFA"/>
    <w:rsid w:val="00D050C7"/>
    <w:rsid w:val="00D0556F"/>
    <w:rsid w:val="00D0589D"/>
    <w:rsid w:val="00D05B23"/>
    <w:rsid w:val="00D05C4D"/>
    <w:rsid w:val="00D06C32"/>
    <w:rsid w:val="00D06EE0"/>
    <w:rsid w:val="00D0704D"/>
    <w:rsid w:val="00D0707C"/>
    <w:rsid w:val="00D07114"/>
    <w:rsid w:val="00D07302"/>
    <w:rsid w:val="00D074A6"/>
    <w:rsid w:val="00D076A9"/>
    <w:rsid w:val="00D076BD"/>
    <w:rsid w:val="00D0773F"/>
    <w:rsid w:val="00D07C66"/>
    <w:rsid w:val="00D10129"/>
    <w:rsid w:val="00D10250"/>
    <w:rsid w:val="00D10602"/>
    <w:rsid w:val="00D10A31"/>
    <w:rsid w:val="00D10CD9"/>
    <w:rsid w:val="00D10FC0"/>
    <w:rsid w:val="00D10FD4"/>
    <w:rsid w:val="00D114CC"/>
    <w:rsid w:val="00D116FC"/>
    <w:rsid w:val="00D1173A"/>
    <w:rsid w:val="00D118E7"/>
    <w:rsid w:val="00D11CC9"/>
    <w:rsid w:val="00D11D06"/>
    <w:rsid w:val="00D11D24"/>
    <w:rsid w:val="00D1211C"/>
    <w:rsid w:val="00D121EE"/>
    <w:rsid w:val="00D1228C"/>
    <w:rsid w:val="00D12308"/>
    <w:rsid w:val="00D1248B"/>
    <w:rsid w:val="00D12543"/>
    <w:rsid w:val="00D12571"/>
    <w:rsid w:val="00D126E8"/>
    <w:rsid w:val="00D1298F"/>
    <w:rsid w:val="00D12CF4"/>
    <w:rsid w:val="00D12E67"/>
    <w:rsid w:val="00D130CB"/>
    <w:rsid w:val="00D13309"/>
    <w:rsid w:val="00D133A7"/>
    <w:rsid w:val="00D13521"/>
    <w:rsid w:val="00D135A6"/>
    <w:rsid w:val="00D13B37"/>
    <w:rsid w:val="00D13E63"/>
    <w:rsid w:val="00D13FC0"/>
    <w:rsid w:val="00D142E1"/>
    <w:rsid w:val="00D147CD"/>
    <w:rsid w:val="00D14BE4"/>
    <w:rsid w:val="00D14DD3"/>
    <w:rsid w:val="00D14F25"/>
    <w:rsid w:val="00D150CF"/>
    <w:rsid w:val="00D15226"/>
    <w:rsid w:val="00D1524B"/>
    <w:rsid w:val="00D152AC"/>
    <w:rsid w:val="00D155E3"/>
    <w:rsid w:val="00D15F04"/>
    <w:rsid w:val="00D1625A"/>
    <w:rsid w:val="00D16290"/>
    <w:rsid w:val="00D16879"/>
    <w:rsid w:val="00D16A61"/>
    <w:rsid w:val="00D16C56"/>
    <w:rsid w:val="00D16D1D"/>
    <w:rsid w:val="00D170AA"/>
    <w:rsid w:val="00D17648"/>
    <w:rsid w:val="00D17A38"/>
    <w:rsid w:val="00D17B0F"/>
    <w:rsid w:val="00D17C7D"/>
    <w:rsid w:val="00D17D7E"/>
    <w:rsid w:val="00D17E0C"/>
    <w:rsid w:val="00D2005F"/>
    <w:rsid w:val="00D200BF"/>
    <w:rsid w:val="00D2026E"/>
    <w:rsid w:val="00D20401"/>
    <w:rsid w:val="00D2049C"/>
    <w:rsid w:val="00D20DC7"/>
    <w:rsid w:val="00D20E70"/>
    <w:rsid w:val="00D21232"/>
    <w:rsid w:val="00D21255"/>
    <w:rsid w:val="00D2157C"/>
    <w:rsid w:val="00D21AAA"/>
    <w:rsid w:val="00D21E47"/>
    <w:rsid w:val="00D21F9F"/>
    <w:rsid w:val="00D221F9"/>
    <w:rsid w:val="00D22AFF"/>
    <w:rsid w:val="00D22B2A"/>
    <w:rsid w:val="00D22B53"/>
    <w:rsid w:val="00D22C07"/>
    <w:rsid w:val="00D22DAA"/>
    <w:rsid w:val="00D23040"/>
    <w:rsid w:val="00D233C8"/>
    <w:rsid w:val="00D2350D"/>
    <w:rsid w:val="00D2354F"/>
    <w:rsid w:val="00D239E5"/>
    <w:rsid w:val="00D23A06"/>
    <w:rsid w:val="00D23CB3"/>
    <w:rsid w:val="00D23E0D"/>
    <w:rsid w:val="00D24529"/>
    <w:rsid w:val="00D24828"/>
    <w:rsid w:val="00D249C3"/>
    <w:rsid w:val="00D250D6"/>
    <w:rsid w:val="00D25350"/>
    <w:rsid w:val="00D25390"/>
    <w:rsid w:val="00D253BA"/>
    <w:rsid w:val="00D25528"/>
    <w:rsid w:val="00D25549"/>
    <w:rsid w:val="00D25649"/>
    <w:rsid w:val="00D25BD2"/>
    <w:rsid w:val="00D25D54"/>
    <w:rsid w:val="00D25F3C"/>
    <w:rsid w:val="00D260B1"/>
    <w:rsid w:val="00D260FC"/>
    <w:rsid w:val="00D267DE"/>
    <w:rsid w:val="00D26841"/>
    <w:rsid w:val="00D26877"/>
    <w:rsid w:val="00D268CD"/>
    <w:rsid w:val="00D27711"/>
    <w:rsid w:val="00D27823"/>
    <w:rsid w:val="00D27A85"/>
    <w:rsid w:val="00D27C56"/>
    <w:rsid w:val="00D27C84"/>
    <w:rsid w:val="00D27D7A"/>
    <w:rsid w:val="00D27E6C"/>
    <w:rsid w:val="00D27E6E"/>
    <w:rsid w:val="00D30200"/>
    <w:rsid w:val="00D30223"/>
    <w:rsid w:val="00D302B1"/>
    <w:rsid w:val="00D30327"/>
    <w:rsid w:val="00D30393"/>
    <w:rsid w:val="00D303E3"/>
    <w:rsid w:val="00D30502"/>
    <w:rsid w:val="00D30B50"/>
    <w:rsid w:val="00D30D74"/>
    <w:rsid w:val="00D30D7E"/>
    <w:rsid w:val="00D30F14"/>
    <w:rsid w:val="00D30F1D"/>
    <w:rsid w:val="00D310FC"/>
    <w:rsid w:val="00D311CC"/>
    <w:rsid w:val="00D313E9"/>
    <w:rsid w:val="00D31417"/>
    <w:rsid w:val="00D315E7"/>
    <w:rsid w:val="00D3187E"/>
    <w:rsid w:val="00D3198F"/>
    <w:rsid w:val="00D31C62"/>
    <w:rsid w:val="00D31CF2"/>
    <w:rsid w:val="00D31DEF"/>
    <w:rsid w:val="00D31E0B"/>
    <w:rsid w:val="00D31E2E"/>
    <w:rsid w:val="00D32120"/>
    <w:rsid w:val="00D322EB"/>
    <w:rsid w:val="00D328CC"/>
    <w:rsid w:val="00D32A9E"/>
    <w:rsid w:val="00D32B95"/>
    <w:rsid w:val="00D32BEA"/>
    <w:rsid w:val="00D32F44"/>
    <w:rsid w:val="00D32FCC"/>
    <w:rsid w:val="00D3385E"/>
    <w:rsid w:val="00D33DD2"/>
    <w:rsid w:val="00D347FC"/>
    <w:rsid w:val="00D34A8F"/>
    <w:rsid w:val="00D34AF7"/>
    <w:rsid w:val="00D34EB5"/>
    <w:rsid w:val="00D354D4"/>
    <w:rsid w:val="00D35B47"/>
    <w:rsid w:val="00D35BF3"/>
    <w:rsid w:val="00D360ED"/>
    <w:rsid w:val="00D36166"/>
    <w:rsid w:val="00D365CA"/>
    <w:rsid w:val="00D367E8"/>
    <w:rsid w:val="00D369A7"/>
    <w:rsid w:val="00D36AD9"/>
    <w:rsid w:val="00D36D0E"/>
    <w:rsid w:val="00D36D21"/>
    <w:rsid w:val="00D36ED6"/>
    <w:rsid w:val="00D37068"/>
    <w:rsid w:val="00D372C0"/>
    <w:rsid w:val="00D377C1"/>
    <w:rsid w:val="00D3787D"/>
    <w:rsid w:val="00D37CAB"/>
    <w:rsid w:val="00D37D3F"/>
    <w:rsid w:val="00D402F0"/>
    <w:rsid w:val="00D40EFC"/>
    <w:rsid w:val="00D40FA5"/>
    <w:rsid w:val="00D4104F"/>
    <w:rsid w:val="00D4160F"/>
    <w:rsid w:val="00D41734"/>
    <w:rsid w:val="00D418B7"/>
    <w:rsid w:val="00D418DF"/>
    <w:rsid w:val="00D41E7F"/>
    <w:rsid w:val="00D41EE9"/>
    <w:rsid w:val="00D41FCD"/>
    <w:rsid w:val="00D4214D"/>
    <w:rsid w:val="00D4258C"/>
    <w:rsid w:val="00D42B71"/>
    <w:rsid w:val="00D430E1"/>
    <w:rsid w:val="00D4324B"/>
    <w:rsid w:val="00D434EA"/>
    <w:rsid w:val="00D4359E"/>
    <w:rsid w:val="00D43805"/>
    <w:rsid w:val="00D439CF"/>
    <w:rsid w:val="00D43B9F"/>
    <w:rsid w:val="00D43E02"/>
    <w:rsid w:val="00D442BF"/>
    <w:rsid w:val="00D44A38"/>
    <w:rsid w:val="00D44B69"/>
    <w:rsid w:val="00D44FBC"/>
    <w:rsid w:val="00D4511B"/>
    <w:rsid w:val="00D4545F"/>
    <w:rsid w:val="00D45787"/>
    <w:rsid w:val="00D45895"/>
    <w:rsid w:val="00D45D09"/>
    <w:rsid w:val="00D46A23"/>
    <w:rsid w:val="00D4732E"/>
    <w:rsid w:val="00D4784C"/>
    <w:rsid w:val="00D479A8"/>
    <w:rsid w:val="00D47A9F"/>
    <w:rsid w:val="00D50115"/>
    <w:rsid w:val="00D501C8"/>
    <w:rsid w:val="00D502B0"/>
    <w:rsid w:val="00D504DC"/>
    <w:rsid w:val="00D508E2"/>
    <w:rsid w:val="00D50DCF"/>
    <w:rsid w:val="00D50F57"/>
    <w:rsid w:val="00D510A0"/>
    <w:rsid w:val="00D5110E"/>
    <w:rsid w:val="00D511AD"/>
    <w:rsid w:val="00D51458"/>
    <w:rsid w:val="00D5150A"/>
    <w:rsid w:val="00D5159C"/>
    <w:rsid w:val="00D51633"/>
    <w:rsid w:val="00D5178D"/>
    <w:rsid w:val="00D5179A"/>
    <w:rsid w:val="00D517F3"/>
    <w:rsid w:val="00D51BCC"/>
    <w:rsid w:val="00D51BD1"/>
    <w:rsid w:val="00D51C4F"/>
    <w:rsid w:val="00D51DD6"/>
    <w:rsid w:val="00D52010"/>
    <w:rsid w:val="00D520B9"/>
    <w:rsid w:val="00D52367"/>
    <w:rsid w:val="00D524DE"/>
    <w:rsid w:val="00D524EA"/>
    <w:rsid w:val="00D5270F"/>
    <w:rsid w:val="00D528B3"/>
    <w:rsid w:val="00D529E4"/>
    <w:rsid w:val="00D52AF2"/>
    <w:rsid w:val="00D52D72"/>
    <w:rsid w:val="00D52EEF"/>
    <w:rsid w:val="00D52F7F"/>
    <w:rsid w:val="00D53742"/>
    <w:rsid w:val="00D538B9"/>
    <w:rsid w:val="00D53D5B"/>
    <w:rsid w:val="00D53EA1"/>
    <w:rsid w:val="00D5403D"/>
    <w:rsid w:val="00D5422E"/>
    <w:rsid w:val="00D5430C"/>
    <w:rsid w:val="00D54511"/>
    <w:rsid w:val="00D54988"/>
    <w:rsid w:val="00D54AEA"/>
    <w:rsid w:val="00D54CD7"/>
    <w:rsid w:val="00D54D7D"/>
    <w:rsid w:val="00D54E32"/>
    <w:rsid w:val="00D55002"/>
    <w:rsid w:val="00D55149"/>
    <w:rsid w:val="00D552A0"/>
    <w:rsid w:val="00D55330"/>
    <w:rsid w:val="00D55634"/>
    <w:rsid w:val="00D55AC0"/>
    <w:rsid w:val="00D561CC"/>
    <w:rsid w:val="00D562D9"/>
    <w:rsid w:val="00D562E1"/>
    <w:rsid w:val="00D56F46"/>
    <w:rsid w:val="00D56FB2"/>
    <w:rsid w:val="00D57295"/>
    <w:rsid w:val="00D57609"/>
    <w:rsid w:val="00D57978"/>
    <w:rsid w:val="00D60137"/>
    <w:rsid w:val="00D60193"/>
    <w:rsid w:val="00D605B2"/>
    <w:rsid w:val="00D6085E"/>
    <w:rsid w:val="00D60B54"/>
    <w:rsid w:val="00D60C4C"/>
    <w:rsid w:val="00D60DF2"/>
    <w:rsid w:val="00D60E07"/>
    <w:rsid w:val="00D6102F"/>
    <w:rsid w:val="00D614C4"/>
    <w:rsid w:val="00D615FB"/>
    <w:rsid w:val="00D624DF"/>
    <w:rsid w:val="00D6254D"/>
    <w:rsid w:val="00D626CC"/>
    <w:rsid w:val="00D62716"/>
    <w:rsid w:val="00D627B7"/>
    <w:rsid w:val="00D62A25"/>
    <w:rsid w:val="00D6358F"/>
    <w:rsid w:val="00D63809"/>
    <w:rsid w:val="00D63887"/>
    <w:rsid w:val="00D63AA5"/>
    <w:rsid w:val="00D63DA4"/>
    <w:rsid w:val="00D63DA6"/>
    <w:rsid w:val="00D63E80"/>
    <w:rsid w:val="00D64037"/>
    <w:rsid w:val="00D640A1"/>
    <w:rsid w:val="00D64128"/>
    <w:rsid w:val="00D641C3"/>
    <w:rsid w:val="00D6432D"/>
    <w:rsid w:val="00D644BB"/>
    <w:rsid w:val="00D64651"/>
    <w:rsid w:val="00D6486E"/>
    <w:rsid w:val="00D648B7"/>
    <w:rsid w:val="00D648DB"/>
    <w:rsid w:val="00D64C27"/>
    <w:rsid w:val="00D64CF5"/>
    <w:rsid w:val="00D64D0F"/>
    <w:rsid w:val="00D6510B"/>
    <w:rsid w:val="00D6534A"/>
    <w:rsid w:val="00D656A6"/>
    <w:rsid w:val="00D65E9E"/>
    <w:rsid w:val="00D65F48"/>
    <w:rsid w:val="00D66010"/>
    <w:rsid w:val="00D66224"/>
    <w:rsid w:val="00D66294"/>
    <w:rsid w:val="00D66584"/>
    <w:rsid w:val="00D6679E"/>
    <w:rsid w:val="00D66E9D"/>
    <w:rsid w:val="00D674D0"/>
    <w:rsid w:val="00D67510"/>
    <w:rsid w:val="00D67AB2"/>
    <w:rsid w:val="00D7018A"/>
    <w:rsid w:val="00D703E6"/>
    <w:rsid w:val="00D70706"/>
    <w:rsid w:val="00D70737"/>
    <w:rsid w:val="00D70A1A"/>
    <w:rsid w:val="00D7133B"/>
    <w:rsid w:val="00D7146E"/>
    <w:rsid w:val="00D7157C"/>
    <w:rsid w:val="00D7169A"/>
    <w:rsid w:val="00D717F1"/>
    <w:rsid w:val="00D71A8B"/>
    <w:rsid w:val="00D71CF9"/>
    <w:rsid w:val="00D71E09"/>
    <w:rsid w:val="00D71F26"/>
    <w:rsid w:val="00D71F9B"/>
    <w:rsid w:val="00D71FC3"/>
    <w:rsid w:val="00D72321"/>
    <w:rsid w:val="00D724B7"/>
    <w:rsid w:val="00D7250B"/>
    <w:rsid w:val="00D7287A"/>
    <w:rsid w:val="00D72B2A"/>
    <w:rsid w:val="00D72C5A"/>
    <w:rsid w:val="00D72D7B"/>
    <w:rsid w:val="00D737E4"/>
    <w:rsid w:val="00D73FC3"/>
    <w:rsid w:val="00D7400C"/>
    <w:rsid w:val="00D74025"/>
    <w:rsid w:val="00D744B0"/>
    <w:rsid w:val="00D74563"/>
    <w:rsid w:val="00D74798"/>
    <w:rsid w:val="00D747F4"/>
    <w:rsid w:val="00D74A0F"/>
    <w:rsid w:val="00D74CBE"/>
    <w:rsid w:val="00D74EF1"/>
    <w:rsid w:val="00D750EC"/>
    <w:rsid w:val="00D75165"/>
    <w:rsid w:val="00D7516E"/>
    <w:rsid w:val="00D75513"/>
    <w:rsid w:val="00D75ED3"/>
    <w:rsid w:val="00D76173"/>
    <w:rsid w:val="00D7661A"/>
    <w:rsid w:val="00D7663E"/>
    <w:rsid w:val="00D767A8"/>
    <w:rsid w:val="00D7695A"/>
    <w:rsid w:val="00D76BC3"/>
    <w:rsid w:val="00D76C9F"/>
    <w:rsid w:val="00D76CAB"/>
    <w:rsid w:val="00D77032"/>
    <w:rsid w:val="00D770A4"/>
    <w:rsid w:val="00D77139"/>
    <w:rsid w:val="00D771DC"/>
    <w:rsid w:val="00D772B4"/>
    <w:rsid w:val="00D775B5"/>
    <w:rsid w:val="00D77902"/>
    <w:rsid w:val="00D77A5B"/>
    <w:rsid w:val="00D800CC"/>
    <w:rsid w:val="00D8037E"/>
    <w:rsid w:val="00D8038D"/>
    <w:rsid w:val="00D80C5E"/>
    <w:rsid w:val="00D80E26"/>
    <w:rsid w:val="00D80E72"/>
    <w:rsid w:val="00D8138C"/>
    <w:rsid w:val="00D815F6"/>
    <w:rsid w:val="00D81802"/>
    <w:rsid w:val="00D81BEC"/>
    <w:rsid w:val="00D81C3A"/>
    <w:rsid w:val="00D81EF8"/>
    <w:rsid w:val="00D823AB"/>
    <w:rsid w:val="00D8243F"/>
    <w:rsid w:val="00D827D3"/>
    <w:rsid w:val="00D828BB"/>
    <w:rsid w:val="00D82A1B"/>
    <w:rsid w:val="00D82DEF"/>
    <w:rsid w:val="00D830FB"/>
    <w:rsid w:val="00D83696"/>
    <w:rsid w:val="00D83710"/>
    <w:rsid w:val="00D8388E"/>
    <w:rsid w:val="00D839E8"/>
    <w:rsid w:val="00D83EF8"/>
    <w:rsid w:val="00D83FA1"/>
    <w:rsid w:val="00D8406D"/>
    <w:rsid w:val="00D84203"/>
    <w:rsid w:val="00D84252"/>
    <w:rsid w:val="00D843C2"/>
    <w:rsid w:val="00D8442E"/>
    <w:rsid w:val="00D84A7C"/>
    <w:rsid w:val="00D84B89"/>
    <w:rsid w:val="00D850F5"/>
    <w:rsid w:val="00D85162"/>
    <w:rsid w:val="00D85362"/>
    <w:rsid w:val="00D859C2"/>
    <w:rsid w:val="00D85D99"/>
    <w:rsid w:val="00D85F0B"/>
    <w:rsid w:val="00D85FCB"/>
    <w:rsid w:val="00D860AE"/>
    <w:rsid w:val="00D86A9B"/>
    <w:rsid w:val="00D86F2E"/>
    <w:rsid w:val="00D86FD2"/>
    <w:rsid w:val="00D878DA"/>
    <w:rsid w:val="00D87A30"/>
    <w:rsid w:val="00D87B2D"/>
    <w:rsid w:val="00D87B34"/>
    <w:rsid w:val="00D87C89"/>
    <w:rsid w:val="00D87DDC"/>
    <w:rsid w:val="00D87E6D"/>
    <w:rsid w:val="00D87F2A"/>
    <w:rsid w:val="00D900D7"/>
    <w:rsid w:val="00D901FF"/>
    <w:rsid w:val="00D90705"/>
    <w:rsid w:val="00D91076"/>
    <w:rsid w:val="00D913D5"/>
    <w:rsid w:val="00D9171C"/>
    <w:rsid w:val="00D91736"/>
    <w:rsid w:val="00D91B0D"/>
    <w:rsid w:val="00D91C28"/>
    <w:rsid w:val="00D91CBD"/>
    <w:rsid w:val="00D91F2E"/>
    <w:rsid w:val="00D922B5"/>
    <w:rsid w:val="00D92509"/>
    <w:rsid w:val="00D9250B"/>
    <w:rsid w:val="00D925EA"/>
    <w:rsid w:val="00D92B76"/>
    <w:rsid w:val="00D92C78"/>
    <w:rsid w:val="00D92DAD"/>
    <w:rsid w:val="00D92E38"/>
    <w:rsid w:val="00D9389D"/>
    <w:rsid w:val="00D93B4A"/>
    <w:rsid w:val="00D93C4E"/>
    <w:rsid w:val="00D93D47"/>
    <w:rsid w:val="00D94641"/>
    <w:rsid w:val="00D9477A"/>
    <w:rsid w:val="00D950CF"/>
    <w:rsid w:val="00D951EE"/>
    <w:rsid w:val="00D9520E"/>
    <w:rsid w:val="00D95261"/>
    <w:rsid w:val="00D952C0"/>
    <w:rsid w:val="00D9538C"/>
    <w:rsid w:val="00D9577E"/>
    <w:rsid w:val="00D9579D"/>
    <w:rsid w:val="00D95DE0"/>
    <w:rsid w:val="00D960D8"/>
    <w:rsid w:val="00D96982"/>
    <w:rsid w:val="00D96C0E"/>
    <w:rsid w:val="00D97060"/>
    <w:rsid w:val="00D97136"/>
    <w:rsid w:val="00D97365"/>
    <w:rsid w:val="00D973DB"/>
    <w:rsid w:val="00D97701"/>
    <w:rsid w:val="00D97986"/>
    <w:rsid w:val="00D97AA9"/>
    <w:rsid w:val="00D97AF5"/>
    <w:rsid w:val="00D97EAA"/>
    <w:rsid w:val="00D97EE4"/>
    <w:rsid w:val="00DA00F8"/>
    <w:rsid w:val="00DA01FD"/>
    <w:rsid w:val="00DA0556"/>
    <w:rsid w:val="00DA07D0"/>
    <w:rsid w:val="00DA09B5"/>
    <w:rsid w:val="00DA1066"/>
    <w:rsid w:val="00DA1075"/>
    <w:rsid w:val="00DA13FF"/>
    <w:rsid w:val="00DA1559"/>
    <w:rsid w:val="00DA1829"/>
    <w:rsid w:val="00DA1A24"/>
    <w:rsid w:val="00DA2338"/>
    <w:rsid w:val="00DA268F"/>
    <w:rsid w:val="00DA2A31"/>
    <w:rsid w:val="00DA2E34"/>
    <w:rsid w:val="00DA30E2"/>
    <w:rsid w:val="00DA310D"/>
    <w:rsid w:val="00DA36A3"/>
    <w:rsid w:val="00DA372C"/>
    <w:rsid w:val="00DA3C95"/>
    <w:rsid w:val="00DA3F42"/>
    <w:rsid w:val="00DA4287"/>
    <w:rsid w:val="00DA43B1"/>
    <w:rsid w:val="00DA44BB"/>
    <w:rsid w:val="00DA4559"/>
    <w:rsid w:val="00DA4647"/>
    <w:rsid w:val="00DA46B5"/>
    <w:rsid w:val="00DA46F2"/>
    <w:rsid w:val="00DA473B"/>
    <w:rsid w:val="00DA4D1B"/>
    <w:rsid w:val="00DA4DD7"/>
    <w:rsid w:val="00DA50E3"/>
    <w:rsid w:val="00DA58E8"/>
    <w:rsid w:val="00DA5AD3"/>
    <w:rsid w:val="00DA5EF0"/>
    <w:rsid w:val="00DA60F5"/>
    <w:rsid w:val="00DA62FC"/>
    <w:rsid w:val="00DA645F"/>
    <w:rsid w:val="00DA651A"/>
    <w:rsid w:val="00DA661C"/>
    <w:rsid w:val="00DA680F"/>
    <w:rsid w:val="00DA681A"/>
    <w:rsid w:val="00DA6A2F"/>
    <w:rsid w:val="00DA6D1B"/>
    <w:rsid w:val="00DA6D54"/>
    <w:rsid w:val="00DA6E84"/>
    <w:rsid w:val="00DA6FF9"/>
    <w:rsid w:val="00DA70CA"/>
    <w:rsid w:val="00DA767F"/>
    <w:rsid w:val="00DA7901"/>
    <w:rsid w:val="00DA7A6F"/>
    <w:rsid w:val="00DA7A9E"/>
    <w:rsid w:val="00DA7B04"/>
    <w:rsid w:val="00DB0193"/>
    <w:rsid w:val="00DB0464"/>
    <w:rsid w:val="00DB0476"/>
    <w:rsid w:val="00DB06C6"/>
    <w:rsid w:val="00DB0A22"/>
    <w:rsid w:val="00DB0B5F"/>
    <w:rsid w:val="00DB0B7B"/>
    <w:rsid w:val="00DB131E"/>
    <w:rsid w:val="00DB1397"/>
    <w:rsid w:val="00DB1410"/>
    <w:rsid w:val="00DB15A6"/>
    <w:rsid w:val="00DB1653"/>
    <w:rsid w:val="00DB1963"/>
    <w:rsid w:val="00DB1BD6"/>
    <w:rsid w:val="00DB2134"/>
    <w:rsid w:val="00DB21D6"/>
    <w:rsid w:val="00DB269C"/>
    <w:rsid w:val="00DB26F0"/>
    <w:rsid w:val="00DB27B5"/>
    <w:rsid w:val="00DB28E4"/>
    <w:rsid w:val="00DB2BEE"/>
    <w:rsid w:val="00DB3029"/>
    <w:rsid w:val="00DB32BE"/>
    <w:rsid w:val="00DB398F"/>
    <w:rsid w:val="00DB3A25"/>
    <w:rsid w:val="00DB3CED"/>
    <w:rsid w:val="00DB3F17"/>
    <w:rsid w:val="00DB4108"/>
    <w:rsid w:val="00DB4388"/>
    <w:rsid w:val="00DB4535"/>
    <w:rsid w:val="00DB4875"/>
    <w:rsid w:val="00DB4B65"/>
    <w:rsid w:val="00DB4F29"/>
    <w:rsid w:val="00DB4F64"/>
    <w:rsid w:val="00DB5297"/>
    <w:rsid w:val="00DB57DD"/>
    <w:rsid w:val="00DB5873"/>
    <w:rsid w:val="00DB5878"/>
    <w:rsid w:val="00DB5886"/>
    <w:rsid w:val="00DB5CFD"/>
    <w:rsid w:val="00DB5F5F"/>
    <w:rsid w:val="00DB613C"/>
    <w:rsid w:val="00DB6352"/>
    <w:rsid w:val="00DB6462"/>
    <w:rsid w:val="00DB65A8"/>
    <w:rsid w:val="00DB65BB"/>
    <w:rsid w:val="00DB65C9"/>
    <w:rsid w:val="00DB717D"/>
    <w:rsid w:val="00DB73BD"/>
    <w:rsid w:val="00DB7422"/>
    <w:rsid w:val="00DB7AC0"/>
    <w:rsid w:val="00DB7BA7"/>
    <w:rsid w:val="00DB7BF7"/>
    <w:rsid w:val="00DB7D17"/>
    <w:rsid w:val="00DB7DA5"/>
    <w:rsid w:val="00DC00DB"/>
    <w:rsid w:val="00DC0286"/>
    <w:rsid w:val="00DC04B4"/>
    <w:rsid w:val="00DC04FF"/>
    <w:rsid w:val="00DC056E"/>
    <w:rsid w:val="00DC05B6"/>
    <w:rsid w:val="00DC08C3"/>
    <w:rsid w:val="00DC0B53"/>
    <w:rsid w:val="00DC0BD8"/>
    <w:rsid w:val="00DC0EC7"/>
    <w:rsid w:val="00DC10A6"/>
    <w:rsid w:val="00DC144D"/>
    <w:rsid w:val="00DC18F7"/>
    <w:rsid w:val="00DC1BCB"/>
    <w:rsid w:val="00DC1E5E"/>
    <w:rsid w:val="00DC1EC9"/>
    <w:rsid w:val="00DC259B"/>
    <w:rsid w:val="00DC2B0A"/>
    <w:rsid w:val="00DC2C23"/>
    <w:rsid w:val="00DC2FD1"/>
    <w:rsid w:val="00DC327F"/>
    <w:rsid w:val="00DC3385"/>
    <w:rsid w:val="00DC3783"/>
    <w:rsid w:val="00DC37CC"/>
    <w:rsid w:val="00DC3C6A"/>
    <w:rsid w:val="00DC3D9B"/>
    <w:rsid w:val="00DC451F"/>
    <w:rsid w:val="00DC4DAE"/>
    <w:rsid w:val="00DC4EFB"/>
    <w:rsid w:val="00DC5326"/>
    <w:rsid w:val="00DC576A"/>
    <w:rsid w:val="00DC5BF3"/>
    <w:rsid w:val="00DC5DA4"/>
    <w:rsid w:val="00DC5E4C"/>
    <w:rsid w:val="00DC5E6B"/>
    <w:rsid w:val="00DC60E8"/>
    <w:rsid w:val="00DC625B"/>
    <w:rsid w:val="00DC62D5"/>
    <w:rsid w:val="00DC63A3"/>
    <w:rsid w:val="00DC64BC"/>
    <w:rsid w:val="00DC64F9"/>
    <w:rsid w:val="00DC6564"/>
    <w:rsid w:val="00DC6737"/>
    <w:rsid w:val="00DC693D"/>
    <w:rsid w:val="00DC7319"/>
    <w:rsid w:val="00DC7C70"/>
    <w:rsid w:val="00DC7D24"/>
    <w:rsid w:val="00DD0287"/>
    <w:rsid w:val="00DD06FF"/>
    <w:rsid w:val="00DD08C8"/>
    <w:rsid w:val="00DD09E7"/>
    <w:rsid w:val="00DD0BAB"/>
    <w:rsid w:val="00DD0F8B"/>
    <w:rsid w:val="00DD1C18"/>
    <w:rsid w:val="00DD1F1F"/>
    <w:rsid w:val="00DD228C"/>
    <w:rsid w:val="00DD2511"/>
    <w:rsid w:val="00DD2B6E"/>
    <w:rsid w:val="00DD3090"/>
    <w:rsid w:val="00DD314D"/>
    <w:rsid w:val="00DD324B"/>
    <w:rsid w:val="00DD37A2"/>
    <w:rsid w:val="00DD37F5"/>
    <w:rsid w:val="00DD380F"/>
    <w:rsid w:val="00DD3E8B"/>
    <w:rsid w:val="00DD3F3F"/>
    <w:rsid w:val="00DD411F"/>
    <w:rsid w:val="00DD4223"/>
    <w:rsid w:val="00DD425F"/>
    <w:rsid w:val="00DD446D"/>
    <w:rsid w:val="00DD4534"/>
    <w:rsid w:val="00DD474B"/>
    <w:rsid w:val="00DD484B"/>
    <w:rsid w:val="00DD4A51"/>
    <w:rsid w:val="00DD4D02"/>
    <w:rsid w:val="00DD4E1B"/>
    <w:rsid w:val="00DD50A5"/>
    <w:rsid w:val="00DD537A"/>
    <w:rsid w:val="00DD5849"/>
    <w:rsid w:val="00DD5F49"/>
    <w:rsid w:val="00DD6272"/>
    <w:rsid w:val="00DD64E0"/>
    <w:rsid w:val="00DD67DA"/>
    <w:rsid w:val="00DD6D24"/>
    <w:rsid w:val="00DD6DE2"/>
    <w:rsid w:val="00DD70F1"/>
    <w:rsid w:val="00DD72D1"/>
    <w:rsid w:val="00DD749E"/>
    <w:rsid w:val="00DD75AB"/>
    <w:rsid w:val="00DD7825"/>
    <w:rsid w:val="00DD78A2"/>
    <w:rsid w:val="00DD78B0"/>
    <w:rsid w:val="00DD797F"/>
    <w:rsid w:val="00DD7A40"/>
    <w:rsid w:val="00DD7CFB"/>
    <w:rsid w:val="00DD7D8E"/>
    <w:rsid w:val="00DD7E46"/>
    <w:rsid w:val="00DE02E8"/>
    <w:rsid w:val="00DE05D2"/>
    <w:rsid w:val="00DE05DD"/>
    <w:rsid w:val="00DE05F3"/>
    <w:rsid w:val="00DE0888"/>
    <w:rsid w:val="00DE0D77"/>
    <w:rsid w:val="00DE0EE0"/>
    <w:rsid w:val="00DE0F38"/>
    <w:rsid w:val="00DE1018"/>
    <w:rsid w:val="00DE10B7"/>
    <w:rsid w:val="00DE12A6"/>
    <w:rsid w:val="00DE138F"/>
    <w:rsid w:val="00DE17C2"/>
    <w:rsid w:val="00DE1DD3"/>
    <w:rsid w:val="00DE1EF7"/>
    <w:rsid w:val="00DE2794"/>
    <w:rsid w:val="00DE2BC6"/>
    <w:rsid w:val="00DE2BD2"/>
    <w:rsid w:val="00DE2BDD"/>
    <w:rsid w:val="00DE3019"/>
    <w:rsid w:val="00DE31F9"/>
    <w:rsid w:val="00DE3297"/>
    <w:rsid w:val="00DE3476"/>
    <w:rsid w:val="00DE38E5"/>
    <w:rsid w:val="00DE3A34"/>
    <w:rsid w:val="00DE3C20"/>
    <w:rsid w:val="00DE3D24"/>
    <w:rsid w:val="00DE4451"/>
    <w:rsid w:val="00DE4CA7"/>
    <w:rsid w:val="00DE503C"/>
    <w:rsid w:val="00DE52B2"/>
    <w:rsid w:val="00DE5367"/>
    <w:rsid w:val="00DE5518"/>
    <w:rsid w:val="00DE5523"/>
    <w:rsid w:val="00DE57F6"/>
    <w:rsid w:val="00DE5A06"/>
    <w:rsid w:val="00DE5BDE"/>
    <w:rsid w:val="00DE5DED"/>
    <w:rsid w:val="00DE5FA3"/>
    <w:rsid w:val="00DE631A"/>
    <w:rsid w:val="00DE63DC"/>
    <w:rsid w:val="00DE64B9"/>
    <w:rsid w:val="00DE65A3"/>
    <w:rsid w:val="00DE684B"/>
    <w:rsid w:val="00DE6B3A"/>
    <w:rsid w:val="00DE6F72"/>
    <w:rsid w:val="00DE6F80"/>
    <w:rsid w:val="00DE7088"/>
    <w:rsid w:val="00DE7197"/>
    <w:rsid w:val="00DE72D3"/>
    <w:rsid w:val="00DE7373"/>
    <w:rsid w:val="00DE73DB"/>
    <w:rsid w:val="00DE7641"/>
    <w:rsid w:val="00DE7786"/>
    <w:rsid w:val="00DE7A50"/>
    <w:rsid w:val="00DE7DAA"/>
    <w:rsid w:val="00DE7DBE"/>
    <w:rsid w:val="00DF0144"/>
    <w:rsid w:val="00DF0241"/>
    <w:rsid w:val="00DF06C0"/>
    <w:rsid w:val="00DF06D0"/>
    <w:rsid w:val="00DF093E"/>
    <w:rsid w:val="00DF0F11"/>
    <w:rsid w:val="00DF137E"/>
    <w:rsid w:val="00DF1923"/>
    <w:rsid w:val="00DF1B73"/>
    <w:rsid w:val="00DF1EBF"/>
    <w:rsid w:val="00DF2684"/>
    <w:rsid w:val="00DF28EC"/>
    <w:rsid w:val="00DF299D"/>
    <w:rsid w:val="00DF2AD6"/>
    <w:rsid w:val="00DF31FE"/>
    <w:rsid w:val="00DF3220"/>
    <w:rsid w:val="00DF3364"/>
    <w:rsid w:val="00DF35E7"/>
    <w:rsid w:val="00DF3A45"/>
    <w:rsid w:val="00DF3ABA"/>
    <w:rsid w:val="00DF40EA"/>
    <w:rsid w:val="00DF415D"/>
    <w:rsid w:val="00DF4913"/>
    <w:rsid w:val="00DF4C3E"/>
    <w:rsid w:val="00DF4E22"/>
    <w:rsid w:val="00DF4F60"/>
    <w:rsid w:val="00DF50B7"/>
    <w:rsid w:val="00DF577B"/>
    <w:rsid w:val="00DF5A84"/>
    <w:rsid w:val="00DF5F0C"/>
    <w:rsid w:val="00DF60CC"/>
    <w:rsid w:val="00DF621C"/>
    <w:rsid w:val="00DF632F"/>
    <w:rsid w:val="00DF6748"/>
    <w:rsid w:val="00DF681D"/>
    <w:rsid w:val="00DF68B9"/>
    <w:rsid w:val="00DF6ED9"/>
    <w:rsid w:val="00DF702F"/>
    <w:rsid w:val="00DF70CB"/>
    <w:rsid w:val="00DF7349"/>
    <w:rsid w:val="00DF7851"/>
    <w:rsid w:val="00DF7CE5"/>
    <w:rsid w:val="00DF7F3F"/>
    <w:rsid w:val="00E000B5"/>
    <w:rsid w:val="00E00616"/>
    <w:rsid w:val="00E0065F"/>
    <w:rsid w:val="00E00C75"/>
    <w:rsid w:val="00E00C7D"/>
    <w:rsid w:val="00E00D09"/>
    <w:rsid w:val="00E00F36"/>
    <w:rsid w:val="00E00F4C"/>
    <w:rsid w:val="00E0108D"/>
    <w:rsid w:val="00E01228"/>
    <w:rsid w:val="00E01988"/>
    <w:rsid w:val="00E01B44"/>
    <w:rsid w:val="00E01C8D"/>
    <w:rsid w:val="00E01D1D"/>
    <w:rsid w:val="00E0288B"/>
    <w:rsid w:val="00E02892"/>
    <w:rsid w:val="00E02A35"/>
    <w:rsid w:val="00E02CF0"/>
    <w:rsid w:val="00E02D6B"/>
    <w:rsid w:val="00E0301C"/>
    <w:rsid w:val="00E035D9"/>
    <w:rsid w:val="00E03772"/>
    <w:rsid w:val="00E039EE"/>
    <w:rsid w:val="00E03A03"/>
    <w:rsid w:val="00E03B94"/>
    <w:rsid w:val="00E03E3C"/>
    <w:rsid w:val="00E04381"/>
    <w:rsid w:val="00E043DA"/>
    <w:rsid w:val="00E04624"/>
    <w:rsid w:val="00E04DA5"/>
    <w:rsid w:val="00E051E3"/>
    <w:rsid w:val="00E054BE"/>
    <w:rsid w:val="00E0605F"/>
    <w:rsid w:val="00E060DE"/>
    <w:rsid w:val="00E0611F"/>
    <w:rsid w:val="00E0624E"/>
    <w:rsid w:val="00E06588"/>
    <w:rsid w:val="00E06589"/>
    <w:rsid w:val="00E0671F"/>
    <w:rsid w:val="00E06F00"/>
    <w:rsid w:val="00E0713A"/>
    <w:rsid w:val="00E072EF"/>
    <w:rsid w:val="00E07477"/>
    <w:rsid w:val="00E07842"/>
    <w:rsid w:val="00E07D83"/>
    <w:rsid w:val="00E07FC4"/>
    <w:rsid w:val="00E10095"/>
    <w:rsid w:val="00E10249"/>
    <w:rsid w:val="00E1024D"/>
    <w:rsid w:val="00E1050B"/>
    <w:rsid w:val="00E107C8"/>
    <w:rsid w:val="00E107D1"/>
    <w:rsid w:val="00E108A7"/>
    <w:rsid w:val="00E10E7B"/>
    <w:rsid w:val="00E11059"/>
    <w:rsid w:val="00E110A1"/>
    <w:rsid w:val="00E11127"/>
    <w:rsid w:val="00E11189"/>
    <w:rsid w:val="00E1138B"/>
    <w:rsid w:val="00E114BD"/>
    <w:rsid w:val="00E1155F"/>
    <w:rsid w:val="00E1177B"/>
    <w:rsid w:val="00E11AED"/>
    <w:rsid w:val="00E11DB4"/>
    <w:rsid w:val="00E12360"/>
    <w:rsid w:val="00E123E8"/>
    <w:rsid w:val="00E12446"/>
    <w:rsid w:val="00E12905"/>
    <w:rsid w:val="00E12C7A"/>
    <w:rsid w:val="00E12E14"/>
    <w:rsid w:val="00E136E3"/>
    <w:rsid w:val="00E137FE"/>
    <w:rsid w:val="00E13BD9"/>
    <w:rsid w:val="00E14040"/>
    <w:rsid w:val="00E14815"/>
    <w:rsid w:val="00E14F94"/>
    <w:rsid w:val="00E151BD"/>
    <w:rsid w:val="00E152A8"/>
    <w:rsid w:val="00E15410"/>
    <w:rsid w:val="00E15469"/>
    <w:rsid w:val="00E158C0"/>
    <w:rsid w:val="00E15B0D"/>
    <w:rsid w:val="00E15DF1"/>
    <w:rsid w:val="00E15E7C"/>
    <w:rsid w:val="00E15EFC"/>
    <w:rsid w:val="00E16571"/>
    <w:rsid w:val="00E1668C"/>
    <w:rsid w:val="00E16A41"/>
    <w:rsid w:val="00E16AC6"/>
    <w:rsid w:val="00E16C69"/>
    <w:rsid w:val="00E16D9C"/>
    <w:rsid w:val="00E173FD"/>
    <w:rsid w:val="00E17632"/>
    <w:rsid w:val="00E17A66"/>
    <w:rsid w:val="00E17C18"/>
    <w:rsid w:val="00E200FD"/>
    <w:rsid w:val="00E20240"/>
    <w:rsid w:val="00E208A8"/>
    <w:rsid w:val="00E20CF0"/>
    <w:rsid w:val="00E20FA8"/>
    <w:rsid w:val="00E212F6"/>
    <w:rsid w:val="00E214FA"/>
    <w:rsid w:val="00E21A9D"/>
    <w:rsid w:val="00E21EFE"/>
    <w:rsid w:val="00E220B4"/>
    <w:rsid w:val="00E223E7"/>
    <w:rsid w:val="00E22496"/>
    <w:rsid w:val="00E22805"/>
    <w:rsid w:val="00E228DA"/>
    <w:rsid w:val="00E22A0F"/>
    <w:rsid w:val="00E22E64"/>
    <w:rsid w:val="00E22E97"/>
    <w:rsid w:val="00E22EE8"/>
    <w:rsid w:val="00E23017"/>
    <w:rsid w:val="00E230B4"/>
    <w:rsid w:val="00E233F7"/>
    <w:rsid w:val="00E23585"/>
    <w:rsid w:val="00E2371B"/>
    <w:rsid w:val="00E23724"/>
    <w:rsid w:val="00E2397A"/>
    <w:rsid w:val="00E2399E"/>
    <w:rsid w:val="00E23B68"/>
    <w:rsid w:val="00E23CC6"/>
    <w:rsid w:val="00E247DC"/>
    <w:rsid w:val="00E24938"/>
    <w:rsid w:val="00E24BB9"/>
    <w:rsid w:val="00E24D47"/>
    <w:rsid w:val="00E2500A"/>
    <w:rsid w:val="00E253EF"/>
    <w:rsid w:val="00E25417"/>
    <w:rsid w:val="00E2542E"/>
    <w:rsid w:val="00E25649"/>
    <w:rsid w:val="00E258C8"/>
    <w:rsid w:val="00E259A9"/>
    <w:rsid w:val="00E25AEB"/>
    <w:rsid w:val="00E262C7"/>
    <w:rsid w:val="00E2652C"/>
    <w:rsid w:val="00E26577"/>
    <w:rsid w:val="00E2660C"/>
    <w:rsid w:val="00E26C9A"/>
    <w:rsid w:val="00E26E58"/>
    <w:rsid w:val="00E26ED2"/>
    <w:rsid w:val="00E27348"/>
    <w:rsid w:val="00E2734B"/>
    <w:rsid w:val="00E27550"/>
    <w:rsid w:val="00E276BA"/>
    <w:rsid w:val="00E27737"/>
    <w:rsid w:val="00E27775"/>
    <w:rsid w:val="00E27A55"/>
    <w:rsid w:val="00E27A88"/>
    <w:rsid w:val="00E27AD4"/>
    <w:rsid w:val="00E27AFF"/>
    <w:rsid w:val="00E301C9"/>
    <w:rsid w:val="00E3026A"/>
    <w:rsid w:val="00E305EE"/>
    <w:rsid w:val="00E30622"/>
    <w:rsid w:val="00E3064E"/>
    <w:rsid w:val="00E30C6C"/>
    <w:rsid w:val="00E311D2"/>
    <w:rsid w:val="00E313E0"/>
    <w:rsid w:val="00E3160A"/>
    <w:rsid w:val="00E316AB"/>
    <w:rsid w:val="00E316F7"/>
    <w:rsid w:val="00E318F8"/>
    <w:rsid w:val="00E319E9"/>
    <w:rsid w:val="00E31A08"/>
    <w:rsid w:val="00E31B73"/>
    <w:rsid w:val="00E31BA2"/>
    <w:rsid w:val="00E31C5D"/>
    <w:rsid w:val="00E31CA2"/>
    <w:rsid w:val="00E321C5"/>
    <w:rsid w:val="00E32222"/>
    <w:rsid w:val="00E3251A"/>
    <w:rsid w:val="00E32C56"/>
    <w:rsid w:val="00E32DB8"/>
    <w:rsid w:val="00E32ED0"/>
    <w:rsid w:val="00E331B5"/>
    <w:rsid w:val="00E33273"/>
    <w:rsid w:val="00E335D1"/>
    <w:rsid w:val="00E33758"/>
    <w:rsid w:val="00E33866"/>
    <w:rsid w:val="00E339CB"/>
    <w:rsid w:val="00E33BEB"/>
    <w:rsid w:val="00E33C88"/>
    <w:rsid w:val="00E33D5D"/>
    <w:rsid w:val="00E33E65"/>
    <w:rsid w:val="00E3420D"/>
    <w:rsid w:val="00E3442B"/>
    <w:rsid w:val="00E344B6"/>
    <w:rsid w:val="00E345E9"/>
    <w:rsid w:val="00E346D2"/>
    <w:rsid w:val="00E34A1B"/>
    <w:rsid w:val="00E34A8D"/>
    <w:rsid w:val="00E34AB7"/>
    <w:rsid w:val="00E34C31"/>
    <w:rsid w:val="00E34EFD"/>
    <w:rsid w:val="00E354A4"/>
    <w:rsid w:val="00E35677"/>
    <w:rsid w:val="00E35703"/>
    <w:rsid w:val="00E35837"/>
    <w:rsid w:val="00E35DFE"/>
    <w:rsid w:val="00E35FEA"/>
    <w:rsid w:val="00E362D6"/>
    <w:rsid w:val="00E36555"/>
    <w:rsid w:val="00E366A0"/>
    <w:rsid w:val="00E366B1"/>
    <w:rsid w:val="00E368F8"/>
    <w:rsid w:val="00E36953"/>
    <w:rsid w:val="00E36B1E"/>
    <w:rsid w:val="00E3734D"/>
    <w:rsid w:val="00E37857"/>
    <w:rsid w:val="00E37FDE"/>
    <w:rsid w:val="00E3D857"/>
    <w:rsid w:val="00E4017B"/>
    <w:rsid w:val="00E4041A"/>
    <w:rsid w:val="00E404D2"/>
    <w:rsid w:val="00E40579"/>
    <w:rsid w:val="00E408A5"/>
    <w:rsid w:val="00E40CEB"/>
    <w:rsid w:val="00E40F82"/>
    <w:rsid w:val="00E41370"/>
    <w:rsid w:val="00E4148A"/>
    <w:rsid w:val="00E41924"/>
    <w:rsid w:val="00E41B85"/>
    <w:rsid w:val="00E41CB7"/>
    <w:rsid w:val="00E41D00"/>
    <w:rsid w:val="00E4235C"/>
    <w:rsid w:val="00E42414"/>
    <w:rsid w:val="00E42641"/>
    <w:rsid w:val="00E42736"/>
    <w:rsid w:val="00E42B72"/>
    <w:rsid w:val="00E42BF6"/>
    <w:rsid w:val="00E42D1C"/>
    <w:rsid w:val="00E43184"/>
    <w:rsid w:val="00E43226"/>
    <w:rsid w:val="00E43F3B"/>
    <w:rsid w:val="00E4405C"/>
    <w:rsid w:val="00E442B9"/>
    <w:rsid w:val="00E444A1"/>
    <w:rsid w:val="00E444B6"/>
    <w:rsid w:val="00E44724"/>
    <w:rsid w:val="00E44AD6"/>
    <w:rsid w:val="00E44E61"/>
    <w:rsid w:val="00E4585E"/>
    <w:rsid w:val="00E45988"/>
    <w:rsid w:val="00E45F90"/>
    <w:rsid w:val="00E4610E"/>
    <w:rsid w:val="00E46678"/>
    <w:rsid w:val="00E46A9E"/>
    <w:rsid w:val="00E46CD5"/>
    <w:rsid w:val="00E47128"/>
    <w:rsid w:val="00E47713"/>
    <w:rsid w:val="00E47F9A"/>
    <w:rsid w:val="00E50096"/>
    <w:rsid w:val="00E500B7"/>
    <w:rsid w:val="00E50288"/>
    <w:rsid w:val="00E503EA"/>
    <w:rsid w:val="00E505BC"/>
    <w:rsid w:val="00E508D7"/>
    <w:rsid w:val="00E50CA3"/>
    <w:rsid w:val="00E51379"/>
    <w:rsid w:val="00E518D7"/>
    <w:rsid w:val="00E519B4"/>
    <w:rsid w:val="00E51A31"/>
    <w:rsid w:val="00E51DE6"/>
    <w:rsid w:val="00E51DF4"/>
    <w:rsid w:val="00E51EAE"/>
    <w:rsid w:val="00E52143"/>
    <w:rsid w:val="00E5257B"/>
    <w:rsid w:val="00E525BB"/>
    <w:rsid w:val="00E527C3"/>
    <w:rsid w:val="00E52B9D"/>
    <w:rsid w:val="00E52D70"/>
    <w:rsid w:val="00E52E27"/>
    <w:rsid w:val="00E52E51"/>
    <w:rsid w:val="00E531D2"/>
    <w:rsid w:val="00E53353"/>
    <w:rsid w:val="00E5337A"/>
    <w:rsid w:val="00E53691"/>
    <w:rsid w:val="00E537D6"/>
    <w:rsid w:val="00E5385D"/>
    <w:rsid w:val="00E53A4D"/>
    <w:rsid w:val="00E5403B"/>
    <w:rsid w:val="00E5426F"/>
    <w:rsid w:val="00E543F8"/>
    <w:rsid w:val="00E5445F"/>
    <w:rsid w:val="00E544B8"/>
    <w:rsid w:val="00E5453F"/>
    <w:rsid w:val="00E5485A"/>
    <w:rsid w:val="00E54A3E"/>
    <w:rsid w:val="00E54E29"/>
    <w:rsid w:val="00E553A1"/>
    <w:rsid w:val="00E55964"/>
    <w:rsid w:val="00E55D3F"/>
    <w:rsid w:val="00E55D5C"/>
    <w:rsid w:val="00E563AF"/>
    <w:rsid w:val="00E56702"/>
    <w:rsid w:val="00E569F7"/>
    <w:rsid w:val="00E56D5C"/>
    <w:rsid w:val="00E57171"/>
    <w:rsid w:val="00E572B2"/>
    <w:rsid w:val="00E57583"/>
    <w:rsid w:val="00E57611"/>
    <w:rsid w:val="00E57840"/>
    <w:rsid w:val="00E60301"/>
    <w:rsid w:val="00E6057F"/>
    <w:rsid w:val="00E6059B"/>
    <w:rsid w:val="00E607D7"/>
    <w:rsid w:val="00E608E7"/>
    <w:rsid w:val="00E60942"/>
    <w:rsid w:val="00E60A4F"/>
    <w:rsid w:val="00E60C35"/>
    <w:rsid w:val="00E60F57"/>
    <w:rsid w:val="00E61115"/>
    <w:rsid w:val="00E61273"/>
    <w:rsid w:val="00E61283"/>
    <w:rsid w:val="00E613AB"/>
    <w:rsid w:val="00E61689"/>
    <w:rsid w:val="00E6195A"/>
    <w:rsid w:val="00E61A0A"/>
    <w:rsid w:val="00E61AF9"/>
    <w:rsid w:val="00E61BED"/>
    <w:rsid w:val="00E61C25"/>
    <w:rsid w:val="00E621E6"/>
    <w:rsid w:val="00E6224A"/>
    <w:rsid w:val="00E62364"/>
    <w:rsid w:val="00E623F7"/>
    <w:rsid w:val="00E625E9"/>
    <w:rsid w:val="00E628F5"/>
    <w:rsid w:val="00E62CCC"/>
    <w:rsid w:val="00E6364E"/>
    <w:rsid w:val="00E63779"/>
    <w:rsid w:val="00E640B1"/>
    <w:rsid w:val="00E6453A"/>
    <w:rsid w:val="00E645B7"/>
    <w:rsid w:val="00E64A7F"/>
    <w:rsid w:val="00E64A9C"/>
    <w:rsid w:val="00E64B30"/>
    <w:rsid w:val="00E64D1D"/>
    <w:rsid w:val="00E65108"/>
    <w:rsid w:val="00E6521C"/>
    <w:rsid w:val="00E652B7"/>
    <w:rsid w:val="00E6557F"/>
    <w:rsid w:val="00E65694"/>
    <w:rsid w:val="00E65C31"/>
    <w:rsid w:val="00E66098"/>
    <w:rsid w:val="00E66224"/>
    <w:rsid w:val="00E66340"/>
    <w:rsid w:val="00E664D4"/>
    <w:rsid w:val="00E66B41"/>
    <w:rsid w:val="00E66C61"/>
    <w:rsid w:val="00E66FFB"/>
    <w:rsid w:val="00E67811"/>
    <w:rsid w:val="00E67C52"/>
    <w:rsid w:val="00E70180"/>
    <w:rsid w:val="00E7048E"/>
    <w:rsid w:val="00E704C7"/>
    <w:rsid w:val="00E70990"/>
    <w:rsid w:val="00E70B58"/>
    <w:rsid w:val="00E71377"/>
    <w:rsid w:val="00E71A7D"/>
    <w:rsid w:val="00E71A89"/>
    <w:rsid w:val="00E71B28"/>
    <w:rsid w:val="00E71F0A"/>
    <w:rsid w:val="00E72294"/>
    <w:rsid w:val="00E72564"/>
    <w:rsid w:val="00E72667"/>
    <w:rsid w:val="00E72A5D"/>
    <w:rsid w:val="00E72BA8"/>
    <w:rsid w:val="00E72C7F"/>
    <w:rsid w:val="00E72F34"/>
    <w:rsid w:val="00E73015"/>
    <w:rsid w:val="00E73201"/>
    <w:rsid w:val="00E73B0B"/>
    <w:rsid w:val="00E73E20"/>
    <w:rsid w:val="00E73E24"/>
    <w:rsid w:val="00E73E4F"/>
    <w:rsid w:val="00E7439F"/>
    <w:rsid w:val="00E7497B"/>
    <w:rsid w:val="00E74CCC"/>
    <w:rsid w:val="00E74DD1"/>
    <w:rsid w:val="00E74F32"/>
    <w:rsid w:val="00E7525A"/>
    <w:rsid w:val="00E75314"/>
    <w:rsid w:val="00E7551F"/>
    <w:rsid w:val="00E75696"/>
    <w:rsid w:val="00E761F3"/>
    <w:rsid w:val="00E76242"/>
    <w:rsid w:val="00E765A1"/>
    <w:rsid w:val="00E7663E"/>
    <w:rsid w:val="00E7692D"/>
    <w:rsid w:val="00E76B5A"/>
    <w:rsid w:val="00E76B61"/>
    <w:rsid w:val="00E76CE2"/>
    <w:rsid w:val="00E76F2E"/>
    <w:rsid w:val="00E774DC"/>
    <w:rsid w:val="00E7751B"/>
    <w:rsid w:val="00E77636"/>
    <w:rsid w:val="00E776C4"/>
    <w:rsid w:val="00E777F1"/>
    <w:rsid w:val="00E77934"/>
    <w:rsid w:val="00E77962"/>
    <w:rsid w:val="00E77AC3"/>
    <w:rsid w:val="00E77D46"/>
    <w:rsid w:val="00E77D6D"/>
    <w:rsid w:val="00E806A9"/>
    <w:rsid w:val="00E80861"/>
    <w:rsid w:val="00E80C69"/>
    <w:rsid w:val="00E80D1C"/>
    <w:rsid w:val="00E810F6"/>
    <w:rsid w:val="00E811F3"/>
    <w:rsid w:val="00E8149D"/>
    <w:rsid w:val="00E81559"/>
    <w:rsid w:val="00E81C5C"/>
    <w:rsid w:val="00E81DCC"/>
    <w:rsid w:val="00E81E17"/>
    <w:rsid w:val="00E81E2B"/>
    <w:rsid w:val="00E82095"/>
    <w:rsid w:val="00E82136"/>
    <w:rsid w:val="00E8224E"/>
    <w:rsid w:val="00E8247B"/>
    <w:rsid w:val="00E8267C"/>
    <w:rsid w:val="00E82680"/>
    <w:rsid w:val="00E827A4"/>
    <w:rsid w:val="00E827C0"/>
    <w:rsid w:val="00E82805"/>
    <w:rsid w:val="00E82A79"/>
    <w:rsid w:val="00E82C2E"/>
    <w:rsid w:val="00E82FE2"/>
    <w:rsid w:val="00E832E6"/>
    <w:rsid w:val="00E83510"/>
    <w:rsid w:val="00E83AAD"/>
    <w:rsid w:val="00E8405A"/>
    <w:rsid w:val="00E840A5"/>
    <w:rsid w:val="00E843E3"/>
    <w:rsid w:val="00E84507"/>
    <w:rsid w:val="00E84718"/>
    <w:rsid w:val="00E84736"/>
    <w:rsid w:val="00E8489F"/>
    <w:rsid w:val="00E84A44"/>
    <w:rsid w:val="00E84D0C"/>
    <w:rsid w:val="00E84DEF"/>
    <w:rsid w:val="00E8527F"/>
    <w:rsid w:val="00E852D5"/>
    <w:rsid w:val="00E858A9"/>
    <w:rsid w:val="00E85B11"/>
    <w:rsid w:val="00E85F7E"/>
    <w:rsid w:val="00E85FEA"/>
    <w:rsid w:val="00E86908"/>
    <w:rsid w:val="00E86CAC"/>
    <w:rsid w:val="00E86CDC"/>
    <w:rsid w:val="00E86DFE"/>
    <w:rsid w:val="00E872D9"/>
    <w:rsid w:val="00E87729"/>
    <w:rsid w:val="00E877F1"/>
    <w:rsid w:val="00E87885"/>
    <w:rsid w:val="00E8789A"/>
    <w:rsid w:val="00E878A1"/>
    <w:rsid w:val="00E87ED0"/>
    <w:rsid w:val="00E87F4D"/>
    <w:rsid w:val="00E900C3"/>
    <w:rsid w:val="00E9045A"/>
    <w:rsid w:val="00E908F1"/>
    <w:rsid w:val="00E90B60"/>
    <w:rsid w:val="00E90BD7"/>
    <w:rsid w:val="00E913EE"/>
    <w:rsid w:val="00E91E08"/>
    <w:rsid w:val="00E92084"/>
    <w:rsid w:val="00E922BB"/>
    <w:rsid w:val="00E927A8"/>
    <w:rsid w:val="00E92EB2"/>
    <w:rsid w:val="00E92F11"/>
    <w:rsid w:val="00E93164"/>
    <w:rsid w:val="00E935F9"/>
    <w:rsid w:val="00E93F73"/>
    <w:rsid w:val="00E9464D"/>
    <w:rsid w:val="00E94C0C"/>
    <w:rsid w:val="00E94CBF"/>
    <w:rsid w:val="00E94F0F"/>
    <w:rsid w:val="00E94F20"/>
    <w:rsid w:val="00E9504B"/>
    <w:rsid w:val="00E95073"/>
    <w:rsid w:val="00E95156"/>
    <w:rsid w:val="00E9522A"/>
    <w:rsid w:val="00E957E3"/>
    <w:rsid w:val="00E9592B"/>
    <w:rsid w:val="00E95A43"/>
    <w:rsid w:val="00E95CE3"/>
    <w:rsid w:val="00E95EBA"/>
    <w:rsid w:val="00E9608A"/>
    <w:rsid w:val="00E96215"/>
    <w:rsid w:val="00E96555"/>
    <w:rsid w:val="00E9669C"/>
    <w:rsid w:val="00E9676D"/>
    <w:rsid w:val="00E9684A"/>
    <w:rsid w:val="00E96E67"/>
    <w:rsid w:val="00E974C7"/>
    <w:rsid w:val="00E9761B"/>
    <w:rsid w:val="00E97831"/>
    <w:rsid w:val="00E97B8A"/>
    <w:rsid w:val="00EA0141"/>
    <w:rsid w:val="00EA021F"/>
    <w:rsid w:val="00EA0674"/>
    <w:rsid w:val="00EA079B"/>
    <w:rsid w:val="00EA097C"/>
    <w:rsid w:val="00EA0A05"/>
    <w:rsid w:val="00EA0A9E"/>
    <w:rsid w:val="00EA0FB3"/>
    <w:rsid w:val="00EA1013"/>
    <w:rsid w:val="00EA1121"/>
    <w:rsid w:val="00EA1325"/>
    <w:rsid w:val="00EA140C"/>
    <w:rsid w:val="00EA1702"/>
    <w:rsid w:val="00EA1A24"/>
    <w:rsid w:val="00EA1B63"/>
    <w:rsid w:val="00EA21E1"/>
    <w:rsid w:val="00EA24B7"/>
    <w:rsid w:val="00EA2822"/>
    <w:rsid w:val="00EA343F"/>
    <w:rsid w:val="00EA38F9"/>
    <w:rsid w:val="00EA39D9"/>
    <w:rsid w:val="00EA39E6"/>
    <w:rsid w:val="00EA3CCA"/>
    <w:rsid w:val="00EA40F2"/>
    <w:rsid w:val="00EA4317"/>
    <w:rsid w:val="00EA4606"/>
    <w:rsid w:val="00EA46B3"/>
    <w:rsid w:val="00EA47F6"/>
    <w:rsid w:val="00EA4C83"/>
    <w:rsid w:val="00EA4FDA"/>
    <w:rsid w:val="00EA56AE"/>
    <w:rsid w:val="00EA57C7"/>
    <w:rsid w:val="00EA5B27"/>
    <w:rsid w:val="00EA5BB6"/>
    <w:rsid w:val="00EA653D"/>
    <w:rsid w:val="00EA6692"/>
    <w:rsid w:val="00EA68C9"/>
    <w:rsid w:val="00EA6991"/>
    <w:rsid w:val="00EA6A20"/>
    <w:rsid w:val="00EA6C7E"/>
    <w:rsid w:val="00EA76AA"/>
    <w:rsid w:val="00EA7908"/>
    <w:rsid w:val="00EA7CD6"/>
    <w:rsid w:val="00EB0240"/>
    <w:rsid w:val="00EB0506"/>
    <w:rsid w:val="00EB08F2"/>
    <w:rsid w:val="00EB1049"/>
    <w:rsid w:val="00EB105E"/>
    <w:rsid w:val="00EB13FA"/>
    <w:rsid w:val="00EB16A5"/>
    <w:rsid w:val="00EB1AFB"/>
    <w:rsid w:val="00EB1DC7"/>
    <w:rsid w:val="00EB1FD4"/>
    <w:rsid w:val="00EB20EC"/>
    <w:rsid w:val="00EB21E4"/>
    <w:rsid w:val="00EB2884"/>
    <w:rsid w:val="00EB2902"/>
    <w:rsid w:val="00EB2EF0"/>
    <w:rsid w:val="00EB30BC"/>
    <w:rsid w:val="00EB333E"/>
    <w:rsid w:val="00EB35BA"/>
    <w:rsid w:val="00EB35E7"/>
    <w:rsid w:val="00EB3CAF"/>
    <w:rsid w:val="00EB408C"/>
    <w:rsid w:val="00EB466B"/>
    <w:rsid w:val="00EB4684"/>
    <w:rsid w:val="00EB48BA"/>
    <w:rsid w:val="00EB4909"/>
    <w:rsid w:val="00EB4935"/>
    <w:rsid w:val="00EB49AA"/>
    <w:rsid w:val="00EB4D96"/>
    <w:rsid w:val="00EB5084"/>
    <w:rsid w:val="00EB51D5"/>
    <w:rsid w:val="00EB52BC"/>
    <w:rsid w:val="00EB52F7"/>
    <w:rsid w:val="00EB554B"/>
    <w:rsid w:val="00EB56BD"/>
    <w:rsid w:val="00EB59DD"/>
    <w:rsid w:val="00EB59E2"/>
    <w:rsid w:val="00EB5AA2"/>
    <w:rsid w:val="00EB5D2F"/>
    <w:rsid w:val="00EB6454"/>
    <w:rsid w:val="00EB656A"/>
    <w:rsid w:val="00EB6601"/>
    <w:rsid w:val="00EB6896"/>
    <w:rsid w:val="00EB6D11"/>
    <w:rsid w:val="00EB6E5D"/>
    <w:rsid w:val="00EB6ED6"/>
    <w:rsid w:val="00EB70A7"/>
    <w:rsid w:val="00EB7360"/>
    <w:rsid w:val="00EB75C9"/>
    <w:rsid w:val="00EB799F"/>
    <w:rsid w:val="00EB7A03"/>
    <w:rsid w:val="00EC004F"/>
    <w:rsid w:val="00EC019E"/>
    <w:rsid w:val="00EC028E"/>
    <w:rsid w:val="00EC04D9"/>
    <w:rsid w:val="00EC04F4"/>
    <w:rsid w:val="00EC0D6B"/>
    <w:rsid w:val="00EC122D"/>
    <w:rsid w:val="00EC1BD8"/>
    <w:rsid w:val="00EC1C4A"/>
    <w:rsid w:val="00EC1E06"/>
    <w:rsid w:val="00EC231A"/>
    <w:rsid w:val="00EC2587"/>
    <w:rsid w:val="00EC27A5"/>
    <w:rsid w:val="00EC27BB"/>
    <w:rsid w:val="00EC27F9"/>
    <w:rsid w:val="00EC2AED"/>
    <w:rsid w:val="00EC3078"/>
    <w:rsid w:val="00EC31C5"/>
    <w:rsid w:val="00EC31DE"/>
    <w:rsid w:val="00EC3237"/>
    <w:rsid w:val="00EC3C69"/>
    <w:rsid w:val="00EC445B"/>
    <w:rsid w:val="00EC47D2"/>
    <w:rsid w:val="00EC4968"/>
    <w:rsid w:val="00EC4C73"/>
    <w:rsid w:val="00EC4E23"/>
    <w:rsid w:val="00EC4EF8"/>
    <w:rsid w:val="00EC4FE5"/>
    <w:rsid w:val="00EC5900"/>
    <w:rsid w:val="00EC5CDA"/>
    <w:rsid w:val="00EC5E34"/>
    <w:rsid w:val="00EC5F57"/>
    <w:rsid w:val="00EC5FAE"/>
    <w:rsid w:val="00EC654F"/>
    <w:rsid w:val="00EC65A5"/>
    <w:rsid w:val="00EC66FA"/>
    <w:rsid w:val="00EC6725"/>
    <w:rsid w:val="00EC68F2"/>
    <w:rsid w:val="00EC69B3"/>
    <w:rsid w:val="00EC6A99"/>
    <w:rsid w:val="00EC6AAD"/>
    <w:rsid w:val="00EC6B87"/>
    <w:rsid w:val="00EC6E32"/>
    <w:rsid w:val="00EC6EE6"/>
    <w:rsid w:val="00EC72D8"/>
    <w:rsid w:val="00EC7384"/>
    <w:rsid w:val="00EC76BE"/>
    <w:rsid w:val="00EC7759"/>
    <w:rsid w:val="00EC7787"/>
    <w:rsid w:val="00EC7944"/>
    <w:rsid w:val="00EC7D82"/>
    <w:rsid w:val="00EC7EB6"/>
    <w:rsid w:val="00ED019C"/>
    <w:rsid w:val="00ED080E"/>
    <w:rsid w:val="00ED0DF7"/>
    <w:rsid w:val="00ED10AD"/>
    <w:rsid w:val="00ED141F"/>
    <w:rsid w:val="00ED17FC"/>
    <w:rsid w:val="00ED180C"/>
    <w:rsid w:val="00ED194C"/>
    <w:rsid w:val="00ED1FCE"/>
    <w:rsid w:val="00ED209D"/>
    <w:rsid w:val="00ED2B19"/>
    <w:rsid w:val="00ED2DAD"/>
    <w:rsid w:val="00ED2ED2"/>
    <w:rsid w:val="00ED2F80"/>
    <w:rsid w:val="00ED32BD"/>
    <w:rsid w:val="00ED36E1"/>
    <w:rsid w:val="00ED3C32"/>
    <w:rsid w:val="00ED4058"/>
    <w:rsid w:val="00ED4278"/>
    <w:rsid w:val="00ED4539"/>
    <w:rsid w:val="00ED4841"/>
    <w:rsid w:val="00ED49D5"/>
    <w:rsid w:val="00ED4CA7"/>
    <w:rsid w:val="00ED4CF7"/>
    <w:rsid w:val="00ED4F48"/>
    <w:rsid w:val="00ED517C"/>
    <w:rsid w:val="00ED5436"/>
    <w:rsid w:val="00ED5506"/>
    <w:rsid w:val="00ED55D6"/>
    <w:rsid w:val="00ED57FC"/>
    <w:rsid w:val="00ED5C65"/>
    <w:rsid w:val="00ED5E32"/>
    <w:rsid w:val="00ED5F13"/>
    <w:rsid w:val="00ED60B4"/>
    <w:rsid w:val="00ED6374"/>
    <w:rsid w:val="00ED6D6C"/>
    <w:rsid w:val="00ED6F94"/>
    <w:rsid w:val="00ED70A5"/>
    <w:rsid w:val="00ED710B"/>
    <w:rsid w:val="00ED7113"/>
    <w:rsid w:val="00ED7B8F"/>
    <w:rsid w:val="00EE011B"/>
    <w:rsid w:val="00EE0183"/>
    <w:rsid w:val="00EE0335"/>
    <w:rsid w:val="00EE04BD"/>
    <w:rsid w:val="00EE0771"/>
    <w:rsid w:val="00EE0805"/>
    <w:rsid w:val="00EE0B1C"/>
    <w:rsid w:val="00EE0BAE"/>
    <w:rsid w:val="00EE0BB3"/>
    <w:rsid w:val="00EE0C0D"/>
    <w:rsid w:val="00EE0E0A"/>
    <w:rsid w:val="00EE11FC"/>
    <w:rsid w:val="00EE1325"/>
    <w:rsid w:val="00EE1381"/>
    <w:rsid w:val="00EE1581"/>
    <w:rsid w:val="00EE1A37"/>
    <w:rsid w:val="00EE1E93"/>
    <w:rsid w:val="00EE1EEF"/>
    <w:rsid w:val="00EE1FA3"/>
    <w:rsid w:val="00EE21A0"/>
    <w:rsid w:val="00EE23B2"/>
    <w:rsid w:val="00EE2575"/>
    <w:rsid w:val="00EE274E"/>
    <w:rsid w:val="00EE28B2"/>
    <w:rsid w:val="00EE29BE"/>
    <w:rsid w:val="00EE2C8E"/>
    <w:rsid w:val="00EE2F4D"/>
    <w:rsid w:val="00EE3544"/>
    <w:rsid w:val="00EE36C8"/>
    <w:rsid w:val="00EE392A"/>
    <w:rsid w:val="00EE3D1A"/>
    <w:rsid w:val="00EE3D5F"/>
    <w:rsid w:val="00EE3E33"/>
    <w:rsid w:val="00EE3FBA"/>
    <w:rsid w:val="00EE41C1"/>
    <w:rsid w:val="00EE483C"/>
    <w:rsid w:val="00EE4978"/>
    <w:rsid w:val="00EE4A68"/>
    <w:rsid w:val="00EE4C27"/>
    <w:rsid w:val="00EE4C90"/>
    <w:rsid w:val="00EE4D3A"/>
    <w:rsid w:val="00EE4F3E"/>
    <w:rsid w:val="00EE5249"/>
    <w:rsid w:val="00EE528A"/>
    <w:rsid w:val="00EE5696"/>
    <w:rsid w:val="00EE5745"/>
    <w:rsid w:val="00EE5BE1"/>
    <w:rsid w:val="00EE5F4D"/>
    <w:rsid w:val="00EE6194"/>
    <w:rsid w:val="00EE66BD"/>
    <w:rsid w:val="00EE687E"/>
    <w:rsid w:val="00EE6BDC"/>
    <w:rsid w:val="00EE6D41"/>
    <w:rsid w:val="00EF09FF"/>
    <w:rsid w:val="00EF0AAE"/>
    <w:rsid w:val="00EF0D55"/>
    <w:rsid w:val="00EF0E8E"/>
    <w:rsid w:val="00EF0ECA"/>
    <w:rsid w:val="00EF110C"/>
    <w:rsid w:val="00EF1384"/>
    <w:rsid w:val="00EF13C2"/>
    <w:rsid w:val="00EF14D7"/>
    <w:rsid w:val="00EF15F5"/>
    <w:rsid w:val="00EF19F3"/>
    <w:rsid w:val="00EF1A9D"/>
    <w:rsid w:val="00EF1DAD"/>
    <w:rsid w:val="00EF2295"/>
    <w:rsid w:val="00EF2769"/>
    <w:rsid w:val="00EF2957"/>
    <w:rsid w:val="00EF2F59"/>
    <w:rsid w:val="00EF2F7C"/>
    <w:rsid w:val="00EF30B3"/>
    <w:rsid w:val="00EF312A"/>
    <w:rsid w:val="00EF3494"/>
    <w:rsid w:val="00EF3514"/>
    <w:rsid w:val="00EF3516"/>
    <w:rsid w:val="00EF363D"/>
    <w:rsid w:val="00EF389B"/>
    <w:rsid w:val="00EF3978"/>
    <w:rsid w:val="00EF3F54"/>
    <w:rsid w:val="00EF40C0"/>
    <w:rsid w:val="00EF462A"/>
    <w:rsid w:val="00EF48EB"/>
    <w:rsid w:val="00EF4BB3"/>
    <w:rsid w:val="00EF4C9C"/>
    <w:rsid w:val="00EF4D68"/>
    <w:rsid w:val="00EF4FCF"/>
    <w:rsid w:val="00EF518F"/>
    <w:rsid w:val="00EF534A"/>
    <w:rsid w:val="00EF53F4"/>
    <w:rsid w:val="00EF57BD"/>
    <w:rsid w:val="00EF584F"/>
    <w:rsid w:val="00EF5BDE"/>
    <w:rsid w:val="00EF5C91"/>
    <w:rsid w:val="00EF5DD7"/>
    <w:rsid w:val="00EF600A"/>
    <w:rsid w:val="00EF6033"/>
    <w:rsid w:val="00EF6450"/>
    <w:rsid w:val="00EF64F3"/>
    <w:rsid w:val="00EF66CF"/>
    <w:rsid w:val="00EF6966"/>
    <w:rsid w:val="00EF6A6D"/>
    <w:rsid w:val="00EF7193"/>
    <w:rsid w:val="00EF72B4"/>
    <w:rsid w:val="00EF74AA"/>
    <w:rsid w:val="00EF76B5"/>
    <w:rsid w:val="00EF7836"/>
    <w:rsid w:val="00EF7BCD"/>
    <w:rsid w:val="00EF7BDB"/>
    <w:rsid w:val="00EF7D15"/>
    <w:rsid w:val="00EF7EC6"/>
    <w:rsid w:val="00EF7F69"/>
    <w:rsid w:val="00F00225"/>
    <w:rsid w:val="00F003EA"/>
    <w:rsid w:val="00F0044F"/>
    <w:rsid w:val="00F004B3"/>
    <w:rsid w:val="00F00766"/>
    <w:rsid w:val="00F0090D"/>
    <w:rsid w:val="00F00B32"/>
    <w:rsid w:val="00F00E3A"/>
    <w:rsid w:val="00F00EB5"/>
    <w:rsid w:val="00F00F34"/>
    <w:rsid w:val="00F0117C"/>
    <w:rsid w:val="00F014BB"/>
    <w:rsid w:val="00F01598"/>
    <w:rsid w:val="00F0176A"/>
    <w:rsid w:val="00F01963"/>
    <w:rsid w:val="00F01F74"/>
    <w:rsid w:val="00F01FEF"/>
    <w:rsid w:val="00F02B16"/>
    <w:rsid w:val="00F02C9A"/>
    <w:rsid w:val="00F02CBC"/>
    <w:rsid w:val="00F02E52"/>
    <w:rsid w:val="00F030A1"/>
    <w:rsid w:val="00F030A6"/>
    <w:rsid w:val="00F03670"/>
    <w:rsid w:val="00F0395B"/>
    <w:rsid w:val="00F03DFD"/>
    <w:rsid w:val="00F03F04"/>
    <w:rsid w:val="00F04327"/>
    <w:rsid w:val="00F04A3F"/>
    <w:rsid w:val="00F04DC2"/>
    <w:rsid w:val="00F04E58"/>
    <w:rsid w:val="00F04EC7"/>
    <w:rsid w:val="00F0523C"/>
    <w:rsid w:val="00F054E7"/>
    <w:rsid w:val="00F0590C"/>
    <w:rsid w:val="00F05A3E"/>
    <w:rsid w:val="00F05AF9"/>
    <w:rsid w:val="00F05B92"/>
    <w:rsid w:val="00F05D2E"/>
    <w:rsid w:val="00F05DFA"/>
    <w:rsid w:val="00F05F89"/>
    <w:rsid w:val="00F05FBB"/>
    <w:rsid w:val="00F067B4"/>
    <w:rsid w:val="00F06D7A"/>
    <w:rsid w:val="00F07010"/>
    <w:rsid w:val="00F0715E"/>
    <w:rsid w:val="00F0727E"/>
    <w:rsid w:val="00F073C1"/>
    <w:rsid w:val="00F07A17"/>
    <w:rsid w:val="00F07EB6"/>
    <w:rsid w:val="00F07FF2"/>
    <w:rsid w:val="00F100F8"/>
    <w:rsid w:val="00F10479"/>
    <w:rsid w:val="00F104F1"/>
    <w:rsid w:val="00F10675"/>
    <w:rsid w:val="00F1081E"/>
    <w:rsid w:val="00F1083B"/>
    <w:rsid w:val="00F108C7"/>
    <w:rsid w:val="00F10BA3"/>
    <w:rsid w:val="00F10F45"/>
    <w:rsid w:val="00F11087"/>
    <w:rsid w:val="00F113B0"/>
    <w:rsid w:val="00F11544"/>
    <w:rsid w:val="00F115EB"/>
    <w:rsid w:val="00F11827"/>
    <w:rsid w:val="00F118BD"/>
    <w:rsid w:val="00F11A5B"/>
    <w:rsid w:val="00F11CC8"/>
    <w:rsid w:val="00F1207A"/>
    <w:rsid w:val="00F12123"/>
    <w:rsid w:val="00F125EA"/>
    <w:rsid w:val="00F126AD"/>
    <w:rsid w:val="00F1320B"/>
    <w:rsid w:val="00F13762"/>
    <w:rsid w:val="00F13860"/>
    <w:rsid w:val="00F139F4"/>
    <w:rsid w:val="00F13A69"/>
    <w:rsid w:val="00F13C3C"/>
    <w:rsid w:val="00F13DFA"/>
    <w:rsid w:val="00F14F3C"/>
    <w:rsid w:val="00F15146"/>
    <w:rsid w:val="00F1565F"/>
    <w:rsid w:val="00F15AEF"/>
    <w:rsid w:val="00F15F08"/>
    <w:rsid w:val="00F163FB"/>
    <w:rsid w:val="00F164D7"/>
    <w:rsid w:val="00F169D9"/>
    <w:rsid w:val="00F16A65"/>
    <w:rsid w:val="00F16F3B"/>
    <w:rsid w:val="00F172F4"/>
    <w:rsid w:val="00F17C4A"/>
    <w:rsid w:val="00F17DCA"/>
    <w:rsid w:val="00F17F45"/>
    <w:rsid w:val="00F200C4"/>
    <w:rsid w:val="00F20270"/>
    <w:rsid w:val="00F209DA"/>
    <w:rsid w:val="00F215CB"/>
    <w:rsid w:val="00F215F4"/>
    <w:rsid w:val="00F2164E"/>
    <w:rsid w:val="00F21770"/>
    <w:rsid w:val="00F21787"/>
    <w:rsid w:val="00F21D65"/>
    <w:rsid w:val="00F21DB1"/>
    <w:rsid w:val="00F21F74"/>
    <w:rsid w:val="00F22049"/>
    <w:rsid w:val="00F22127"/>
    <w:rsid w:val="00F2219A"/>
    <w:rsid w:val="00F229CB"/>
    <w:rsid w:val="00F230AD"/>
    <w:rsid w:val="00F23423"/>
    <w:rsid w:val="00F23E92"/>
    <w:rsid w:val="00F23F48"/>
    <w:rsid w:val="00F240FE"/>
    <w:rsid w:val="00F2433E"/>
    <w:rsid w:val="00F24643"/>
    <w:rsid w:val="00F24B7F"/>
    <w:rsid w:val="00F24FE5"/>
    <w:rsid w:val="00F25045"/>
    <w:rsid w:val="00F2570B"/>
    <w:rsid w:val="00F257AA"/>
    <w:rsid w:val="00F25AB8"/>
    <w:rsid w:val="00F25B65"/>
    <w:rsid w:val="00F25E7A"/>
    <w:rsid w:val="00F261FD"/>
    <w:rsid w:val="00F263C6"/>
    <w:rsid w:val="00F2640E"/>
    <w:rsid w:val="00F264A5"/>
    <w:rsid w:val="00F26531"/>
    <w:rsid w:val="00F26670"/>
    <w:rsid w:val="00F269E6"/>
    <w:rsid w:val="00F26B69"/>
    <w:rsid w:val="00F26F0B"/>
    <w:rsid w:val="00F26FCC"/>
    <w:rsid w:val="00F27082"/>
    <w:rsid w:val="00F270CC"/>
    <w:rsid w:val="00F27185"/>
    <w:rsid w:val="00F27227"/>
    <w:rsid w:val="00F27238"/>
    <w:rsid w:val="00F27347"/>
    <w:rsid w:val="00F274AA"/>
    <w:rsid w:val="00F27839"/>
    <w:rsid w:val="00F27AFB"/>
    <w:rsid w:val="00F27BAB"/>
    <w:rsid w:val="00F27E6F"/>
    <w:rsid w:val="00F300F7"/>
    <w:rsid w:val="00F3038A"/>
    <w:rsid w:val="00F304BC"/>
    <w:rsid w:val="00F3051A"/>
    <w:rsid w:val="00F309E1"/>
    <w:rsid w:val="00F30B0C"/>
    <w:rsid w:val="00F30B5A"/>
    <w:rsid w:val="00F30B9B"/>
    <w:rsid w:val="00F30C03"/>
    <w:rsid w:val="00F30D33"/>
    <w:rsid w:val="00F30F1D"/>
    <w:rsid w:val="00F31484"/>
    <w:rsid w:val="00F314AA"/>
    <w:rsid w:val="00F314FD"/>
    <w:rsid w:val="00F319D5"/>
    <w:rsid w:val="00F31B36"/>
    <w:rsid w:val="00F31F27"/>
    <w:rsid w:val="00F3220C"/>
    <w:rsid w:val="00F323DC"/>
    <w:rsid w:val="00F323F2"/>
    <w:rsid w:val="00F328A1"/>
    <w:rsid w:val="00F32EEE"/>
    <w:rsid w:val="00F33076"/>
    <w:rsid w:val="00F33182"/>
    <w:rsid w:val="00F338E6"/>
    <w:rsid w:val="00F33CCE"/>
    <w:rsid w:val="00F33DA5"/>
    <w:rsid w:val="00F33FB5"/>
    <w:rsid w:val="00F34398"/>
    <w:rsid w:val="00F3446E"/>
    <w:rsid w:val="00F345B8"/>
    <w:rsid w:val="00F3465F"/>
    <w:rsid w:val="00F34728"/>
    <w:rsid w:val="00F34FE0"/>
    <w:rsid w:val="00F35045"/>
    <w:rsid w:val="00F350D5"/>
    <w:rsid w:val="00F35304"/>
    <w:rsid w:val="00F35632"/>
    <w:rsid w:val="00F356F9"/>
    <w:rsid w:val="00F35961"/>
    <w:rsid w:val="00F35D51"/>
    <w:rsid w:val="00F35E53"/>
    <w:rsid w:val="00F36108"/>
    <w:rsid w:val="00F36329"/>
    <w:rsid w:val="00F363D9"/>
    <w:rsid w:val="00F366DB"/>
    <w:rsid w:val="00F367AB"/>
    <w:rsid w:val="00F36952"/>
    <w:rsid w:val="00F3722A"/>
    <w:rsid w:val="00F37735"/>
    <w:rsid w:val="00F37D7E"/>
    <w:rsid w:val="00F37DF1"/>
    <w:rsid w:val="00F37E6A"/>
    <w:rsid w:val="00F4056D"/>
    <w:rsid w:val="00F405D1"/>
    <w:rsid w:val="00F40710"/>
    <w:rsid w:val="00F40856"/>
    <w:rsid w:val="00F40C47"/>
    <w:rsid w:val="00F40CE3"/>
    <w:rsid w:val="00F40F98"/>
    <w:rsid w:val="00F41550"/>
    <w:rsid w:val="00F41657"/>
    <w:rsid w:val="00F419F8"/>
    <w:rsid w:val="00F41ACE"/>
    <w:rsid w:val="00F41C7A"/>
    <w:rsid w:val="00F41E5B"/>
    <w:rsid w:val="00F41F41"/>
    <w:rsid w:val="00F42029"/>
    <w:rsid w:val="00F421EC"/>
    <w:rsid w:val="00F43115"/>
    <w:rsid w:val="00F4317F"/>
    <w:rsid w:val="00F43A5A"/>
    <w:rsid w:val="00F43B4E"/>
    <w:rsid w:val="00F43C09"/>
    <w:rsid w:val="00F43C40"/>
    <w:rsid w:val="00F43F12"/>
    <w:rsid w:val="00F43FC7"/>
    <w:rsid w:val="00F4419A"/>
    <w:rsid w:val="00F44213"/>
    <w:rsid w:val="00F44247"/>
    <w:rsid w:val="00F4458D"/>
    <w:rsid w:val="00F44604"/>
    <w:rsid w:val="00F447AE"/>
    <w:rsid w:val="00F44FE7"/>
    <w:rsid w:val="00F4523C"/>
    <w:rsid w:val="00F45342"/>
    <w:rsid w:val="00F45759"/>
    <w:rsid w:val="00F45912"/>
    <w:rsid w:val="00F45C9A"/>
    <w:rsid w:val="00F464E1"/>
    <w:rsid w:val="00F4652E"/>
    <w:rsid w:val="00F466EB"/>
    <w:rsid w:val="00F467F3"/>
    <w:rsid w:val="00F469D8"/>
    <w:rsid w:val="00F46ACC"/>
    <w:rsid w:val="00F46BCB"/>
    <w:rsid w:val="00F46C08"/>
    <w:rsid w:val="00F46FEB"/>
    <w:rsid w:val="00F472C3"/>
    <w:rsid w:val="00F47443"/>
    <w:rsid w:val="00F4770F"/>
    <w:rsid w:val="00F47BB4"/>
    <w:rsid w:val="00F47D20"/>
    <w:rsid w:val="00F47DE1"/>
    <w:rsid w:val="00F5005B"/>
    <w:rsid w:val="00F5006C"/>
    <w:rsid w:val="00F502F9"/>
    <w:rsid w:val="00F50315"/>
    <w:rsid w:val="00F504ED"/>
    <w:rsid w:val="00F507A6"/>
    <w:rsid w:val="00F5092C"/>
    <w:rsid w:val="00F50A64"/>
    <w:rsid w:val="00F50CE6"/>
    <w:rsid w:val="00F50F04"/>
    <w:rsid w:val="00F50F38"/>
    <w:rsid w:val="00F514B8"/>
    <w:rsid w:val="00F515F1"/>
    <w:rsid w:val="00F51821"/>
    <w:rsid w:val="00F5192A"/>
    <w:rsid w:val="00F51C26"/>
    <w:rsid w:val="00F51CDF"/>
    <w:rsid w:val="00F520F3"/>
    <w:rsid w:val="00F52441"/>
    <w:rsid w:val="00F5249A"/>
    <w:rsid w:val="00F524CD"/>
    <w:rsid w:val="00F52877"/>
    <w:rsid w:val="00F52CE8"/>
    <w:rsid w:val="00F52D62"/>
    <w:rsid w:val="00F52FF5"/>
    <w:rsid w:val="00F5317C"/>
    <w:rsid w:val="00F53379"/>
    <w:rsid w:val="00F534CC"/>
    <w:rsid w:val="00F5355D"/>
    <w:rsid w:val="00F5370A"/>
    <w:rsid w:val="00F53AC6"/>
    <w:rsid w:val="00F53F97"/>
    <w:rsid w:val="00F53FD5"/>
    <w:rsid w:val="00F54625"/>
    <w:rsid w:val="00F54C07"/>
    <w:rsid w:val="00F54CD3"/>
    <w:rsid w:val="00F54EE6"/>
    <w:rsid w:val="00F54F0C"/>
    <w:rsid w:val="00F54FAF"/>
    <w:rsid w:val="00F550C5"/>
    <w:rsid w:val="00F550D1"/>
    <w:rsid w:val="00F55401"/>
    <w:rsid w:val="00F554F4"/>
    <w:rsid w:val="00F5570A"/>
    <w:rsid w:val="00F5586B"/>
    <w:rsid w:val="00F55A76"/>
    <w:rsid w:val="00F56177"/>
    <w:rsid w:val="00F561E1"/>
    <w:rsid w:val="00F5627F"/>
    <w:rsid w:val="00F5632D"/>
    <w:rsid w:val="00F563A1"/>
    <w:rsid w:val="00F563AF"/>
    <w:rsid w:val="00F56A26"/>
    <w:rsid w:val="00F56B96"/>
    <w:rsid w:val="00F56E51"/>
    <w:rsid w:val="00F57103"/>
    <w:rsid w:val="00F5724F"/>
    <w:rsid w:val="00F5751B"/>
    <w:rsid w:val="00F57B63"/>
    <w:rsid w:val="00F600DA"/>
    <w:rsid w:val="00F60300"/>
    <w:rsid w:val="00F60366"/>
    <w:rsid w:val="00F6063F"/>
    <w:rsid w:val="00F60665"/>
    <w:rsid w:val="00F60739"/>
    <w:rsid w:val="00F607C5"/>
    <w:rsid w:val="00F60978"/>
    <w:rsid w:val="00F6123D"/>
    <w:rsid w:val="00F61C19"/>
    <w:rsid w:val="00F61CF6"/>
    <w:rsid w:val="00F622EF"/>
    <w:rsid w:val="00F625DE"/>
    <w:rsid w:val="00F6261B"/>
    <w:rsid w:val="00F62B78"/>
    <w:rsid w:val="00F62BD8"/>
    <w:rsid w:val="00F62D22"/>
    <w:rsid w:val="00F62D9F"/>
    <w:rsid w:val="00F62EB0"/>
    <w:rsid w:val="00F62EBE"/>
    <w:rsid w:val="00F62F68"/>
    <w:rsid w:val="00F631A2"/>
    <w:rsid w:val="00F631F4"/>
    <w:rsid w:val="00F6337B"/>
    <w:rsid w:val="00F6363B"/>
    <w:rsid w:val="00F63688"/>
    <w:rsid w:val="00F636C7"/>
    <w:rsid w:val="00F637FF"/>
    <w:rsid w:val="00F6386F"/>
    <w:rsid w:val="00F63B1C"/>
    <w:rsid w:val="00F6412B"/>
    <w:rsid w:val="00F64249"/>
    <w:rsid w:val="00F642A9"/>
    <w:rsid w:val="00F64465"/>
    <w:rsid w:val="00F6453B"/>
    <w:rsid w:val="00F64702"/>
    <w:rsid w:val="00F64A56"/>
    <w:rsid w:val="00F6516F"/>
    <w:rsid w:val="00F6520A"/>
    <w:rsid w:val="00F657F6"/>
    <w:rsid w:val="00F659EA"/>
    <w:rsid w:val="00F65A78"/>
    <w:rsid w:val="00F65A7F"/>
    <w:rsid w:val="00F65E86"/>
    <w:rsid w:val="00F66672"/>
    <w:rsid w:val="00F6682B"/>
    <w:rsid w:val="00F66947"/>
    <w:rsid w:val="00F66BEB"/>
    <w:rsid w:val="00F66BFD"/>
    <w:rsid w:val="00F66CC0"/>
    <w:rsid w:val="00F66E55"/>
    <w:rsid w:val="00F66EE7"/>
    <w:rsid w:val="00F66FCA"/>
    <w:rsid w:val="00F6737C"/>
    <w:rsid w:val="00F67821"/>
    <w:rsid w:val="00F6787A"/>
    <w:rsid w:val="00F67CA9"/>
    <w:rsid w:val="00F67F89"/>
    <w:rsid w:val="00F702C5"/>
    <w:rsid w:val="00F7034E"/>
    <w:rsid w:val="00F7079B"/>
    <w:rsid w:val="00F70A1B"/>
    <w:rsid w:val="00F70AEE"/>
    <w:rsid w:val="00F70B08"/>
    <w:rsid w:val="00F70C82"/>
    <w:rsid w:val="00F70DCF"/>
    <w:rsid w:val="00F71002"/>
    <w:rsid w:val="00F71115"/>
    <w:rsid w:val="00F71122"/>
    <w:rsid w:val="00F713C6"/>
    <w:rsid w:val="00F7148D"/>
    <w:rsid w:val="00F71685"/>
    <w:rsid w:val="00F716BA"/>
    <w:rsid w:val="00F71799"/>
    <w:rsid w:val="00F71A23"/>
    <w:rsid w:val="00F71D59"/>
    <w:rsid w:val="00F71EC3"/>
    <w:rsid w:val="00F72222"/>
    <w:rsid w:val="00F722DE"/>
    <w:rsid w:val="00F72405"/>
    <w:rsid w:val="00F72451"/>
    <w:rsid w:val="00F72487"/>
    <w:rsid w:val="00F72A49"/>
    <w:rsid w:val="00F72AAA"/>
    <w:rsid w:val="00F72C96"/>
    <w:rsid w:val="00F7349F"/>
    <w:rsid w:val="00F737F7"/>
    <w:rsid w:val="00F73887"/>
    <w:rsid w:val="00F738B1"/>
    <w:rsid w:val="00F73D02"/>
    <w:rsid w:val="00F7405F"/>
    <w:rsid w:val="00F74324"/>
    <w:rsid w:val="00F7434F"/>
    <w:rsid w:val="00F745E2"/>
    <w:rsid w:val="00F74E97"/>
    <w:rsid w:val="00F75129"/>
    <w:rsid w:val="00F752FA"/>
    <w:rsid w:val="00F756CA"/>
    <w:rsid w:val="00F7573E"/>
    <w:rsid w:val="00F7582C"/>
    <w:rsid w:val="00F759A3"/>
    <w:rsid w:val="00F75D1A"/>
    <w:rsid w:val="00F7626F"/>
    <w:rsid w:val="00F764EC"/>
    <w:rsid w:val="00F76BA9"/>
    <w:rsid w:val="00F7743E"/>
    <w:rsid w:val="00F775EC"/>
    <w:rsid w:val="00F77693"/>
    <w:rsid w:val="00F77985"/>
    <w:rsid w:val="00F77CBD"/>
    <w:rsid w:val="00F8099B"/>
    <w:rsid w:val="00F80F28"/>
    <w:rsid w:val="00F80FB0"/>
    <w:rsid w:val="00F810F7"/>
    <w:rsid w:val="00F81122"/>
    <w:rsid w:val="00F813D1"/>
    <w:rsid w:val="00F815E1"/>
    <w:rsid w:val="00F81AD8"/>
    <w:rsid w:val="00F81AEF"/>
    <w:rsid w:val="00F81B4F"/>
    <w:rsid w:val="00F81BD5"/>
    <w:rsid w:val="00F827D6"/>
    <w:rsid w:val="00F827F4"/>
    <w:rsid w:val="00F82845"/>
    <w:rsid w:val="00F82A86"/>
    <w:rsid w:val="00F82C3A"/>
    <w:rsid w:val="00F82CDD"/>
    <w:rsid w:val="00F82F3C"/>
    <w:rsid w:val="00F82F59"/>
    <w:rsid w:val="00F83036"/>
    <w:rsid w:val="00F8369A"/>
    <w:rsid w:val="00F83743"/>
    <w:rsid w:val="00F83791"/>
    <w:rsid w:val="00F83A82"/>
    <w:rsid w:val="00F841CB"/>
    <w:rsid w:val="00F8422A"/>
    <w:rsid w:val="00F8480D"/>
    <w:rsid w:val="00F849A4"/>
    <w:rsid w:val="00F84AE7"/>
    <w:rsid w:val="00F84C98"/>
    <w:rsid w:val="00F8504A"/>
    <w:rsid w:val="00F852E0"/>
    <w:rsid w:val="00F857B6"/>
    <w:rsid w:val="00F85879"/>
    <w:rsid w:val="00F85E5C"/>
    <w:rsid w:val="00F860C6"/>
    <w:rsid w:val="00F86251"/>
    <w:rsid w:val="00F86276"/>
    <w:rsid w:val="00F8644F"/>
    <w:rsid w:val="00F864F9"/>
    <w:rsid w:val="00F867BD"/>
    <w:rsid w:val="00F8682C"/>
    <w:rsid w:val="00F86A73"/>
    <w:rsid w:val="00F87B6D"/>
    <w:rsid w:val="00F87ED0"/>
    <w:rsid w:val="00F9005F"/>
    <w:rsid w:val="00F90223"/>
    <w:rsid w:val="00F906EC"/>
    <w:rsid w:val="00F90964"/>
    <w:rsid w:val="00F90AAE"/>
    <w:rsid w:val="00F90C23"/>
    <w:rsid w:val="00F90D24"/>
    <w:rsid w:val="00F91109"/>
    <w:rsid w:val="00F9116C"/>
    <w:rsid w:val="00F911F7"/>
    <w:rsid w:val="00F91203"/>
    <w:rsid w:val="00F91503"/>
    <w:rsid w:val="00F91610"/>
    <w:rsid w:val="00F91952"/>
    <w:rsid w:val="00F91BAE"/>
    <w:rsid w:val="00F91BE6"/>
    <w:rsid w:val="00F91EE1"/>
    <w:rsid w:val="00F91F47"/>
    <w:rsid w:val="00F920DB"/>
    <w:rsid w:val="00F9213A"/>
    <w:rsid w:val="00F92274"/>
    <w:rsid w:val="00F92736"/>
    <w:rsid w:val="00F92BF9"/>
    <w:rsid w:val="00F92DE6"/>
    <w:rsid w:val="00F9307B"/>
    <w:rsid w:val="00F930D3"/>
    <w:rsid w:val="00F934AD"/>
    <w:rsid w:val="00F93E57"/>
    <w:rsid w:val="00F940F4"/>
    <w:rsid w:val="00F94554"/>
    <w:rsid w:val="00F94578"/>
    <w:rsid w:val="00F94710"/>
    <w:rsid w:val="00F949A2"/>
    <w:rsid w:val="00F94B58"/>
    <w:rsid w:val="00F94B78"/>
    <w:rsid w:val="00F94B97"/>
    <w:rsid w:val="00F94BB6"/>
    <w:rsid w:val="00F951D5"/>
    <w:rsid w:val="00F9567B"/>
    <w:rsid w:val="00F95716"/>
    <w:rsid w:val="00F9594A"/>
    <w:rsid w:val="00F95EE2"/>
    <w:rsid w:val="00F9606F"/>
    <w:rsid w:val="00F96410"/>
    <w:rsid w:val="00F96B31"/>
    <w:rsid w:val="00F96BFA"/>
    <w:rsid w:val="00F96C51"/>
    <w:rsid w:val="00F96DCE"/>
    <w:rsid w:val="00F96E8A"/>
    <w:rsid w:val="00F970FA"/>
    <w:rsid w:val="00F9717A"/>
    <w:rsid w:val="00F971F8"/>
    <w:rsid w:val="00F97437"/>
    <w:rsid w:val="00F975C6"/>
    <w:rsid w:val="00F9772D"/>
    <w:rsid w:val="00F97C86"/>
    <w:rsid w:val="00F97CFC"/>
    <w:rsid w:val="00FA013B"/>
    <w:rsid w:val="00FA0F6D"/>
    <w:rsid w:val="00FA0FE1"/>
    <w:rsid w:val="00FA0FF7"/>
    <w:rsid w:val="00FA12F7"/>
    <w:rsid w:val="00FA185B"/>
    <w:rsid w:val="00FA1DA0"/>
    <w:rsid w:val="00FA1F93"/>
    <w:rsid w:val="00FA202B"/>
    <w:rsid w:val="00FA2112"/>
    <w:rsid w:val="00FA21C4"/>
    <w:rsid w:val="00FA2259"/>
    <w:rsid w:val="00FA24C1"/>
    <w:rsid w:val="00FA25DA"/>
    <w:rsid w:val="00FA2866"/>
    <w:rsid w:val="00FA290B"/>
    <w:rsid w:val="00FA2EC3"/>
    <w:rsid w:val="00FA30E1"/>
    <w:rsid w:val="00FA3178"/>
    <w:rsid w:val="00FA324B"/>
    <w:rsid w:val="00FA3356"/>
    <w:rsid w:val="00FA37E1"/>
    <w:rsid w:val="00FA3837"/>
    <w:rsid w:val="00FA39A4"/>
    <w:rsid w:val="00FA3B4C"/>
    <w:rsid w:val="00FA3B91"/>
    <w:rsid w:val="00FA3E27"/>
    <w:rsid w:val="00FA402D"/>
    <w:rsid w:val="00FA447F"/>
    <w:rsid w:val="00FA4554"/>
    <w:rsid w:val="00FA4684"/>
    <w:rsid w:val="00FA46F8"/>
    <w:rsid w:val="00FA48AB"/>
    <w:rsid w:val="00FA4BB1"/>
    <w:rsid w:val="00FA4E6D"/>
    <w:rsid w:val="00FA4F97"/>
    <w:rsid w:val="00FA55BF"/>
    <w:rsid w:val="00FA5EAE"/>
    <w:rsid w:val="00FA6812"/>
    <w:rsid w:val="00FA69A7"/>
    <w:rsid w:val="00FA6B94"/>
    <w:rsid w:val="00FA6BEB"/>
    <w:rsid w:val="00FA70B9"/>
    <w:rsid w:val="00FA723F"/>
    <w:rsid w:val="00FA729F"/>
    <w:rsid w:val="00FA737D"/>
    <w:rsid w:val="00FA7589"/>
    <w:rsid w:val="00FA7AFA"/>
    <w:rsid w:val="00FA7B7C"/>
    <w:rsid w:val="00FA7D94"/>
    <w:rsid w:val="00FA7F73"/>
    <w:rsid w:val="00FB0367"/>
    <w:rsid w:val="00FB055B"/>
    <w:rsid w:val="00FB0590"/>
    <w:rsid w:val="00FB0710"/>
    <w:rsid w:val="00FB0B02"/>
    <w:rsid w:val="00FB0BC2"/>
    <w:rsid w:val="00FB0C47"/>
    <w:rsid w:val="00FB0DFC"/>
    <w:rsid w:val="00FB11AF"/>
    <w:rsid w:val="00FB11EB"/>
    <w:rsid w:val="00FB12B3"/>
    <w:rsid w:val="00FB133A"/>
    <w:rsid w:val="00FB1357"/>
    <w:rsid w:val="00FB140A"/>
    <w:rsid w:val="00FB1590"/>
    <w:rsid w:val="00FB1D4D"/>
    <w:rsid w:val="00FB1F8A"/>
    <w:rsid w:val="00FB2195"/>
    <w:rsid w:val="00FB21CF"/>
    <w:rsid w:val="00FB23F3"/>
    <w:rsid w:val="00FB2ABB"/>
    <w:rsid w:val="00FB2B44"/>
    <w:rsid w:val="00FB2C43"/>
    <w:rsid w:val="00FB2DCA"/>
    <w:rsid w:val="00FB31AA"/>
    <w:rsid w:val="00FB31FF"/>
    <w:rsid w:val="00FB35A7"/>
    <w:rsid w:val="00FB37B9"/>
    <w:rsid w:val="00FB3C75"/>
    <w:rsid w:val="00FB44DB"/>
    <w:rsid w:val="00FB4650"/>
    <w:rsid w:val="00FB482F"/>
    <w:rsid w:val="00FB4871"/>
    <w:rsid w:val="00FB4B90"/>
    <w:rsid w:val="00FB4C91"/>
    <w:rsid w:val="00FB4CA9"/>
    <w:rsid w:val="00FB4FC8"/>
    <w:rsid w:val="00FB5212"/>
    <w:rsid w:val="00FB5356"/>
    <w:rsid w:val="00FB56C1"/>
    <w:rsid w:val="00FB570E"/>
    <w:rsid w:val="00FB5985"/>
    <w:rsid w:val="00FB5C8A"/>
    <w:rsid w:val="00FB638C"/>
    <w:rsid w:val="00FB644F"/>
    <w:rsid w:val="00FB64EA"/>
    <w:rsid w:val="00FB65B9"/>
    <w:rsid w:val="00FB6810"/>
    <w:rsid w:val="00FB6B3B"/>
    <w:rsid w:val="00FB6B51"/>
    <w:rsid w:val="00FB73F9"/>
    <w:rsid w:val="00FB7515"/>
    <w:rsid w:val="00FB7946"/>
    <w:rsid w:val="00FB7BB8"/>
    <w:rsid w:val="00FC011C"/>
    <w:rsid w:val="00FC03D3"/>
    <w:rsid w:val="00FC0575"/>
    <w:rsid w:val="00FC05A9"/>
    <w:rsid w:val="00FC0742"/>
    <w:rsid w:val="00FC078D"/>
    <w:rsid w:val="00FC0943"/>
    <w:rsid w:val="00FC0C3F"/>
    <w:rsid w:val="00FC148B"/>
    <w:rsid w:val="00FC14D6"/>
    <w:rsid w:val="00FC1620"/>
    <w:rsid w:val="00FC19BD"/>
    <w:rsid w:val="00FC1B07"/>
    <w:rsid w:val="00FC1B30"/>
    <w:rsid w:val="00FC1B6C"/>
    <w:rsid w:val="00FC1CD5"/>
    <w:rsid w:val="00FC1DE3"/>
    <w:rsid w:val="00FC2016"/>
    <w:rsid w:val="00FC2122"/>
    <w:rsid w:val="00FC21A8"/>
    <w:rsid w:val="00FC29EE"/>
    <w:rsid w:val="00FC29F4"/>
    <w:rsid w:val="00FC2CE2"/>
    <w:rsid w:val="00FC3635"/>
    <w:rsid w:val="00FC369B"/>
    <w:rsid w:val="00FC3705"/>
    <w:rsid w:val="00FC3AED"/>
    <w:rsid w:val="00FC3B74"/>
    <w:rsid w:val="00FC3BBA"/>
    <w:rsid w:val="00FC3C72"/>
    <w:rsid w:val="00FC426B"/>
    <w:rsid w:val="00FC4775"/>
    <w:rsid w:val="00FC4C9C"/>
    <w:rsid w:val="00FC4E23"/>
    <w:rsid w:val="00FC52F3"/>
    <w:rsid w:val="00FC55B4"/>
    <w:rsid w:val="00FC55DA"/>
    <w:rsid w:val="00FC572C"/>
    <w:rsid w:val="00FC5777"/>
    <w:rsid w:val="00FC580D"/>
    <w:rsid w:val="00FC5AD5"/>
    <w:rsid w:val="00FC5C48"/>
    <w:rsid w:val="00FC5CBC"/>
    <w:rsid w:val="00FC5DC7"/>
    <w:rsid w:val="00FC643F"/>
    <w:rsid w:val="00FC6873"/>
    <w:rsid w:val="00FC691A"/>
    <w:rsid w:val="00FC6BF0"/>
    <w:rsid w:val="00FC6E5C"/>
    <w:rsid w:val="00FC7046"/>
    <w:rsid w:val="00FC7097"/>
    <w:rsid w:val="00FC70BA"/>
    <w:rsid w:val="00FC7172"/>
    <w:rsid w:val="00FC73CF"/>
    <w:rsid w:val="00FC7759"/>
    <w:rsid w:val="00FC7976"/>
    <w:rsid w:val="00FC7DBB"/>
    <w:rsid w:val="00FC7EF0"/>
    <w:rsid w:val="00FC7F2C"/>
    <w:rsid w:val="00FC7F3C"/>
    <w:rsid w:val="00FD0062"/>
    <w:rsid w:val="00FD0145"/>
    <w:rsid w:val="00FD0161"/>
    <w:rsid w:val="00FD0453"/>
    <w:rsid w:val="00FD06D7"/>
    <w:rsid w:val="00FD0DD1"/>
    <w:rsid w:val="00FD0F3A"/>
    <w:rsid w:val="00FD12C9"/>
    <w:rsid w:val="00FD154E"/>
    <w:rsid w:val="00FD1A07"/>
    <w:rsid w:val="00FD20D9"/>
    <w:rsid w:val="00FD225F"/>
    <w:rsid w:val="00FD238C"/>
    <w:rsid w:val="00FD2464"/>
    <w:rsid w:val="00FD25CE"/>
    <w:rsid w:val="00FD272F"/>
    <w:rsid w:val="00FD2989"/>
    <w:rsid w:val="00FD2FEA"/>
    <w:rsid w:val="00FD31C7"/>
    <w:rsid w:val="00FD396F"/>
    <w:rsid w:val="00FD3D76"/>
    <w:rsid w:val="00FD3E67"/>
    <w:rsid w:val="00FD3E6A"/>
    <w:rsid w:val="00FD40A2"/>
    <w:rsid w:val="00FD4252"/>
    <w:rsid w:val="00FD4627"/>
    <w:rsid w:val="00FD4738"/>
    <w:rsid w:val="00FD47EF"/>
    <w:rsid w:val="00FD48A7"/>
    <w:rsid w:val="00FD50EE"/>
    <w:rsid w:val="00FD5591"/>
    <w:rsid w:val="00FD55C1"/>
    <w:rsid w:val="00FD5631"/>
    <w:rsid w:val="00FD582A"/>
    <w:rsid w:val="00FD585B"/>
    <w:rsid w:val="00FD59D0"/>
    <w:rsid w:val="00FD5ADE"/>
    <w:rsid w:val="00FD60CC"/>
    <w:rsid w:val="00FD625D"/>
    <w:rsid w:val="00FD655B"/>
    <w:rsid w:val="00FD669B"/>
    <w:rsid w:val="00FD694C"/>
    <w:rsid w:val="00FD6B4B"/>
    <w:rsid w:val="00FD6D3B"/>
    <w:rsid w:val="00FD703E"/>
    <w:rsid w:val="00FD726E"/>
    <w:rsid w:val="00FD738B"/>
    <w:rsid w:val="00FD75EF"/>
    <w:rsid w:val="00FD7D62"/>
    <w:rsid w:val="00FD7FAB"/>
    <w:rsid w:val="00FE0275"/>
    <w:rsid w:val="00FE0599"/>
    <w:rsid w:val="00FE0681"/>
    <w:rsid w:val="00FE09D2"/>
    <w:rsid w:val="00FE0B7C"/>
    <w:rsid w:val="00FE0BFB"/>
    <w:rsid w:val="00FE0C85"/>
    <w:rsid w:val="00FE1879"/>
    <w:rsid w:val="00FE1A1B"/>
    <w:rsid w:val="00FE1B00"/>
    <w:rsid w:val="00FE1B20"/>
    <w:rsid w:val="00FE1BFC"/>
    <w:rsid w:val="00FE1CC3"/>
    <w:rsid w:val="00FE1E12"/>
    <w:rsid w:val="00FE1F36"/>
    <w:rsid w:val="00FE1F96"/>
    <w:rsid w:val="00FE2114"/>
    <w:rsid w:val="00FE2528"/>
    <w:rsid w:val="00FE2691"/>
    <w:rsid w:val="00FE293F"/>
    <w:rsid w:val="00FE2CDB"/>
    <w:rsid w:val="00FE2D7B"/>
    <w:rsid w:val="00FE3302"/>
    <w:rsid w:val="00FE3403"/>
    <w:rsid w:val="00FE34F4"/>
    <w:rsid w:val="00FE3952"/>
    <w:rsid w:val="00FE3EF5"/>
    <w:rsid w:val="00FE41DB"/>
    <w:rsid w:val="00FE4225"/>
    <w:rsid w:val="00FE44DC"/>
    <w:rsid w:val="00FE44F6"/>
    <w:rsid w:val="00FE4956"/>
    <w:rsid w:val="00FE4CCC"/>
    <w:rsid w:val="00FE4E26"/>
    <w:rsid w:val="00FE52EC"/>
    <w:rsid w:val="00FE54BD"/>
    <w:rsid w:val="00FE54C6"/>
    <w:rsid w:val="00FE54FD"/>
    <w:rsid w:val="00FE5D3C"/>
    <w:rsid w:val="00FE5F90"/>
    <w:rsid w:val="00FE6020"/>
    <w:rsid w:val="00FE67BB"/>
    <w:rsid w:val="00FE6AFA"/>
    <w:rsid w:val="00FE74A2"/>
    <w:rsid w:val="00FE7F1F"/>
    <w:rsid w:val="00FE7F98"/>
    <w:rsid w:val="00FF00FA"/>
    <w:rsid w:val="00FF0166"/>
    <w:rsid w:val="00FF039C"/>
    <w:rsid w:val="00FF0824"/>
    <w:rsid w:val="00FF08CE"/>
    <w:rsid w:val="00FF092F"/>
    <w:rsid w:val="00FF0BD1"/>
    <w:rsid w:val="00FF0EDB"/>
    <w:rsid w:val="00FF111B"/>
    <w:rsid w:val="00FF12B5"/>
    <w:rsid w:val="00FF1361"/>
    <w:rsid w:val="00FF1535"/>
    <w:rsid w:val="00FF169C"/>
    <w:rsid w:val="00FF23EC"/>
    <w:rsid w:val="00FF253C"/>
    <w:rsid w:val="00FF28FC"/>
    <w:rsid w:val="00FF33DE"/>
    <w:rsid w:val="00FF3647"/>
    <w:rsid w:val="00FF367E"/>
    <w:rsid w:val="00FF398A"/>
    <w:rsid w:val="00FF39FE"/>
    <w:rsid w:val="00FF3AE8"/>
    <w:rsid w:val="00FF3EB6"/>
    <w:rsid w:val="00FF42E3"/>
    <w:rsid w:val="00FF4394"/>
    <w:rsid w:val="00FF45AE"/>
    <w:rsid w:val="00FF4E86"/>
    <w:rsid w:val="00FF4F9B"/>
    <w:rsid w:val="00FF5161"/>
    <w:rsid w:val="00FF5203"/>
    <w:rsid w:val="00FF53C9"/>
    <w:rsid w:val="00FF5533"/>
    <w:rsid w:val="00FF57FB"/>
    <w:rsid w:val="00FF5986"/>
    <w:rsid w:val="00FF5D86"/>
    <w:rsid w:val="00FF5EC4"/>
    <w:rsid w:val="00FF5F51"/>
    <w:rsid w:val="00FF630A"/>
    <w:rsid w:val="00FF65B6"/>
    <w:rsid w:val="00FF684C"/>
    <w:rsid w:val="00FF6B89"/>
    <w:rsid w:val="00FF6C79"/>
    <w:rsid w:val="00FF6F86"/>
    <w:rsid w:val="00FF7109"/>
    <w:rsid w:val="00FF764F"/>
    <w:rsid w:val="00FF7670"/>
    <w:rsid w:val="00FF77FF"/>
    <w:rsid w:val="00FF7DDB"/>
    <w:rsid w:val="00FF7E5C"/>
    <w:rsid w:val="011531CF"/>
    <w:rsid w:val="012CD7D2"/>
    <w:rsid w:val="0130F47A"/>
    <w:rsid w:val="0133CE4C"/>
    <w:rsid w:val="01351C97"/>
    <w:rsid w:val="0141D641"/>
    <w:rsid w:val="0155EAA5"/>
    <w:rsid w:val="016A4CDA"/>
    <w:rsid w:val="016F68A7"/>
    <w:rsid w:val="0170B728"/>
    <w:rsid w:val="017B640F"/>
    <w:rsid w:val="017F4416"/>
    <w:rsid w:val="0194E356"/>
    <w:rsid w:val="01957B13"/>
    <w:rsid w:val="01A69F6B"/>
    <w:rsid w:val="01B554DE"/>
    <w:rsid w:val="01DEE685"/>
    <w:rsid w:val="01DF27EE"/>
    <w:rsid w:val="01F8BF0D"/>
    <w:rsid w:val="023A09BB"/>
    <w:rsid w:val="024D008C"/>
    <w:rsid w:val="02559EF0"/>
    <w:rsid w:val="0264AEB8"/>
    <w:rsid w:val="02697CCE"/>
    <w:rsid w:val="02956680"/>
    <w:rsid w:val="02B74B74"/>
    <w:rsid w:val="02E36E59"/>
    <w:rsid w:val="02F1D8A9"/>
    <w:rsid w:val="032CF355"/>
    <w:rsid w:val="0333440E"/>
    <w:rsid w:val="0335301D"/>
    <w:rsid w:val="0351970E"/>
    <w:rsid w:val="0352B22E"/>
    <w:rsid w:val="035896CB"/>
    <w:rsid w:val="035FA7FA"/>
    <w:rsid w:val="03636E96"/>
    <w:rsid w:val="038210A8"/>
    <w:rsid w:val="03898E1A"/>
    <w:rsid w:val="0391302D"/>
    <w:rsid w:val="0396CAF2"/>
    <w:rsid w:val="03B84229"/>
    <w:rsid w:val="03BD223C"/>
    <w:rsid w:val="03C00150"/>
    <w:rsid w:val="040E13BA"/>
    <w:rsid w:val="042F3EA3"/>
    <w:rsid w:val="043DEF3C"/>
    <w:rsid w:val="043F5EAC"/>
    <w:rsid w:val="044D5124"/>
    <w:rsid w:val="048A2610"/>
    <w:rsid w:val="04BAB551"/>
    <w:rsid w:val="04BC840F"/>
    <w:rsid w:val="04C59AC8"/>
    <w:rsid w:val="04CA0D8C"/>
    <w:rsid w:val="04FDB9DB"/>
    <w:rsid w:val="0520BE41"/>
    <w:rsid w:val="0525157F"/>
    <w:rsid w:val="05272FBE"/>
    <w:rsid w:val="052846EC"/>
    <w:rsid w:val="0532D566"/>
    <w:rsid w:val="0535DDD6"/>
    <w:rsid w:val="054C903A"/>
    <w:rsid w:val="05526BF0"/>
    <w:rsid w:val="05623A12"/>
    <w:rsid w:val="056392B0"/>
    <w:rsid w:val="057E7E66"/>
    <w:rsid w:val="05899A1B"/>
    <w:rsid w:val="058E8451"/>
    <w:rsid w:val="05B1FD5D"/>
    <w:rsid w:val="05D8369C"/>
    <w:rsid w:val="05EDFDAC"/>
    <w:rsid w:val="05F2B788"/>
    <w:rsid w:val="05F8BF10"/>
    <w:rsid w:val="06074F1F"/>
    <w:rsid w:val="06134294"/>
    <w:rsid w:val="0614FB7A"/>
    <w:rsid w:val="061DA32A"/>
    <w:rsid w:val="062AC5EB"/>
    <w:rsid w:val="062F3051"/>
    <w:rsid w:val="064DAD64"/>
    <w:rsid w:val="0650BBD0"/>
    <w:rsid w:val="065EC548"/>
    <w:rsid w:val="06676332"/>
    <w:rsid w:val="066B2D9D"/>
    <w:rsid w:val="066C5356"/>
    <w:rsid w:val="068076DC"/>
    <w:rsid w:val="06812C28"/>
    <w:rsid w:val="0688D06C"/>
    <w:rsid w:val="0690378D"/>
    <w:rsid w:val="0697E8CD"/>
    <w:rsid w:val="069A057E"/>
    <w:rsid w:val="069D53D6"/>
    <w:rsid w:val="06A3A5C7"/>
    <w:rsid w:val="06A6FF5D"/>
    <w:rsid w:val="06BC13D0"/>
    <w:rsid w:val="06F8211A"/>
    <w:rsid w:val="06FD1E2E"/>
    <w:rsid w:val="06FE5511"/>
    <w:rsid w:val="070CA954"/>
    <w:rsid w:val="071495C7"/>
    <w:rsid w:val="072D7ECE"/>
    <w:rsid w:val="0768E503"/>
    <w:rsid w:val="0779FA34"/>
    <w:rsid w:val="0780685D"/>
    <w:rsid w:val="07A94BA0"/>
    <w:rsid w:val="07C09455"/>
    <w:rsid w:val="07D4CCFD"/>
    <w:rsid w:val="08555E1D"/>
    <w:rsid w:val="08632668"/>
    <w:rsid w:val="08A09B6C"/>
    <w:rsid w:val="08A1BDD3"/>
    <w:rsid w:val="08BD0C59"/>
    <w:rsid w:val="08F08DE2"/>
    <w:rsid w:val="09193632"/>
    <w:rsid w:val="0932EEA5"/>
    <w:rsid w:val="095181AF"/>
    <w:rsid w:val="095CFEA1"/>
    <w:rsid w:val="098E44D2"/>
    <w:rsid w:val="09938954"/>
    <w:rsid w:val="09A9746F"/>
    <w:rsid w:val="09B5549F"/>
    <w:rsid w:val="09B88949"/>
    <w:rsid w:val="09C13716"/>
    <w:rsid w:val="09D1F6F3"/>
    <w:rsid w:val="09E2CB5E"/>
    <w:rsid w:val="0A12F4CA"/>
    <w:rsid w:val="0A166171"/>
    <w:rsid w:val="0A1AB967"/>
    <w:rsid w:val="0A239D8E"/>
    <w:rsid w:val="0A391C73"/>
    <w:rsid w:val="0A4E8997"/>
    <w:rsid w:val="0A83E932"/>
    <w:rsid w:val="0AA7046D"/>
    <w:rsid w:val="0ABC1415"/>
    <w:rsid w:val="0AD0E56C"/>
    <w:rsid w:val="0B2C95B2"/>
    <w:rsid w:val="0B36AEC8"/>
    <w:rsid w:val="0B428E75"/>
    <w:rsid w:val="0B45BF72"/>
    <w:rsid w:val="0B49505F"/>
    <w:rsid w:val="0B65283A"/>
    <w:rsid w:val="0B65FC26"/>
    <w:rsid w:val="0BA386B1"/>
    <w:rsid w:val="0BAE1B38"/>
    <w:rsid w:val="0BC5C154"/>
    <w:rsid w:val="0BD6996B"/>
    <w:rsid w:val="0BEDE7ED"/>
    <w:rsid w:val="0C0298A4"/>
    <w:rsid w:val="0C093BCA"/>
    <w:rsid w:val="0C184F18"/>
    <w:rsid w:val="0C1DE956"/>
    <w:rsid w:val="0C2285F9"/>
    <w:rsid w:val="0C2A6171"/>
    <w:rsid w:val="0C526D83"/>
    <w:rsid w:val="0C536747"/>
    <w:rsid w:val="0C549C8A"/>
    <w:rsid w:val="0C5D7839"/>
    <w:rsid w:val="0C8CDC42"/>
    <w:rsid w:val="0CB862D3"/>
    <w:rsid w:val="0CCA984A"/>
    <w:rsid w:val="0CD33C63"/>
    <w:rsid w:val="0CDC8F6D"/>
    <w:rsid w:val="0CDCECEE"/>
    <w:rsid w:val="0D1BDDDB"/>
    <w:rsid w:val="0D3FC802"/>
    <w:rsid w:val="0D49129B"/>
    <w:rsid w:val="0D526501"/>
    <w:rsid w:val="0D67FC74"/>
    <w:rsid w:val="0D874896"/>
    <w:rsid w:val="0DBB1162"/>
    <w:rsid w:val="0DD97D57"/>
    <w:rsid w:val="0DFF481E"/>
    <w:rsid w:val="0E0AF5F0"/>
    <w:rsid w:val="0E1F955E"/>
    <w:rsid w:val="0E328F42"/>
    <w:rsid w:val="0E35A425"/>
    <w:rsid w:val="0E35EE0F"/>
    <w:rsid w:val="0E392F56"/>
    <w:rsid w:val="0E3D654D"/>
    <w:rsid w:val="0E49A8F1"/>
    <w:rsid w:val="0E4A26BE"/>
    <w:rsid w:val="0E533F81"/>
    <w:rsid w:val="0E6CABA9"/>
    <w:rsid w:val="0E850F6D"/>
    <w:rsid w:val="0EAE16AE"/>
    <w:rsid w:val="0EC1B120"/>
    <w:rsid w:val="0EC774D3"/>
    <w:rsid w:val="0ED22343"/>
    <w:rsid w:val="0F31B266"/>
    <w:rsid w:val="0F5EAE69"/>
    <w:rsid w:val="0F860951"/>
    <w:rsid w:val="0F88A867"/>
    <w:rsid w:val="0F94426B"/>
    <w:rsid w:val="0F962CEB"/>
    <w:rsid w:val="0F9D42DD"/>
    <w:rsid w:val="0FAD0E22"/>
    <w:rsid w:val="0FADD31D"/>
    <w:rsid w:val="0FF12A5F"/>
    <w:rsid w:val="0FF35AB3"/>
    <w:rsid w:val="0FF493F2"/>
    <w:rsid w:val="0FFB68B6"/>
    <w:rsid w:val="0FFCB136"/>
    <w:rsid w:val="10392F40"/>
    <w:rsid w:val="104929A0"/>
    <w:rsid w:val="1057DF9E"/>
    <w:rsid w:val="105E1222"/>
    <w:rsid w:val="107ED7AC"/>
    <w:rsid w:val="107FB159"/>
    <w:rsid w:val="108A782C"/>
    <w:rsid w:val="10B345E6"/>
    <w:rsid w:val="10BF3F8D"/>
    <w:rsid w:val="10C6ECAD"/>
    <w:rsid w:val="10CD9FC9"/>
    <w:rsid w:val="10D38473"/>
    <w:rsid w:val="10D67C1C"/>
    <w:rsid w:val="10E59418"/>
    <w:rsid w:val="10EDC76E"/>
    <w:rsid w:val="10EE903E"/>
    <w:rsid w:val="10F4A31F"/>
    <w:rsid w:val="1110A709"/>
    <w:rsid w:val="1114B8FF"/>
    <w:rsid w:val="112EA738"/>
    <w:rsid w:val="1142FF85"/>
    <w:rsid w:val="1149BCCE"/>
    <w:rsid w:val="1154EF3A"/>
    <w:rsid w:val="11599BF7"/>
    <w:rsid w:val="116BA117"/>
    <w:rsid w:val="11719564"/>
    <w:rsid w:val="117674C6"/>
    <w:rsid w:val="1190764B"/>
    <w:rsid w:val="1197C7F6"/>
    <w:rsid w:val="11A74085"/>
    <w:rsid w:val="11AA170D"/>
    <w:rsid w:val="11CBCC55"/>
    <w:rsid w:val="11D006ED"/>
    <w:rsid w:val="11F077C3"/>
    <w:rsid w:val="11FE02A9"/>
    <w:rsid w:val="12018D45"/>
    <w:rsid w:val="1253787A"/>
    <w:rsid w:val="125597D2"/>
    <w:rsid w:val="126411A7"/>
    <w:rsid w:val="126C38CF"/>
    <w:rsid w:val="1289883B"/>
    <w:rsid w:val="129480E7"/>
    <w:rsid w:val="129A0AB5"/>
    <w:rsid w:val="129B5452"/>
    <w:rsid w:val="12BA09F7"/>
    <w:rsid w:val="12D4938F"/>
    <w:rsid w:val="12F20A62"/>
    <w:rsid w:val="1302F9F8"/>
    <w:rsid w:val="1309FFEE"/>
    <w:rsid w:val="131308D9"/>
    <w:rsid w:val="1315C664"/>
    <w:rsid w:val="132A4A38"/>
    <w:rsid w:val="1357E5A5"/>
    <w:rsid w:val="135DFCAE"/>
    <w:rsid w:val="1375B003"/>
    <w:rsid w:val="13923C58"/>
    <w:rsid w:val="13967DC6"/>
    <w:rsid w:val="1399E4FF"/>
    <w:rsid w:val="13A42D25"/>
    <w:rsid w:val="13AA5443"/>
    <w:rsid w:val="13B146F4"/>
    <w:rsid w:val="13C5DB87"/>
    <w:rsid w:val="13DB2DAF"/>
    <w:rsid w:val="13DEB8E6"/>
    <w:rsid w:val="13FE4D94"/>
    <w:rsid w:val="1407533F"/>
    <w:rsid w:val="141ECBF2"/>
    <w:rsid w:val="142C77BC"/>
    <w:rsid w:val="143DF4B5"/>
    <w:rsid w:val="143DFF50"/>
    <w:rsid w:val="14497CC3"/>
    <w:rsid w:val="1483D794"/>
    <w:rsid w:val="14B48D1F"/>
    <w:rsid w:val="14BC2BD2"/>
    <w:rsid w:val="14C15FD4"/>
    <w:rsid w:val="14C80515"/>
    <w:rsid w:val="14DD446C"/>
    <w:rsid w:val="14F2748B"/>
    <w:rsid w:val="14F78A20"/>
    <w:rsid w:val="15014EBB"/>
    <w:rsid w:val="150D0024"/>
    <w:rsid w:val="1518D50A"/>
    <w:rsid w:val="15564BE0"/>
    <w:rsid w:val="15641C00"/>
    <w:rsid w:val="156A7022"/>
    <w:rsid w:val="156F9DF1"/>
    <w:rsid w:val="1571D649"/>
    <w:rsid w:val="157EB3F2"/>
    <w:rsid w:val="15803593"/>
    <w:rsid w:val="158A3D7D"/>
    <w:rsid w:val="158FE335"/>
    <w:rsid w:val="15A7EDCE"/>
    <w:rsid w:val="15A892DB"/>
    <w:rsid w:val="15AAB03C"/>
    <w:rsid w:val="15AE7AE9"/>
    <w:rsid w:val="15F1F984"/>
    <w:rsid w:val="15F7BD33"/>
    <w:rsid w:val="15FB2479"/>
    <w:rsid w:val="1601CA6D"/>
    <w:rsid w:val="16202911"/>
    <w:rsid w:val="16202A07"/>
    <w:rsid w:val="163019FA"/>
    <w:rsid w:val="1657A4C5"/>
    <w:rsid w:val="1663542C"/>
    <w:rsid w:val="16667743"/>
    <w:rsid w:val="167AB1A8"/>
    <w:rsid w:val="168D718B"/>
    <w:rsid w:val="168DB4E3"/>
    <w:rsid w:val="169B9493"/>
    <w:rsid w:val="169C6E1F"/>
    <w:rsid w:val="16A3E8B3"/>
    <w:rsid w:val="16F42A52"/>
    <w:rsid w:val="16F63090"/>
    <w:rsid w:val="16FE2277"/>
    <w:rsid w:val="1718BCC5"/>
    <w:rsid w:val="17270F16"/>
    <w:rsid w:val="17352611"/>
    <w:rsid w:val="1739692C"/>
    <w:rsid w:val="17666B03"/>
    <w:rsid w:val="1798E2AA"/>
    <w:rsid w:val="179B9DD4"/>
    <w:rsid w:val="17A85A9B"/>
    <w:rsid w:val="17BFD34C"/>
    <w:rsid w:val="17DEAD89"/>
    <w:rsid w:val="17F13F3C"/>
    <w:rsid w:val="17FF9F4D"/>
    <w:rsid w:val="1802EA90"/>
    <w:rsid w:val="1814432D"/>
    <w:rsid w:val="181F618B"/>
    <w:rsid w:val="18277560"/>
    <w:rsid w:val="183BDF20"/>
    <w:rsid w:val="183EF77E"/>
    <w:rsid w:val="185057ED"/>
    <w:rsid w:val="186398C0"/>
    <w:rsid w:val="188D587D"/>
    <w:rsid w:val="1898F33A"/>
    <w:rsid w:val="18BDCE63"/>
    <w:rsid w:val="18D50785"/>
    <w:rsid w:val="18F17372"/>
    <w:rsid w:val="1906540B"/>
    <w:rsid w:val="1906CE9F"/>
    <w:rsid w:val="1947FBC4"/>
    <w:rsid w:val="195BC929"/>
    <w:rsid w:val="195D9D8A"/>
    <w:rsid w:val="19793A59"/>
    <w:rsid w:val="19937A19"/>
    <w:rsid w:val="19A28A91"/>
    <w:rsid w:val="19AD9547"/>
    <w:rsid w:val="19AF9934"/>
    <w:rsid w:val="19BD89BE"/>
    <w:rsid w:val="19CDC0FB"/>
    <w:rsid w:val="19D617E4"/>
    <w:rsid w:val="19F467A6"/>
    <w:rsid w:val="19F471F9"/>
    <w:rsid w:val="19FF0F0E"/>
    <w:rsid w:val="1A18232E"/>
    <w:rsid w:val="1A29ACE5"/>
    <w:rsid w:val="1A68F08F"/>
    <w:rsid w:val="1A6B78D8"/>
    <w:rsid w:val="1A6E33AD"/>
    <w:rsid w:val="1A7D142D"/>
    <w:rsid w:val="1A8B4BB3"/>
    <w:rsid w:val="1AB4D6A2"/>
    <w:rsid w:val="1AB4EF5C"/>
    <w:rsid w:val="1ABEF5AD"/>
    <w:rsid w:val="1AC17E98"/>
    <w:rsid w:val="1AC56CB5"/>
    <w:rsid w:val="1AC896E1"/>
    <w:rsid w:val="1AE3B346"/>
    <w:rsid w:val="1AEB9CAA"/>
    <w:rsid w:val="1B07E05F"/>
    <w:rsid w:val="1B0BE0AA"/>
    <w:rsid w:val="1B146A30"/>
    <w:rsid w:val="1B173248"/>
    <w:rsid w:val="1B17CBC6"/>
    <w:rsid w:val="1B320F89"/>
    <w:rsid w:val="1B3FB337"/>
    <w:rsid w:val="1B44BBC7"/>
    <w:rsid w:val="1B7139F4"/>
    <w:rsid w:val="1B7274EE"/>
    <w:rsid w:val="1B798502"/>
    <w:rsid w:val="1B9CD788"/>
    <w:rsid w:val="1BB19E0A"/>
    <w:rsid w:val="1BB7DB53"/>
    <w:rsid w:val="1BBE5E8D"/>
    <w:rsid w:val="1BC60E6D"/>
    <w:rsid w:val="1BE35DAB"/>
    <w:rsid w:val="1C0335CE"/>
    <w:rsid w:val="1C06909A"/>
    <w:rsid w:val="1C11B05B"/>
    <w:rsid w:val="1C267070"/>
    <w:rsid w:val="1C4F40B0"/>
    <w:rsid w:val="1C5527E4"/>
    <w:rsid w:val="1C55D80F"/>
    <w:rsid w:val="1C5BBBDC"/>
    <w:rsid w:val="1C5D7681"/>
    <w:rsid w:val="1C65121C"/>
    <w:rsid w:val="1C73B2A0"/>
    <w:rsid w:val="1C876D0B"/>
    <w:rsid w:val="1C8AB122"/>
    <w:rsid w:val="1CA30878"/>
    <w:rsid w:val="1CBFA262"/>
    <w:rsid w:val="1CBFAEB1"/>
    <w:rsid w:val="1CD5B02B"/>
    <w:rsid w:val="1CD95FF1"/>
    <w:rsid w:val="1CDB4AE3"/>
    <w:rsid w:val="1D0BFDB6"/>
    <w:rsid w:val="1D0DB8D3"/>
    <w:rsid w:val="1D10C9A9"/>
    <w:rsid w:val="1D161219"/>
    <w:rsid w:val="1D1B1BF7"/>
    <w:rsid w:val="1D1DEA4F"/>
    <w:rsid w:val="1D35CF50"/>
    <w:rsid w:val="1D42EDF1"/>
    <w:rsid w:val="1D48A2D6"/>
    <w:rsid w:val="1D5A4C52"/>
    <w:rsid w:val="1D5AC0B6"/>
    <w:rsid w:val="1D5D0C8F"/>
    <w:rsid w:val="1D8CA1C3"/>
    <w:rsid w:val="1DB144DE"/>
    <w:rsid w:val="1DB6B149"/>
    <w:rsid w:val="1DC8F1EA"/>
    <w:rsid w:val="1DCA9896"/>
    <w:rsid w:val="1DCE3A54"/>
    <w:rsid w:val="1DF91C5D"/>
    <w:rsid w:val="1E018A91"/>
    <w:rsid w:val="1E2D085A"/>
    <w:rsid w:val="1E374051"/>
    <w:rsid w:val="1E813BDC"/>
    <w:rsid w:val="1E8A2DB5"/>
    <w:rsid w:val="1E9CBE7D"/>
    <w:rsid w:val="1EE15187"/>
    <w:rsid w:val="1EF7DE81"/>
    <w:rsid w:val="1F112142"/>
    <w:rsid w:val="1F214598"/>
    <w:rsid w:val="1F34A16B"/>
    <w:rsid w:val="1F362E03"/>
    <w:rsid w:val="1F40F52A"/>
    <w:rsid w:val="1F7FF60E"/>
    <w:rsid w:val="1F801330"/>
    <w:rsid w:val="1F84C1D3"/>
    <w:rsid w:val="1FAA2CC0"/>
    <w:rsid w:val="1FAE8CAD"/>
    <w:rsid w:val="1FCC9118"/>
    <w:rsid w:val="1FFC7330"/>
    <w:rsid w:val="2025C311"/>
    <w:rsid w:val="20513499"/>
    <w:rsid w:val="2058135B"/>
    <w:rsid w:val="208867B0"/>
    <w:rsid w:val="208C39F1"/>
    <w:rsid w:val="20984A76"/>
    <w:rsid w:val="20A621FA"/>
    <w:rsid w:val="20A88A4D"/>
    <w:rsid w:val="20D96DD8"/>
    <w:rsid w:val="2123CCD3"/>
    <w:rsid w:val="21419D05"/>
    <w:rsid w:val="21550BF5"/>
    <w:rsid w:val="215DADA8"/>
    <w:rsid w:val="21609B8D"/>
    <w:rsid w:val="2173617E"/>
    <w:rsid w:val="218A2782"/>
    <w:rsid w:val="218C4406"/>
    <w:rsid w:val="218FBA1D"/>
    <w:rsid w:val="219C74A3"/>
    <w:rsid w:val="21AFAB28"/>
    <w:rsid w:val="21B400D0"/>
    <w:rsid w:val="21E125D6"/>
    <w:rsid w:val="21E95F6C"/>
    <w:rsid w:val="21EE59ED"/>
    <w:rsid w:val="21F6B050"/>
    <w:rsid w:val="2246B39B"/>
    <w:rsid w:val="224D3AB9"/>
    <w:rsid w:val="2253EE46"/>
    <w:rsid w:val="227C5607"/>
    <w:rsid w:val="22884B52"/>
    <w:rsid w:val="229C476E"/>
    <w:rsid w:val="22B7A572"/>
    <w:rsid w:val="22C05EA4"/>
    <w:rsid w:val="22D7811A"/>
    <w:rsid w:val="22E79022"/>
    <w:rsid w:val="22F9E93F"/>
    <w:rsid w:val="2307897B"/>
    <w:rsid w:val="23111D1B"/>
    <w:rsid w:val="2315B9CA"/>
    <w:rsid w:val="231A5E2A"/>
    <w:rsid w:val="23366BCA"/>
    <w:rsid w:val="234A4604"/>
    <w:rsid w:val="238CE4F9"/>
    <w:rsid w:val="2391C876"/>
    <w:rsid w:val="239F983B"/>
    <w:rsid w:val="23B662B8"/>
    <w:rsid w:val="23C46099"/>
    <w:rsid w:val="23C81D54"/>
    <w:rsid w:val="23EFE7DF"/>
    <w:rsid w:val="2415DE94"/>
    <w:rsid w:val="24278003"/>
    <w:rsid w:val="244243BA"/>
    <w:rsid w:val="24838BCE"/>
    <w:rsid w:val="249E454A"/>
    <w:rsid w:val="24B12B78"/>
    <w:rsid w:val="24C3B5C9"/>
    <w:rsid w:val="24D71A3B"/>
    <w:rsid w:val="24F66474"/>
    <w:rsid w:val="24F9F94C"/>
    <w:rsid w:val="250EFD34"/>
    <w:rsid w:val="2510C824"/>
    <w:rsid w:val="25125ABC"/>
    <w:rsid w:val="254F923F"/>
    <w:rsid w:val="2551846E"/>
    <w:rsid w:val="25533BE8"/>
    <w:rsid w:val="2559E671"/>
    <w:rsid w:val="257C42B9"/>
    <w:rsid w:val="2584870E"/>
    <w:rsid w:val="2587032E"/>
    <w:rsid w:val="258FDEEE"/>
    <w:rsid w:val="259B1E51"/>
    <w:rsid w:val="25C009EF"/>
    <w:rsid w:val="25CC63EA"/>
    <w:rsid w:val="25DD98BA"/>
    <w:rsid w:val="25E49C08"/>
    <w:rsid w:val="25E5E877"/>
    <w:rsid w:val="25EC7E02"/>
    <w:rsid w:val="25F85A50"/>
    <w:rsid w:val="26258603"/>
    <w:rsid w:val="2632B301"/>
    <w:rsid w:val="2633C889"/>
    <w:rsid w:val="263E109A"/>
    <w:rsid w:val="26455060"/>
    <w:rsid w:val="2657F5CE"/>
    <w:rsid w:val="266079F9"/>
    <w:rsid w:val="2664FE94"/>
    <w:rsid w:val="26718B6B"/>
    <w:rsid w:val="2681A3E7"/>
    <w:rsid w:val="269DD98A"/>
    <w:rsid w:val="26A246A7"/>
    <w:rsid w:val="26DB0F07"/>
    <w:rsid w:val="26E59C78"/>
    <w:rsid w:val="26EA7D57"/>
    <w:rsid w:val="26EF1DA2"/>
    <w:rsid w:val="26F4D429"/>
    <w:rsid w:val="2709A51B"/>
    <w:rsid w:val="2715C7BA"/>
    <w:rsid w:val="2769A043"/>
    <w:rsid w:val="276F64C5"/>
    <w:rsid w:val="27720C2A"/>
    <w:rsid w:val="2782BCCA"/>
    <w:rsid w:val="278486B0"/>
    <w:rsid w:val="278C1C20"/>
    <w:rsid w:val="27909BA3"/>
    <w:rsid w:val="27AFDF40"/>
    <w:rsid w:val="27E24036"/>
    <w:rsid w:val="27F4C8E5"/>
    <w:rsid w:val="280336FE"/>
    <w:rsid w:val="280C4767"/>
    <w:rsid w:val="281642E1"/>
    <w:rsid w:val="28224635"/>
    <w:rsid w:val="283993C1"/>
    <w:rsid w:val="283B5F0F"/>
    <w:rsid w:val="283D8643"/>
    <w:rsid w:val="286B170A"/>
    <w:rsid w:val="2873ADCE"/>
    <w:rsid w:val="288FCADE"/>
    <w:rsid w:val="2890FA53"/>
    <w:rsid w:val="289EDD44"/>
    <w:rsid w:val="28BDE5CC"/>
    <w:rsid w:val="28D30966"/>
    <w:rsid w:val="28E7C391"/>
    <w:rsid w:val="28E83A54"/>
    <w:rsid w:val="28F8B624"/>
    <w:rsid w:val="2906A5F9"/>
    <w:rsid w:val="29112F51"/>
    <w:rsid w:val="2919B2C6"/>
    <w:rsid w:val="2922FD30"/>
    <w:rsid w:val="2923B77A"/>
    <w:rsid w:val="2923C7D9"/>
    <w:rsid w:val="292640C9"/>
    <w:rsid w:val="29316C86"/>
    <w:rsid w:val="293DE92A"/>
    <w:rsid w:val="2949A828"/>
    <w:rsid w:val="29634D4E"/>
    <w:rsid w:val="297773E6"/>
    <w:rsid w:val="298C5FB5"/>
    <w:rsid w:val="298F2943"/>
    <w:rsid w:val="2998A020"/>
    <w:rsid w:val="29B5EC06"/>
    <w:rsid w:val="29BC48C1"/>
    <w:rsid w:val="29C1A141"/>
    <w:rsid w:val="2A00A8EE"/>
    <w:rsid w:val="2A1FDD62"/>
    <w:rsid w:val="2A383B79"/>
    <w:rsid w:val="2A427350"/>
    <w:rsid w:val="2A4AAC67"/>
    <w:rsid w:val="2A59484A"/>
    <w:rsid w:val="2A5B9E0B"/>
    <w:rsid w:val="2A5FF294"/>
    <w:rsid w:val="2A646D5A"/>
    <w:rsid w:val="2A92D4FD"/>
    <w:rsid w:val="2A953B6C"/>
    <w:rsid w:val="2A9569C4"/>
    <w:rsid w:val="2AA4520B"/>
    <w:rsid w:val="2ADE650A"/>
    <w:rsid w:val="2AF26393"/>
    <w:rsid w:val="2AFF692E"/>
    <w:rsid w:val="2B1DF5E1"/>
    <w:rsid w:val="2B204A56"/>
    <w:rsid w:val="2B2C52EA"/>
    <w:rsid w:val="2B37D5D2"/>
    <w:rsid w:val="2B4AC7C1"/>
    <w:rsid w:val="2B4EEDD6"/>
    <w:rsid w:val="2B59A829"/>
    <w:rsid w:val="2B5A1BB2"/>
    <w:rsid w:val="2B5EB4ED"/>
    <w:rsid w:val="2B5FA119"/>
    <w:rsid w:val="2B7F960E"/>
    <w:rsid w:val="2B94E6B6"/>
    <w:rsid w:val="2B96C3DB"/>
    <w:rsid w:val="2BA8C86C"/>
    <w:rsid w:val="2BB62B72"/>
    <w:rsid w:val="2BE29358"/>
    <w:rsid w:val="2BEB38B6"/>
    <w:rsid w:val="2C0A107E"/>
    <w:rsid w:val="2C0D3F28"/>
    <w:rsid w:val="2C19A9D8"/>
    <w:rsid w:val="2C232CBB"/>
    <w:rsid w:val="2C31AD9A"/>
    <w:rsid w:val="2C356A2E"/>
    <w:rsid w:val="2C3B82EC"/>
    <w:rsid w:val="2C3D01EE"/>
    <w:rsid w:val="2C5C3A51"/>
    <w:rsid w:val="2C636CFB"/>
    <w:rsid w:val="2C6B0A12"/>
    <w:rsid w:val="2CA84D79"/>
    <w:rsid w:val="2CABB673"/>
    <w:rsid w:val="2CBC3286"/>
    <w:rsid w:val="2CC9B747"/>
    <w:rsid w:val="2CCB467C"/>
    <w:rsid w:val="2CD9D5AC"/>
    <w:rsid w:val="2CE299B9"/>
    <w:rsid w:val="2CEA0F64"/>
    <w:rsid w:val="2CF66DE8"/>
    <w:rsid w:val="2D014722"/>
    <w:rsid w:val="2D31DB13"/>
    <w:rsid w:val="2D3BF6E3"/>
    <w:rsid w:val="2D460E47"/>
    <w:rsid w:val="2D5002D0"/>
    <w:rsid w:val="2D69DE76"/>
    <w:rsid w:val="2D6A0CE7"/>
    <w:rsid w:val="2D774E0D"/>
    <w:rsid w:val="2D80CFDF"/>
    <w:rsid w:val="2D8D91EB"/>
    <w:rsid w:val="2D9147F2"/>
    <w:rsid w:val="2D9EA8BB"/>
    <w:rsid w:val="2DB238D2"/>
    <w:rsid w:val="2DC3CACA"/>
    <w:rsid w:val="2DCE9CB0"/>
    <w:rsid w:val="2DD55259"/>
    <w:rsid w:val="2DE83236"/>
    <w:rsid w:val="2E16D140"/>
    <w:rsid w:val="2E17E5E9"/>
    <w:rsid w:val="2E2A3E3C"/>
    <w:rsid w:val="2E2AD936"/>
    <w:rsid w:val="2E467245"/>
    <w:rsid w:val="2E49372A"/>
    <w:rsid w:val="2E4EDA41"/>
    <w:rsid w:val="2E5AE4A3"/>
    <w:rsid w:val="2E637BF4"/>
    <w:rsid w:val="2E6967A4"/>
    <w:rsid w:val="2E7257C3"/>
    <w:rsid w:val="2E7D9FD1"/>
    <w:rsid w:val="2E813951"/>
    <w:rsid w:val="2E81AD0C"/>
    <w:rsid w:val="2E832B9D"/>
    <w:rsid w:val="2E941058"/>
    <w:rsid w:val="2E9F2AA5"/>
    <w:rsid w:val="2EA036B4"/>
    <w:rsid w:val="2EBF8DF2"/>
    <w:rsid w:val="2EC0F5F0"/>
    <w:rsid w:val="2EC18231"/>
    <w:rsid w:val="2EC80DF6"/>
    <w:rsid w:val="2EF002AF"/>
    <w:rsid w:val="2F117E67"/>
    <w:rsid w:val="2F1D132A"/>
    <w:rsid w:val="2F61E7C7"/>
    <w:rsid w:val="2F649C70"/>
    <w:rsid w:val="2F74F13A"/>
    <w:rsid w:val="2F89BFC6"/>
    <w:rsid w:val="2F8B5D03"/>
    <w:rsid w:val="2F9B0DBD"/>
    <w:rsid w:val="2FA844E9"/>
    <w:rsid w:val="2FAB98AC"/>
    <w:rsid w:val="2FB4F523"/>
    <w:rsid w:val="2FD53197"/>
    <w:rsid w:val="2FD80A49"/>
    <w:rsid w:val="2FF96B92"/>
    <w:rsid w:val="3000462F"/>
    <w:rsid w:val="301A91E9"/>
    <w:rsid w:val="301B0285"/>
    <w:rsid w:val="3031E054"/>
    <w:rsid w:val="30378691"/>
    <w:rsid w:val="30385636"/>
    <w:rsid w:val="304FFFFD"/>
    <w:rsid w:val="3067833B"/>
    <w:rsid w:val="30749880"/>
    <w:rsid w:val="308A7585"/>
    <w:rsid w:val="308CD115"/>
    <w:rsid w:val="30906DF2"/>
    <w:rsid w:val="30B2F007"/>
    <w:rsid w:val="30C5A3B2"/>
    <w:rsid w:val="30CAAB29"/>
    <w:rsid w:val="30CCAE18"/>
    <w:rsid w:val="30DB3618"/>
    <w:rsid w:val="30DFA16B"/>
    <w:rsid w:val="30F60D14"/>
    <w:rsid w:val="31051E7A"/>
    <w:rsid w:val="31173452"/>
    <w:rsid w:val="3119034F"/>
    <w:rsid w:val="311F3845"/>
    <w:rsid w:val="3122ED42"/>
    <w:rsid w:val="3129E5F7"/>
    <w:rsid w:val="316397BC"/>
    <w:rsid w:val="3166D016"/>
    <w:rsid w:val="317C953F"/>
    <w:rsid w:val="3187127B"/>
    <w:rsid w:val="31D7B74E"/>
    <w:rsid w:val="3203E88B"/>
    <w:rsid w:val="320B5F44"/>
    <w:rsid w:val="324B9C8E"/>
    <w:rsid w:val="32596517"/>
    <w:rsid w:val="325D45BE"/>
    <w:rsid w:val="3268FE63"/>
    <w:rsid w:val="326996C7"/>
    <w:rsid w:val="3272AEE9"/>
    <w:rsid w:val="3274775C"/>
    <w:rsid w:val="327E0278"/>
    <w:rsid w:val="32A9003B"/>
    <w:rsid w:val="32CC76BB"/>
    <w:rsid w:val="32CFA1ED"/>
    <w:rsid w:val="330A6CC8"/>
    <w:rsid w:val="3317A6E6"/>
    <w:rsid w:val="331DBD1F"/>
    <w:rsid w:val="3325FAB6"/>
    <w:rsid w:val="332CF3B8"/>
    <w:rsid w:val="332E317D"/>
    <w:rsid w:val="3338DAD6"/>
    <w:rsid w:val="3341A3E2"/>
    <w:rsid w:val="334357C8"/>
    <w:rsid w:val="33678BD0"/>
    <w:rsid w:val="33BCD7E5"/>
    <w:rsid w:val="33C3CFAE"/>
    <w:rsid w:val="33DC3A61"/>
    <w:rsid w:val="33DD6108"/>
    <w:rsid w:val="33F06BE7"/>
    <w:rsid w:val="33F246DB"/>
    <w:rsid w:val="33F64049"/>
    <w:rsid w:val="34058288"/>
    <w:rsid w:val="3409D3CF"/>
    <w:rsid w:val="3420ABFA"/>
    <w:rsid w:val="342D5066"/>
    <w:rsid w:val="343E1C58"/>
    <w:rsid w:val="3441A8DF"/>
    <w:rsid w:val="344CDAD3"/>
    <w:rsid w:val="34770F96"/>
    <w:rsid w:val="3488C2FA"/>
    <w:rsid w:val="34ACBB6F"/>
    <w:rsid w:val="34B54B02"/>
    <w:rsid w:val="34B5C85F"/>
    <w:rsid w:val="34C34F52"/>
    <w:rsid w:val="34C7FCCD"/>
    <w:rsid w:val="34F00CB9"/>
    <w:rsid w:val="34FBF14A"/>
    <w:rsid w:val="3502D686"/>
    <w:rsid w:val="350ACF0F"/>
    <w:rsid w:val="350D23FD"/>
    <w:rsid w:val="3510A16C"/>
    <w:rsid w:val="35147A80"/>
    <w:rsid w:val="351F583F"/>
    <w:rsid w:val="3530B278"/>
    <w:rsid w:val="35430006"/>
    <w:rsid w:val="354EBD1C"/>
    <w:rsid w:val="356241D3"/>
    <w:rsid w:val="356572FA"/>
    <w:rsid w:val="357150D2"/>
    <w:rsid w:val="358698A7"/>
    <w:rsid w:val="3590DC4C"/>
    <w:rsid w:val="35A5D71A"/>
    <w:rsid w:val="35B42A2E"/>
    <w:rsid w:val="35E2680F"/>
    <w:rsid w:val="35E354DA"/>
    <w:rsid w:val="35E4027D"/>
    <w:rsid w:val="35F5BA84"/>
    <w:rsid w:val="360E657E"/>
    <w:rsid w:val="36195AA6"/>
    <w:rsid w:val="36198B9C"/>
    <w:rsid w:val="361ADA30"/>
    <w:rsid w:val="36262BCA"/>
    <w:rsid w:val="364BD436"/>
    <w:rsid w:val="36507818"/>
    <w:rsid w:val="3650B6D1"/>
    <w:rsid w:val="366F6234"/>
    <w:rsid w:val="36819DE6"/>
    <w:rsid w:val="368225CF"/>
    <w:rsid w:val="369498C5"/>
    <w:rsid w:val="36A2DD58"/>
    <w:rsid w:val="36C48A22"/>
    <w:rsid w:val="36D6C856"/>
    <w:rsid w:val="36E3108E"/>
    <w:rsid w:val="36FBD94D"/>
    <w:rsid w:val="371B43A2"/>
    <w:rsid w:val="3729814B"/>
    <w:rsid w:val="37745FFE"/>
    <w:rsid w:val="3780831F"/>
    <w:rsid w:val="37867C6E"/>
    <w:rsid w:val="37B9C953"/>
    <w:rsid w:val="37DC71BB"/>
    <w:rsid w:val="37DED306"/>
    <w:rsid w:val="37FE3369"/>
    <w:rsid w:val="383D3CDB"/>
    <w:rsid w:val="38662982"/>
    <w:rsid w:val="3887CB67"/>
    <w:rsid w:val="388DF49C"/>
    <w:rsid w:val="388EAD5E"/>
    <w:rsid w:val="388F4C4E"/>
    <w:rsid w:val="38BADE12"/>
    <w:rsid w:val="38C5AA88"/>
    <w:rsid w:val="38E54847"/>
    <w:rsid w:val="38E75CBE"/>
    <w:rsid w:val="38E947ED"/>
    <w:rsid w:val="38FF81F3"/>
    <w:rsid w:val="39210D0A"/>
    <w:rsid w:val="392E6C3E"/>
    <w:rsid w:val="393453EC"/>
    <w:rsid w:val="393C7E7F"/>
    <w:rsid w:val="393D46FD"/>
    <w:rsid w:val="394D54AF"/>
    <w:rsid w:val="3966D87B"/>
    <w:rsid w:val="396DDF4B"/>
    <w:rsid w:val="396E4835"/>
    <w:rsid w:val="398718C8"/>
    <w:rsid w:val="39A187FB"/>
    <w:rsid w:val="39A3D6C9"/>
    <w:rsid w:val="39B3A0D3"/>
    <w:rsid w:val="39DF39AD"/>
    <w:rsid w:val="3A02FD73"/>
    <w:rsid w:val="3A1C13E4"/>
    <w:rsid w:val="3A21322E"/>
    <w:rsid w:val="3A2485D4"/>
    <w:rsid w:val="3A2C0856"/>
    <w:rsid w:val="3A375340"/>
    <w:rsid w:val="3A38C523"/>
    <w:rsid w:val="3A5C2BF5"/>
    <w:rsid w:val="3A780C75"/>
    <w:rsid w:val="3A9C2278"/>
    <w:rsid w:val="3A9D9DA0"/>
    <w:rsid w:val="3ACDB2E4"/>
    <w:rsid w:val="3AD18EB0"/>
    <w:rsid w:val="3AD6D9AE"/>
    <w:rsid w:val="3ADAE281"/>
    <w:rsid w:val="3ADC0F01"/>
    <w:rsid w:val="3AE6FA01"/>
    <w:rsid w:val="3AF5BBF8"/>
    <w:rsid w:val="3B0A2A61"/>
    <w:rsid w:val="3B12F311"/>
    <w:rsid w:val="3B306A5A"/>
    <w:rsid w:val="3B335374"/>
    <w:rsid w:val="3B36B787"/>
    <w:rsid w:val="3B5492FE"/>
    <w:rsid w:val="3B81827A"/>
    <w:rsid w:val="3B899692"/>
    <w:rsid w:val="3B9CA39C"/>
    <w:rsid w:val="3BCE54C5"/>
    <w:rsid w:val="3BCFEE81"/>
    <w:rsid w:val="3BE3A1DD"/>
    <w:rsid w:val="3BF3670C"/>
    <w:rsid w:val="3BF99386"/>
    <w:rsid w:val="3C07BFB8"/>
    <w:rsid w:val="3C0F5D05"/>
    <w:rsid w:val="3C140E8E"/>
    <w:rsid w:val="3C2D75D0"/>
    <w:rsid w:val="3C396E01"/>
    <w:rsid w:val="3C6D6833"/>
    <w:rsid w:val="3C708DBD"/>
    <w:rsid w:val="3C77E4BE"/>
    <w:rsid w:val="3C791111"/>
    <w:rsid w:val="3C80941C"/>
    <w:rsid w:val="3C850F71"/>
    <w:rsid w:val="3C8ACD3A"/>
    <w:rsid w:val="3C8CC22E"/>
    <w:rsid w:val="3C91F64F"/>
    <w:rsid w:val="3C96954B"/>
    <w:rsid w:val="3CA18CA4"/>
    <w:rsid w:val="3CA45594"/>
    <w:rsid w:val="3CB4E84B"/>
    <w:rsid w:val="3CBACD01"/>
    <w:rsid w:val="3CC22577"/>
    <w:rsid w:val="3CC690CC"/>
    <w:rsid w:val="3CDFBD1C"/>
    <w:rsid w:val="3CE63B4C"/>
    <w:rsid w:val="3CEF5ECF"/>
    <w:rsid w:val="3CFE8518"/>
    <w:rsid w:val="3D09C3F2"/>
    <w:rsid w:val="3D16BC69"/>
    <w:rsid w:val="3D35A642"/>
    <w:rsid w:val="3D385AD8"/>
    <w:rsid w:val="3D39E5F3"/>
    <w:rsid w:val="3D5C3446"/>
    <w:rsid w:val="3D6A41B9"/>
    <w:rsid w:val="3D72D289"/>
    <w:rsid w:val="3D824C53"/>
    <w:rsid w:val="3DAFC249"/>
    <w:rsid w:val="3DC0A098"/>
    <w:rsid w:val="3DC45983"/>
    <w:rsid w:val="3DC924B5"/>
    <w:rsid w:val="3DD7E443"/>
    <w:rsid w:val="3DF3D589"/>
    <w:rsid w:val="3DF7E363"/>
    <w:rsid w:val="3E03FBD1"/>
    <w:rsid w:val="3E18EDDD"/>
    <w:rsid w:val="3E194B27"/>
    <w:rsid w:val="3E5AEEC4"/>
    <w:rsid w:val="3E8055BE"/>
    <w:rsid w:val="3E81E2DA"/>
    <w:rsid w:val="3E85C11E"/>
    <w:rsid w:val="3E9BA54F"/>
    <w:rsid w:val="3E9E14C4"/>
    <w:rsid w:val="3EB9C378"/>
    <w:rsid w:val="3EC762E3"/>
    <w:rsid w:val="3EF679A9"/>
    <w:rsid w:val="3F066C43"/>
    <w:rsid w:val="3F171BC3"/>
    <w:rsid w:val="3F18E98B"/>
    <w:rsid w:val="3F298401"/>
    <w:rsid w:val="3F3628BC"/>
    <w:rsid w:val="3F625474"/>
    <w:rsid w:val="3F7DB70B"/>
    <w:rsid w:val="3FBC1679"/>
    <w:rsid w:val="3FC42661"/>
    <w:rsid w:val="3FCBC935"/>
    <w:rsid w:val="3FE46DF8"/>
    <w:rsid w:val="400119AD"/>
    <w:rsid w:val="4008A528"/>
    <w:rsid w:val="4013E35F"/>
    <w:rsid w:val="4016E309"/>
    <w:rsid w:val="40259168"/>
    <w:rsid w:val="4025FDE2"/>
    <w:rsid w:val="402777E7"/>
    <w:rsid w:val="402E9B82"/>
    <w:rsid w:val="40309A80"/>
    <w:rsid w:val="40384B13"/>
    <w:rsid w:val="403D128D"/>
    <w:rsid w:val="405B7055"/>
    <w:rsid w:val="4075ECAC"/>
    <w:rsid w:val="40913738"/>
    <w:rsid w:val="40916876"/>
    <w:rsid w:val="40A9CC0C"/>
    <w:rsid w:val="40B90CAB"/>
    <w:rsid w:val="40C5EFF7"/>
    <w:rsid w:val="41060BE5"/>
    <w:rsid w:val="4109A692"/>
    <w:rsid w:val="410BAAB4"/>
    <w:rsid w:val="412909A3"/>
    <w:rsid w:val="41404FE7"/>
    <w:rsid w:val="4145E8FD"/>
    <w:rsid w:val="414B52AB"/>
    <w:rsid w:val="41670261"/>
    <w:rsid w:val="417FCC42"/>
    <w:rsid w:val="418725C2"/>
    <w:rsid w:val="418D5778"/>
    <w:rsid w:val="41A6D568"/>
    <w:rsid w:val="41A841F9"/>
    <w:rsid w:val="41ACABDE"/>
    <w:rsid w:val="41ADFB13"/>
    <w:rsid w:val="41C9FDBB"/>
    <w:rsid w:val="41D11D6C"/>
    <w:rsid w:val="41E31E1C"/>
    <w:rsid w:val="41ECD44B"/>
    <w:rsid w:val="41ECFADE"/>
    <w:rsid w:val="421848D2"/>
    <w:rsid w:val="423288B3"/>
    <w:rsid w:val="423D0E88"/>
    <w:rsid w:val="42596350"/>
    <w:rsid w:val="425A2249"/>
    <w:rsid w:val="425B6549"/>
    <w:rsid w:val="4267356B"/>
    <w:rsid w:val="426A540B"/>
    <w:rsid w:val="426CB866"/>
    <w:rsid w:val="4286026E"/>
    <w:rsid w:val="428F25B3"/>
    <w:rsid w:val="42908227"/>
    <w:rsid w:val="42A47952"/>
    <w:rsid w:val="42D45E36"/>
    <w:rsid w:val="42D82E64"/>
    <w:rsid w:val="42E50195"/>
    <w:rsid w:val="42E51F78"/>
    <w:rsid w:val="43055165"/>
    <w:rsid w:val="430A6806"/>
    <w:rsid w:val="43687C77"/>
    <w:rsid w:val="43742F81"/>
    <w:rsid w:val="4387EB5C"/>
    <w:rsid w:val="438834AC"/>
    <w:rsid w:val="438D6EB5"/>
    <w:rsid w:val="43CFDB82"/>
    <w:rsid w:val="43EBC382"/>
    <w:rsid w:val="43F33FD3"/>
    <w:rsid w:val="43FD90B9"/>
    <w:rsid w:val="440A27A4"/>
    <w:rsid w:val="4411D99B"/>
    <w:rsid w:val="442083DA"/>
    <w:rsid w:val="442C33C7"/>
    <w:rsid w:val="445C1968"/>
    <w:rsid w:val="445FA9A0"/>
    <w:rsid w:val="44678BEC"/>
    <w:rsid w:val="447B2BC0"/>
    <w:rsid w:val="4482A982"/>
    <w:rsid w:val="4494E067"/>
    <w:rsid w:val="4498DE99"/>
    <w:rsid w:val="44AF6305"/>
    <w:rsid w:val="44CD71A2"/>
    <w:rsid w:val="44E4226A"/>
    <w:rsid w:val="44E8DEFD"/>
    <w:rsid w:val="44FA9DDB"/>
    <w:rsid w:val="452B5647"/>
    <w:rsid w:val="45687C1F"/>
    <w:rsid w:val="45710F54"/>
    <w:rsid w:val="4575DAA9"/>
    <w:rsid w:val="45838EC9"/>
    <w:rsid w:val="458FA1C1"/>
    <w:rsid w:val="459BEFB0"/>
    <w:rsid w:val="45C72EE6"/>
    <w:rsid w:val="45E328F9"/>
    <w:rsid w:val="45EFF87F"/>
    <w:rsid w:val="45F3C3B6"/>
    <w:rsid w:val="46022CBA"/>
    <w:rsid w:val="460F5667"/>
    <w:rsid w:val="461686C5"/>
    <w:rsid w:val="462757EB"/>
    <w:rsid w:val="46347F37"/>
    <w:rsid w:val="4662075E"/>
    <w:rsid w:val="4676B35C"/>
    <w:rsid w:val="467AB6EA"/>
    <w:rsid w:val="46886E04"/>
    <w:rsid w:val="468B6938"/>
    <w:rsid w:val="468F6B92"/>
    <w:rsid w:val="46939D80"/>
    <w:rsid w:val="4694EFE4"/>
    <w:rsid w:val="46BC0AFF"/>
    <w:rsid w:val="46CDCC7E"/>
    <w:rsid w:val="46D97E91"/>
    <w:rsid w:val="470A1906"/>
    <w:rsid w:val="470E0108"/>
    <w:rsid w:val="47122E53"/>
    <w:rsid w:val="4722FD0D"/>
    <w:rsid w:val="4728D48A"/>
    <w:rsid w:val="472DE45A"/>
    <w:rsid w:val="4743DA81"/>
    <w:rsid w:val="474E59D8"/>
    <w:rsid w:val="475BDD23"/>
    <w:rsid w:val="476240F2"/>
    <w:rsid w:val="47673FCD"/>
    <w:rsid w:val="477ED6A7"/>
    <w:rsid w:val="478DA937"/>
    <w:rsid w:val="479857AF"/>
    <w:rsid w:val="479A1ADC"/>
    <w:rsid w:val="479E9239"/>
    <w:rsid w:val="47BD10F0"/>
    <w:rsid w:val="47D450E4"/>
    <w:rsid w:val="47DB146F"/>
    <w:rsid w:val="47DE302D"/>
    <w:rsid w:val="47EE4080"/>
    <w:rsid w:val="48068975"/>
    <w:rsid w:val="4808C6B8"/>
    <w:rsid w:val="4818320E"/>
    <w:rsid w:val="4820E7A6"/>
    <w:rsid w:val="48224588"/>
    <w:rsid w:val="482895FF"/>
    <w:rsid w:val="4858EB65"/>
    <w:rsid w:val="487ED382"/>
    <w:rsid w:val="48A5E967"/>
    <w:rsid w:val="48BD5EE4"/>
    <w:rsid w:val="48C0B671"/>
    <w:rsid w:val="48C6AABE"/>
    <w:rsid w:val="48E0FF0E"/>
    <w:rsid w:val="48EC1214"/>
    <w:rsid w:val="48F22DF0"/>
    <w:rsid w:val="48F8263B"/>
    <w:rsid w:val="48F8F87B"/>
    <w:rsid w:val="49090CA6"/>
    <w:rsid w:val="4915ADCD"/>
    <w:rsid w:val="4928898D"/>
    <w:rsid w:val="492AE47B"/>
    <w:rsid w:val="495D6814"/>
    <w:rsid w:val="496A0A54"/>
    <w:rsid w:val="496B492F"/>
    <w:rsid w:val="49904439"/>
    <w:rsid w:val="49C41EA2"/>
    <w:rsid w:val="49C5A3C2"/>
    <w:rsid w:val="49ECAAD6"/>
    <w:rsid w:val="4A2B4785"/>
    <w:rsid w:val="4A55A640"/>
    <w:rsid w:val="4AAFF7E9"/>
    <w:rsid w:val="4AC0CA3F"/>
    <w:rsid w:val="4AC0E487"/>
    <w:rsid w:val="4AD50E11"/>
    <w:rsid w:val="4AE002DD"/>
    <w:rsid w:val="4AE2DC9B"/>
    <w:rsid w:val="4AF93196"/>
    <w:rsid w:val="4AF9F508"/>
    <w:rsid w:val="4B07A2C4"/>
    <w:rsid w:val="4B0EF86B"/>
    <w:rsid w:val="4B15F969"/>
    <w:rsid w:val="4B1DDB52"/>
    <w:rsid w:val="4B727519"/>
    <w:rsid w:val="4B7EE6D1"/>
    <w:rsid w:val="4BADCEDF"/>
    <w:rsid w:val="4BB56ADB"/>
    <w:rsid w:val="4BC92F85"/>
    <w:rsid w:val="4BCC9A10"/>
    <w:rsid w:val="4BDF09B3"/>
    <w:rsid w:val="4C22AB28"/>
    <w:rsid w:val="4C23BF1C"/>
    <w:rsid w:val="4C24392E"/>
    <w:rsid w:val="4C2D2ABC"/>
    <w:rsid w:val="4C446BA0"/>
    <w:rsid w:val="4C56551D"/>
    <w:rsid w:val="4C5C0BBF"/>
    <w:rsid w:val="4C788DED"/>
    <w:rsid w:val="4CAF0745"/>
    <w:rsid w:val="4CB02844"/>
    <w:rsid w:val="4CCA39C5"/>
    <w:rsid w:val="4CCE3DDB"/>
    <w:rsid w:val="4CE0D9D4"/>
    <w:rsid w:val="4CF4C782"/>
    <w:rsid w:val="4CFA0394"/>
    <w:rsid w:val="4CFCB508"/>
    <w:rsid w:val="4D111D6F"/>
    <w:rsid w:val="4D15FFEB"/>
    <w:rsid w:val="4D482FB1"/>
    <w:rsid w:val="4D52E711"/>
    <w:rsid w:val="4D64848D"/>
    <w:rsid w:val="4D674F17"/>
    <w:rsid w:val="4D84C895"/>
    <w:rsid w:val="4D86BC33"/>
    <w:rsid w:val="4DA0DA18"/>
    <w:rsid w:val="4DA6C744"/>
    <w:rsid w:val="4DF47E0F"/>
    <w:rsid w:val="4E0B2C79"/>
    <w:rsid w:val="4E0C555C"/>
    <w:rsid w:val="4E1E1BAA"/>
    <w:rsid w:val="4E28CCBE"/>
    <w:rsid w:val="4E2ED779"/>
    <w:rsid w:val="4E34378E"/>
    <w:rsid w:val="4E3E6553"/>
    <w:rsid w:val="4E5AFF27"/>
    <w:rsid w:val="4E5F2AC4"/>
    <w:rsid w:val="4E731646"/>
    <w:rsid w:val="4E8DE0EF"/>
    <w:rsid w:val="4E90B888"/>
    <w:rsid w:val="4E988569"/>
    <w:rsid w:val="4E9B5245"/>
    <w:rsid w:val="4EA0C7A6"/>
    <w:rsid w:val="4EAD3450"/>
    <w:rsid w:val="4EBA2E5B"/>
    <w:rsid w:val="4EF5496F"/>
    <w:rsid w:val="4F18642A"/>
    <w:rsid w:val="4F31DCCE"/>
    <w:rsid w:val="4F3902AC"/>
    <w:rsid w:val="4F3D7A5E"/>
    <w:rsid w:val="4F713030"/>
    <w:rsid w:val="4F907641"/>
    <w:rsid w:val="4F9CE445"/>
    <w:rsid w:val="4FB1E47C"/>
    <w:rsid w:val="4FE33FB2"/>
    <w:rsid w:val="50070256"/>
    <w:rsid w:val="500F9867"/>
    <w:rsid w:val="501B239E"/>
    <w:rsid w:val="501E7CBB"/>
    <w:rsid w:val="505C9D14"/>
    <w:rsid w:val="506CEF53"/>
    <w:rsid w:val="508AF1D0"/>
    <w:rsid w:val="5091A1D0"/>
    <w:rsid w:val="5093EF29"/>
    <w:rsid w:val="50957C88"/>
    <w:rsid w:val="509AF65F"/>
    <w:rsid w:val="50A0186C"/>
    <w:rsid w:val="50AF44F3"/>
    <w:rsid w:val="50E41E30"/>
    <w:rsid w:val="50EB543F"/>
    <w:rsid w:val="50EBED64"/>
    <w:rsid w:val="50F7B1FB"/>
    <w:rsid w:val="50F7D66C"/>
    <w:rsid w:val="5108FEFB"/>
    <w:rsid w:val="510A77C0"/>
    <w:rsid w:val="510E0F94"/>
    <w:rsid w:val="513EAEC7"/>
    <w:rsid w:val="513F2F81"/>
    <w:rsid w:val="514F3BDE"/>
    <w:rsid w:val="5150217B"/>
    <w:rsid w:val="517E17F5"/>
    <w:rsid w:val="51B65217"/>
    <w:rsid w:val="5202D416"/>
    <w:rsid w:val="523A2CB4"/>
    <w:rsid w:val="524A16D7"/>
    <w:rsid w:val="5251C857"/>
    <w:rsid w:val="5253F375"/>
    <w:rsid w:val="52668D31"/>
    <w:rsid w:val="52676698"/>
    <w:rsid w:val="526D1AE1"/>
    <w:rsid w:val="52825ACE"/>
    <w:rsid w:val="52988988"/>
    <w:rsid w:val="52B4E80B"/>
    <w:rsid w:val="52C7F4C7"/>
    <w:rsid w:val="52CCFD23"/>
    <w:rsid w:val="52D6879C"/>
    <w:rsid w:val="52DE9530"/>
    <w:rsid w:val="52ED73F6"/>
    <w:rsid w:val="53026E1B"/>
    <w:rsid w:val="5307F263"/>
    <w:rsid w:val="53090660"/>
    <w:rsid w:val="530ABDD1"/>
    <w:rsid w:val="530B4BBE"/>
    <w:rsid w:val="53185ADE"/>
    <w:rsid w:val="53499896"/>
    <w:rsid w:val="534BA79E"/>
    <w:rsid w:val="534E2B59"/>
    <w:rsid w:val="535EF193"/>
    <w:rsid w:val="5376482E"/>
    <w:rsid w:val="539759BC"/>
    <w:rsid w:val="53A22E43"/>
    <w:rsid w:val="53AAD00D"/>
    <w:rsid w:val="53B85EF1"/>
    <w:rsid w:val="53E237F6"/>
    <w:rsid w:val="5413B483"/>
    <w:rsid w:val="54330E96"/>
    <w:rsid w:val="54462581"/>
    <w:rsid w:val="544A8711"/>
    <w:rsid w:val="544E5884"/>
    <w:rsid w:val="54525F7E"/>
    <w:rsid w:val="5452E57A"/>
    <w:rsid w:val="546648D4"/>
    <w:rsid w:val="546A29FE"/>
    <w:rsid w:val="546D97E0"/>
    <w:rsid w:val="5477BDBC"/>
    <w:rsid w:val="5496ADD8"/>
    <w:rsid w:val="549B93F8"/>
    <w:rsid w:val="549E3E95"/>
    <w:rsid w:val="54A81D42"/>
    <w:rsid w:val="54B36AFC"/>
    <w:rsid w:val="54B6E131"/>
    <w:rsid w:val="54BC2049"/>
    <w:rsid w:val="54C5CEB0"/>
    <w:rsid w:val="54D07345"/>
    <w:rsid w:val="54D3FD64"/>
    <w:rsid w:val="54F7A763"/>
    <w:rsid w:val="54FB7236"/>
    <w:rsid w:val="54FF4D3F"/>
    <w:rsid w:val="550AA1CB"/>
    <w:rsid w:val="551CAC5A"/>
    <w:rsid w:val="5522AE9B"/>
    <w:rsid w:val="5541D066"/>
    <w:rsid w:val="554AD091"/>
    <w:rsid w:val="556144EE"/>
    <w:rsid w:val="55728D70"/>
    <w:rsid w:val="55732549"/>
    <w:rsid w:val="5579A4F0"/>
    <w:rsid w:val="557A6803"/>
    <w:rsid w:val="557B039B"/>
    <w:rsid w:val="559BDF7A"/>
    <w:rsid w:val="55A3AA76"/>
    <w:rsid w:val="55A49C86"/>
    <w:rsid w:val="55C22139"/>
    <w:rsid w:val="55D6DDD3"/>
    <w:rsid w:val="55DA73FD"/>
    <w:rsid w:val="55E40876"/>
    <w:rsid w:val="5604393E"/>
    <w:rsid w:val="560570A8"/>
    <w:rsid w:val="56133CE7"/>
    <w:rsid w:val="561B5830"/>
    <w:rsid w:val="5659983E"/>
    <w:rsid w:val="56657580"/>
    <w:rsid w:val="5674781C"/>
    <w:rsid w:val="56900714"/>
    <w:rsid w:val="56AB4657"/>
    <w:rsid w:val="56F40D18"/>
    <w:rsid w:val="57039E23"/>
    <w:rsid w:val="57596DAA"/>
    <w:rsid w:val="575D2377"/>
    <w:rsid w:val="579CD102"/>
    <w:rsid w:val="57A63CF0"/>
    <w:rsid w:val="57CE75D8"/>
    <w:rsid w:val="57DC6445"/>
    <w:rsid w:val="57DF5885"/>
    <w:rsid w:val="57FB94A3"/>
    <w:rsid w:val="5816D998"/>
    <w:rsid w:val="582DE17E"/>
    <w:rsid w:val="584AC326"/>
    <w:rsid w:val="5855667E"/>
    <w:rsid w:val="5885FB3A"/>
    <w:rsid w:val="58A7F766"/>
    <w:rsid w:val="58ADDA38"/>
    <w:rsid w:val="58CCBA83"/>
    <w:rsid w:val="58D12A2E"/>
    <w:rsid w:val="58ED73BF"/>
    <w:rsid w:val="58F34F2C"/>
    <w:rsid w:val="5906A2DA"/>
    <w:rsid w:val="59111EE6"/>
    <w:rsid w:val="591D5F52"/>
    <w:rsid w:val="5927C900"/>
    <w:rsid w:val="593AD9AB"/>
    <w:rsid w:val="593D15E6"/>
    <w:rsid w:val="5956626B"/>
    <w:rsid w:val="595D8F25"/>
    <w:rsid w:val="595F1E10"/>
    <w:rsid w:val="596D5EDC"/>
    <w:rsid w:val="597461F0"/>
    <w:rsid w:val="597A9862"/>
    <w:rsid w:val="5981FF21"/>
    <w:rsid w:val="59A0C4BF"/>
    <w:rsid w:val="59A980CA"/>
    <w:rsid w:val="59AEBFCE"/>
    <w:rsid w:val="59C224A5"/>
    <w:rsid w:val="59D69538"/>
    <w:rsid w:val="5A2EE1BC"/>
    <w:rsid w:val="5A3EA640"/>
    <w:rsid w:val="5A48927F"/>
    <w:rsid w:val="5A9C12C9"/>
    <w:rsid w:val="5AACA51D"/>
    <w:rsid w:val="5AB15A22"/>
    <w:rsid w:val="5AB9559F"/>
    <w:rsid w:val="5AE22512"/>
    <w:rsid w:val="5B0D655C"/>
    <w:rsid w:val="5B29134C"/>
    <w:rsid w:val="5B377E89"/>
    <w:rsid w:val="5B40E3C8"/>
    <w:rsid w:val="5B4345DE"/>
    <w:rsid w:val="5B5B5757"/>
    <w:rsid w:val="5B770871"/>
    <w:rsid w:val="5B900318"/>
    <w:rsid w:val="5BA1FF6C"/>
    <w:rsid w:val="5BB09C42"/>
    <w:rsid w:val="5BB53F93"/>
    <w:rsid w:val="5BB82A33"/>
    <w:rsid w:val="5BC498A6"/>
    <w:rsid w:val="5BD0D333"/>
    <w:rsid w:val="5BDE6CFE"/>
    <w:rsid w:val="5BE62D09"/>
    <w:rsid w:val="5BFD1B03"/>
    <w:rsid w:val="5C061CFF"/>
    <w:rsid w:val="5C1EBFED"/>
    <w:rsid w:val="5C266084"/>
    <w:rsid w:val="5C26B3EE"/>
    <w:rsid w:val="5C2757FD"/>
    <w:rsid w:val="5C293F2B"/>
    <w:rsid w:val="5C2E4DC7"/>
    <w:rsid w:val="5C3404B1"/>
    <w:rsid w:val="5C4BB437"/>
    <w:rsid w:val="5C784795"/>
    <w:rsid w:val="5C83F4C5"/>
    <w:rsid w:val="5C8DDEAC"/>
    <w:rsid w:val="5CAFE978"/>
    <w:rsid w:val="5CC5D39A"/>
    <w:rsid w:val="5CF694D7"/>
    <w:rsid w:val="5D0CD9D4"/>
    <w:rsid w:val="5D0D047C"/>
    <w:rsid w:val="5D13B630"/>
    <w:rsid w:val="5D1E310B"/>
    <w:rsid w:val="5D2404C2"/>
    <w:rsid w:val="5D392E5F"/>
    <w:rsid w:val="5D4307D7"/>
    <w:rsid w:val="5D4C10ED"/>
    <w:rsid w:val="5D52716A"/>
    <w:rsid w:val="5D662A27"/>
    <w:rsid w:val="5D747858"/>
    <w:rsid w:val="5D77E7D2"/>
    <w:rsid w:val="5D7C3D94"/>
    <w:rsid w:val="5D8234A1"/>
    <w:rsid w:val="5D8CD22C"/>
    <w:rsid w:val="5D9A2B4E"/>
    <w:rsid w:val="5D9EAB88"/>
    <w:rsid w:val="5DC1FECC"/>
    <w:rsid w:val="5DD7568D"/>
    <w:rsid w:val="5DDF6946"/>
    <w:rsid w:val="5DE4F5E0"/>
    <w:rsid w:val="5E156769"/>
    <w:rsid w:val="5E2A0BB2"/>
    <w:rsid w:val="5E3877D1"/>
    <w:rsid w:val="5E48DC1B"/>
    <w:rsid w:val="5E6BE121"/>
    <w:rsid w:val="5E80C963"/>
    <w:rsid w:val="5E80C9F2"/>
    <w:rsid w:val="5EAE59BC"/>
    <w:rsid w:val="5F13DDA9"/>
    <w:rsid w:val="5F1827FF"/>
    <w:rsid w:val="5F28F663"/>
    <w:rsid w:val="5F37AE22"/>
    <w:rsid w:val="5F57040E"/>
    <w:rsid w:val="5F58086D"/>
    <w:rsid w:val="5F5D8BD5"/>
    <w:rsid w:val="5F5E4E35"/>
    <w:rsid w:val="5F64703B"/>
    <w:rsid w:val="5F672ECF"/>
    <w:rsid w:val="5F6758C6"/>
    <w:rsid w:val="5F6BD642"/>
    <w:rsid w:val="5F73E9C2"/>
    <w:rsid w:val="5F949784"/>
    <w:rsid w:val="5FA999FB"/>
    <w:rsid w:val="5FBA4177"/>
    <w:rsid w:val="5FCFC342"/>
    <w:rsid w:val="5FD78E95"/>
    <w:rsid w:val="5FE21658"/>
    <w:rsid w:val="5FF4CFC0"/>
    <w:rsid w:val="6004D5A7"/>
    <w:rsid w:val="600D8A17"/>
    <w:rsid w:val="6023F001"/>
    <w:rsid w:val="60269017"/>
    <w:rsid w:val="60362434"/>
    <w:rsid w:val="6044783A"/>
    <w:rsid w:val="60675DDD"/>
    <w:rsid w:val="6076ED67"/>
    <w:rsid w:val="6084F16D"/>
    <w:rsid w:val="60C9ABB6"/>
    <w:rsid w:val="60CF0C9C"/>
    <w:rsid w:val="60D38B49"/>
    <w:rsid w:val="60EE5931"/>
    <w:rsid w:val="6107FB60"/>
    <w:rsid w:val="6120F6F9"/>
    <w:rsid w:val="61518801"/>
    <w:rsid w:val="615C0531"/>
    <w:rsid w:val="6161917B"/>
    <w:rsid w:val="617114D7"/>
    <w:rsid w:val="617A92AC"/>
    <w:rsid w:val="617C8D37"/>
    <w:rsid w:val="61A4CCCD"/>
    <w:rsid w:val="61A5948F"/>
    <w:rsid w:val="61E17D22"/>
    <w:rsid w:val="61EAC328"/>
    <w:rsid w:val="61ED08A5"/>
    <w:rsid w:val="61F00813"/>
    <w:rsid w:val="61F80E0C"/>
    <w:rsid w:val="61FF1D33"/>
    <w:rsid w:val="621EBE18"/>
    <w:rsid w:val="62390FAE"/>
    <w:rsid w:val="62427288"/>
    <w:rsid w:val="6247A9BC"/>
    <w:rsid w:val="6255B449"/>
    <w:rsid w:val="625C76A0"/>
    <w:rsid w:val="625F681E"/>
    <w:rsid w:val="62646AAF"/>
    <w:rsid w:val="626518D2"/>
    <w:rsid w:val="626C5C87"/>
    <w:rsid w:val="627B93C9"/>
    <w:rsid w:val="629FB213"/>
    <w:rsid w:val="62A378BD"/>
    <w:rsid w:val="62A90909"/>
    <w:rsid w:val="62C74654"/>
    <w:rsid w:val="62CFFEA8"/>
    <w:rsid w:val="631262A3"/>
    <w:rsid w:val="6315EDDC"/>
    <w:rsid w:val="631622DB"/>
    <w:rsid w:val="631BB8E3"/>
    <w:rsid w:val="63248F2E"/>
    <w:rsid w:val="632E0E10"/>
    <w:rsid w:val="632F1557"/>
    <w:rsid w:val="633098E7"/>
    <w:rsid w:val="63407408"/>
    <w:rsid w:val="634A6216"/>
    <w:rsid w:val="63510F9F"/>
    <w:rsid w:val="636EFADC"/>
    <w:rsid w:val="63771FB4"/>
    <w:rsid w:val="63826B5A"/>
    <w:rsid w:val="638AF419"/>
    <w:rsid w:val="638C6537"/>
    <w:rsid w:val="6392F6E8"/>
    <w:rsid w:val="63A9681E"/>
    <w:rsid w:val="63AA5E7A"/>
    <w:rsid w:val="63AC0D78"/>
    <w:rsid w:val="63B29B9D"/>
    <w:rsid w:val="63B5DF48"/>
    <w:rsid w:val="63C754CA"/>
    <w:rsid w:val="63CDDF91"/>
    <w:rsid w:val="63D1AE1A"/>
    <w:rsid w:val="63D1E4DB"/>
    <w:rsid w:val="63D49193"/>
    <w:rsid w:val="63D85160"/>
    <w:rsid w:val="63E23C69"/>
    <w:rsid w:val="63E95263"/>
    <w:rsid w:val="63EF46B0"/>
    <w:rsid w:val="63FC0F62"/>
    <w:rsid w:val="64022139"/>
    <w:rsid w:val="6407BD9E"/>
    <w:rsid w:val="6414897D"/>
    <w:rsid w:val="6416DF01"/>
    <w:rsid w:val="6420F713"/>
    <w:rsid w:val="642EF39C"/>
    <w:rsid w:val="645A2DB3"/>
    <w:rsid w:val="6469ACF3"/>
    <w:rsid w:val="64789AE2"/>
    <w:rsid w:val="647F72F4"/>
    <w:rsid w:val="648B9898"/>
    <w:rsid w:val="649CFC15"/>
    <w:rsid w:val="649DB565"/>
    <w:rsid w:val="64A53AFE"/>
    <w:rsid w:val="64BF5839"/>
    <w:rsid w:val="64C409A3"/>
    <w:rsid w:val="64DB746A"/>
    <w:rsid w:val="64DE2FDA"/>
    <w:rsid w:val="64EBFD10"/>
    <w:rsid w:val="64EF9E19"/>
    <w:rsid w:val="64FF62CB"/>
    <w:rsid w:val="65060B92"/>
    <w:rsid w:val="650F670D"/>
    <w:rsid w:val="65129FF7"/>
    <w:rsid w:val="65141606"/>
    <w:rsid w:val="65170AFF"/>
    <w:rsid w:val="6520E969"/>
    <w:rsid w:val="652A10A5"/>
    <w:rsid w:val="65370332"/>
    <w:rsid w:val="6538A96A"/>
    <w:rsid w:val="653AC58B"/>
    <w:rsid w:val="653F30D1"/>
    <w:rsid w:val="65412BB6"/>
    <w:rsid w:val="655CF06C"/>
    <w:rsid w:val="656129F3"/>
    <w:rsid w:val="65666578"/>
    <w:rsid w:val="6573E5B9"/>
    <w:rsid w:val="658B3B7D"/>
    <w:rsid w:val="65911ECC"/>
    <w:rsid w:val="6599F408"/>
    <w:rsid w:val="65A53D33"/>
    <w:rsid w:val="65AC4AA1"/>
    <w:rsid w:val="65B1E708"/>
    <w:rsid w:val="65B25B51"/>
    <w:rsid w:val="65B46DD7"/>
    <w:rsid w:val="65BAF478"/>
    <w:rsid w:val="65D8CD27"/>
    <w:rsid w:val="65DEF627"/>
    <w:rsid w:val="65F2723F"/>
    <w:rsid w:val="663CA4C3"/>
    <w:rsid w:val="66483066"/>
    <w:rsid w:val="668C65B3"/>
    <w:rsid w:val="668F7136"/>
    <w:rsid w:val="66DDE305"/>
    <w:rsid w:val="66EE438A"/>
    <w:rsid w:val="66EF621C"/>
    <w:rsid w:val="670661AF"/>
    <w:rsid w:val="67087BB6"/>
    <w:rsid w:val="672A05D4"/>
    <w:rsid w:val="672CC095"/>
    <w:rsid w:val="675EECDC"/>
    <w:rsid w:val="676F984B"/>
    <w:rsid w:val="67795C67"/>
    <w:rsid w:val="677C46B5"/>
    <w:rsid w:val="6797976F"/>
    <w:rsid w:val="67A5EABE"/>
    <w:rsid w:val="67C513B4"/>
    <w:rsid w:val="67E55181"/>
    <w:rsid w:val="67E8464D"/>
    <w:rsid w:val="682A1ED4"/>
    <w:rsid w:val="684BA9D2"/>
    <w:rsid w:val="68585AF5"/>
    <w:rsid w:val="685B8E7B"/>
    <w:rsid w:val="6879749B"/>
    <w:rsid w:val="6881B401"/>
    <w:rsid w:val="688C09BC"/>
    <w:rsid w:val="6890A160"/>
    <w:rsid w:val="6898C262"/>
    <w:rsid w:val="689E5965"/>
    <w:rsid w:val="68CB3F34"/>
    <w:rsid w:val="68CC42C9"/>
    <w:rsid w:val="68D01A15"/>
    <w:rsid w:val="68D652CF"/>
    <w:rsid w:val="68DF7521"/>
    <w:rsid w:val="68F45A96"/>
    <w:rsid w:val="690E8FA0"/>
    <w:rsid w:val="69126A75"/>
    <w:rsid w:val="691F9E18"/>
    <w:rsid w:val="69327886"/>
    <w:rsid w:val="69539706"/>
    <w:rsid w:val="695EAC77"/>
    <w:rsid w:val="6964801A"/>
    <w:rsid w:val="697223A2"/>
    <w:rsid w:val="6973C254"/>
    <w:rsid w:val="69BFC0C0"/>
    <w:rsid w:val="69DDA5B0"/>
    <w:rsid w:val="6A0439F5"/>
    <w:rsid w:val="6A0B8EDB"/>
    <w:rsid w:val="6A2CD668"/>
    <w:rsid w:val="6A3D6AF9"/>
    <w:rsid w:val="6A4A71E4"/>
    <w:rsid w:val="6A6F579F"/>
    <w:rsid w:val="6A6F8FA0"/>
    <w:rsid w:val="6A71F58A"/>
    <w:rsid w:val="6A7B4F51"/>
    <w:rsid w:val="6A7C9AE3"/>
    <w:rsid w:val="6AA4FB1D"/>
    <w:rsid w:val="6AA5ABD8"/>
    <w:rsid w:val="6AA97BC3"/>
    <w:rsid w:val="6ACA5F3B"/>
    <w:rsid w:val="6AD59EB2"/>
    <w:rsid w:val="6B1B288B"/>
    <w:rsid w:val="6B209F37"/>
    <w:rsid w:val="6B29E708"/>
    <w:rsid w:val="6B3A0081"/>
    <w:rsid w:val="6B47585B"/>
    <w:rsid w:val="6B5CA185"/>
    <w:rsid w:val="6B6DC5E5"/>
    <w:rsid w:val="6B74CF32"/>
    <w:rsid w:val="6B766757"/>
    <w:rsid w:val="6B77C663"/>
    <w:rsid w:val="6B7BA1ED"/>
    <w:rsid w:val="6B86F636"/>
    <w:rsid w:val="6B87F228"/>
    <w:rsid w:val="6B957DB0"/>
    <w:rsid w:val="6B9FA917"/>
    <w:rsid w:val="6BABFC32"/>
    <w:rsid w:val="6BB1C696"/>
    <w:rsid w:val="6BB7BACA"/>
    <w:rsid w:val="6BCC1D9D"/>
    <w:rsid w:val="6BE85434"/>
    <w:rsid w:val="6BF20B21"/>
    <w:rsid w:val="6BF77A07"/>
    <w:rsid w:val="6BFADF17"/>
    <w:rsid w:val="6C0EB159"/>
    <w:rsid w:val="6C0ECAC3"/>
    <w:rsid w:val="6C397FD8"/>
    <w:rsid w:val="6C67894F"/>
    <w:rsid w:val="6CA490AA"/>
    <w:rsid w:val="6CAAF33B"/>
    <w:rsid w:val="6CAFCA72"/>
    <w:rsid w:val="6CB7F508"/>
    <w:rsid w:val="6CCC4DC6"/>
    <w:rsid w:val="6CE85B56"/>
    <w:rsid w:val="6CFB25B6"/>
    <w:rsid w:val="6D2686D2"/>
    <w:rsid w:val="6D5B89C4"/>
    <w:rsid w:val="6D7A12E2"/>
    <w:rsid w:val="6D801E00"/>
    <w:rsid w:val="6DA4586B"/>
    <w:rsid w:val="6DB01850"/>
    <w:rsid w:val="6DBF7FBC"/>
    <w:rsid w:val="6DD98314"/>
    <w:rsid w:val="6DE2A8FC"/>
    <w:rsid w:val="6DF0D9FA"/>
    <w:rsid w:val="6DF1AA49"/>
    <w:rsid w:val="6DF9C631"/>
    <w:rsid w:val="6E22019B"/>
    <w:rsid w:val="6E23DFCF"/>
    <w:rsid w:val="6E2FF91F"/>
    <w:rsid w:val="6E3EEFC4"/>
    <w:rsid w:val="6E492CCC"/>
    <w:rsid w:val="6E4F6FA6"/>
    <w:rsid w:val="6E549305"/>
    <w:rsid w:val="6E5CC0A8"/>
    <w:rsid w:val="6EA19E19"/>
    <w:rsid w:val="6ED6BED8"/>
    <w:rsid w:val="6EDEFE48"/>
    <w:rsid w:val="6F06DA24"/>
    <w:rsid w:val="6F20395C"/>
    <w:rsid w:val="6F2331B7"/>
    <w:rsid w:val="6F34162C"/>
    <w:rsid w:val="6F38461E"/>
    <w:rsid w:val="6F3E0E5B"/>
    <w:rsid w:val="6F467D71"/>
    <w:rsid w:val="6F4DD14B"/>
    <w:rsid w:val="6F51DC90"/>
    <w:rsid w:val="6F53A2AC"/>
    <w:rsid w:val="6F55FF77"/>
    <w:rsid w:val="6F5E7E1F"/>
    <w:rsid w:val="6F6FA747"/>
    <w:rsid w:val="6F7F5FBB"/>
    <w:rsid w:val="6F87093C"/>
    <w:rsid w:val="6F9831AE"/>
    <w:rsid w:val="6F9D0678"/>
    <w:rsid w:val="6FA341A8"/>
    <w:rsid w:val="6FB2423C"/>
    <w:rsid w:val="6FB50C98"/>
    <w:rsid w:val="6FC25E93"/>
    <w:rsid w:val="6FE597F5"/>
    <w:rsid w:val="70066323"/>
    <w:rsid w:val="700B48F6"/>
    <w:rsid w:val="702B12CE"/>
    <w:rsid w:val="7035EAB3"/>
    <w:rsid w:val="70502703"/>
    <w:rsid w:val="705A672C"/>
    <w:rsid w:val="70638FFC"/>
    <w:rsid w:val="706C37C9"/>
    <w:rsid w:val="707FC3FC"/>
    <w:rsid w:val="708D1C83"/>
    <w:rsid w:val="7092DB0F"/>
    <w:rsid w:val="70932A86"/>
    <w:rsid w:val="70CA9799"/>
    <w:rsid w:val="70F4C5BF"/>
    <w:rsid w:val="70F9293C"/>
    <w:rsid w:val="70F99779"/>
    <w:rsid w:val="71167A91"/>
    <w:rsid w:val="713AE87D"/>
    <w:rsid w:val="715DD6A5"/>
    <w:rsid w:val="716C1095"/>
    <w:rsid w:val="716E87DE"/>
    <w:rsid w:val="717AE2C5"/>
    <w:rsid w:val="717F7EE2"/>
    <w:rsid w:val="7190E652"/>
    <w:rsid w:val="7195979F"/>
    <w:rsid w:val="719C9002"/>
    <w:rsid w:val="719F7351"/>
    <w:rsid w:val="71AFB16A"/>
    <w:rsid w:val="71BFCAFC"/>
    <w:rsid w:val="71EC0338"/>
    <w:rsid w:val="71F7D3BD"/>
    <w:rsid w:val="7218BFD5"/>
    <w:rsid w:val="72197946"/>
    <w:rsid w:val="721BE41A"/>
    <w:rsid w:val="722E3719"/>
    <w:rsid w:val="7232300C"/>
    <w:rsid w:val="723FE22A"/>
    <w:rsid w:val="724592D6"/>
    <w:rsid w:val="724C1932"/>
    <w:rsid w:val="726E68AB"/>
    <w:rsid w:val="72709A0C"/>
    <w:rsid w:val="72767ED2"/>
    <w:rsid w:val="7285814C"/>
    <w:rsid w:val="72A36724"/>
    <w:rsid w:val="72B1A6C7"/>
    <w:rsid w:val="72D953FA"/>
    <w:rsid w:val="72DBD470"/>
    <w:rsid w:val="72EAF6B8"/>
    <w:rsid w:val="730FEBCA"/>
    <w:rsid w:val="7326B8AB"/>
    <w:rsid w:val="733C79FA"/>
    <w:rsid w:val="733E98AF"/>
    <w:rsid w:val="735BA71D"/>
    <w:rsid w:val="736D8B75"/>
    <w:rsid w:val="73767841"/>
    <w:rsid w:val="737B9069"/>
    <w:rsid w:val="7384EB4F"/>
    <w:rsid w:val="7394371D"/>
    <w:rsid w:val="7395A7B3"/>
    <w:rsid w:val="73A1DCCA"/>
    <w:rsid w:val="73AC0723"/>
    <w:rsid w:val="73ED8950"/>
    <w:rsid w:val="7402A1EE"/>
    <w:rsid w:val="744FE3BA"/>
    <w:rsid w:val="7474DB49"/>
    <w:rsid w:val="7487DAE5"/>
    <w:rsid w:val="748ACAAD"/>
    <w:rsid w:val="74916EDC"/>
    <w:rsid w:val="749951D9"/>
    <w:rsid w:val="74E7D928"/>
    <w:rsid w:val="75086B4A"/>
    <w:rsid w:val="751FA77D"/>
    <w:rsid w:val="75356060"/>
    <w:rsid w:val="7549607E"/>
    <w:rsid w:val="75541B36"/>
    <w:rsid w:val="755CCF37"/>
    <w:rsid w:val="75904DE2"/>
    <w:rsid w:val="75B10D9A"/>
    <w:rsid w:val="75B89814"/>
    <w:rsid w:val="75D00ADD"/>
    <w:rsid w:val="75D0C357"/>
    <w:rsid w:val="75D171B9"/>
    <w:rsid w:val="75D7CF49"/>
    <w:rsid w:val="75DB9E4D"/>
    <w:rsid w:val="75E83D10"/>
    <w:rsid w:val="75F5301D"/>
    <w:rsid w:val="75FCA287"/>
    <w:rsid w:val="762E09A5"/>
    <w:rsid w:val="763170C4"/>
    <w:rsid w:val="76430B5C"/>
    <w:rsid w:val="76586DE3"/>
    <w:rsid w:val="765F99B3"/>
    <w:rsid w:val="766E6A72"/>
    <w:rsid w:val="7679A44B"/>
    <w:rsid w:val="767DC9EE"/>
    <w:rsid w:val="76813F24"/>
    <w:rsid w:val="7685BD37"/>
    <w:rsid w:val="7699A724"/>
    <w:rsid w:val="76A491B5"/>
    <w:rsid w:val="76B16B5F"/>
    <w:rsid w:val="76C37A7B"/>
    <w:rsid w:val="76CA0640"/>
    <w:rsid w:val="76D6F9B3"/>
    <w:rsid w:val="76D8BF98"/>
    <w:rsid w:val="76EE8283"/>
    <w:rsid w:val="772C6231"/>
    <w:rsid w:val="772DFB74"/>
    <w:rsid w:val="77335F8A"/>
    <w:rsid w:val="774CD825"/>
    <w:rsid w:val="7752F33E"/>
    <w:rsid w:val="77545700"/>
    <w:rsid w:val="775CF349"/>
    <w:rsid w:val="77765E62"/>
    <w:rsid w:val="77858951"/>
    <w:rsid w:val="7788C888"/>
    <w:rsid w:val="77961DEE"/>
    <w:rsid w:val="779A22D6"/>
    <w:rsid w:val="77A1B39A"/>
    <w:rsid w:val="77AB2B38"/>
    <w:rsid w:val="77C77C26"/>
    <w:rsid w:val="77CE179B"/>
    <w:rsid w:val="78034F04"/>
    <w:rsid w:val="7804D923"/>
    <w:rsid w:val="780A3D5B"/>
    <w:rsid w:val="78198D27"/>
    <w:rsid w:val="781C74E8"/>
    <w:rsid w:val="7831CF34"/>
    <w:rsid w:val="7855A11E"/>
    <w:rsid w:val="7886F5BF"/>
    <w:rsid w:val="78925B26"/>
    <w:rsid w:val="78948AE7"/>
    <w:rsid w:val="78986F86"/>
    <w:rsid w:val="78A8E10F"/>
    <w:rsid w:val="78B17559"/>
    <w:rsid w:val="78DD9C3E"/>
    <w:rsid w:val="78F5A6B0"/>
    <w:rsid w:val="78F6EED3"/>
    <w:rsid w:val="78FC282E"/>
    <w:rsid w:val="7944FC28"/>
    <w:rsid w:val="79457339"/>
    <w:rsid w:val="795D3829"/>
    <w:rsid w:val="7967046F"/>
    <w:rsid w:val="79699CE3"/>
    <w:rsid w:val="7969A0B9"/>
    <w:rsid w:val="796F3C38"/>
    <w:rsid w:val="79732F71"/>
    <w:rsid w:val="79759A8A"/>
    <w:rsid w:val="797A1906"/>
    <w:rsid w:val="798485AE"/>
    <w:rsid w:val="799691A7"/>
    <w:rsid w:val="79987DD1"/>
    <w:rsid w:val="79B36FE2"/>
    <w:rsid w:val="79B9FF87"/>
    <w:rsid w:val="79C8A4C6"/>
    <w:rsid w:val="79CA4FB7"/>
    <w:rsid w:val="79CECB45"/>
    <w:rsid w:val="79E2F711"/>
    <w:rsid w:val="79E8C9EA"/>
    <w:rsid w:val="7A03F67F"/>
    <w:rsid w:val="7A186605"/>
    <w:rsid w:val="7A1E8598"/>
    <w:rsid w:val="7A3A0CCC"/>
    <w:rsid w:val="7A5BBF1D"/>
    <w:rsid w:val="7A630226"/>
    <w:rsid w:val="7A74D1A7"/>
    <w:rsid w:val="7A7762F2"/>
    <w:rsid w:val="7A7DC08E"/>
    <w:rsid w:val="7A869A54"/>
    <w:rsid w:val="7AA44334"/>
    <w:rsid w:val="7AA542BD"/>
    <w:rsid w:val="7AC040D1"/>
    <w:rsid w:val="7ACAC7F5"/>
    <w:rsid w:val="7ADBE43A"/>
    <w:rsid w:val="7AE01284"/>
    <w:rsid w:val="7B387C17"/>
    <w:rsid w:val="7B3E7980"/>
    <w:rsid w:val="7B4AF9AB"/>
    <w:rsid w:val="7B5077C9"/>
    <w:rsid w:val="7B567B40"/>
    <w:rsid w:val="7B69C063"/>
    <w:rsid w:val="7B8381D7"/>
    <w:rsid w:val="7B8C10D2"/>
    <w:rsid w:val="7B8F94E2"/>
    <w:rsid w:val="7B93B9D8"/>
    <w:rsid w:val="7B9D73C9"/>
    <w:rsid w:val="7BB020AE"/>
    <w:rsid w:val="7BC03174"/>
    <w:rsid w:val="7BC9E8A4"/>
    <w:rsid w:val="7BD4124C"/>
    <w:rsid w:val="7BE77A0E"/>
    <w:rsid w:val="7C039633"/>
    <w:rsid w:val="7C1709A0"/>
    <w:rsid w:val="7C177D83"/>
    <w:rsid w:val="7C1A4B3B"/>
    <w:rsid w:val="7C2B02C5"/>
    <w:rsid w:val="7C2BB901"/>
    <w:rsid w:val="7C2EFB56"/>
    <w:rsid w:val="7C39ECB2"/>
    <w:rsid w:val="7C4A88F4"/>
    <w:rsid w:val="7C4DAB56"/>
    <w:rsid w:val="7C69A959"/>
    <w:rsid w:val="7C6BEB43"/>
    <w:rsid w:val="7C7DCAC5"/>
    <w:rsid w:val="7C852D06"/>
    <w:rsid w:val="7C8BC0C2"/>
    <w:rsid w:val="7C91D140"/>
    <w:rsid w:val="7C9A4088"/>
    <w:rsid w:val="7CA3714C"/>
    <w:rsid w:val="7CA3FE2C"/>
    <w:rsid w:val="7CA7FB2C"/>
    <w:rsid w:val="7CAB46AC"/>
    <w:rsid w:val="7CAEC0E1"/>
    <w:rsid w:val="7CB82C58"/>
    <w:rsid w:val="7CC0F3E4"/>
    <w:rsid w:val="7CCDEA82"/>
    <w:rsid w:val="7CD91B0A"/>
    <w:rsid w:val="7CEFBE77"/>
    <w:rsid w:val="7CFBE059"/>
    <w:rsid w:val="7D0DD084"/>
    <w:rsid w:val="7D1B10F2"/>
    <w:rsid w:val="7D280141"/>
    <w:rsid w:val="7D4DAE9E"/>
    <w:rsid w:val="7D539771"/>
    <w:rsid w:val="7D5CF7B7"/>
    <w:rsid w:val="7D6D1074"/>
    <w:rsid w:val="7D72A3C9"/>
    <w:rsid w:val="7D7CBACC"/>
    <w:rsid w:val="7D7FF87A"/>
    <w:rsid w:val="7D811765"/>
    <w:rsid w:val="7D898C81"/>
    <w:rsid w:val="7D939EC6"/>
    <w:rsid w:val="7DA74A6B"/>
    <w:rsid w:val="7DAD9A15"/>
    <w:rsid w:val="7DB69A14"/>
    <w:rsid w:val="7DBCD5F0"/>
    <w:rsid w:val="7DC019EE"/>
    <w:rsid w:val="7DC8116D"/>
    <w:rsid w:val="7DDABED5"/>
    <w:rsid w:val="7DED17B3"/>
    <w:rsid w:val="7DF953B7"/>
    <w:rsid w:val="7E3757C3"/>
    <w:rsid w:val="7E39505D"/>
    <w:rsid w:val="7E6DB7A1"/>
    <w:rsid w:val="7E708ED2"/>
    <w:rsid w:val="7E7D941E"/>
    <w:rsid w:val="7E88EC69"/>
    <w:rsid w:val="7E8BA0C0"/>
    <w:rsid w:val="7E960725"/>
    <w:rsid w:val="7E9FA8AE"/>
    <w:rsid w:val="7EA26EDD"/>
    <w:rsid w:val="7ECC2499"/>
    <w:rsid w:val="7ECF982F"/>
    <w:rsid w:val="7ED2681E"/>
    <w:rsid w:val="7EDEF68B"/>
    <w:rsid w:val="7EEB06B9"/>
    <w:rsid w:val="7F07EE8C"/>
    <w:rsid w:val="7F0A2B0A"/>
    <w:rsid w:val="7F2692B9"/>
    <w:rsid w:val="7F3772C1"/>
    <w:rsid w:val="7F505F79"/>
    <w:rsid w:val="7F5285F1"/>
    <w:rsid w:val="7F5491FC"/>
    <w:rsid w:val="7F60FBE3"/>
    <w:rsid w:val="7F697DA4"/>
    <w:rsid w:val="7F77B818"/>
    <w:rsid w:val="7F7D8EBB"/>
    <w:rsid w:val="7F86C64B"/>
    <w:rsid w:val="7F87CCA2"/>
    <w:rsid w:val="7F8B91E8"/>
    <w:rsid w:val="7F91AFB8"/>
    <w:rsid w:val="7F952418"/>
    <w:rsid w:val="7FAE09EA"/>
    <w:rsid w:val="7FB0EFC6"/>
    <w:rsid w:val="7FB713E5"/>
    <w:rsid w:val="7FBEFC6B"/>
    <w:rsid w:val="7FE60792"/>
    <w:rsid w:val="7FE9851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6E83A87"/>
  <w15:chartTrackingRefBased/>
  <w15:docId w15:val="{656125FB-5B52-4469-849D-5681DDD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bg"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5D"/>
    <w:pPr>
      <w:spacing w:after="0" w:line="240" w:lineRule="auto"/>
    </w:pPr>
    <w:rPr>
      <w:rFonts w:ascii="Times New Roman" w:eastAsia="Times New Roman" w:hAnsi="Times New Roman" w:cs="Times New Roman"/>
      <w:sz w:val="24"/>
    </w:rPr>
  </w:style>
  <w:style w:type="paragraph" w:styleId="Heading1">
    <w:name w:val="heading 1"/>
    <w:basedOn w:val="Normal"/>
    <w:next w:val="Text1"/>
    <w:link w:val="Heading1Char"/>
    <w:uiPriority w:val="9"/>
    <w:qFormat/>
    <w:rsid w:val="00565D10"/>
    <w:pPr>
      <w:keepNext/>
      <w:numPr>
        <w:numId w:val="7"/>
      </w:numPr>
      <w:spacing w:before="360" w:after="120"/>
      <w:jc w:val="both"/>
      <w:outlineLvl w:val="0"/>
    </w:pPr>
    <w:rPr>
      <w:rFonts w:eastAsiaTheme="majorEastAsia"/>
      <w:b/>
      <w:smallCaps/>
    </w:rPr>
  </w:style>
  <w:style w:type="paragraph" w:styleId="Heading2">
    <w:name w:val="heading 2"/>
    <w:basedOn w:val="Normal"/>
    <w:next w:val="Text1"/>
    <w:link w:val="Heading2Char"/>
    <w:uiPriority w:val="9"/>
    <w:unhideWhenUsed/>
    <w:qFormat/>
    <w:rsid w:val="00565D10"/>
    <w:pPr>
      <w:keepNext/>
      <w:numPr>
        <w:ilvl w:val="1"/>
        <w:numId w:val="7"/>
      </w:numPr>
      <w:spacing w:before="120" w:after="120"/>
      <w:jc w:val="both"/>
      <w:outlineLvl w:val="1"/>
    </w:pPr>
    <w:rPr>
      <w:rFonts w:eastAsiaTheme="majorEastAsia"/>
      <w:b/>
    </w:rPr>
  </w:style>
  <w:style w:type="paragraph" w:styleId="Heading3">
    <w:name w:val="heading 3"/>
    <w:basedOn w:val="Normal"/>
    <w:next w:val="Text1"/>
    <w:link w:val="Heading3Char"/>
    <w:uiPriority w:val="9"/>
    <w:unhideWhenUsed/>
    <w:qFormat/>
    <w:rsid w:val="00565D10"/>
    <w:pPr>
      <w:keepNext/>
      <w:numPr>
        <w:ilvl w:val="2"/>
        <w:numId w:val="7"/>
      </w:numPr>
      <w:spacing w:before="120" w:after="120"/>
      <w:jc w:val="both"/>
      <w:outlineLvl w:val="2"/>
    </w:pPr>
    <w:rPr>
      <w:rFonts w:eastAsiaTheme="majorEastAsia"/>
      <w:i/>
    </w:rPr>
  </w:style>
  <w:style w:type="paragraph" w:styleId="Heading4">
    <w:name w:val="heading 4"/>
    <w:basedOn w:val="Normal"/>
    <w:next w:val="Text1"/>
    <w:link w:val="Heading4Char"/>
    <w:uiPriority w:val="9"/>
    <w:unhideWhenUsed/>
    <w:qFormat/>
    <w:rsid w:val="00565D10"/>
    <w:pPr>
      <w:keepNext/>
      <w:numPr>
        <w:ilvl w:val="3"/>
        <w:numId w:val="7"/>
      </w:numPr>
      <w:spacing w:before="120" w:after="120"/>
      <w:jc w:val="both"/>
      <w:outlineLvl w:val="3"/>
    </w:pPr>
    <w:rPr>
      <w:rFonts w:eastAsiaTheme="maj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D10"/>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565D10"/>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565D10"/>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565D10"/>
    <w:rPr>
      <w:rFonts w:ascii="Times New Roman" w:eastAsiaTheme="majorEastAsia" w:hAnsi="Times New Roman" w:cs="Times New Roman"/>
      <w:sz w:val="24"/>
    </w:rPr>
  </w:style>
  <w:style w:type="numbering" w:customStyle="1" w:styleId="NoList1">
    <w:name w:val="No List1"/>
    <w:next w:val="NoList"/>
    <w:uiPriority w:val="99"/>
    <w:semiHidden/>
    <w:unhideWhenUsed/>
    <w:rsid w:val="00565D10"/>
  </w:style>
  <w:style w:type="paragraph" w:customStyle="1" w:styleId="Text1">
    <w:name w:val="Text 1"/>
    <w:basedOn w:val="Normal"/>
    <w:rsid w:val="00565D10"/>
    <w:pPr>
      <w:spacing w:before="120" w:after="120"/>
      <w:ind w:left="850"/>
      <w:jc w:val="both"/>
    </w:pPr>
  </w:style>
  <w:style w:type="paragraph" w:styleId="Header">
    <w:name w:val="header"/>
    <w:basedOn w:val="Normal"/>
    <w:link w:val="HeaderChar"/>
    <w:uiPriority w:val="99"/>
    <w:unhideWhenUsed/>
    <w:rsid w:val="00565D10"/>
    <w:pPr>
      <w:tabs>
        <w:tab w:val="center" w:pos="4535"/>
        <w:tab w:val="right" w:pos="9071"/>
      </w:tabs>
      <w:spacing w:after="120"/>
      <w:jc w:val="both"/>
    </w:pPr>
  </w:style>
  <w:style w:type="character" w:customStyle="1" w:styleId="HeaderChar">
    <w:name w:val="Header Char"/>
    <w:basedOn w:val="DefaultParagraphFont"/>
    <w:link w:val="Header"/>
    <w:uiPriority w:val="99"/>
    <w:rsid w:val="00565D10"/>
    <w:rPr>
      <w:rFonts w:ascii="Times New Roman" w:eastAsia="Times New Roman" w:hAnsi="Times New Roman" w:cs="Times New Roman"/>
      <w:sz w:val="24"/>
    </w:rPr>
  </w:style>
  <w:style w:type="paragraph" w:styleId="Footer">
    <w:name w:val="footer"/>
    <w:basedOn w:val="Normal"/>
    <w:link w:val="FooterChar"/>
    <w:uiPriority w:val="99"/>
    <w:unhideWhenUsed/>
    <w:rsid w:val="00565D10"/>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565D10"/>
    <w:rPr>
      <w:rFonts w:ascii="Times New Roman" w:eastAsia="Times New Roman" w:hAnsi="Times New Roman" w:cs="Times New Roman"/>
      <w:sz w:val="24"/>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565D10"/>
    <w:pPr>
      <w:ind w:left="720" w:hanging="720"/>
      <w:jc w:val="both"/>
    </w:pPr>
    <w:rPr>
      <w:sz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565D10"/>
    <w:rPr>
      <w:rFonts w:ascii="Times New Roman" w:eastAsia="Times New Roman" w:hAnsi="Times New Roman" w:cs="Times New Roman"/>
      <w:sz w:val="20"/>
    </w:rPr>
  </w:style>
  <w:style w:type="paragraph" w:styleId="TOCHeading">
    <w:name w:val="TOC Heading"/>
    <w:basedOn w:val="Normal"/>
    <w:next w:val="Normal"/>
    <w:uiPriority w:val="39"/>
    <w:semiHidden/>
    <w:unhideWhenUsed/>
    <w:qFormat/>
    <w:rsid w:val="00565D10"/>
    <w:pPr>
      <w:spacing w:before="120" w:after="240"/>
      <w:jc w:val="center"/>
    </w:pPr>
    <w:rPr>
      <w:b/>
      <w:sz w:val="28"/>
    </w:rPr>
  </w:style>
  <w:style w:type="paragraph" w:styleId="TOC1">
    <w:name w:val="toc 1"/>
    <w:basedOn w:val="Normal"/>
    <w:next w:val="Normal"/>
    <w:uiPriority w:val="39"/>
    <w:semiHidden/>
    <w:unhideWhenUsed/>
    <w:rsid w:val="00565D10"/>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565D10"/>
    <w:pPr>
      <w:tabs>
        <w:tab w:val="right" w:leader="dot" w:pos="9071"/>
      </w:tabs>
      <w:spacing w:before="60" w:after="120"/>
      <w:ind w:left="850" w:hanging="850"/>
    </w:pPr>
  </w:style>
  <w:style w:type="paragraph" w:styleId="TOC3">
    <w:name w:val="toc 3"/>
    <w:basedOn w:val="Normal"/>
    <w:next w:val="Normal"/>
    <w:uiPriority w:val="39"/>
    <w:semiHidden/>
    <w:unhideWhenUsed/>
    <w:rsid w:val="00565D10"/>
    <w:pPr>
      <w:tabs>
        <w:tab w:val="right" w:leader="dot" w:pos="9071"/>
      </w:tabs>
      <w:spacing w:before="60" w:after="120"/>
      <w:ind w:left="850" w:hanging="850"/>
    </w:pPr>
  </w:style>
  <w:style w:type="paragraph" w:styleId="TOC4">
    <w:name w:val="toc 4"/>
    <w:basedOn w:val="Normal"/>
    <w:next w:val="Normal"/>
    <w:uiPriority w:val="39"/>
    <w:semiHidden/>
    <w:unhideWhenUsed/>
    <w:rsid w:val="00565D10"/>
    <w:pPr>
      <w:tabs>
        <w:tab w:val="right" w:leader="dot" w:pos="9071"/>
      </w:tabs>
      <w:spacing w:before="60" w:after="120"/>
      <w:ind w:left="850" w:hanging="850"/>
    </w:pPr>
  </w:style>
  <w:style w:type="paragraph" w:styleId="TOC5">
    <w:name w:val="toc 5"/>
    <w:basedOn w:val="Normal"/>
    <w:next w:val="Normal"/>
    <w:uiPriority w:val="39"/>
    <w:semiHidden/>
    <w:unhideWhenUsed/>
    <w:rsid w:val="00565D10"/>
    <w:pPr>
      <w:tabs>
        <w:tab w:val="right" w:leader="dot" w:pos="9071"/>
      </w:tabs>
      <w:spacing w:before="300" w:after="120"/>
    </w:pPr>
  </w:style>
  <w:style w:type="paragraph" w:styleId="TOC6">
    <w:name w:val="toc 6"/>
    <w:basedOn w:val="Normal"/>
    <w:next w:val="Normal"/>
    <w:uiPriority w:val="39"/>
    <w:semiHidden/>
    <w:unhideWhenUsed/>
    <w:rsid w:val="00565D10"/>
    <w:pPr>
      <w:tabs>
        <w:tab w:val="right" w:leader="dot" w:pos="9071"/>
      </w:tabs>
      <w:spacing w:before="240" w:after="120"/>
    </w:pPr>
  </w:style>
  <w:style w:type="paragraph" w:styleId="TOC7">
    <w:name w:val="toc 7"/>
    <w:basedOn w:val="Normal"/>
    <w:next w:val="Normal"/>
    <w:uiPriority w:val="39"/>
    <w:semiHidden/>
    <w:unhideWhenUsed/>
    <w:rsid w:val="00565D10"/>
    <w:pPr>
      <w:tabs>
        <w:tab w:val="right" w:leader="dot" w:pos="9071"/>
      </w:tabs>
      <w:spacing w:before="180" w:after="120"/>
    </w:pPr>
  </w:style>
  <w:style w:type="paragraph" w:styleId="TOC8">
    <w:name w:val="toc 8"/>
    <w:basedOn w:val="Normal"/>
    <w:next w:val="Normal"/>
    <w:uiPriority w:val="39"/>
    <w:semiHidden/>
    <w:unhideWhenUsed/>
    <w:rsid w:val="00565D10"/>
    <w:pPr>
      <w:tabs>
        <w:tab w:val="right" w:leader="dot" w:pos="9071"/>
      </w:tabs>
      <w:spacing w:before="120" w:after="120"/>
    </w:pPr>
  </w:style>
  <w:style w:type="paragraph" w:styleId="TOC9">
    <w:name w:val="toc 9"/>
    <w:basedOn w:val="Normal"/>
    <w:next w:val="Normal"/>
    <w:uiPriority w:val="39"/>
    <w:semiHidden/>
    <w:unhideWhenUsed/>
    <w:rsid w:val="00565D10"/>
    <w:pPr>
      <w:tabs>
        <w:tab w:val="right" w:leader="dot" w:pos="9071"/>
      </w:tabs>
      <w:spacing w:before="120" w:after="120"/>
      <w:jc w:val="both"/>
    </w:pPr>
  </w:style>
  <w:style w:type="paragraph" w:customStyle="1" w:styleId="HeaderLandscape">
    <w:name w:val="HeaderLandscape"/>
    <w:basedOn w:val="Normal"/>
    <w:rsid w:val="00565D10"/>
    <w:pPr>
      <w:tabs>
        <w:tab w:val="center" w:pos="7285"/>
        <w:tab w:val="right" w:pos="14003"/>
      </w:tabs>
      <w:spacing w:after="120"/>
      <w:jc w:val="both"/>
    </w:pPr>
  </w:style>
  <w:style w:type="paragraph" w:customStyle="1" w:styleId="FooterLandscape">
    <w:name w:val="FooterLandscape"/>
    <w:basedOn w:val="Normal"/>
    <w:rsid w:val="00565D10"/>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565D10"/>
    <w:rPr>
      <w:vertAlign w:val="superscript"/>
    </w:rPr>
  </w:style>
  <w:style w:type="paragraph" w:customStyle="1" w:styleId="1">
    <w:name w:val="1"/>
    <w:basedOn w:val="Normal"/>
    <w:link w:val="FootnoteReference"/>
    <w:uiPriority w:val="99"/>
    <w:rsid w:val="00565D10"/>
    <w:pPr>
      <w:spacing w:after="160" w:line="240" w:lineRule="exact"/>
      <w:jc w:val="both"/>
    </w:pPr>
    <w:rPr>
      <w:rFonts w:asciiTheme="minorHAnsi" w:eastAsiaTheme="minorHAnsi" w:hAnsiTheme="minorHAnsi" w:cstheme="minorBidi"/>
      <w:sz w:val="22"/>
      <w:vertAlign w:val="superscript"/>
    </w:rPr>
  </w:style>
  <w:style w:type="paragraph" w:customStyle="1" w:styleId="HeaderSensitivity">
    <w:name w:val="Header Sensitivity"/>
    <w:basedOn w:val="Normal"/>
    <w:rsid w:val="00565D10"/>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565D10"/>
    <w:pPr>
      <w:spacing w:after="120"/>
      <w:jc w:val="right"/>
    </w:pPr>
    <w:rPr>
      <w:sz w:val="28"/>
    </w:rPr>
  </w:style>
  <w:style w:type="paragraph" w:customStyle="1" w:styleId="FooterSensitivity">
    <w:name w:val="Footer Sensitivity"/>
    <w:basedOn w:val="Normal"/>
    <w:rsid w:val="00565D10"/>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565D10"/>
    <w:pPr>
      <w:spacing w:before="120" w:after="120"/>
      <w:ind w:left="1417"/>
      <w:jc w:val="both"/>
    </w:pPr>
  </w:style>
  <w:style w:type="paragraph" w:customStyle="1" w:styleId="Text3">
    <w:name w:val="Text 3"/>
    <w:basedOn w:val="Normal"/>
    <w:rsid w:val="00565D10"/>
    <w:pPr>
      <w:spacing w:before="120" w:after="120"/>
      <w:ind w:left="1984"/>
      <w:jc w:val="both"/>
    </w:pPr>
  </w:style>
  <w:style w:type="paragraph" w:customStyle="1" w:styleId="Text4">
    <w:name w:val="Text 4"/>
    <w:basedOn w:val="Normal"/>
    <w:rsid w:val="00565D10"/>
    <w:pPr>
      <w:spacing w:before="120" w:after="120"/>
      <w:ind w:left="2551"/>
      <w:jc w:val="both"/>
    </w:pPr>
  </w:style>
  <w:style w:type="paragraph" w:customStyle="1" w:styleId="NormalCentered">
    <w:name w:val="Normal Centered"/>
    <w:basedOn w:val="Normal"/>
    <w:rsid w:val="00565D10"/>
    <w:pPr>
      <w:spacing w:before="120" w:after="120"/>
      <w:jc w:val="center"/>
    </w:pPr>
  </w:style>
  <w:style w:type="paragraph" w:customStyle="1" w:styleId="NormalLeft">
    <w:name w:val="Normal Left"/>
    <w:basedOn w:val="Normal"/>
    <w:rsid w:val="00565D10"/>
    <w:pPr>
      <w:spacing w:before="120" w:after="120"/>
    </w:pPr>
  </w:style>
  <w:style w:type="paragraph" w:customStyle="1" w:styleId="NormalRight">
    <w:name w:val="Normal Right"/>
    <w:basedOn w:val="Normal"/>
    <w:rsid w:val="00565D10"/>
    <w:pPr>
      <w:spacing w:before="120" w:after="120"/>
      <w:jc w:val="right"/>
    </w:pPr>
  </w:style>
  <w:style w:type="paragraph" w:customStyle="1" w:styleId="QuotedText">
    <w:name w:val="Quoted Text"/>
    <w:basedOn w:val="Normal"/>
    <w:rsid w:val="00565D10"/>
    <w:pPr>
      <w:spacing w:before="120" w:after="120"/>
      <w:ind w:left="1417"/>
      <w:jc w:val="both"/>
    </w:pPr>
  </w:style>
  <w:style w:type="paragraph" w:customStyle="1" w:styleId="Point0">
    <w:name w:val="Point 0"/>
    <w:basedOn w:val="Normal"/>
    <w:rsid w:val="00565D10"/>
    <w:pPr>
      <w:spacing w:before="120" w:after="120"/>
      <w:ind w:left="850" w:hanging="850"/>
      <w:jc w:val="both"/>
    </w:pPr>
  </w:style>
  <w:style w:type="paragraph" w:customStyle="1" w:styleId="Point1">
    <w:name w:val="Point 1"/>
    <w:basedOn w:val="Normal"/>
    <w:rsid w:val="00565D10"/>
    <w:pPr>
      <w:spacing w:before="120" w:after="120"/>
      <w:ind w:left="1417" w:hanging="567"/>
      <w:jc w:val="both"/>
    </w:pPr>
  </w:style>
  <w:style w:type="paragraph" w:customStyle="1" w:styleId="Point2">
    <w:name w:val="Point 2"/>
    <w:basedOn w:val="Normal"/>
    <w:rsid w:val="00565D10"/>
    <w:pPr>
      <w:spacing w:before="120" w:after="120"/>
      <w:ind w:left="1984" w:hanging="567"/>
      <w:jc w:val="both"/>
    </w:pPr>
  </w:style>
  <w:style w:type="paragraph" w:customStyle="1" w:styleId="Point3">
    <w:name w:val="Point 3"/>
    <w:basedOn w:val="Normal"/>
    <w:rsid w:val="00565D10"/>
    <w:pPr>
      <w:spacing w:before="120" w:after="120"/>
      <w:ind w:left="2551" w:hanging="567"/>
      <w:jc w:val="both"/>
    </w:pPr>
  </w:style>
  <w:style w:type="paragraph" w:customStyle="1" w:styleId="Point4">
    <w:name w:val="Point 4"/>
    <w:basedOn w:val="Normal"/>
    <w:rsid w:val="00565D10"/>
    <w:pPr>
      <w:spacing w:before="120" w:after="120"/>
      <w:ind w:left="3118" w:hanging="567"/>
      <w:jc w:val="both"/>
    </w:pPr>
  </w:style>
  <w:style w:type="paragraph" w:customStyle="1" w:styleId="Tiret0">
    <w:name w:val="Tiret 0"/>
    <w:basedOn w:val="Point0"/>
    <w:rsid w:val="00565D10"/>
    <w:pPr>
      <w:numPr>
        <w:numId w:val="1"/>
      </w:numPr>
    </w:pPr>
  </w:style>
  <w:style w:type="paragraph" w:customStyle="1" w:styleId="Tiret1">
    <w:name w:val="Tiret 1"/>
    <w:basedOn w:val="Point1"/>
    <w:rsid w:val="00565D10"/>
    <w:pPr>
      <w:numPr>
        <w:numId w:val="2"/>
      </w:numPr>
      <w:tabs>
        <w:tab w:val="num" w:pos="3118"/>
      </w:tabs>
      <w:ind w:left="3118"/>
    </w:pPr>
  </w:style>
  <w:style w:type="paragraph" w:customStyle="1" w:styleId="Tiret2">
    <w:name w:val="Tiret 2"/>
    <w:basedOn w:val="Point2"/>
    <w:rsid w:val="00565D10"/>
    <w:pPr>
      <w:numPr>
        <w:numId w:val="3"/>
      </w:numPr>
      <w:tabs>
        <w:tab w:val="num" w:pos="360"/>
      </w:tabs>
      <w:ind w:left="360" w:hanging="360"/>
    </w:pPr>
  </w:style>
  <w:style w:type="paragraph" w:customStyle="1" w:styleId="Tiret3">
    <w:name w:val="Tiret 3"/>
    <w:basedOn w:val="Point3"/>
    <w:rsid w:val="00565D10"/>
    <w:pPr>
      <w:numPr>
        <w:numId w:val="4"/>
      </w:numPr>
      <w:tabs>
        <w:tab w:val="num" w:pos="360"/>
      </w:tabs>
      <w:ind w:left="360" w:hanging="360"/>
    </w:pPr>
  </w:style>
  <w:style w:type="paragraph" w:customStyle="1" w:styleId="Tiret4">
    <w:name w:val="Tiret 4"/>
    <w:basedOn w:val="Point4"/>
    <w:rsid w:val="00565D10"/>
    <w:pPr>
      <w:numPr>
        <w:numId w:val="5"/>
      </w:numPr>
      <w:ind w:left="1440" w:hanging="360"/>
    </w:pPr>
  </w:style>
  <w:style w:type="paragraph" w:customStyle="1" w:styleId="PointDouble0">
    <w:name w:val="PointDouble 0"/>
    <w:basedOn w:val="Normal"/>
    <w:rsid w:val="00565D10"/>
    <w:pPr>
      <w:tabs>
        <w:tab w:val="left" w:pos="850"/>
      </w:tabs>
      <w:spacing w:before="120" w:after="120"/>
      <w:ind w:left="1417" w:hanging="1417"/>
      <w:jc w:val="both"/>
    </w:pPr>
  </w:style>
  <w:style w:type="paragraph" w:customStyle="1" w:styleId="PointDouble1">
    <w:name w:val="PointDouble 1"/>
    <w:basedOn w:val="Normal"/>
    <w:rsid w:val="00565D10"/>
    <w:pPr>
      <w:tabs>
        <w:tab w:val="left" w:pos="1417"/>
      </w:tabs>
      <w:spacing w:before="120" w:after="120"/>
      <w:ind w:left="1984" w:hanging="1134"/>
      <w:jc w:val="both"/>
    </w:pPr>
  </w:style>
  <w:style w:type="paragraph" w:customStyle="1" w:styleId="PointDouble2">
    <w:name w:val="PointDouble 2"/>
    <w:basedOn w:val="Normal"/>
    <w:rsid w:val="00565D10"/>
    <w:pPr>
      <w:tabs>
        <w:tab w:val="left" w:pos="1984"/>
      </w:tabs>
      <w:spacing w:before="120" w:after="120"/>
      <w:ind w:left="2551" w:hanging="1134"/>
      <w:jc w:val="both"/>
    </w:pPr>
  </w:style>
  <w:style w:type="paragraph" w:customStyle="1" w:styleId="PointDouble3">
    <w:name w:val="PointDouble 3"/>
    <w:basedOn w:val="Normal"/>
    <w:rsid w:val="00565D10"/>
    <w:pPr>
      <w:tabs>
        <w:tab w:val="left" w:pos="2551"/>
      </w:tabs>
      <w:spacing w:before="120" w:after="120"/>
      <w:ind w:left="3118" w:hanging="1134"/>
      <w:jc w:val="both"/>
    </w:pPr>
  </w:style>
  <w:style w:type="paragraph" w:customStyle="1" w:styleId="PointDouble4">
    <w:name w:val="PointDouble 4"/>
    <w:basedOn w:val="Normal"/>
    <w:rsid w:val="00565D10"/>
    <w:pPr>
      <w:tabs>
        <w:tab w:val="left" w:pos="3118"/>
      </w:tabs>
      <w:spacing w:before="120" w:after="120"/>
      <w:ind w:left="3685" w:hanging="1134"/>
      <w:jc w:val="both"/>
    </w:pPr>
  </w:style>
  <w:style w:type="paragraph" w:customStyle="1" w:styleId="PointTriple0">
    <w:name w:val="PointTriple 0"/>
    <w:basedOn w:val="Normal"/>
    <w:rsid w:val="00565D10"/>
    <w:pPr>
      <w:tabs>
        <w:tab w:val="left" w:pos="850"/>
        <w:tab w:val="left" w:pos="1417"/>
      </w:tabs>
      <w:spacing w:before="120" w:after="120"/>
      <w:ind w:left="1984" w:hanging="1984"/>
      <w:jc w:val="both"/>
    </w:pPr>
  </w:style>
  <w:style w:type="paragraph" w:customStyle="1" w:styleId="PointTriple1">
    <w:name w:val="PointTriple 1"/>
    <w:basedOn w:val="Normal"/>
    <w:rsid w:val="00565D10"/>
    <w:pPr>
      <w:tabs>
        <w:tab w:val="left" w:pos="1417"/>
        <w:tab w:val="left" w:pos="1984"/>
      </w:tabs>
      <w:spacing w:before="120" w:after="120"/>
      <w:ind w:left="2551" w:hanging="1701"/>
      <w:jc w:val="both"/>
    </w:pPr>
  </w:style>
  <w:style w:type="paragraph" w:customStyle="1" w:styleId="PointTriple2">
    <w:name w:val="PointTriple 2"/>
    <w:basedOn w:val="Normal"/>
    <w:rsid w:val="00565D10"/>
    <w:pPr>
      <w:tabs>
        <w:tab w:val="left" w:pos="1984"/>
        <w:tab w:val="left" w:pos="2551"/>
      </w:tabs>
      <w:spacing w:before="120" w:after="120"/>
      <w:ind w:left="3118" w:hanging="1701"/>
      <w:jc w:val="both"/>
    </w:pPr>
  </w:style>
  <w:style w:type="paragraph" w:customStyle="1" w:styleId="PointTriple3">
    <w:name w:val="PointTriple 3"/>
    <w:basedOn w:val="Normal"/>
    <w:rsid w:val="00565D10"/>
    <w:pPr>
      <w:tabs>
        <w:tab w:val="left" w:pos="2551"/>
        <w:tab w:val="left" w:pos="3118"/>
      </w:tabs>
      <w:spacing w:before="120" w:after="120"/>
      <w:ind w:left="3685" w:hanging="1701"/>
      <w:jc w:val="both"/>
    </w:pPr>
  </w:style>
  <w:style w:type="paragraph" w:customStyle="1" w:styleId="PointTriple4">
    <w:name w:val="PointTriple 4"/>
    <w:basedOn w:val="Normal"/>
    <w:rsid w:val="00565D10"/>
    <w:pPr>
      <w:tabs>
        <w:tab w:val="left" w:pos="3118"/>
        <w:tab w:val="left" w:pos="3685"/>
      </w:tabs>
      <w:spacing w:before="120" w:after="120"/>
      <w:ind w:left="4252" w:hanging="1701"/>
      <w:jc w:val="both"/>
    </w:pPr>
  </w:style>
  <w:style w:type="paragraph" w:customStyle="1" w:styleId="NumPar1">
    <w:name w:val="NumPar 1"/>
    <w:basedOn w:val="Normal"/>
    <w:next w:val="Text1"/>
    <w:rsid w:val="00565D10"/>
    <w:pPr>
      <w:numPr>
        <w:ilvl w:val="1"/>
        <w:numId w:val="6"/>
      </w:numPr>
      <w:spacing w:before="120" w:after="120"/>
      <w:jc w:val="both"/>
    </w:pPr>
  </w:style>
  <w:style w:type="paragraph" w:customStyle="1" w:styleId="NumPar2">
    <w:name w:val="NumPar 2"/>
    <w:basedOn w:val="Normal"/>
    <w:next w:val="Text1"/>
    <w:rsid w:val="00565D10"/>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565D10"/>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565D10"/>
    <w:pPr>
      <w:tabs>
        <w:tab w:val="num" w:pos="850"/>
      </w:tabs>
      <w:spacing w:before="120" w:after="120"/>
      <w:ind w:left="850" w:hanging="850"/>
      <w:jc w:val="both"/>
    </w:pPr>
  </w:style>
  <w:style w:type="paragraph" w:customStyle="1" w:styleId="ManualNumPar1">
    <w:name w:val="Manual NumPar 1"/>
    <w:basedOn w:val="Normal"/>
    <w:next w:val="Text1"/>
    <w:rsid w:val="00565D10"/>
    <w:pPr>
      <w:spacing w:before="120" w:after="120"/>
      <w:ind w:left="850" w:hanging="850"/>
      <w:jc w:val="both"/>
    </w:pPr>
  </w:style>
  <w:style w:type="paragraph" w:customStyle="1" w:styleId="ManualNumPar2">
    <w:name w:val="Manual NumPar 2"/>
    <w:basedOn w:val="Normal"/>
    <w:next w:val="Text1"/>
    <w:rsid w:val="00565D10"/>
    <w:pPr>
      <w:spacing w:before="120" w:after="120"/>
      <w:ind w:left="850" w:hanging="850"/>
      <w:jc w:val="both"/>
    </w:pPr>
  </w:style>
  <w:style w:type="paragraph" w:customStyle="1" w:styleId="ManualNumPar3">
    <w:name w:val="Manual NumPar 3"/>
    <w:basedOn w:val="Normal"/>
    <w:next w:val="Text1"/>
    <w:rsid w:val="00565D10"/>
    <w:pPr>
      <w:spacing w:before="120" w:after="120"/>
      <w:ind w:left="850" w:hanging="850"/>
      <w:jc w:val="both"/>
    </w:pPr>
  </w:style>
  <w:style w:type="paragraph" w:customStyle="1" w:styleId="ManualNumPar4">
    <w:name w:val="Manual NumPar 4"/>
    <w:basedOn w:val="Normal"/>
    <w:next w:val="Text1"/>
    <w:rsid w:val="00565D10"/>
    <w:pPr>
      <w:spacing w:before="120" w:after="120"/>
      <w:ind w:left="850" w:hanging="850"/>
      <w:jc w:val="both"/>
    </w:pPr>
  </w:style>
  <w:style w:type="paragraph" w:customStyle="1" w:styleId="QuotedNumPar">
    <w:name w:val="Quoted NumPar"/>
    <w:basedOn w:val="Normal"/>
    <w:rsid w:val="00565D10"/>
    <w:pPr>
      <w:spacing w:before="120" w:after="120"/>
      <w:ind w:left="1417" w:hanging="567"/>
      <w:jc w:val="both"/>
    </w:pPr>
  </w:style>
  <w:style w:type="paragraph" w:customStyle="1" w:styleId="ManualHeading1">
    <w:name w:val="Manual Heading 1"/>
    <w:basedOn w:val="Normal"/>
    <w:next w:val="Text1"/>
    <w:rsid w:val="00565D10"/>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565D10"/>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565D10"/>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565D10"/>
    <w:pPr>
      <w:keepNext/>
      <w:tabs>
        <w:tab w:val="left" w:pos="850"/>
      </w:tabs>
      <w:spacing w:before="120" w:after="120"/>
      <w:ind w:left="850" w:hanging="850"/>
      <w:jc w:val="both"/>
      <w:outlineLvl w:val="3"/>
    </w:pPr>
  </w:style>
  <w:style w:type="paragraph" w:customStyle="1" w:styleId="ChapterTitle">
    <w:name w:val="ChapterTitle"/>
    <w:basedOn w:val="Normal"/>
    <w:next w:val="Normal"/>
    <w:rsid w:val="00565D10"/>
    <w:pPr>
      <w:keepNext/>
      <w:spacing w:before="120" w:after="360"/>
      <w:jc w:val="center"/>
    </w:pPr>
    <w:rPr>
      <w:b/>
      <w:sz w:val="32"/>
    </w:rPr>
  </w:style>
  <w:style w:type="paragraph" w:customStyle="1" w:styleId="PartTitle">
    <w:name w:val="PartTitle"/>
    <w:basedOn w:val="Normal"/>
    <w:next w:val="ChapterTitle"/>
    <w:rsid w:val="00565D10"/>
    <w:pPr>
      <w:keepNext/>
      <w:pageBreakBefore/>
      <w:spacing w:before="120" w:after="360"/>
      <w:jc w:val="center"/>
    </w:pPr>
    <w:rPr>
      <w:b/>
      <w:sz w:val="36"/>
    </w:rPr>
  </w:style>
  <w:style w:type="paragraph" w:customStyle="1" w:styleId="SectionTitle">
    <w:name w:val="SectionTitle"/>
    <w:basedOn w:val="Normal"/>
    <w:next w:val="Heading1"/>
    <w:rsid w:val="00565D10"/>
    <w:pPr>
      <w:keepNext/>
      <w:spacing w:before="120" w:after="360"/>
      <w:jc w:val="center"/>
    </w:pPr>
    <w:rPr>
      <w:b/>
      <w:smallCaps/>
      <w:sz w:val="28"/>
    </w:rPr>
  </w:style>
  <w:style w:type="paragraph" w:customStyle="1" w:styleId="TableTitle">
    <w:name w:val="Table Title"/>
    <w:basedOn w:val="Normal"/>
    <w:next w:val="Normal"/>
    <w:rsid w:val="00565D10"/>
    <w:pPr>
      <w:spacing w:before="120" w:after="120"/>
      <w:jc w:val="center"/>
    </w:pPr>
    <w:rPr>
      <w:b/>
    </w:rPr>
  </w:style>
  <w:style w:type="character" w:customStyle="1" w:styleId="Marker">
    <w:name w:val="Marker"/>
    <w:basedOn w:val="DefaultParagraphFont"/>
    <w:rsid w:val="00573718"/>
    <w:rPr>
      <w:color w:val="0000FF"/>
      <w:shd w:val="clear" w:color="auto" w:fill="auto"/>
    </w:rPr>
  </w:style>
  <w:style w:type="character" w:customStyle="1" w:styleId="Marker1">
    <w:name w:val="Marker1"/>
    <w:basedOn w:val="DefaultParagraphFont"/>
    <w:rsid w:val="00565D10"/>
    <w:rPr>
      <w:color w:val="008000"/>
      <w:shd w:val="clear" w:color="auto" w:fill="auto"/>
    </w:rPr>
  </w:style>
  <w:style w:type="character" w:customStyle="1" w:styleId="Marker2">
    <w:name w:val="Marker2"/>
    <w:basedOn w:val="DefaultParagraphFont"/>
    <w:rsid w:val="00565D10"/>
    <w:rPr>
      <w:color w:val="FF0000"/>
      <w:shd w:val="clear" w:color="auto" w:fill="auto"/>
    </w:rPr>
  </w:style>
  <w:style w:type="paragraph" w:customStyle="1" w:styleId="Point0number">
    <w:name w:val="Point 0 (number)"/>
    <w:basedOn w:val="Normal"/>
    <w:rsid w:val="00565D10"/>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565D10"/>
    <w:pPr>
      <w:numPr>
        <w:ilvl w:val="4"/>
        <w:numId w:val="8"/>
      </w:numPr>
      <w:tabs>
        <w:tab w:val="num" w:pos="360"/>
      </w:tabs>
      <w:spacing w:before="120" w:after="120"/>
      <w:ind w:left="360"/>
      <w:jc w:val="both"/>
    </w:pPr>
  </w:style>
  <w:style w:type="paragraph" w:customStyle="1" w:styleId="Point2number">
    <w:name w:val="Point 2 (number)"/>
    <w:basedOn w:val="Normal"/>
    <w:rsid w:val="00565D10"/>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565D10"/>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565D10"/>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565D10"/>
    <w:pPr>
      <w:numPr>
        <w:ilvl w:val="5"/>
        <w:numId w:val="8"/>
      </w:numPr>
      <w:tabs>
        <w:tab w:val="num" w:pos="360"/>
      </w:tabs>
      <w:spacing w:before="120" w:after="120"/>
      <w:ind w:left="360"/>
      <w:jc w:val="both"/>
    </w:pPr>
  </w:style>
  <w:style w:type="paragraph" w:customStyle="1" w:styleId="Point2letter">
    <w:name w:val="Point 2 (letter)"/>
    <w:basedOn w:val="Normal"/>
    <w:rsid w:val="00565D10"/>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565D10"/>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565D10"/>
    <w:pPr>
      <w:tabs>
        <w:tab w:val="num" w:pos="3118"/>
      </w:tabs>
      <w:spacing w:before="120" w:after="120"/>
      <w:ind w:left="3118" w:hanging="567"/>
      <w:jc w:val="both"/>
    </w:pPr>
  </w:style>
  <w:style w:type="paragraph" w:customStyle="1" w:styleId="Bullet0">
    <w:name w:val="Bullet 0"/>
    <w:basedOn w:val="Normal"/>
    <w:rsid w:val="00565D10"/>
    <w:pPr>
      <w:numPr>
        <w:numId w:val="9"/>
      </w:numPr>
      <w:tabs>
        <w:tab w:val="num" w:pos="643"/>
      </w:tabs>
      <w:spacing w:before="120" w:after="120"/>
      <w:ind w:left="643" w:hanging="360"/>
      <w:jc w:val="both"/>
    </w:pPr>
  </w:style>
  <w:style w:type="paragraph" w:customStyle="1" w:styleId="Bullet1">
    <w:name w:val="Bullet 1"/>
    <w:basedOn w:val="Normal"/>
    <w:rsid w:val="00565D10"/>
    <w:pPr>
      <w:numPr>
        <w:numId w:val="10"/>
      </w:numPr>
      <w:tabs>
        <w:tab w:val="num" w:pos="926"/>
      </w:tabs>
      <w:spacing w:before="120" w:after="120"/>
      <w:ind w:left="926" w:hanging="360"/>
      <w:jc w:val="both"/>
    </w:pPr>
  </w:style>
  <w:style w:type="paragraph" w:customStyle="1" w:styleId="Bullet2">
    <w:name w:val="Bullet 2"/>
    <w:basedOn w:val="Normal"/>
    <w:rsid w:val="00565D10"/>
    <w:pPr>
      <w:numPr>
        <w:numId w:val="11"/>
      </w:numPr>
      <w:spacing w:before="120" w:after="120"/>
      <w:jc w:val="both"/>
    </w:pPr>
  </w:style>
  <w:style w:type="paragraph" w:customStyle="1" w:styleId="Bullet3">
    <w:name w:val="Bullet 3"/>
    <w:basedOn w:val="Normal"/>
    <w:rsid w:val="00565D10"/>
    <w:pPr>
      <w:tabs>
        <w:tab w:val="num" w:pos="2551"/>
      </w:tabs>
      <w:spacing w:before="120" w:after="120"/>
      <w:ind w:left="2551" w:hanging="567"/>
      <w:jc w:val="both"/>
    </w:pPr>
  </w:style>
  <w:style w:type="paragraph" w:customStyle="1" w:styleId="Bullet4">
    <w:name w:val="Bullet 4"/>
    <w:basedOn w:val="Normal"/>
    <w:rsid w:val="00565D10"/>
    <w:pPr>
      <w:numPr>
        <w:numId w:val="12"/>
      </w:numPr>
      <w:spacing w:before="120" w:after="120"/>
      <w:jc w:val="both"/>
    </w:pPr>
  </w:style>
  <w:style w:type="paragraph" w:customStyle="1" w:styleId="Langue">
    <w:name w:val="Langue"/>
    <w:basedOn w:val="Normal"/>
    <w:next w:val="Rfrenceinterne"/>
    <w:rsid w:val="00565D10"/>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565D10"/>
    <w:pPr>
      <w:ind w:left="5103"/>
    </w:pPr>
  </w:style>
  <w:style w:type="paragraph" w:customStyle="1" w:styleId="Rfrenceinterinstitutionnelle">
    <w:name w:val="Référence interinstitutionnelle"/>
    <w:basedOn w:val="Normal"/>
    <w:next w:val="Statut"/>
    <w:rsid w:val="00565D10"/>
    <w:pPr>
      <w:ind w:left="5103"/>
    </w:pPr>
  </w:style>
  <w:style w:type="paragraph" w:customStyle="1" w:styleId="Statut">
    <w:name w:val="Statut"/>
    <w:basedOn w:val="Normal"/>
    <w:next w:val="Typedudocument"/>
    <w:rsid w:val="00565D10"/>
    <w:pPr>
      <w:spacing w:before="360"/>
      <w:jc w:val="center"/>
    </w:pPr>
  </w:style>
  <w:style w:type="paragraph" w:customStyle="1" w:styleId="Typedudocument">
    <w:name w:val="Type du document"/>
    <w:basedOn w:val="Normal"/>
    <w:next w:val="Titreobjet"/>
    <w:rsid w:val="00565D10"/>
    <w:pPr>
      <w:spacing w:before="360"/>
      <w:jc w:val="center"/>
    </w:pPr>
    <w:rPr>
      <w:b/>
    </w:rPr>
  </w:style>
  <w:style w:type="paragraph" w:customStyle="1" w:styleId="Titreobjet">
    <w:name w:val="Titre objet"/>
    <w:basedOn w:val="Normal"/>
    <w:next w:val="IntrtEEE"/>
    <w:rsid w:val="00565D10"/>
    <w:pPr>
      <w:spacing w:before="360" w:after="360"/>
      <w:jc w:val="center"/>
    </w:pPr>
    <w:rPr>
      <w:b/>
    </w:rPr>
  </w:style>
  <w:style w:type="paragraph" w:customStyle="1" w:styleId="IntrtEEE">
    <w:name w:val="Intérêt EEE"/>
    <w:basedOn w:val="Languesfaisantfoi"/>
    <w:next w:val="Normal"/>
    <w:rsid w:val="00565D10"/>
    <w:pPr>
      <w:spacing w:after="240"/>
    </w:pPr>
  </w:style>
  <w:style w:type="paragraph" w:customStyle="1" w:styleId="Languesfaisantfoi">
    <w:name w:val="Langues faisant foi"/>
    <w:basedOn w:val="Normal"/>
    <w:next w:val="Normal"/>
    <w:rsid w:val="00565D10"/>
    <w:pPr>
      <w:spacing w:before="360"/>
      <w:jc w:val="center"/>
    </w:pPr>
  </w:style>
  <w:style w:type="paragraph" w:customStyle="1" w:styleId="Nomdelinstitution">
    <w:name w:val="Nom de l'institution"/>
    <w:basedOn w:val="Normal"/>
    <w:next w:val="Emission"/>
    <w:rsid w:val="00565D10"/>
    <w:rPr>
      <w:rFonts w:ascii="Arial" w:hAnsi="Arial" w:cs="Arial"/>
    </w:rPr>
  </w:style>
  <w:style w:type="paragraph" w:customStyle="1" w:styleId="Emission">
    <w:name w:val="Emission"/>
    <w:basedOn w:val="Normal"/>
    <w:next w:val="Rfrenceinstitutionnelle"/>
    <w:rsid w:val="00565D10"/>
    <w:pPr>
      <w:ind w:left="5103"/>
    </w:pPr>
  </w:style>
  <w:style w:type="paragraph" w:customStyle="1" w:styleId="Rfrenceinstitutionnelle">
    <w:name w:val="Référence institutionnelle"/>
    <w:basedOn w:val="Normal"/>
    <w:next w:val="Confidentialit"/>
    <w:rsid w:val="00565D10"/>
    <w:pPr>
      <w:spacing w:after="240"/>
      <w:ind w:left="5103"/>
    </w:pPr>
  </w:style>
  <w:style w:type="paragraph" w:customStyle="1" w:styleId="Confidentialit">
    <w:name w:val="Confidentialité"/>
    <w:basedOn w:val="Normal"/>
    <w:next w:val="TypedudocumentPagedecouverture"/>
    <w:rsid w:val="00565D10"/>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565D10"/>
  </w:style>
  <w:style w:type="paragraph" w:customStyle="1" w:styleId="TitreobjetPagedecouverture">
    <w:name w:val="Titre objet (Page de couverture)"/>
    <w:basedOn w:val="Titreobjet"/>
    <w:next w:val="IntrtEEEPagedecouverture"/>
    <w:rsid w:val="00565D10"/>
  </w:style>
  <w:style w:type="paragraph" w:customStyle="1" w:styleId="IntrtEEEPagedecouverture">
    <w:name w:val="Intérêt EEE (Page de couverture)"/>
    <w:basedOn w:val="IntrtEEE"/>
    <w:next w:val="Rfrencecroise"/>
    <w:rsid w:val="00565D10"/>
  </w:style>
  <w:style w:type="paragraph" w:customStyle="1" w:styleId="Rfrencecroise">
    <w:name w:val="Référence croisée"/>
    <w:basedOn w:val="Normal"/>
    <w:rsid w:val="00565D10"/>
    <w:pPr>
      <w:jc w:val="center"/>
    </w:pPr>
  </w:style>
  <w:style w:type="paragraph" w:customStyle="1" w:styleId="Pagedecouverture">
    <w:name w:val="Page de couverture"/>
    <w:basedOn w:val="Normal"/>
    <w:next w:val="Normal"/>
    <w:rsid w:val="00565D10"/>
    <w:pPr>
      <w:jc w:val="both"/>
    </w:pPr>
  </w:style>
  <w:style w:type="paragraph" w:customStyle="1" w:styleId="Declassification">
    <w:name w:val="Declassification"/>
    <w:basedOn w:val="Normal"/>
    <w:next w:val="Normal"/>
    <w:rsid w:val="00565D10"/>
    <w:pPr>
      <w:jc w:val="both"/>
    </w:pPr>
  </w:style>
  <w:style w:type="paragraph" w:customStyle="1" w:styleId="Disclaimer">
    <w:name w:val="Disclaimer"/>
    <w:basedOn w:val="Normal"/>
    <w:rsid w:val="00565D1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565D10"/>
    <w:pPr>
      <w:ind w:left="5103"/>
    </w:pPr>
    <w:rPr>
      <w:sz w:val="28"/>
    </w:rPr>
  </w:style>
  <w:style w:type="paragraph" w:customStyle="1" w:styleId="DateMarking">
    <w:name w:val="DateMarking"/>
    <w:basedOn w:val="Normal"/>
    <w:rsid w:val="00565D10"/>
    <w:pPr>
      <w:ind w:left="5103"/>
    </w:pPr>
    <w:rPr>
      <w:i/>
      <w:sz w:val="28"/>
    </w:rPr>
  </w:style>
  <w:style w:type="paragraph" w:customStyle="1" w:styleId="ReleasableTo">
    <w:name w:val="ReleasableTo"/>
    <w:basedOn w:val="Normal"/>
    <w:rsid w:val="00565D10"/>
    <w:pPr>
      <w:ind w:left="5103"/>
    </w:pPr>
    <w:rPr>
      <w:i/>
      <w:sz w:val="28"/>
    </w:rPr>
  </w:style>
  <w:style w:type="paragraph" w:customStyle="1" w:styleId="Annexetitreexpos">
    <w:name w:val="Annexe titre (exposé)"/>
    <w:basedOn w:val="Normal"/>
    <w:next w:val="Normal"/>
    <w:rsid w:val="00565D10"/>
    <w:pPr>
      <w:spacing w:before="120" w:after="120"/>
      <w:jc w:val="center"/>
    </w:pPr>
    <w:rPr>
      <w:b/>
      <w:u w:val="single"/>
    </w:rPr>
  </w:style>
  <w:style w:type="paragraph" w:customStyle="1" w:styleId="Annexetitre">
    <w:name w:val="Annexe titre"/>
    <w:basedOn w:val="Normal"/>
    <w:next w:val="Normal"/>
    <w:rsid w:val="00565D10"/>
    <w:pPr>
      <w:spacing w:before="120" w:after="120"/>
      <w:jc w:val="center"/>
    </w:pPr>
    <w:rPr>
      <w:b/>
      <w:u w:val="single"/>
    </w:rPr>
  </w:style>
  <w:style w:type="paragraph" w:customStyle="1" w:styleId="Annexetitrefichefinancire">
    <w:name w:val="Annexe titre (fiche financière)"/>
    <w:basedOn w:val="Normal"/>
    <w:next w:val="Normal"/>
    <w:rsid w:val="00565D10"/>
    <w:pPr>
      <w:spacing w:before="120" w:after="120"/>
      <w:jc w:val="center"/>
    </w:pPr>
    <w:rPr>
      <w:b/>
      <w:u w:val="single"/>
    </w:rPr>
  </w:style>
  <w:style w:type="paragraph" w:customStyle="1" w:styleId="Applicationdirecte">
    <w:name w:val="Application directe"/>
    <w:basedOn w:val="Normal"/>
    <w:next w:val="Fait"/>
    <w:rsid w:val="00565D10"/>
    <w:pPr>
      <w:spacing w:before="480" w:after="120"/>
      <w:jc w:val="both"/>
    </w:pPr>
  </w:style>
  <w:style w:type="paragraph" w:customStyle="1" w:styleId="Fait">
    <w:name w:val="Fait à"/>
    <w:basedOn w:val="Normal"/>
    <w:next w:val="Institutionquisigne"/>
    <w:rsid w:val="00565D10"/>
    <w:pPr>
      <w:keepNext/>
      <w:spacing w:before="120"/>
      <w:jc w:val="both"/>
    </w:pPr>
  </w:style>
  <w:style w:type="paragraph" w:customStyle="1" w:styleId="Institutionquisigne">
    <w:name w:val="Institution qui signe"/>
    <w:basedOn w:val="Normal"/>
    <w:next w:val="Personnequisigne"/>
    <w:rsid w:val="00565D10"/>
    <w:pPr>
      <w:keepNext/>
      <w:tabs>
        <w:tab w:val="left" w:pos="4252"/>
      </w:tabs>
      <w:spacing w:before="720"/>
      <w:jc w:val="both"/>
    </w:pPr>
    <w:rPr>
      <w:i/>
    </w:rPr>
  </w:style>
  <w:style w:type="paragraph" w:customStyle="1" w:styleId="Personnequisigne">
    <w:name w:val="Personne qui signe"/>
    <w:basedOn w:val="Normal"/>
    <w:next w:val="Institutionquisigne"/>
    <w:rsid w:val="00565D10"/>
    <w:pPr>
      <w:tabs>
        <w:tab w:val="left" w:pos="4252"/>
      </w:tabs>
    </w:pPr>
    <w:rPr>
      <w:i/>
    </w:rPr>
  </w:style>
  <w:style w:type="paragraph" w:customStyle="1" w:styleId="Avertissementtitre">
    <w:name w:val="Avertissement titre"/>
    <w:basedOn w:val="Normal"/>
    <w:next w:val="Normal"/>
    <w:rsid w:val="00565D10"/>
    <w:pPr>
      <w:keepNext/>
      <w:spacing w:before="480" w:after="120"/>
      <w:jc w:val="both"/>
    </w:pPr>
    <w:rPr>
      <w:u w:val="single"/>
    </w:rPr>
  </w:style>
  <w:style w:type="paragraph" w:customStyle="1" w:styleId="Confidence">
    <w:name w:val="Confidence"/>
    <w:basedOn w:val="Normal"/>
    <w:next w:val="Normal"/>
    <w:rsid w:val="00565D10"/>
    <w:pPr>
      <w:spacing w:before="360" w:after="120"/>
      <w:jc w:val="center"/>
    </w:pPr>
  </w:style>
  <w:style w:type="paragraph" w:customStyle="1" w:styleId="Considrant">
    <w:name w:val="Considérant"/>
    <w:basedOn w:val="Normal"/>
    <w:rsid w:val="00565D10"/>
    <w:pPr>
      <w:tabs>
        <w:tab w:val="num" w:pos="709"/>
      </w:tabs>
      <w:spacing w:before="120" w:after="120"/>
      <w:ind w:left="709" w:hanging="709"/>
      <w:jc w:val="both"/>
    </w:pPr>
  </w:style>
  <w:style w:type="paragraph" w:customStyle="1" w:styleId="Corrigendum">
    <w:name w:val="Corrigendum"/>
    <w:basedOn w:val="Normal"/>
    <w:next w:val="Normal"/>
    <w:rsid w:val="00565D10"/>
    <w:pPr>
      <w:spacing w:after="240"/>
    </w:pPr>
  </w:style>
  <w:style w:type="paragraph" w:customStyle="1" w:styleId="Datedadoption">
    <w:name w:val="Date d'adoption"/>
    <w:basedOn w:val="Normal"/>
    <w:next w:val="Titreobjet"/>
    <w:rsid w:val="00565D10"/>
    <w:pPr>
      <w:spacing w:before="360"/>
      <w:jc w:val="center"/>
    </w:pPr>
    <w:rPr>
      <w:b/>
    </w:rPr>
  </w:style>
  <w:style w:type="paragraph" w:customStyle="1" w:styleId="Exposdesmotifstitre">
    <w:name w:val="Exposé des motifs titre"/>
    <w:basedOn w:val="Normal"/>
    <w:next w:val="Normal"/>
    <w:rsid w:val="00565D10"/>
    <w:pPr>
      <w:spacing w:before="120" w:after="120"/>
      <w:jc w:val="center"/>
    </w:pPr>
    <w:rPr>
      <w:b/>
      <w:u w:val="single"/>
    </w:rPr>
  </w:style>
  <w:style w:type="paragraph" w:customStyle="1" w:styleId="Formuledadoption">
    <w:name w:val="Formule d'adoption"/>
    <w:basedOn w:val="Normal"/>
    <w:next w:val="Titrearticle"/>
    <w:rsid w:val="00565D10"/>
    <w:pPr>
      <w:keepNext/>
      <w:spacing w:before="120" w:after="120"/>
      <w:jc w:val="both"/>
    </w:pPr>
  </w:style>
  <w:style w:type="paragraph" w:customStyle="1" w:styleId="Titrearticle">
    <w:name w:val="Titre article"/>
    <w:basedOn w:val="Normal"/>
    <w:next w:val="Normal"/>
    <w:rsid w:val="00565D10"/>
    <w:pPr>
      <w:keepNext/>
      <w:spacing w:before="360" w:after="120"/>
      <w:jc w:val="center"/>
    </w:pPr>
    <w:rPr>
      <w:i/>
    </w:rPr>
  </w:style>
  <w:style w:type="paragraph" w:customStyle="1" w:styleId="Institutionquiagit">
    <w:name w:val="Institution qui agit"/>
    <w:basedOn w:val="Normal"/>
    <w:next w:val="Normal"/>
    <w:rsid w:val="00565D10"/>
    <w:pPr>
      <w:keepNext/>
      <w:spacing w:before="600" w:after="120"/>
      <w:jc w:val="both"/>
    </w:pPr>
  </w:style>
  <w:style w:type="paragraph" w:customStyle="1" w:styleId="ManualConsidrant">
    <w:name w:val="Manual Considérant"/>
    <w:basedOn w:val="Normal"/>
    <w:rsid w:val="00565D10"/>
    <w:pPr>
      <w:spacing w:before="120" w:after="120"/>
      <w:ind w:left="709" w:hanging="709"/>
      <w:jc w:val="both"/>
    </w:pPr>
  </w:style>
  <w:style w:type="character" w:customStyle="1" w:styleId="Added">
    <w:name w:val="Added"/>
    <w:basedOn w:val="DefaultParagraphFont"/>
    <w:rsid w:val="00565D10"/>
    <w:rPr>
      <w:b/>
      <w:u w:val="single"/>
      <w:shd w:val="clear" w:color="auto" w:fill="auto"/>
    </w:rPr>
  </w:style>
  <w:style w:type="character" w:customStyle="1" w:styleId="Deleted">
    <w:name w:val="Deleted"/>
    <w:basedOn w:val="DefaultParagraphFont"/>
    <w:rsid w:val="00565D10"/>
    <w:rPr>
      <w:strike/>
      <w:dstrike w:val="0"/>
      <w:shd w:val="clear" w:color="auto" w:fill="auto"/>
    </w:rPr>
  </w:style>
  <w:style w:type="paragraph" w:customStyle="1" w:styleId="Address">
    <w:name w:val="Address"/>
    <w:basedOn w:val="Normal"/>
    <w:next w:val="Normal"/>
    <w:rsid w:val="00565D10"/>
    <w:pPr>
      <w:keepLines/>
      <w:spacing w:before="120" w:after="120" w:line="360" w:lineRule="auto"/>
      <w:ind w:left="3402"/>
    </w:pPr>
  </w:style>
  <w:style w:type="paragraph" w:customStyle="1" w:styleId="Objetexterne">
    <w:name w:val="Objet externe"/>
    <w:basedOn w:val="Normal"/>
    <w:next w:val="Normal"/>
    <w:rsid w:val="00565D10"/>
    <w:pPr>
      <w:spacing w:before="120" w:after="120"/>
      <w:jc w:val="both"/>
    </w:pPr>
    <w:rPr>
      <w:i/>
      <w:caps/>
    </w:rPr>
  </w:style>
  <w:style w:type="paragraph" w:customStyle="1" w:styleId="Supertitre">
    <w:name w:val="Supertitre"/>
    <w:basedOn w:val="Normal"/>
    <w:next w:val="Normal"/>
    <w:rsid w:val="00565D10"/>
    <w:pPr>
      <w:spacing w:after="600"/>
      <w:jc w:val="center"/>
    </w:pPr>
    <w:rPr>
      <w:b/>
    </w:rPr>
  </w:style>
  <w:style w:type="paragraph" w:customStyle="1" w:styleId="Fichefinanciretitre">
    <w:name w:val="Fiche financière titre"/>
    <w:basedOn w:val="Normal"/>
    <w:next w:val="Normal"/>
    <w:rsid w:val="00565D10"/>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565D10"/>
  </w:style>
  <w:style w:type="paragraph" w:customStyle="1" w:styleId="RfrenceinterinstitutionnellePagedecouverture">
    <w:name w:val="Référence interinstitutionnelle (Page de couverture)"/>
    <w:basedOn w:val="Rfrenceinterinstitutionnelle"/>
    <w:next w:val="Confidentialit"/>
    <w:rsid w:val="00565D10"/>
  </w:style>
  <w:style w:type="paragraph" w:customStyle="1" w:styleId="StatutPagedecouverture">
    <w:name w:val="Statut (Page de couverture)"/>
    <w:basedOn w:val="Statut"/>
    <w:next w:val="TypedudocumentPagedecouverture"/>
    <w:rsid w:val="00565D10"/>
  </w:style>
  <w:style w:type="paragraph" w:customStyle="1" w:styleId="Volume">
    <w:name w:val="Volume"/>
    <w:basedOn w:val="Normal"/>
    <w:next w:val="Confidentialit"/>
    <w:rsid w:val="00565D10"/>
    <w:pPr>
      <w:spacing w:after="240"/>
      <w:ind w:left="5103"/>
    </w:pPr>
  </w:style>
  <w:style w:type="paragraph" w:customStyle="1" w:styleId="Accompagnant">
    <w:name w:val="Accompagnant"/>
    <w:basedOn w:val="Normal"/>
    <w:next w:val="Typeacteprincipal"/>
    <w:rsid w:val="00565D10"/>
    <w:pPr>
      <w:spacing w:after="240"/>
      <w:jc w:val="center"/>
    </w:pPr>
    <w:rPr>
      <w:b/>
      <w:i/>
    </w:rPr>
  </w:style>
  <w:style w:type="paragraph" w:customStyle="1" w:styleId="Typeacteprincipal">
    <w:name w:val="Type acte principal"/>
    <w:basedOn w:val="Normal"/>
    <w:next w:val="Objetacteprincipal"/>
    <w:rsid w:val="00565D10"/>
    <w:pPr>
      <w:spacing w:after="240"/>
      <w:jc w:val="center"/>
    </w:pPr>
    <w:rPr>
      <w:b/>
    </w:rPr>
  </w:style>
  <w:style w:type="paragraph" w:customStyle="1" w:styleId="Objetacteprincipal">
    <w:name w:val="Objet acte principal"/>
    <w:basedOn w:val="Normal"/>
    <w:next w:val="Titrearticle"/>
    <w:rsid w:val="00565D10"/>
    <w:pPr>
      <w:spacing w:after="360"/>
      <w:jc w:val="center"/>
    </w:pPr>
    <w:rPr>
      <w:b/>
    </w:rPr>
  </w:style>
  <w:style w:type="paragraph" w:customStyle="1" w:styleId="AccompagnantPagedecouverture">
    <w:name w:val="Accompagnant (Page de couverture)"/>
    <w:basedOn w:val="Accompagnant"/>
    <w:next w:val="TypeacteprincipalPagedecouverture"/>
    <w:rsid w:val="00565D10"/>
  </w:style>
  <w:style w:type="paragraph" w:customStyle="1" w:styleId="TypeacteprincipalPagedecouverture">
    <w:name w:val="Type acte principal (Page de couverture)"/>
    <w:basedOn w:val="Typeacteprincipal"/>
    <w:next w:val="ObjetacteprincipalPagedecouverture"/>
    <w:rsid w:val="00565D10"/>
  </w:style>
  <w:style w:type="paragraph" w:customStyle="1" w:styleId="ObjetacteprincipalPagedecouverture">
    <w:name w:val="Objet acte principal (Page de couverture)"/>
    <w:basedOn w:val="Objetacteprincipal"/>
    <w:next w:val="Rfrencecroise"/>
    <w:rsid w:val="00565D10"/>
  </w:style>
  <w:style w:type="paragraph" w:customStyle="1" w:styleId="LanguesfaisantfoiPagedecouverture">
    <w:name w:val="Langues faisant foi (Page de couverture)"/>
    <w:basedOn w:val="Normal"/>
    <w:next w:val="Normal"/>
    <w:rsid w:val="00565D10"/>
    <w:pPr>
      <w:spacing w:before="360"/>
      <w:jc w:val="center"/>
    </w:pPr>
  </w:style>
  <w:style w:type="paragraph" w:styleId="ListBullet">
    <w:name w:val="List Bullet"/>
    <w:basedOn w:val="Normal"/>
    <w:uiPriority w:val="99"/>
    <w:semiHidden/>
    <w:unhideWhenUsed/>
    <w:rsid w:val="00565D10"/>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565D10"/>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565D10"/>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565D10"/>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565D10"/>
    <w:rPr>
      <w:sz w:val="16"/>
    </w:rPr>
  </w:style>
  <w:style w:type="paragraph" w:styleId="CommentText">
    <w:name w:val="annotation text"/>
    <w:basedOn w:val="Normal"/>
    <w:link w:val="CommentTextChar"/>
    <w:uiPriority w:val="99"/>
    <w:unhideWhenUsed/>
    <w:rsid w:val="00565D10"/>
    <w:pPr>
      <w:spacing w:before="120" w:after="120"/>
      <w:jc w:val="both"/>
    </w:pPr>
    <w:rPr>
      <w:sz w:val="20"/>
    </w:rPr>
  </w:style>
  <w:style w:type="character" w:customStyle="1" w:styleId="CommentTextChar">
    <w:name w:val="Comment Text Char"/>
    <w:basedOn w:val="DefaultParagraphFont"/>
    <w:link w:val="CommentText"/>
    <w:uiPriority w:val="99"/>
    <w:rsid w:val="00565D10"/>
    <w:rPr>
      <w:rFonts w:ascii="Times New Roman" w:eastAsia="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565D10"/>
    <w:rPr>
      <w:b/>
    </w:rPr>
  </w:style>
  <w:style w:type="character" w:customStyle="1" w:styleId="CommentSubjectChar">
    <w:name w:val="Comment Subject Char"/>
    <w:basedOn w:val="CommentTextChar"/>
    <w:link w:val="CommentSubject"/>
    <w:uiPriority w:val="99"/>
    <w:semiHidden/>
    <w:rsid w:val="00565D10"/>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565D10"/>
    <w:pPr>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65D10"/>
    <w:rPr>
      <w:rFonts w:ascii="Segoe UI" w:eastAsia="Times New Roman" w:hAnsi="Segoe UI" w:cs="Segoe UI"/>
      <w:sz w:val="18"/>
    </w:rPr>
  </w:style>
  <w:style w:type="paragraph" w:styleId="Revision">
    <w:name w:val="Revision"/>
    <w:hidden/>
    <w:uiPriority w:val="99"/>
    <w:semiHidden/>
    <w:rsid w:val="00565D10"/>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565D10"/>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565D10"/>
    <w:rPr>
      <w:rFonts w:ascii="Times New Roman" w:eastAsia="Times New Roman" w:hAnsi="Times New Roman" w:cs="Times New Roman"/>
      <w:sz w:val="24"/>
    </w:rPr>
  </w:style>
  <w:style w:type="character" w:customStyle="1" w:styleId="normaltextrun">
    <w:name w:val="normaltextrun"/>
    <w:basedOn w:val="DefaultParagraphFont"/>
    <w:rsid w:val="00565D10"/>
  </w:style>
  <w:style w:type="character" w:customStyle="1" w:styleId="eop">
    <w:name w:val="eop"/>
    <w:basedOn w:val="DefaultParagraphFont"/>
    <w:rsid w:val="00565D10"/>
  </w:style>
  <w:style w:type="character" w:styleId="Hyperlink">
    <w:name w:val="Hyperlink"/>
    <w:basedOn w:val="DefaultParagraphFont"/>
    <w:uiPriority w:val="99"/>
    <w:unhideWhenUsed/>
    <w:rsid w:val="00565D10"/>
    <w:rPr>
      <w:color w:val="0000FF" w:themeColor="hyperlink"/>
      <w:u w:val="single"/>
    </w:rPr>
  </w:style>
  <w:style w:type="character" w:customStyle="1" w:styleId="y2iqfc">
    <w:name w:val="y2iqfc"/>
    <w:basedOn w:val="DefaultParagraphFont"/>
    <w:rsid w:val="00565D10"/>
  </w:style>
  <w:style w:type="character" w:styleId="IntenseEmphasis">
    <w:name w:val="Intense Emphasis"/>
    <w:basedOn w:val="DefaultParagraphFont"/>
    <w:uiPriority w:val="21"/>
    <w:qFormat/>
    <w:rsid w:val="00565D10"/>
    <w:rPr>
      <w:i/>
      <w:color w:val="4F81BD" w:themeColor="accent1"/>
    </w:rPr>
  </w:style>
  <w:style w:type="paragraph" w:customStyle="1" w:styleId="Times12">
    <w:name w:val="Times12"/>
    <w:basedOn w:val="Normal"/>
    <w:rsid w:val="00565D10"/>
    <w:pPr>
      <w:suppressAutoHyphens/>
      <w:spacing w:after="140"/>
      <w:jc w:val="both"/>
    </w:pPr>
    <w:rPr>
      <w:rFonts w:ascii="Times" w:eastAsia="SimSun" w:hAnsi="Times" w:cs="Times"/>
      <w:color w:val="00000A"/>
      <w:kern w:val="1"/>
    </w:rPr>
  </w:style>
  <w:style w:type="paragraph" w:customStyle="1" w:styleId="paragraph">
    <w:name w:val="paragraph"/>
    <w:basedOn w:val="Normal"/>
    <w:rsid w:val="00565D10"/>
    <w:pPr>
      <w:spacing w:before="100" w:beforeAutospacing="1" w:after="100" w:afterAutospacing="1"/>
    </w:pPr>
  </w:style>
  <w:style w:type="paragraph" w:customStyle="1" w:styleId="FooterCoverPage">
    <w:name w:val="Footer Cover Page"/>
    <w:basedOn w:val="Normal"/>
    <w:link w:val="FooterCoverPageChar"/>
    <w:rsid w:val="00565D10"/>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565D10"/>
    <w:rPr>
      <w:rFonts w:ascii="Times New Roman" w:eastAsia="Times New Roman" w:hAnsi="Times New Roman" w:cs="Times New Roman"/>
      <w:sz w:val="24"/>
    </w:rPr>
  </w:style>
  <w:style w:type="paragraph" w:customStyle="1" w:styleId="HeaderCoverPage">
    <w:name w:val="Header Cover Page"/>
    <w:basedOn w:val="Normal"/>
    <w:link w:val="HeaderCoverPageChar"/>
    <w:rsid w:val="00565D10"/>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565D10"/>
    <w:rPr>
      <w:rFonts w:ascii="Times New Roman" w:eastAsia="Times New Roman" w:hAnsi="Times New Roman" w:cs="Times New Roman"/>
      <w:sz w:val="24"/>
    </w:rPr>
  </w:style>
  <w:style w:type="table" w:styleId="TableGrid">
    <w:name w:val="Table Grid"/>
    <w:basedOn w:val="TableNormal"/>
    <w:uiPriority w:val="59"/>
    <w:rsid w:val="00565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565D10"/>
    <w:pPr>
      <w:numPr>
        <w:numId w:val="13"/>
      </w:numPr>
    </w:pPr>
  </w:style>
  <w:style w:type="paragraph" w:styleId="IntenseQuote">
    <w:name w:val="Intense Quote"/>
    <w:basedOn w:val="Normal"/>
    <w:next w:val="Normal"/>
    <w:link w:val="IntenseQuoteChar"/>
    <w:uiPriority w:val="30"/>
    <w:qFormat/>
    <w:rsid w:val="00565D10"/>
    <w:pPr>
      <w:pBdr>
        <w:top w:val="single" w:sz="4" w:space="10" w:color="4F81BD" w:themeColor="accent1"/>
        <w:bottom w:val="single" w:sz="4" w:space="10" w:color="4F81BD" w:themeColor="accent1"/>
      </w:pBdr>
      <w:spacing w:before="360" w:after="360"/>
      <w:ind w:left="864" w:right="864"/>
      <w:jc w:val="center"/>
    </w:pPr>
    <w:rPr>
      <w:i/>
      <w:color w:val="4F81BD" w:themeColor="accent1"/>
    </w:rPr>
  </w:style>
  <w:style w:type="character" w:customStyle="1" w:styleId="IntenseQuoteChar">
    <w:name w:val="Intense Quote Char"/>
    <w:basedOn w:val="DefaultParagraphFont"/>
    <w:link w:val="IntenseQuote"/>
    <w:uiPriority w:val="30"/>
    <w:rsid w:val="00565D10"/>
    <w:rPr>
      <w:rFonts w:ascii="Times New Roman" w:eastAsia="Times New Roman" w:hAnsi="Times New Roman" w:cs="Times New Roman"/>
      <w:i/>
      <w:color w:val="4F81BD" w:themeColor="accent1"/>
      <w:sz w:val="24"/>
    </w:rPr>
  </w:style>
  <w:style w:type="character" w:customStyle="1" w:styleId="FootnoteCharacters">
    <w:name w:val="Footnote Characters"/>
    <w:rsid w:val="00565D10"/>
    <w:rPr>
      <w:vertAlign w:val="superscript"/>
    </w:rPr>
  </w:style>
  <w:style w:type="paragraph" w:customStyle="1" w:styleId="Paragrafoelenco1">
    <w:name w:val="Paragrafo elenco1"/>
    <w:basedOn w:val="Normal"/>
    <w:rsid w:val="00565D10"/>
    <w:pPr>
      <w:spacing w:after="160" w:line="254" w:lineRule="auto"/>
      <w:ind w:left="720"/>
      <w:contextualSpacing/>
    </w:pPr>
    <w:rPr>
      <w:color w:val="00000A"/>
      <w:kern w:val="1"/>
      <w:sz w:val="20"/>
    </w:rPr>
  </w:style>
  <w:style w:type="paragraph" w:styleId="NormalWeb">
    <w:name w:val="Normal (Web)"/>
    <w:basedOn w:val="Normal"/>
    <w:uiPriority w:val="99"/>
    <w:unhideWhenUsed/>
    <w:rsid w:val="00565D10"/>
    <w:pPr>
      <w:spacing w:before="100" w:beforeAutospacing="1" w:after="100" w:afterAutospacing="1"/>
    </w:pPr>
  </w:style>
  <w:style w:type="character" w:customStyle="1" w:styleId="normaltextrun1">
    <w:name w:val="normaltextrun1"/>
    <w:basedOn w:val="DefaultParagraphFont"/>
    <w:rsid w:val="00565D10"/>
  </w:style>
  <w:style w:type="numbering" w:customStyle="1" w:styleId="Stileimportato9">
    <w:name w:val="Stile importato 9"/>
    <w:rsid w:val="00565D10"/>
    <w:pPr>
      <w:numPr>
        <w:numId w:val="16"/>
      </w:numPr>
    </w:pPr>
  </w:style>
  <w:style w:type="character" w:customStyle="1" w:styleId="Hyperlink0">
    <w:name w:val="Hyperlink.0"/>
    <w:rsid w:val="00565D10"/>
  </w:style>
  <w:style w:type="paragraph" w:customStyle="1" w:styleId="Descriptiontext">
    <w:name w:val="Description text"/>
    <w:basedOn w:val="Normal"/>
    <w:link w:val="DescriptiontextChar"/>
    <w:qFormat/>
    <w:rsid w:val="00565D10"/>
    <w:pPr>
      <w:spacing w:before="120" w:after="120"/>
      <w:ind w:left="709"/>
      <w:jc w:val="both"/>
    </w:pPr>
  </w:style>
  <w:style w:type="paragraph" w:customStyle="1" w:styleId="Descriptiontitle">
    <w:name w:val="Description title"/>
    <w:basedOn w:val="Descriptiontext"/>
    <w:link w:val="DescriptiontitleChar"/>
    <w:rsid w:val="00565D10"/>
  </w:style>
  <w:style w:type="character" w:customStyle="1" w:styleId="DescriptiontextChar">
    <w:name w:val="Description text Char"/>
    <w:basedOn w:val="DefaultParagraphFont"/>
    <w:link w:val="Descriptiontext"/>
    <w:rsid w:val="00565D10"/>
    <w:rPr>
      <w:rFonts w:ascii="Times New Roman" w:eastAsia="Times New Roman" w:hAnsi="Times New Roman" w:cs="Times New Roman"/>
      <w:sz w:val="24"/>
    </w:rPr>
  </w:style>
  <w:style w:type="character" w:customStyle="1" w:styleId="DescriptiontitleChar">
    <w:name w:val="Description title Char"/>
    <w:basedOn w:val="DescriptiontextChar"/>
    <w:link w:val="Descriptiontitle"/>
    <w:rsid w:val="00565D10"/>
    <w:rPr>
      <w:rFonts w:ascii="Times New Roman" w:eastAsia="Times New Roman" w:hAnsi="Times New Roman" w:cs="Times New Roman"/>
      <w:sz w:val="24"/>
    </w:rPr>
  </w:style>
  <w:style w:type="paragraph" w:customStyle="1" w:styleId="Axistitle">
    <w:name w:val="Axis title"/>
    <w:basedOn w:val="Normal"/>
    <w:link w:val="AxistitleChar"/>
    <w:qFormat/>
    <w:rsid w:val="00565D10"/>
    <w:pPr>
      <w:spacing w:before="320" w:after="240"/>
      <w:ind w:left="709"/>
      <w:jc w:val="both"/>
    </w:pPr>
    <w:rPr>
      <w:i/>
    </w:rPr>
  </w:style>
  <w:style w:type="character" w:customStyle="1" w:styleId="AxistitleChar">
    <w:name w:val="Axis title Char"/>
    <w:basedOn w:val="DefaultParagraphFont"/>
    <w:link w:val="Axistitle"/>
    <w:rsid w:val="00565D10"/>
    <w:rPr>
      <w:rFonts w:ascii="Times New Roman" w:eastAsia="Times New Roman" w:hAnsi="Times New Roman" w:cs="Times New Roman"/>
      <w:i/>
      <w:sz w:val="24"/>
    </w:rPr>
  </w:style>
  <w:style w:type="character" w:customStyle="1" w:styleId="Mention1">
    <w:name w:val="Mention1"/>
    <w:basedOn w:val="DefaultParagraphFont"/>
    <w:uiPriority w:val="99"/>
    <w:unhideWhenUsed/>
    <w:rsid w:val="00565D10"/>
    <w:rPr>
      <w:color w:val="2B579A"/>
      <w:shd w:val="clear" w:color="auto" w:fill="E6E6E6"/>
    </w:rPr>
  </w:style>
  <w:style w:type="character" w:customStyle="1" w:styleId="superscript">
    <w:name w:val="superscript"/>
    <w:basedOn w:val="DefaultParagraphFont"/>
    <w:rsid w:val="00565D10"/>
  </w:style>
  <w:style w:type="paragraph" w:styleId="ListNumber4">
    <w:name w:val="List Number 4"/>
    <w:basedOn w:val="Normal"/>
    <w:uiPriority w:val="99"/>
    <w:semiHidden/>
    <w:unhideWhenUsed/>
    <w:rsid w:val="00565D10"/>
    <w:pPr>
      <w:numPr>
        <w:numId w:val="17"/>
      </w:numPr>
      <w:tabs>
        <w:tab w:val="num" w:pos="360"/>
      </w:tabs>
      <w:spacing w:before="120" w:after="120"/>
      <w:ind w:left="720"/>
      <w:contextualSpacing/>
      <w:jc w:val="both"/>
    </w:pPr>
    <w:rPr>
      <w:rFonts w:eastAsiaTheme="minorHAnsi"/>
    </w:rPr>
  </w:style>
  <w:style w:type="numbering" w:customStyle="1" w:styleId="NoList2">
    <w:name w:val="No List2"/>
    <w:next w:val="NoList"/>
    <w:uiPriority w:val="99"/>
    <w:semiHidden/>
    <w:unhideWhenUsed/>
    <w:rsid w:val="00565D10"/>
  </w:style>
  <w:style w:type="paragraph" w:styleId="Caption">
    <w:name w:val="caption"/>
    <w:basedOn w:val="Normal"/>
    <w:next w:val="Normal"/>
    <w:uiPriority w:val="35"/>
    <w:semiHidden/>
    <w:unhideWhenUsed/>
    <w:qFormat/>
    <w:rsid w:val="00565D10"/>
    <w:pPr>
      <w:spacing w:after="200"/>
      <w:jc w:val="both"/>
    </w:pPr>
    <w:rPr>
      <w:rFonts w:eastAsiaTheme="minorHAnsi"/>
      <w:i/>
      <w:color w:val="1F497D" w:themeColor="text2"/>
      <w:sz w:val="18"/>
    </w:rPr>
  </w:style>
  <w:style w:type="paragraph" w:styleId="TableofFigures">
    <w:name w:val="table of figures"/>
    <w:basedOn w:val="Normal"/>
    <w:next w:val="Normal"/>
    <w:uiPriority w:val="99"/>
    <w:semiHidden/>
    <w:unhideWhenUsed/>
    <w:rsid w:val="00565D10"/>
    <w:pPr>
      <w:spacing w:before="120"/>
      <w:jc w:val="both"/>
    </w:pPr>
    <w:rPr>
      <w:rFonts w:eastAsiaTheme="minorHAnsi"/>
    </w:rPr>
  </w:style>
  <w:style w:type="paragraph" w:styleId="ListNumber">
    <w:name w:val="List Number"/>
    <w:basedOn w:val="Normal"/>
    <w:uiPriority w:val="99"/>
    <w:semiHidden/>
    <w:unhideWhenUsed/>
    <w:rsid w:val="00565D10"/>
    <w:pPr>
      <w:numPr>
        <w:numId w:val="18"/>
      </w:numPr>
      <w:spacing w:before="120" w:after="120"/>
      <w:ind w:left="0" w:firstLine="0"/>
      <w:contextualSpacing/>
      <w:jc w:val="both"/>
    </w:pPr>
    <w:rPr>
      <w:rFonts w:eastAsiaTheme="minorHAnsi"/>
    </w:rPr>
  </w:style>
  <w:style w:type="paragraph" w:styleId="ListNumber2">
    <w:name w:val="List Number 2"/>
    <w:basedOn w:val="Normal"/>
    <w:uiPriority w:val="99"/>
    <w:semiHidden/>
    <w:unhideWhenUsed/>
    <w:rsid w:val="00565D10"/>
    <w:pPr>
      <w:numPr>
        <w:numId w:val="19"/>
      </w:numPr>
      <w:tabs>
        <w:tab w:val="num" w:pos="360"/>
      </w:tabs>
      <w:spacing w:before="120" w:after="120"/>
      <w:ind w:left="0" w:firstLine="0"/>
      <w:contextualSpacing/>
      <w:jc w:val="both"/>
    </w:pPr>
    <w:rPr>
      <w:rFonts w:eastAsiaTheme="minorHAnsi"/>
    </w:rPr>
  </w:style>
  <w:style w:type="paragraph" w:styleId="ListNumber3">
    <w:name w:val="List Number 3"/>
    <w:basedOn w:val="Normal"/>
    <w:uiPriority w:val="99"/>
    <w:semiHidden/>
    <w:unhideWhenUsed/>
    <w:rsid w:val="00565D10"/>
    <w:pPr>
      <w:numPr>
        <w:numId w:val="20"/>
      </w:numPr>
      <w:spacing w:before="120" w:after="120"/>
      <w:ind w:left="0" w:firstLine="0"/>
      <w:contextualSpacing/>
      <w:jc w:val="both"/>
    </w:pPr>
    <w:rPr>
      <w:rFonts w:eastAsiaTheme="minorHAnsi"/>
    </w:rPr>
  </w:style>
  <w:style w:type="character" w:customStyle="1" w:styleId="Mention2">
    <w:name w:val="Mention2"/>
    <w:basedOn w:val="DefaultParagraphFont"/>
    <w:uiPriority w:val="99"/>
    <w:unhideWhenUsed/>
    <w:rsid w:val="00565D10"/>
    <w:rPr>
      <w:color w:val="2B579A"/>
      <w:shd w:val="clear" w:color="auto" w:fill="E6E6E6"/>
    </w:rPr>
  </w:style>
  <w:style w:type="paragraph" w:customStyle="1" w:styleId="TechnicalBlock">
    <w:name w:val="Technical Block"/>
    <w:basedOn w:val="Normal"/>
    <w:link w:val="TechnicalBlockChar"/>
    <w:rsid w:val="00565D10"/>
    <w:pPr>
      <w:spacing w:after="240"/>
      <w:jc w:val="center"/>
      <w:textAlignment w:val="baseline"/>
    </w:pPr>
  </w:style>
  <w:style w:type="character" w:customStyle="1" w:styleId="TechnicalBlockChar">
    <w:name w:val="Technical Block Char"/>
    <w:basedOn w:val="DefaultParagraphFont"/>
    <w:link w:val="TechnicalBlock"/>
    <w:rsid w:val="00565D10"/>
    <w:rPr>
      <w:rFonts w:ascii="Times New Roman" w:eastAsia="Times New Roman" w:hAnsi="Times New Roman" w:cs="Times New Roman"/>
      <w:sz w:val="24"/>
    </w:rPr>
  </w:style>
  <w:style w:type="paragraph" w:customStyle="1" w:styleId="EntText">
    <w:name w:val="EntText"/>
    <w:basedOn w:val="Normal"/>
    <w:rsid w:val="00573718"/>
    <w:pPr>
      <w:spacing w:before="120" w:after="120" w:line="360" w:lineRule="auto"/>
    </w:pPr>
    <w:rPr>
      <w:rFonts w:eastAsiaTheme="minorHAnsi"/>
    </w:rPr>
  </w:style>
  <w:style w:type="paragraph" w:customStyle="1" w:styleId="Lignefinal">
    <w:name w:val="Ligne final"/>
    <w:basedOn w:val="Normal"/>
    <w:next w:val="Normal"/>
    <w:rsid w:val="00573718"/>
    <w:pPr>
      <w:pBdr>
        <w:bottom w:val="single" w:sz="4" w:space="0" w:color="000000"/>
      </w:pBdr>
      <w:spacing w:before="360" w:after="120" w:line="360" w:lineRule="auto"/>
      <w:ind w:left="3400" w:right="3400"/>
      <w:jc w:val="center"/>
    </w:pPr>
    <w:rPr>
      <w:rFonts w:eastAsiaTheme="minorHAnsi"/>
      <w:b/>
    </w:rPr>
  </w:style>
  <w:style w:type="paragraph" w:customStyle="1" w:styleId="pj">
    <w:name w:val="p.j."/>
    <w:basedOn w:val="Normal"/>
    <w:link w:val="pjChar"/>
    <w:rsid w:val="00565D10"/>
    <w:pPr>
      <w:spacing w:before="1200" w:after="120"/>
      <w:ind w:left="1440" w:hanging="1440"/>
    </w:pPr>
  </w:style>
  <w:style w:type="character" w:customStyle="1" w:styleId="pjChar">
    <w:name w:val="p.j. Char"/>
    <w:basedOn w:val="DefaultParagraphFont"/>
    <w:link w:val="pj"/>
    <w:rsid w:val="00565D10"/>
    <w:rPr>
      <w:rFonts w:ascii="Times New Roman" w:eastAsia="Times New Roman" w:hAnsi="Times New Roman" w:cs="Times New Roman"/>
      <w:sz w:val="24"/>
    </w:rPr>
  </w:style>
  <w:style w:type="paragraph" w:customStyle="1" w:styleId="nbbordered">
    <w:name w:val="nb bordered"/>
    <w:basedOn w:val="Normal"/>
    <w:link w:val="nbborderedChar"/>
    <w:rsid w:val="00565D10"/>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565D10"/>
    <w:rPr>
      <w:rFonts w:ascii="Times New Roman" w:eastAsia="Times New Roman" w:hAnsi="Times New Roman" w:cs="Times New Roman"/>
      <w:b/>
      <w:sz w:val="24"/>
    </w:rPr>
  </w:style>
  <w:style w:type="paragraph" w:customStyle="1" w:styleId="HeaderCouncil">
    <w:name w:val="Header Council"/>
    <w:basedOn w:val="Normal"/>
    <w:link w:val="HeaderCouncilChar"/>
    <w:rsid w:val="00565D10"/>
    <w:rPr>
      <w:sz w:val="2"/>
    </w:rPr>
  </w:style>
  <w:style w:type="character" w:customStyle="1" w:styleId="HeaderCouncilChar">
    <w:name w:val="Header Council Char"/>
    <w:basedOn w:val="DefaultParagraphFont"/>
    <w:link w:val="HeaderCouncil"/>
    <w:rsid w:val="00565D10"/>
    <w:rPr>
      <w:rFonts w:ascii="Times New Roman" w:eastAsia="Times New Roman" w:hAnsi="Times New Roman" w:cs="Times New Roman"/>
      <w:sz w:val="2"/>
    </w:rPr>
  </w:style>
  <w:style w:type="paragraph" w:customStyle="1" w:styleId="HeaderCouncilLarge">
    <w:name w:val="Header Council Large"/>
    <w:basedOn w:val="Normal"/>
    <w:link w:val="HeaderCouncilLargeChar"/>
    <w:rsid w:val="00565D10"/>
    <w:pPr>
      <w:spacing w:after="440"/>
    </w:pPr>
    <w:rPr>
      <w:sz w:val="2"/>
    </w:rPr>
  </w:style>
  <w:style w:type="character" w:customStyle="1" w:styleId="HeaderCouncilLargeChar">
    <w:name w:val="Header Council Large Char"/>
    <w:basedOn w:val="DefaultParagraphFont"/>
    <w:link w:val="HeaderCouncilLarge"/>
    <w:rsid w:val="00565D10"/>
    <w:rPr>
      <w:rFonts w:ascii="Times New Roman" w:eastAsia="Times New Roman" w:hAnsi="Times New Roman" w:cs="Times New Roman"/>
      <w:sz w:val="2"/>
    </w:rPr>
  </w:style>
  <w:style w:type="paragraph" w:customStyle="1" w:styleId="FooterCouncil">
    <w:name w:val="Footer Council"/>
    <w:basedOn w:val="Normal"/>
    <w:link w:val="FooterCouncilChar"/>
    <w:rsid w:val="00565D10"/>
    <w:rPr>
      <w:sz w:val="2"/>
    </w:rPr>
  </w:style>
  <w:style w:type="character" w:customStyle="1" w:styleId="FooterCouncilChar">
    <w:name w:val="Footer Council Char"/>
    <w:basedOn w:val="DefaultParagraphFont"/>
    <w:link w:val="FooterCouncil"/>
    <w:rsid w:val="00565D10"/>
    <w:rPr>
      <w:rFonts w:ascii="Times New Roman" w:eastAsia="Times New Roman" w:hAnsi="Times New Roman" w:cs="Times New Roman"/>
      <w:sz w:val="2"/>
    </w:rPr>
  </w:style>
  <w:style w:type="paragraph" w:customStyle="1" w:styleId="FooterText">
    <w:name w:val="Footer Text"/>
    <w:basedOn w:val="Normal"/>
    <w:rsid w:val="00565D10"/>
  </w:style>
  <w:style w:type="character" w:styleId="PlaceholderText">
    <w:name w:val="Placeholder Text"/>
    <w:basedOn w:val="DefaultParagraphFont"/>
    <w:uiPriority w:val="99"/>
    <w:semiHidden/>
    <w:rsid w:val="00565D10"/>
    <w:rPr>
      <w:color w:val="808080"/>
    </w:rPr>
  </w:style>
  <w:style w:type="character" w:customStyle="1" w:styleId="findhit">
    <w:name w:val="findhit"/>
    <w:basedOn w:val="DefaultParagraphFont"/>
    <w:rsid w:val="00A932FE"/>
  </w:style>
  <w:style w:type="character" w:customStyle="1" w:styleId="tabchar">
    <w:name w:val="tabchar"/>
    <w:basedOn w:val="DefaultParagraphFont"/>
    <w:rsid w:val="00C9514F"/>
  </w:style>
  <w:style w:type="paragraph" w:customStyle="1" w:styleId="pf0">
    <w:name w:val="pf0"/>
    <w:basedOn w:val="Normal"/>
    <w:rsid w:val="00896869"/>
    <w:pPr>
      <w:spacing w:before="100" w:beforeAutospacing="1" w:after="100" w:afterAutospacing="1"/>
    </w:pPr>
  </w:style>
  <w:style w:type="character" w:customStyle="1" w:styleId="cf01">
    <w:name w:val="cf01"/>
    <w:basedOn w:val="DefaultParagraphFont"/>
    <w:rsid w:val="00896869"/>
    <w:rPr>
      <w:rFonts w:ascii="Segoe UI" w:hAnsi="Segoe UI" w:cs="Segoe UI" w:hint="default"/>
      <w:b/>
      <w:sz w:val="18"/>
    </w:rPr>
  </w:style>
  <w:style w:type="character" w:customStyle="1" w:styleId="cf11">
    <w:name w:val="cf11"/>
    <w:basedOn w:val="DefaultParagraphFont"/>
    <w:rsid w:val="00896869"/>
    <w:rPr>
      <w:rFonts w:ascii="Segoe UI" w:hAnsi="Segoe UI" w:cs="Segoe UI" w:hint="default"/>
      <w:sz w:val="18"/>
    </w:rPr>
  </w:style>
  <w:style w:type="paragraph" w:customStyle="1" w:styleId="LegalNumPar">
    <w:name w:val="LegalNumPar"/>
    <w:basedOn w:val="Normal"/>
    <w:rsid w:val="007F43B9"/>
    <w:pPr>
      <w:numPr>
        <w:numId w:val="25"/>
      </w:numPr>
      <w:spacing w:after="160" w:line="259" w:lineRule="auto"/>
    </w:pPr>
    <w:rPr>
      <w:rFonts w:asciiTheme="minorHAnsi" w:eastAsiaTheme="minorHAnsi" w:hAnsiTheme="minorHAnsi" w:cstheme="minorBidi"/>
      <w:sz w:val="22"/>
    </w:rPr>
  </w:style>
  <w:style w:type="paragraph" w:customStyle="1" w:styleId="LegalNumPar2">
    <w:name w:val="LegalNumPar2"/>
    <w:basedOn w:val="Normal"/>
    <w:rsid w:val="007F43B9"/>
    <w:pPr>
      <w:numPr>
        <w:ilvl w:val="1"/>
        <w:numId w:val="25"/>
      </w:numPr>
      <w:spacing w:after="160" w:line="259" w:lineRule="auto"/>
    </w:pPr>
    <w:rPr>
      <w:rFonts w:asciiTheme="minorHAnsi" w:eastAsiaTheme="minorHAnsi" w:hAnsiTheme="minorHAnsi" w:cstheme="minorBidi"/>
      <w:sz w:val="22"/>
    </w:rPr>
  </w:style>
  <w:style w:type="paragraph" w:customStyle="1" w:styleId="LegalNumPar3">
    <w:name w:val="LegalNumPar3"/>
    <w:basedOn w:val="Normal"/>
    <w:rsid w:val="007F43B9"/>
    <w:pPr>
      <w:numPr>
        <w:ilvl w:val="2"/>
        <w:numId w:val="25"/>
      </w:numPr>
      <w:spacing w:after="160" w:line="259" w:lineRule="auto"/>
    </w:pPr>
    <w:rPr>
      <w:rFonts w:asciiTheme="minorHAnsi" w:eastAsiaTheme="minorHAnsi" w:hAnsiTheme="minorHAnsi" w:cstheme="minorBidi"/>
      <w:sz w:val="22"/>
    </w:rPr>
  </w:style>
  <w:style w:type="character" w:styleId="SubtleEmphasis">
    <w:name w:val="Subtle Emphasis"/>
    <w:basedOn w:val="DefaultParagraphFont"/>
    <w:uiPriority w:val="19"/>
    <w:qFormat/>
    <w:rsid w:val="009B6678"/>
    <w:rPr>
      <w:i/>
      <w:color w:val="404040" w:themeColor="text1" w:themeTint="BF"/>
    </w:rPr>
  </w:style>
  <w:style w:type="character" w:customStyle="1" w:styleId="Mention3">
    <w:name w:val="Mention3"/>
    <w:basedOn w:val="DefaultParagraphFont"/>
    <w:uiPriority w:val="99"/>
    <w:unhideWhenUsed/>
    <w:rsid w:val="00D7695A"/>
    <w:rPr>
      <w:color w:val="2B579A"/>
      <w:shd w:val="clear" w:color="auto" w:fill="E6E6E6"/>
    </w:rPr>
  </w:style>
  <w:style w:type="character" w:customStyle="1" w:styleId="Mention4">
    <w:name w:val="Mention4"/>
    <w:basedOn w:val="DefaultParagraphFont"/>
    <w:uiPriority w:val="99"/>
    <w:unhideWhenUsed/>
    <w:rsid w:val="0005095A"/>
    <w:rPr>
      <w:color w:val="2B579A"/>
      <w:shd w:val="clear" w:color="auto" w:fill="E6E6E6"/>
    </w:rPr>
  </w:style>
  <w:style w:type="character" w:customStyle="1" w:styleId="ui-provider">
    <w:name w:val="ui-provider"/>
    <w:basedOn w:val="DefaultParagraphFont"/>
    <w:uiPriority w:val="1"/>
    <w:rsid w:val="00D7146E"/>
  </w:style>
  <w:style w:type="character" w:customStyle="1" w:styleId="UnresolvedMention1">
    <w:name w:val="Unresolved Mention1"/>
    <w:basedOn w:val="DefaultParagraphFont"/>
    <w:uiPriority w:val="99"/>
    <w:semiHidden/>
    <w:unhideWhenUsed/>
    <w:rsid w:val="003C0FBE"/>
    <w:rPr>
      <w:color w:val="605E5C"/>
      <w:shd w:val="clear" w:color="auto" w:fill="E1DFDD"/>
    </w:rPr>
  </w:style>
  <w:style w:type="paragraph" w:customStyle="1" w:styleId="P68B1DB1-Normale1">
    <w:name w:val="P68B1DB1-Normale1"/>
    <w:basedOn w:val="Normal"/>
    <w:rsid w:val="003D6C0C"/>
    <w:pPr>
      <w:spacing w:after="160" w:line="259" w:lineRule="auto"/>
    </w:pPr>
    <w:rPr>
      <w:rFonts w:ascii="Calibri" w:eastAsia="Calibri" w:hAnsi="Calibri" w:cs="Calibri"/>
      <w:b/>
      <w:sz w:val="22"/>
    </w:rPr>
  </w:style>
  <w:style w:type="paragraph" w:customStyle="1" w:styleId="P68B1DB1-Normale6">
    <w:name w:val="P68B1DB1-Normale6"/>
    <w:basedOn w:val="Normal"/>
    <w:rsid w:val="000475CC"/>
    <w:pPr>
      <w:spacing w:after="160" w:line="259" w:lineRule="auto"/>
    </w:pPr>
    <w:rPr>
      <w:rFonts w:eastAsia="Calibri"/>
      <w:sz w:val="20"/>
    </w:rPr>
  </w:style>
  <w:style w:type="character" w:customStyle="1" w:styleId="s10">
    <w:name w:val="s10"/>
    <w:basedOn w:val="DefaultParagraphFont"/>
    <w:rsid w:val="000475CC"/>
  </w:style>
  <w:style w:type="character" w:customStyle="1" w:styleId="Mention5">
    <w:name w:val="Mention5"/>
    <w:basedOn w:val="DefaultParagraphFont"/>
    <w:uiPriority w:val="99"/>
    <w:unhideWhenUsed/>
    <w:rsid w:val="00591B2C"/>
    <w:rPr>
      <w:color w:val="2B579A"/>
      <w:shd w:val="clear" w:color="auto" w:fill="E1DFDD"/>
    </w:rPr>
  </w:style>
  <w:style w:type="character" w:customStyle="1" w:styleId="UnresolvedMention2">
    <w:name w:val="Unresolved Mention2"/>
    <w:basedOn w:val="DefaultParagraphFont"/>
    <w:uiPriority w:val="99"/>
    <w:semiHidden/>
    <w:unhideWhenUsed/>
    <w:rsid w:val="00937BBA"/>
    <w:rPr>
      <w:color w:val="605E5C"/>
      <w:shd w:val="clear" w:color="auto" w:fill="E1DFDD"/>
    </w:rPr>
  </w:style>
  <w:style w:type="character" w:customStyle="1" w:styleId="font71">
    <w:name w:val="font71"/>
    <w:basedOn w:val="DefaultParagraphFont"/>
    <w:rsid w:val="00A64DCC"/>
    <w:rPr>
      <w:rFonts w:ascii="Times New Roman" w:hAnsi="Times New Roman" w:cs="Times New Roman" w:hint="default"/>
      <w:b w:val="0"/>
      <w:i w:val="0"/>
      <w:strike w:val="0"/>
      <w:dstrike w:val="0"/>
      <w:color w:val="000000"/>
      <w:sz w:val="20"/>
      <w:u w:val="none"/>
      <w:effect w:val="none"/>
    </w:rPr>
  </w:style>
  <w:style w:type="character" w:customStyle="1" w:styleId="font81">
    <w:name w:val="font81"/>
    <w:basedOn w:val="DefaultParagraphFont"/>
    <w:rsid w:val="00A64DCC"/>
    <w:rPr>
      <w:rFonts w:ascii="Times New Roman" w:hAnsi="Times New Roman" w:cs="Times New Roman" w:hint="default"/>
      <w:b w:val="0"/>
      <w:i w:val="0"/>
      <w:strike w:val="0"/>
      <w:dstrike w:val="0"/>
      <w:color w:val="006100"/>
      <w:sz w:val="20"/>
      <w:u w:val="none"/>
      <w:effect w:val="none"/>
    </w:rPr>
  </w:style>
  <w:style w:type="character" w:customStyle="1" w:styleId="font111">
    <w:name w:val="font111"/>
    <w:basedOn w:val="DefaultParagraphFont"/>
    <w:rsid w:val="001D6206"/>
    <w:rPr>
      <w:rFonts w:ascii="Times New Roman" w:hAnsi="Times New Roman" w:cs="Times New Roman" w:hint="default"/>
      <w:b w:val="0"/>
      <w:i w:val="0"/>
      <w:strike w:val="0"/>
      <w:dstrike w:val="0"/>
      <w:color w:val="006100"/>
      <w:sz w:val="20"/>
      <w:u w:val="none"/>
      <w:effect w:val="none"/>
    </w:rPr>
  </w:style>
  <w:style w:type="paragraph" w:customStyle="1" w:styleId="Default">
    <w:name w:val="Default"/>
    <w:rsid w:val="00906B6D"/>
    <w:pPr>
      <w:autoSpaceDE w:val="0"/>
      <w:autoSpaceDN w:val="0"/>
      <w:adjustRightInd w:val="0"/>
      <w:spacing w:after="0" w:line="240" w:lineRule="auto"/>
    </w:pPr>
    <w:rPr>
      <w:rFonts w:ascii="Times New Roman" w:hAnsi="Times New Roman" w:cs="Times New Roman"/>
      <w:color w:val="000000"/>
      <w:sz w:val="24"/>
    </w:rPr>
  </w:style>
  <w:style w:type="paragraph" w:customStyle="1" w:styleId="P68B1DB1-Heading11">
    <w:name w:val="P68B1DB1-Heading11"/>
    <w:basedOn w:val="Heading1"/>
    <w:rPr>
      <w:u w:val="single"/>
    </w:rPr>
  </w:style>
  <w:style w:type="paragraph" w:customStyle="1" w:styleId="P68B1DB1-Normal2">
    <w:name w:val="P68B1DB1-Normal2"/>
    <w:basedOn w:val="Normal"/>
    <w:rPr>
      <w:b/>
    </w:rPr>
  </w:style>
  <w:style w:type="paragraph" w:customStyle="1" w:styleId="P68B1DB1-Normal3">
    <w:name w:val="P68B1DB1-Normal3"/>
    <w:basedOn w:val="Normal"/>
    <w:rPr>
      <w:rFonts w:ascii="Arial Narrow" w:hAnsi="Arial Narrow" w:cs="Arial"/>
      <w:b/>
      <w:sz w:val="20"/>
    </w:rPr>
  </w:style>
  <w:style w:type="paragraph" w:customStyle="1" w:styleId="P68B1DB1-Normal4">
    <w:name w:val="P68B1DB1-Normal4"/>
    <w:basedOn w:val="Normal"/>
    <w:rPr>
      <w:rFonts w:ascii="Arial Narrow" w:hAnsi="Arial Narrow" w:cs="Arial"/>
      <w:sz w:val="20"/>
    </w:rPr>
  </w:style>
  <w:style w:type="paragraph" w:customStyle="1" w:styleId="P68B1DB1-Normal5">
    <w:name w:val="P68B1DB1-Normal5"/>
    <w:basedOn w:val="Normal"/>
    <w:rPr>
      <w:rFonts w:ascii="Arial Narrow" w:hAnsi="Arial Narrow" w:cs="Arial"/>
      <w:color w:val="006100"/>
      <w:sz w:val="20"/>
    </w:rPr>
  </w:style>
  <w:style w:type="paragraph" w:customStyle="1" w:styleId="P68B1DB1-ListParagraph6">
    <w:name w:val="P68B1DB1-ListParagraph6"/>
    <w:basedOn w:val="ListParagraph"/>
    <w:rPr>
      <w:rFonts w:ascii="Arial Narrow" w:hAnsi="Arial Narrow" w:cs="Arial"/>
      <w:color w:val="006100"/>
      <w:sz w:val="20"/>
    </w:rPr>
  </w:style>
  <w:style w:type="paragraph" w:customStyle="1" w:styleId="P68B1DB1-Normal7">
    <w:name w:val="P68B1DB1-Normal7"/>
    <w:basedOn w:val="Normal"/>
    <w:rPr>
      <w:rFonts w:ascii="Arial Narrow" w:hAnsi="Arial Narrow" w:cs="Arial"/>
      <w:b/>
      <w:color w:val="006100"/>
      <w:sz w:val="20"/>
    </w:rPr>
  </w:style>
  <w:style w:type="paragraph" w:customStyle="1" w:styleId="P68B1DB1-Normal8">
    <w:name w:val="P68B1DB1-Normal8"/>
    <w:basedOn w:val="Normal"/>
    <w:rPr>
      <w:rFonts w:ascii="Arial Narrow" w:hAnsi="Arial Narrow" w:cs="Arial"/>
    </w:rPr>
  </w:style>
  <w:style w:type="paragraph" w:customStyle="1" w:styleId="P68B1DB1-Normal9">
    <w:name w:val="P68B1DB1-Normal9"/>
    <w:basedOn w:val="Normal"/>
    <w:rPr>
      <w:rFonts w:ascii="Arial Narrow" w:hAnsi="Arial Narrow"/>
      <w:b/>
      <w:sz w:val="20"/>
    </w:rPr>
  </w:style>
  <w:style w:type="paragraph" w:customStyle="1" w:styleId="P68B1DB1-Normal10">
    <w:name w:val="P68B1DB1-Normal10"/>
    <w:basedOn w:val="Normal"/>
    <w:rPr>
      <w:rFonts w:ascii="Arial Narrow" w:hAnsi="Arial Narrow"/>
    </w:rPr>
  </w:style>
  <w:style w:type="paragraph" w:customStyle="1" w:styleId="P68B1DB1-Normal11">
    <w:name w:val="P68B1DB1-Normal11"/>
    <w:basedOn w:val="Normal"/>
    <w:rPr>
      <w:rFonts w:ascii="Arial Narrow" w:hAnsi="Arial Narrow"/>
      <w:color w:val="006100"/>
      <w:sz w:val="20"/>
    </w:rPr>
  </w:style>
  <w:style w:type="paragraph" w:customStyle="1" w:styleId="P68B1DB1-Normal12">
    <w:name w:val="P68B1DB1-Normal12"/>
    <w:basedOn w:val="Normal"/>
    <w:rPr>
      <w:color w:val="006100"/>
      <w:sz w:val="20"/>
    </w:rPr>
  </w:style>
  <w:style w:type="paragraph" w:customStyle="1" w:styleId="P68B1DB1-ListParagraph13">
    <w:name w:val="P68B1DB1-ListParagraph13"/>
    <w:basedOn w:val="ListParagraph"/>
    <w:rPr>
      <w:rFonts w:ascii="Arial Narrow" w:hAnsi="Arial Narrow"/>
      <w:color w:val="006100"/>
      <w:sz w:val="20"/>
    </w:rPr>
  </w:style>
  <w:style w:type="paragraph" w:customStyle="1" w:styleId="P68B1DB1-Normal14">
    <w:name w:val="P68B1DB1-Normal14"/>
    <w:basedOn w:val="Normal"/>
    <w:rPr>
      <w:b/>
      <w:u w:val="single"/>
    </w:rPr>
  </w:style>
  <w:style w:type="paragraph" w:customStyle="1" w:styleId="P68B1DB1-Normal15">
    <w:name w:val="P68B1DB1-Normal15"/>
    <w:basedOn w:val="Normal"/>
    <w:rPr>
      <w:i/>
    </w:rPr>
  </w:style>
  <w:style w:type="paragraph" w:customStyle="1" w:styleId="P68B1DB1-Normal16">
    <w:name w:val="P68B1DB1-Normal16"/>
    <w:basedOn w:val="Normal"/>
    <w:rPr>
      <w:color w:val="000000" w:themeColor="text1"/>
    </w:rPr>
  </w:style>
  <w:style w:type="paragraph" w:customStyle="1" w:styleId="P68B1DB1-Normal17">
    <w:name w:val="P68B1DB1-Normal17"/>
    <w:basedOn w:val="Normal"/>
    <w:rPr>
      <w:i/>
      <w:u w:val="single"/>
    </w:rPr>
  </w:style>
  <w:style w:type="paragraph" w:customStyle="1" w:styleId="P68B1DB1-Normal18">
    <w:name w:val="P68B1DB1-Normal18"/>
    <w:basedOn w:val="Normal"/>
    <w:rPr>
      <w:sz w:val="12"/>
    </w:rPr>
  </w:style>
  <w:style w:type="paragraph" w:customStyle="1" w:styleId="P68B1DB1-Normal19">
    <w:name w:val="P68B1DB1-Normal19"/>
    <w:basedOn w:val="Normal"/>
    <w:rPr>
      <w:rFonts w:ascii="Arial Narrow" w:hAnsi="Arial Narrow"/>
      <w:sz w:val="20"/>
    </w:rPr>
  </w:style>
  <w:style w:type="paragraph" w:customStyle="1" w:styleId="P68B1DB1-Normal20">
    <w:name w:val="P68B1DB1-Normal20"/>
    <w:basedOn w:val="Normal"/>
    <w:rPr>
      <w:rFonts w:ascii="Arial Narrow" w:hAnsi="Arial Narrow"/>
      <w:b/>
      <w:color w:val="006100"/>
      <w:sz w:val="20"/>
    </w:rPr>
  </w:style>
  <w:style w:type="paragraph" w:customStyle="1" w:styleId="P68B1DB1-Normal21">
    <w:name w:val="P68B1DB1-Normal21"/>
    <w:basedOn w:val="Normal"/>
    <w:rPr>
      <w:rFonts w:eastAsiaTheme="minorEastAsia"/>
      <w:b/>
    </w:rPr>
  </w:style>
  <w:style w:type="paragraph" w:customStyle="1" w:styleId="P68B1DB1-ListParagraph22">
    <w:name w:val="P68B1DB1-ListParagraph22"/>
    <w:basedOn w:val="ListParagraph"/>
    <w:rPr>
      <w:color w:val="006100"/>
      <w:sz w:val="20"/>
    </w:rPr>
  </w:style>
  <w:style w:type="paragraph" w:customStyle="1" w:styleId="P68B1DB1-Normal23">
    <w:name w:val="P68B1DB1-Normal23"/>
    <w:basedOn w:val="Normal"/>
    <w:rPr>
      <w:color w:val="006100"/>
    </w:rPr>
  </w:style>
  <w:style w:type="paragraph" w:customStyle="1" w:styleId="P68B1DB1-Normal24">
    <w:name w:val="P68B1DB1-Normal24"/>
    <w:basedOn w:val="Normal"/>
    <w:rPr>
      <w:b/>
      <w:color w:val="000000" w:themeColor="text1"/>
    </w:rPr>
  </w:style>
  <w:style w:type="paragraph" w:customStyle="1" w:styleId="P68B1DB1-paragraph25">
    <w:name w:val="P68B1DB1-paragraph25"/>
    <w:basedOn w:val="paragraph"/>
    <w:rPr>
      <w:rFonts w:ascii="Arial Narrow" w:hAnsi="Arial Narrow"/>
      <w:color w:val="006100"/>
      <w:sz w:val="20"/>
    </w:rPr>
  </w:style>
  <w:style w:type="paragraph" w:customStyle="1" w:styleId="P68B1DB1-Normal26">
    <w:name w:val="P68B1DB1-Normal26"/>
    <w:basedOn w:val="Normal"/>
    <w:rPr>
      <w:sz w:val="20"/>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Normal29">
    <w:name w:val="P68B1DB1-Normal29"/>
    <w:basedOn w:val="Normal"/>
    <w:rPr>
      <w:b/>
      <w:color w:val="000000"/>
      <w:shd w:val="clear" w:color="auto" w:fill="FFFFFF"/>
    </w:rPr>
  </w:style>
  <w:style w:type="paragraph" w:customStyle="1" w:styleId="P68B1DB1-Paragrafoelenco130">
    <w:name w:val="P68B1DB1-Paragrafoelenco130"/>
    <w:basedOn w:val="Paragrafoelenco1"/>
    <w:rPr>
      <w:color w:val="auto"/>
      <w:sz w:val="24"/>
    </w:rPr>
  </w:style>
  <w:style w:type="paragraph" w:customStyle="1" w:styleId="P68B1DB1-ListParagraph31">
    <w:name w:val="P68B1DB1-ListParagraph31"/>
    <w:basedOn w:val="ListParagraph"/>
    <w:rPr>
      <w:rFonts w:ascii="Arial Narrow" w:hAnsi="Arial Narrow"/>
      <w:sz w:val="20"/>
    </w:rPr>
  </w:style>
  <w:style w:type="paragraph" w:customStyle="1" w:styleId="P68B1DB1-Normal32">
    <w:name w:val="P68B1DB1-Normal32"/>
    <w:basedOn w:val="Normal"/>
    <w:rPr>
      <w:rFonts w:ascii="Arial Narrow" w:hAnsi="Arial Narrow"/>
      <w:color w:val="006100"/>
    </w:rPr>
  </w:style>
  <w:style w:type="paragraph" w:customStyle="1" w:styleId="P68B1DB1-Normal33">
    <w:name w:val="P68B1DB1-Normal33"/>
    <w:basedOn w:val="Normal"/>
    <w:rPr>
      <w:rFonts w:ascii="Arial Narrow" w:hAnsi="Arial Narrow"/>
      <w:b/>
      <w:color w:val="000000"/>
      <w:sz w:val="20"/>
    </w:rPr>
  </w:style>
  <w:style w:type="paragraph" w:customStyle="1" w:styleId="P68B1DB1-Normal34">
    <w:name w:val="P68B1DB1-Normal34"/>
    <w:basedOn w:val="Normal"/>
    <w:rPr>
      <w:i/>
      <w:color w:val="4F81BD" w:themeColor="accent1"/>
    </w:rPr>
  </w:style>
  <w:style w:type="paragraph" w:customStyle="1" w:styleId="P68B1DB1-Normal35">
    <w:name w:val="P68B1DB1-Normal35"/>
    <w:basedOn w:val="Normal"/>
    <w:rPr>
      <w:rFonts w:ascii="Arial Narrow" w:hAnsi="Arial Narrow"/>
      <w:color w:val="000000"/>
      <w:sz w:val="20"/>
    </w:rPr>
  </w:style>
  <w:style w:type="paragraph" w:customStyle="1" w:styleId="P68B1DB1-Normal36">
    <w:name w:val="P68B1DB1-Normal36"/>
    <w:basedOn w:val="Normal"/>
    <w:rPr>
      <w:rFonts w:ascii="Arial Narrow" w:hAnsi="Arial Narrow"/>
      <w:color w:val="006600"/>
      <w:sz w:val="20"/>
    </w:rPr>
  </w:style>
  <w:style w:type="paragraph" w:customStyle="1" w:styleId="P68B1DB1-Heading437">
    <w:name w:val="P68B1DB1-Heading437"/>
    <w:basedOn w:val="Heading4"/>
    <w:rPr>
      <w:b/>
    </w:rPr>
  </w:style>
  <w:style w:type="paragraph" w:customStyle="1" w:styleId="P68B1DB1-Normal38">
    <w:name w:val="P68B1DB1-Normal38"/>
    <w:basedOn w:val="Normal"/>
    <w:rPr>
      <w:rFonts w:ascii="Arial Narrow" w:eastAsiaTheme="minorEastAsia" w:hAnsi="Arial Narrow" w:cstheme="minorBidi"/>
      <w:color w:val="006100"/>
      <w:sz w:val="20"/>
    </w:rPr>
  </w:style>
  <w:style w:type="paragraph" w:customStyle="1" w:styleId="P68B1DB1-Normal39">
    <w:name w:val="P68B1DB1-Normal39"/>
    <w:basedOn w:val="Normal"/>
    <w:rPr>
      <w:u w:val="single"/>
    </w:rPr>
  </w:style>
  <w:style w:type="paragraph" w:customStyle="1" w:styleId="P68B1DB1-ListParagraph40">
    <w:name w:val="P68B1DB1-ListParagraph40"/>
    <w:basedOn w:val="ListParagraph"/>
    <w:rPr>
      <w:u w:val="single"/>
    </w:rPr>
  </w:style>
  <w:style w:type="paragraph" w:customStyle="1" w:styleId="P68B1DB1-Normal41">
    <w:name w:val="P68B1DB1-Normal41"/>
    <w:basedOn w:val="Normal"/>
    <w:rPr>
      <w:sz w:val="23"/>
    </w:rPr>
  </w:style>
  <w:style w:type="paragraph" w:customStyle="1" w:styleId="P68B1DB1-Normal42">
    <w:name w:val="P68B1DB1-Normal42"/>
    <w:basedOn w:val="Normal"/>
    <w:rPr>
      <w:rFonts w:eastAsia="Calibri"/>
      <w:b/>
    </w:rPr>
  </w:style>
  <w:style w:type="paragraph" w:customStyle="1" w:styleId="P68B1DB1-NumPar143">
    <w:name w:val="P68B1DB1-NumPar143"/>
    <w:basedOn w:val="NumPar1"/>
    <w:rPr>
      <w:b/>
    </w:rPr>
  </w:style>
  <w:style w:type="paragraph" w:customStyle="1" w:styleId="P68B1DB1-Normal44">
    <w:name w:val="P68B1DB1-Normal44"/>
    <w:basedOn w:val="Normal"/>
    <w:rPr>
      <w:rFonts w:eastAsia="Calibri"/>
    </w:rPr>
  </w:style>
  <w:style w:type="paragraph" w:customStyle="1" w:styleId="P68B1DB1-Normal45">
    <w:name w:val="P68B1DB1-Normal45"/>
    <w:basedOn w:val="Normal"/>
    <w:rPr>
      <w:b/>
      <w:sz w:val="20"/>
    </w:rPr>
  </w:style>
  <w:style w:type="paragraph" w:customStyle="1" w:styleId="P68B1DB1-Normal46">
    <w:name w:val="P68B1DB1-Normal46"/>
    <w:basedOn w:val="Normal"/>
    <w:rPr>
      <w:rFonts w:hAnsi="Arial Narrow"/>
      <w:color w:val="006100"/>
      <w:sz w:val="20"/>
    </w:rPr>
  </w:style>
  <w:style w:type="paragraph" w:customStyle="1" w:styleId="P68B1DB1-Normal47">
    <w:name w:val="P68B1DB1-Normal47"/>
    <w:basedOn w:val="Normal"/>
    <w:rPr>
      <w:color w:val="375623"/>
      <w:sz w:val="20"/>
    </w:rPr>
  </w:style>
  <w:style w:type="paragraph" w:customStyle="1" w:styleId="P68B1DB1-Normal48">
    <w:name w:val="P68B1DB1-Normal48"/>
    <w:basedOn w:val="Normal"/>
    <w:rPr>
      <w:color w:val="006600"/>
      <w:sz w:val="20"/>
    </w:rPr>
  </w:style>
  <w:style w:type="paragraph" w:customStyle="1" w:styleId="P68B1DB1-NumPar149">
    <w:name w:val="P68B1DB1-NumPar149"/>
    <w:basedOn w:val="NumPar1"/>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333">
      <w:bodyDiv w:val="1"/>
      <w:marLeft w:val="0"/>
      <w:marRight w:val="0"/>
      <w:marTop w:val="0"/>
      <w:marBottom w:val="0"/>
      <w:divBdr>
        <w:top w:val="none" w:sz="0" w:space="0" w:color="auto"/>
        <w:left w:val="none" w:sz="0" w:space="0" w:color="auto"/>
        <w:bottom w:val="none" w:sz="0" w:space="0" w:color="auto"/>
        <w:right w:val="none" w:sz="0" w:space="0" w:color="auto"/>
      </w:divBdr>
    </w:div>
    <w:div w:id="37781201">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23833759">
      <w:bodyDiv w:val="1"/>
      <w:marLeft w:val="0"/>
      <w:marRight w:val="0"/>
      <w:marTop w:val="0"/>
      <w:marBottom w:val="0"/>
      <w:divBdr>
        <w:top w:val="none" w:sz="0" w:space="0" w:color="auto"/>
        <w:left w:val="none" w:sz="0" w:space="0" w:color="auto"/>
        <w:bottom w:val="none" w:sz="0" w:space="0" w:color="auto"/>
        <w:right w:val="none" w:sz="0" w:space="0" w:color="auto"/>
      </w:divBdr>
    </w:div>
    <w:div w:id="227495065">
      <w:bodyDiv w:val="1"/>
      <w:marLeft w:val="0"/>
      <w:marRight w:val="0"/>
      <w:marTop w:val="0"/>
      <w:marBottom w:val="0"/>
      <w:divBdr>
        <w:top w:val="none" w:sz="0" w:space="0" w:color="auto"/>
        <w:left w:val="none" w:sz="0" w:space="0" w:color="auto"/>
        <w:bottom w:val="none" w:sz="0" w:space="0" w:color="auto"/>
        <w:right w:val="none" w:sz="0" w:space="0" w:color="auto"/>
      </w:divBdr>
    </w:div>
    <w:div w:id="255555117">
      <w:bodyDiv w:val="1"/>
      <w:marLeft w:val="0"/>
      <w:marRight w:val="0"/>
      <w:marTop w:val="0"/>
      <w:marBottom w:val="0"/>
      <w:divBdr>
        <w:top w:val="none" w:sz="0" w:space="0" w:color="auto"/>
        <w:left w:val="none" w:sz="0" w:space="0" w:color="auto"/>
        <w:bottom w:val="none" w:sz="0" w:space="0" w:color="auto"/>
        <w:right w:val="none" w:sz="0" w:space="0" w:color="auto"/>
      </w:divBdr>
    </w:div>
    <w:div w:id="317390866">
      <w:bodyDiv w:val="1"/>
      <w:marLeft w:val="0"/>
      <w:marRight w:val="0"/>
      <w:marTop w:val="0"/>
      <w:marBottom w:val="0"/>
      <w:divBdr>
        <w:top w:val="none" w:sz="0" w:space="0" w:color="auto"/>
        <w:left w:val="none" w:sz="0" w:space="0" w:color="auto"/>
        <w:bottom w:val="none" w:sz="0" w:space="0" w:color="auto"/>
        <w:right w:val="none" w:sz="0" w:space="0" w:color="auto"/>
      </w:divBdr>
      <w:divsChild>
        <w:div w:id="299261737">
          <w:marLeft w:val="0"/>
          <w:marRight w:val="0"/>
          <w:marTop w:val="0"/>
          <w:marBottom w:val="0"/>
          <w:divBdr>
            <w:top w:val="none" w:sz="0" w:space="0" w:color="auto"/>
            <w:left w:val="none" w:sz="0" w:space="0" w:color="auto"/>
            <w:bottom w:val="none" w:sz="0" w:space="0" w:color="auto"/>
            <w:right w:val="none" w:sz="0" w:space="0" w:color="auto"/>
          </w:divBdr>
        </w:div>
        <w:div w:id="499084657">
          <w:marLeft w:val="0"/>
          <w:marRight w:val="0"/>
          <w:marTop w:val="0"/>
          <w:marBottom w:val="0"/>
          <w:divBdr>
            <w:top w:val="none" w:sz="0" w:space="0" w:color="auto"/>
            <w:left w:val="none" w:sz="0" w:space="0" w:color="auto"/>
            <w:bottom w:val="none" w:sz="0" w:space="0" w:color="auto"/>
            <w:right w:val="none" w:sz="0" w:space="0" w:color="auto"/>
          </w:divBdr>
        </w:div>
        <w:div w:id="566653147">
          <w:marLeft w:val="0"/>
          <w:marRight w:val="0"/>
          <w:marTop w:val="0"/>
          <w:marBottom w:val="0"/>
          <w:divBdr>
            <w:top w:val="none" w:sz="0" w:space="0" w:color="auto"/>
            <w:left w:val="none" w:sz="0" w:space="0" w:color="auto"/>
            <w:bottom w:val="none" w:sz="0" w:space="0" w:color="auto"/>
            <w:right w:val="none" w:sz="0" w:space="0" w:color="auto"/>
          </w:divBdr>
        </w:div>
        <w:div w:id="785736069">
          <w:marLeft w:val="0"/>
          <w:marRight w:val="0"/>
          <w:marTop w:val="0"/>
          <w:marBottom w:val="0"/>
          <w:divBdr>
            <w:top w:val="none" w:sz="0" w:space="0" w:color="auto"/>
            <w:left w:val="none" w:sz="0" w:space="0" w:color="auto"/>
            <w:bottom w:val="none" w:sz="0" w:space="0" w:color="auto"/>
            <w:right w:val="none" w:sz="0" w:space="0" w:color="auto"/>
          </w:divBdr>
        </w:div>
        <w:div w:id="889997291">
          <w:marLeft w:val="0"/>
          <w:marRight w:val="0"/>
          <w:marTop w:val="0"/>
          <w:marBottom w:val="0"/>
          <w:divBdr>
            <w:top w:val="none" w:sz="0" w:space="0" w:color="auto"/>
            <w:left w:val="none" w:sz="0" w:space="0" w:color="auto"/>
            <w:bottom w:val="none" w:sz="0" w:space="0" w:color="auto"/>
            <w:right w:val="none" w:sz="0" w:space="0" w:color="auto"/>
          </w:divBdr>
        </w:div>
        <w:div w:id="919216872">
          <w:marLeft w:val="0"/>
          <w:marRight w:val="0"/>
          <w:marTop w:val="0"/>
          <w:marBottom w:val="0"/>
          <w:divBdr>
            <w:top w:val="none" w:sz="0" w:space="0" w:color="auto"/>
            <w:left w:val="none" w:sz="0" w:space="0" w:color="auto"/>
            <w:bottom w:val="none" w:sz="0" w:space="0" w:color="auto"/>
            <w:right w:val="none" w:sz="0" w:space="0" w:color="auto"/>
          </w:divBdr>
        </w:div>
        <w:div w:id="983436811">
          <w:marLeft w:val="0"/>
          <w:marRight w:val="0"/>
          <w:marTop w:val="0"/>
          <w:marBottom w:val="0"/>
          <w:divBdr>
            <w:top w:val="none" w:sz="0" w:space="0" w:color="auto"/>
            <w:left w:val="none" w:sz="0" w:space="0" w:color="auto"/>
            <w:bottom w:val="none" w:sz="0" w:space="0" w:color="auto"/>
            <w:right w:val="none" w:sz="0" w:space="0" w:color="auto"/>
          </w:divBdr>
        </w:div>
        <w:div w:id="1317999304">
          <w:marLeft w:val="0"/>
          <w:marRight w:val="0"/>
          <w:marTop w:val="0"/>
          <w:marBottom w:val="0"/>
          <w:divBdr>
            <w:top w:val="none" w:sz="0" w:space="0" w:color="auto"/>
            <w:left w:val="none" w:sz="0" w:space="0" w:color="auto"/>
            <w:bottom w:val="none" w:sz="0" w:space="0" w:color="auto"/>
            <w:right w:val="none" w:sz="0" w:space="0" w:color="auto"/>
          </w:divBdr>
          <w:divsChild>
            <w:div w:id="460222383">
              <w:marLeft w:val="0"/>
              <w:marRight w:val="0"/>
              <w:marTop w:val="0"/>
              <w:marBottom w:val="0"/>
              <w:divBdr>
                <w:top w:val="none" w:sz="0" w:space="0" w:color="auto"/>
                <w:left w:val="none" w:sz="0" w:space="0" w:color="auto"/>
                <w:bottom w:val="none" w:sz="0" w:space="0" w:color="auto"/>
                <w:right w:val="none" w:sz="0" w:space="0" w:color="auto"/>
              </w:divBdr>
            </w:div>
            <w:div w:id="1833064576">
              <w:marLeft w:val="0"/>
              <w:marRight w:val="0"/>
              <w:marTop w:val="0"/>
              <w:marBottom w:val="0"/>
              <w:divBdr>
                <w:top w:val="none" w:sz="0" w:space="0" w:color="auto"/>
                <w:left w:val="none" w:sz="0" w:space="0" w:color="auto"/>
                <w:bottom w:val="none" w:sz="0" w:space="0" w:color="auto"/>
                <w:right w:val="none" w:sz="0" w:space="0" w:color="auto"/>
              </w:divBdr>
            </w:div>
            <w:div w:id="1895893046">
              <w:marLeft w:val="0"/>
              <w:marRight w:val="0"/>
              <w:marTop w:val="0"/>
              <w:marBottom w:val="0"/>
              <w:divBdr>
                <w:top w:val="none" w:sz="0" w:space="0" w:color="auto"/>
                <w:left w:val="none" w:sz="0" w:space="0" w:color="auto"/>
                <w:bottom w:val="none" w:sz="0" w:space="0" w:color="auto"/>
                <w:right w:val="none" w:sz="0" w:space="0" w:color="auto"/>
              </w:divBdr>
            </w:div>
          </w:divsChild>
        </w:div>
        <w:div w:id="1530953366">
          <w:marLeft w:val="0"/>
          <w:marRight w:val="0"/>
          <w:marTop w:val="0"/>
          <w:marBottom w:val="0"/>
          <w:divBdr>
            <w:top w:val="none" w:sz="0" w:space="0" w:color="auto"/>
            <w:left w:val="none" w:sz="0" w:space="0" w:color="auto"/>
            <w:bottom w:val="none" w:sz="0" w:space="0" w:color="auto"/>
            <w:right w:val="none" w:sz="0" w:space="0" w:color="auto"/>
          </w:divBdr>
        </w:div>
      </w:divsChild>
    </w:div>
    <w:div w:id="330841561">
      <w:bodyDiv w:val="1"/>
      <w:marLeft w:val="0"/>
      <w:marRight w:val="0"/>
      <w:marTop w:val="0"/>
      <w:marBottom w:val="0"/>
      <w:divBdr>
        <w:top w:val="none" w:sz="0" w:space="0" w:color="auto"/>
        <w:left w:val="none" w:sz="0" w:space="0" w:color="auto"/>
        <w:bottom w:val="none" w:sz="0" w:space="0" w:color="auto"/>
        <w:right w:val="none" w:sz="0" w:space="0" w:color="auto"/>
      </w:divBdr>
    </w:div>
    <w:div w:id="339085632">
      <w:bodyDiv w:val="1"/>
      <w:marLeft w:val="0"/>
      <w:marRight w:val="0"/>
      <w:marTop w:val="0"/>
      <w:marBottom w:val="0"/>
      <w:divBdr>
        <w:top w:val="none" w:sz="0" w:space="0" w:color="auto"/>
        <w:left w:val="none" w:sz="0" w:space="0" w:color="auto"/>
        <w:bottom w:val="none" w:sz="0" w:space="0" w:color="auto"/>
        <w:right w:val="none" w:sz="0" w:space="0" w:color="auto"/>
      </w:divBdr>
    </w:div>
    <w:div w:id="345210788">
      <w:bodyDiv w:val="1"/>
      <w:marLeft w:val="0"/>
      <w:marRight w:val="0"/>
      <w:marTop w:val="0"/>
      <w:marBottom w:val="0"/>
      <w:divBdr>
        <w:top w:val="none" w:sz="0" w:space="0" w:color="auto"/>
        <w:left w:val="none" w:sz="0" w:space="0" w:color="auto"/>
        <w:bottom w:val="none" w:sz="0" w:space="0" w:color="auto"/>
        <w:right w:val="none" w:sz="0" w:space="0" w:color="auto"/>
      </w:divBdr>
    </w:div>
    <w:div w:id="416361651">
      <w:bodyDiv w:val="1"/>
      <w:marLeft w:val="0"/>
      <w:marRight w:val="0"/>
      <w:marTop w:val="0"/>
      <w:marBottom w:val="0"/>
      <w:divBdr>
        <w:top w:val="none" w:sz="0" w:space="0" w:color="auto"/>
        <w:left w:val="none" w:sz="0" w:space="0" w:color="auto"/>
        <w:bottom w:val="none" w:sz="0" w:space="0" w:color="auto"/>
        <w:right w:val="none" w:sz="0" w:space="0" w:color="auto"/>
      </w:divBdr>
    </w:div>
    <w:div w:id="475418953">
      <w:bodyDiv w:val="1"/>
      <w:marLeft w:val="0"/>
      <w:marRight w:val="0"/>
      <w:marTop w:val="0"/>
      <w:marBottom w:val="0"/>
      <w:divBdr>
        <w:top w:val="none" w:sz="0" w:space="0" w:color="auto"/>
        <w:left w:val="none" w:sz="0" w:space="0" w:color="auto"/>
        <w:bottom w:val="none" w:sz="0" w:space="0" w:color="auto"/>
        <w:right w:val="none" w:sz="0" w:space="0" w:color="auto"/>
      </w:divBdr>
    </w:div>
    <w:div w:id="476923036">
      <w:bodyDiv w:val="1"/>
      <w:marLeft w:val="0"/>
      <w:marRight w:val="0"/>
      <w:marTop w:val="0"/>
      <w:marBottom w:val="0"/>
      <w:divBdr>
        <w:top w:val="none" w:sz="0" w:space="0" w:color="auto"/>
        <w:left w:val="none" w:sz="0" w:space="0" w:color="auto"/>
        <w:bottom w:val="none" w:sz="0" w:space="0" w:color="auto"/>
        <w:right w:val="none" w:sz="0" w:space="0" w:color="auto"/>
      </w:divBdr>
    </w:div>
    <w:div w:id="541748431">
      <w:bodyDiv w:val="1"/>
      <w:marLeft w:val="0"/>
      <w:marRight w:val="0"/>
      <w:marTop w:val="0"/>
      <w:marBottom w:val="0"/>
      <w:divBdr>
        <w:top w:val="none" w:sz="0" w:space="0" w:color="auto"/>
        <w:left w:val="none" w:sz="0" w:space="0" w:color="auto"/>
        <w:bottom w:val="none" w:sz="0" w:space="0" w:color="auto"/>
        <w:right w:val="none" w:sz="0" w:space="0" w:color="auto"/>
      </w:divBdr>
    </w:div>
    <w:div w:id="571542578">
      <w:bodyDiv w:val="1"/>
      <w:marLeft w:val="0"/>
      <w:marRight w:val="0"/>
      <w:marTop w:val="0"/>
      <w:marBottom w:val="0"/>
      <w:divBdr>
        <w:top w:val="none" w:sz="0" w:space="0" w:color="auto"/>
        <w:left w:val="none" w:sz="0" w:space="0" w:color="auto"/>
        <w:bottom w:val="none" w:sz="0" w:space="0" w:color="auto"/>
        <w:right w:val="none" w:sz="0" w:space="0" w:color="auto"/>
      </w:divBdr>
    </w:div>
    <w:div w:id="577594686">
      <w:bodyDiv w:val="1"/>
      <w:marLeft w:val="0"/>
      <w:marRight w:val="0"/>
      <w:marTop w:val="0"/>
      <w:marBottom w:val="0"/>
      <w:divBdr>
        <w:top w:val="none" w:sz="0" w:space="0" w:color="auto"/>
        <w:left w:val="none" w:sz="0" w:space="0" w:color="auto"/>
        <w:bottom w:val="none" w:sz="0" w:space="0" w:color="auto"/>
        <w:right w:val="none" w:sz="0" w:space="0" w:color="auto"/>
      </w:divBdr>
    </w:div>
    <w:div w:id="734085380">
      <w:bodyDiv w:val="1"/>
      <w:marLeft w:val="0"/>
      <w:marRight w:val="0"/>
      <w:marTop w:val="0"/>
      <w:marBottom w:val="0"/>
      <w:divBdr>
        <w:top w:val="none" w:sz="0" w:space="0" w:color="auto"/>
        <w:left w:val="none" w:sz="0" w:space="0" w:color="auto"/>
        <w:bottom w:val="none" w:sz="0" w:space="0" w:color="auto"/>
        <w:right w:val="none" w:sz="0" w:space="0" w:color="auto"/>
      </w:divBdr>
    </w:div>
    <w:div w:id="767234985">
      <w:bodyDiv w:val="1"/>
      <w:marLeft w:val="0"/>
      <w:marRight w:val="0"/>
      <w:marTop w:val="0"/>
      <w:marBottom w:val="0"/>
      <w:divBdr>
        <w:top w:val="none" w:sz="0" w:space="0" w:color="auto"/>
        <w:left w:val="none" w:sz="0" w:space="0" w:color="auto"/>
        <w:bottom w:val="none" w:sz="0" w:space="0" w:color="auto"/>
        <w:right w:val="none" w:sz="0" w:space="0" w:color="auto"/>
      </w:divBdr>
    </w:div>
    <w:div w:id="787046306">
      <w:bodyDiv w:val="1"/>
      <w:marLeft w:val="0"/>
      <w:marRight w:val="0"/>
      <w:marTop w:val="0"/>
      <w:marBottom w:val="0"/>
      <w:divBdr>
        <w:top w:val="none" w:sz="0" w:space="0" w:color="auto"/>
        <w:left w:val="none" w:sz="0" w:space="0" w:color="auto"/>
        <w:bottom w:val="none" w:sz="0" w:space="0" w:color="auto"/>
        <w:right w:val="none" w:sz="0" w:space="0" w:color="auto"/>
      </w:divBdr>
    </w:div>
    <w:div w:id="836724405">
      <w:bodyDiv w:val="1"/>
      <w:marLeft w:val="0"/>
      <w:marRight w:val="0"/>
      <w:marTop w:val="0"/>
      <w:marBottom w:val="0"/>
      <w:divBdr>
        <w:top w:val="none" w:sz="0" w:space="0" w:color="auto"/>
        <w:left w:val="none" w:sz="0" w:space="0" w:color="auto"/>
        <w:bottom w:val="none" w:sz="0" w:space="0" w:color="auto"/>
        <w:right w:val="none" w:sz="0" w:space="0" w:color="auto"/>
      </w:divBdr>
    </w:div>
    <w:div w:id="989289900">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37510323">
      <w:bodyDiv w:val="1"/>
      <w:marLeft w:val="0"/>
      <w:marRight w:val="0"/>
      <w:marTop w:val="0"/>
      <w:marBottom w:val="0"/>
      <w:divBdr>
        <w:top w:val="none" w:sz="0" w:space="0" w:color="auto"/>
        <w:left w:val="none" w:sz="0" w:space="0" w:color="auto"/>
        <w:bottom w:val="none" w:sz="0" w:space="0" w:color="auto"/>
        <w:right w:val="none" w:sz="0" w:space="0" w:color="auto"/>
      </w:divBdr>
      <w:divsChild>
        <w:div w:id="862941630">
          <w:marLeft w:val="0"/>
          <w:marRight w:val="0"/>
          <w:marTop w:val="0"/>
          <w:marBottom w:val="0"/>
          <w:divBdr>
            <w:top w:val="none" w:sz="0" w:space="0" w:color="auto"/>
            <w:left w:val="none" w:sz="0" w:space="0" w:color="auto"/>
            <w:bottom w:val="none" w:sz="0" w:space="0" w:color="auto"/>
            <w:right w:val="none" w:sz="0" w:space="0" w:color="auto"/>
          </w:divBdr>
        </w:div>
        <w:div w:id="1426344102">
          <w:marLeft w:val="0"/>
          <w:marRight w:val="0"/>
          <w:marTop w:val="0"/>
          <w:marBottom w:val="0"/>
          <w:divBdr>
            <w:top w:val="none" w:sz="0" w:space="0" w:color="auto"/>
            <w:left w:val="none" w:sz="0" w:space="0" w:color="auto"/>
            <w:bottom w:val="none" w:sz="0" w:space="0" w:color="auto"/>
            <w:right w:val="none" w:sz="0" w:space="0" w:color="auto"/>
          </w:divBdr>
        </w:div>
        <w:div w:id="1491168727">
          <w:marLeft w:val="0"/>
          <w:marRight w:val="0"/>
          <w:marTop w:val="0"/>
          <w:marBottom w:val="0"/>
          <w:divBdr>
            <w:top w:val="none" w:sz="0" w:space="0" w:color="auto"/>
            <w:left w:val="none" w:sz="0" w:space="0" w:color="auto"/>
            <w:bottom w:val="none" w:sz="0" w:space="0" w:color="auto"/>
            <w:right w:val="none" w:sz="0" w:space="0" w:color="auto"/>
          </w:divBdr>
        </w:div>
        <w:div w:id="1503622204">
          <w:marLeft w:val="0"/>
          <w:marRight w:val="0"/>
          <w:marTop w:val="0"/>
          <w:marBottom w:val="0"/>
          <w:divBdr>
            <w:top w:val="none" w:sz="0" w:space="0" w:color="auto"/>
            <w:left w:val="none" w:sz="0" w:space="0" w:color="auto"/>
            <w:bottom w:val="none" w:sz="0" w:space="0" w:color="auto"/>
            <w:right w:val="none" w:sz="0" w:space="0" w:color="auto"/>
          </w:divBdr>
        </w:div>
        <w:div w:id="1762481450">
          <w:marLeft w:val="0"/>
          <w:marRight w:val="0"/>
          <w:marTop w:val="0"/>
          <w:marBottom w:val="0"/>
          <w:divBdr>
            <w:top w:val="none" w:sz="0" w:space="0" w:color="auto"/>
            <w:left w:val="none" w:sz="0" w:space="0" w:color="auto"/>
            <w:bottom w:val="none" w:sz="0" w:space="0" w:color="auto"/>
            <w:right w:val="none" w:sz="0" w:space="0" w:color="auto"/>
          </w:divBdr>
        </w:div>
      </w:divsChild>
    </w:div>
    <w:div w:id="1042900107">
      <w:bodyDiv w:val="1"/>
      <w:marLeft w:val="0"/>
      <w:marRight w:val="0"/>
      <w:marTop w:val="0"/>
      <w:marBottom w:val="0"/>
      <w:divBdr>
        <w:top w:val="none" w:sz="0" w:space="0" w:color="auto"/>
        <w:left w:val="none" w:sz="0" w:space="0" w:color="auto"/>
        <w:bottom w:val="none" w:sz="0" w:space="0" w:color="auto"/>
        <w:right w:val="none" w:sz="0" w:space="0" w:color="auto"/>
      </w:divBdr>
    </w:div>
    <w:div w:id="1110008609">
      <w:bodyDiv w:val="1"/>
      <w:marLeft w:val="0"/>
      <w:marRight w:val="0"/>
      <w:marTop w:val="0"/>
      <w:marBottom w:val="0"/>
      <w:divBdr>
        <w:top w:val="none" w:sz="0" w:space="0" w:color="auto"/>
        <w:left w:val="none" w:sz="0" w:space="0" w:color="auto"/>
        <w:bottom w:val="none" w:sz="0" w:space="0" w:color="auto"/>
        <w:right w:val="none" w:sz="0" w:space="0" w:color="auto"/>
      </w:divBdr>
    </w:div>
    <w:div w:id="1130513918">
      <w:bodyDiv w:val="1"/>
      <w:marLeft w:val="0"/>
      <w:marRight w:val="0"/>
      <w:marTop w:val="0"/>
      <w:marBottom w:val="0"/>
      <w:divBdr>
        <w:top w:val="none" w:sz="0" w:space="0" w:color="auto"/>
        <w:left w:val="none" w:sz="0" w:space="0" w:color="auto"/>
        <w:bottom w:val="none" w:sz="0" w:space="0" w:color="auto"/>
        <w:right w:val="none" w:sz="0" w:space="0" w:color="auto"/>
      </w:divBdr>
    </w:div>
    <w:div w:id="1150750236">
      <w:bodyDiv w:val="1"/>
      <w:marLeft w:val="0"/>
      <w:marRight w:val="0"/>
      <w:marTop w:val="0"/>
      <w:marBottom w:val="0"/>
      <w:divBdr>
        <w:top w:val="none" w:sz="0" w:space="0" w:color="auto"/>
        <w:left w:val="none" w:sz="0" w:space="0" w:color="auto"/>
        <w:bottom w:val="none" w:sz="0" w:space="0" w:color="auto"/>
        <w:right w:val="none" w:sz="0" w:space="0" w:color="auto"/>
      </w:divBdr>
    </w:div>
    <w:div w:id="1154833425">
      <w:bodyDiv w:val="1"/>
      <w:marLeft w:val="0"/>
      <w:marRight w:val="0"/>
      <w:marTop w:val="0"/>
      <w:marBottom w:val="0"/>
      <w:divBdr>
        <w:top w:val="none" w:sz="0" w:space="0" w:color="auto"/>
        <w:left w:val="none" w:sz="0" w:space="0" w:color="auto"/>
        <w:bottom w:val="none" w:sz="0" w:space="0" w:color="auto"/>
        <w:right w:val="none" w:sz="0" w:space="0" w:color="auto"/>
      </w:divBdr>
    </w:div>
    <w:div w:id="1173686841">
      <w:bodyDiv w:val="1"/>
      <w:marLeft w:val="0"/>
      <w:marRight w:val="0"/>
      <w:marTop w:val="0"/>
      <w:marBottom w:val="0"/>
      <w:divBdr>
        <w:top w:val="none" w:sz="0" w:space="0" w:color="auto"/>
        <w:left w:val="none" w:sz="0" w:space="0" w:color="auto"/>
        <w:bottom w:val="none" w:sz="0" w:space="0" w:color="auto"/>
        <w:right w:val="none" w:sz="0" w:space="0" w:color="auto"/>
      </w:divBdr>
    </w:div>
    <w:div w:id="1280721267">
      <w:bodyDiv w:val="1"/>
      <w:marLeft w:val="0"/>
      <w:marRight w:val="0"/>
      <w:marTop w:val="0"/>
      <w:marBottom w:val="0"/>
      <w:divBdr>
        <w:top w:val="none" w:sz="0" w:space="0" w:color="auto"/>
        <w:left w:val="none" w:sz="0" w:space="0" w:color="auto"/>
        <w:bottom w:val="none" w:sz="0" w:space="0" w:color="auto"/>
        <w:right w:val="none" w:sz="0" w:space="0" w:color="auto"/>
      </w:divBdr>
      <w:divsChild>
        <w:div w:id="1273588634">
          <w:marLeft w:val="0"/>
          <w:marRight w:val="0"/>
          <w:marTop w:val="0"/>
          <w:marBottom w:val="0"/>
          <w:divBdr>
            <w:top w:val="none" w:sz="0" w:space="0" w:color="auto"/>
            <w:left w:val="none" w:sz="0" w:space="0" w:color="auto"/>
            <w:bottom w:val="none" w:sz="0" w:space="0" w:color="auto"/>
            <w:right w:val="none" w:sz="0" w:space="0" w:color="auto"/>
          </w:divBdr>
          <w:divsChild>
            <w:div w:id="21375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599">
      <w:bodyDiv w:val="1"/>
      <w:marLeft w:val="0"/>
      <w:marRight w:val="0"/>
      <w:marTop w:val="0"/>
      <w:marBottom w:val="0"/>
      <w:divBdr>
        <w:top w:val="none" w:sz="0" w:space="0" w:color="auto"/>
        <w:left w:val="none" w:sz="0" w:space="0" w:color="auto"/>
        <w:bottom w:val="none" w:sz="0" w:space="0" w:color="auto"/>
        <w:right w:val="none" w:sz="0" w:space="0" w:color="auto"/>
      </w:divBdr>
    </w:div>
    <w:div w:id="1407149630">
      <w:bodyDiv w:val="1"/>
      <w:marLeft w:val="0"/>
      <w:marRight w:val="0"/>
      <w:marTop w:val="0"/>
      <w:marBottom w:val="0"/>
      <w:divBdr>
        <w:top w:val="none" w:sz="0" w:space="0" w:color="auto"/>
        <w:left w:val="none" w:sz="0" w:space="0" w:color="auto"/>
        <w:bottom w:val="none" w:sz="0" w:space="0" w:color="auto"/>
        <w:right w:val="none" w:sz="0" w:space="0" w:color="auto"/>
      </w:divBdr>
      <w:divsChild>
        <w:div w:id="1083065705">
          <w:marLeft w:val="0"/>
          <w:marRight w:val="0"/>
          <w:marTop w:val="0"/>
          <w:marBottom w:val="0"/>
          <w:divBdr>
            <w:top w:val="none" w:sz="0" w:space="0" w:color="auto"/>
            <w:left w:val="none" w:sz="0" w:space="0" w:color="auto"/>
            <w:bottom w:val="none" w:sz="0" w:space="0" w:color="auto"/>
            <w:right w:val="none" w:sz="0" w:space="0" w:color="auto"/>
          </w:divBdr>
        </w:div>
        <w:div w:id="1483043990">
          <w:marLeft w:val="0"/>
          <w:marRight w:val="0"/>
          <w:marTop w:val="0"/>
          <w:marBottom w:val="0"/>
          <w:divBdr>
            <w:top w:val="none" w:sz="0" w:space="0" w:color="auto"/>
            <w:left w:val="none" w:sz="0" w:space="0" w:color="auto"/>
            <w:bottom w:val="none" w:sz="0" w:space="0" w:color="auto"/>
            <w:right w:val="none" w:sz="0" w:space="0" w:color="auto"/>
          </w:divBdr>
        </w:div>
      </w:divsChild>
    </w:div>
    <w:div w:id="1437361595">
      <w:bodyDiv w:val="1"/>
      <w:marLeft w:val="0"/>
      <w:marRight w:val="0"/>
      <w:marTop w:val="0"/>
      <w:marBottom w:val="0"/>
      <w:divBdr>
        <w:top w:val="none" w:sz="0" w:space="0" w:color="auto"/>
        <w:left w:val="none" w:sz="0" w:space="0" w:color="auto"/>
        <w:bottom w:val="none" w:sz="0" w:space="0" w:color="auto"/>
        <w:right w:val="none" w:sz="0" w:space="0" w:color="auto"/>
      </w:divBdr>
    </w:div>
    <w:div w:id="1499464549">
      <w:bodyDiv w:val="1"/>
      <w:marLeft w:val="0"/>
      <w:marRight w:val="0"/>
      <w:marTop w:val="0"/>
      <w:marBottom w:val="0"/>
      <w:divBdr>
        <w:top w:val="none" w:sz="0" w:space="0" w:color="auto"/>
        <w:left w:val="none" w:sz="0" w:space="0" w:color="auto"/>
        <w:bottom w:val="none" w:sz="0" w:space="0" w:color="auto"/>
        <w:right w:val="none" w:sz="0" w:space="0" w:color="auto"/>
      </w:divBdr>
    </w:div>
    <w:div w:id="1707756145">
      <w:bodyDiv w:val="1"/>
      <w:marLeft w:val="0"/>
      <w:marRight w:val="0"/>
      <w:marTop w:val="0"/>
      <w:marBottom w:val="0"/>
      <w:divBdr>
        <w:top w:val="none" w:sz="0" w:space="0" w:color="auto"/>
        <w:left w:val="none" w:sz="0" w:space="0" w:color="auto"/>
        <w:bottom w:val="none" w:sz="0" w:space="0" w:color="auto"/>
        <w:right w:val="none" w:sz="0" w:space="0" w:color="auto"/>
      </w:divBdr>
    </w:div>
    <w:div w:id="1717044299">
      <w:bodyDiv w:val="1"/>
      <w:marLeft w:val="0"/>
      <w:marRight w:val="0"/>
      <w:marTop w:val="0"/>
      <w:marBottom w:val="0"/>
      <w:divBdr>
        <w:top w:val="none" w:sz="0" w:space="0" w:color="auto"/>
        <w:left w:val="none" w:sz="0" w:space="0" w:color="auto"/>
        <w:bottom w:val="none" w:sz="0" w:space="0" w:color="auto"/>
        <w:right w:val="none" w:sz="0" w:space="0" w:color="auto"/>
      </w:divBdr>
    </w:div>
    <w:div w:id="1777484368">
      <w:bodyDiv w:val="1"/>
      <w:marLeft w:val="0"/>
      <w:marRight w:val="0"/>
      <w:marTop w:val="0"/>
      <w:marBottom w:val="0"/>
      <w:divBdr>
        <w:top w:val="none" w:sz="0" w:space="0" w:color="auto"/>
        <w:left w:val="none" w:sz="0" w:space="0" w:color="auto"/>
        <w:bottom w:val="none" w:sz="0" w:space="0" w:color="auto"/>
        <w:right w:val="none" w:sz="0" w:space="0" w:color="auto"/>
      </w:divBdr>
      <w:divsChild>
        <w:div w:id="844781166">
          <w:marLeft w:val="0"/>
          <w:marRight w:val="0"/>
          <w:marTop w:val="0"/>
          <w:marBottom w:val="0"/>
          <w:divBdr>
            <w:top w:val="none" w:sz="0" w:space="0" w:color="auto"/>
            <w:left w:val="none" w:sz="0" w:space="0" w:color="auto"/>
            <w:bottom w:val="none" w:sz="0" w:space="0" w:color="auto"/>
            <w:right w:val="none" w:sz="0" w:space="0" w:color="auto"/>
          </w:divBdr>
        </w:div>
        <w:div w:id="1321809496">
          <w:marLeft w:val="0"/>
          <w:marRight w:val="0"/>
          <w:marTop w:val="0"/>
          <w:marBottom w:val="0"/>
          <w:divBdr>
            <w:top w:val="none" w:sz="0" w:space="0" w:color="auto"/>
            <w:left w:val="none" w:sz="0" w:space="0" w:color="auto"/>
            <w:bottom w:val="none" w:sz="0" w:space="0" w:color="auto"/>
            <w:right w:val="none" w:sz="0" w:space="0" w:color="auto"/>
          </w:divBdr>
        </w:div>
        <w:div w:id="1763451993">
          <w:marLeft w:val="0"/>
          <w:marRight w:val="0"/>
          <w:marTop w:val="0"/>
          <w:marBottom w:val="0"/>
          <w:divBdr>
            <w:top w:val="none" w:sz="0" w:space="0" w:color="auto"/>
            <w:left w:val="none" w:sz="0" w:space="0" w:color="auto"/>
            <w:bottom w:val="none" w:sz="0" w:space="0" w:color="auto"/>
            <w:right w:val="none" w:sz="0" w:space="0" w:color="auto"/>
          </w:divBdr>
        </w:div>
      </w:divsChild>
    </w:div>
    <w:div w:id="1937866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footer" Target="footer194.xml"/><Relationship Id="rId258" Type="http://schemas.openxmlformats.org/officeDocument/2006/relationships/header" Target="header123.xml"/><Relationship Id="rId279" Type="http://schemas.openxmlformats.org/officeDocument/2006/relationships/header" Target="header134.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25" Type="http://schemas.openxmlformats.org/officeDocument/2006/relationships/footer" Target="footer156.xml"/><Relationship Id="rId346" Type="http://schemas.openxmlformats.org/officeDocument/2006/relationships/footer" Target="footer166.xml"/><Relationship Id="rId367" Type="http://schemas.openxmlformats.org/officeDocument/2006/relationships/footer" Target="footer177.xml"/><Relationship Id="rId388" Type="http://schemas.openxmlformats.org/officeDocument/2006/relationships/header" Target="header188.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413" Type="http://schemas.openxmlformats.org/officeDocument/2006/relationships/footer" Target="footer199.xml"/><Relationship Id="rId248" Type="http://schemas.openxmlformats.org/officeDocument/2006/relationships/header" Target="header118.xml"/><Relationship Id="rId269" Type="http://schemas.openxmlformats.org/officeDocument/2006/relationships/footer" Target="footer12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7.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footer" Target="footer188.xml"/><Relationship Id="rId404" Type="http://schemas.openxmlformats.org/officeDocument/2006/relationships/footer" Target="footer19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header" Target="header189.xml"/><Relationship Id="rId405" Type="http://schemas.openxmlformats.org/officeDocument/2006/relationships/header" Target="header19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header" Target="header197.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footer" Target="footer189.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0.xml"/><Relationship Id="rId407" Type="http://schemas.openxmlformats.org/officeDocument/2006/relationships/footer" Target="footer196.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theme" Target="theme/theme1.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header" Target="header191.xml"/><Relationship Id="rId408"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microsoft.com/office/2019/05/relationships/documenttasks" Target="documenttasks/documenttasks1.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0.xml"/><Relationship Id="rId409" Type="http://schemas.openxmlformats.org/officeDocument/2006/relationships/header" Target="head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footer" Target="footer19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header" Target="header194.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yperlink" Target="http://www.syllabus.gov.it" TargetMode="Externa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header" Target="head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3.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7.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2.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s>
</file>

<file path=word/documenttasks/documenttasks1.xml><?xml version="1.0" encoding="utf-8"?>
<t:Tasks xmlns:t="http://schemas.microsoft.com/office/tasks/2019/documenttasks" xmlns:oel="http://schemas.microsoft.com/office/2019/extlst">
  <t:Task id="{2ECA1206-1593-4FBD-AB96-B51C9398B019}">
    <t:Anchor>
      <t:Comment id="1075478021"/>
    </t:Anchor>
    <t:History>
      <t:Event id="{8FFD69E6-71B0-4F82-B289-96B1E4CA5F20}" time="2023-11-21T12:37:39.562Z">
        <t:Attribution userId="S::giuseppe.malgeri1@ec.europa.eu::9b1d0a44-c620-46e7-a051-2861850aa41f" userProvider="AD" userName="MALGERI Giuseppe (ECFIN)"/>
        <t:Anchor>
          <t:Comment id="1075478021"/>
        </t:Anchor>
        <t:Create/>
      </t:Event>
      <t:Event id="{655F7FEA-8593-463D-B9F7-A5DD893B8EFE}" time="2023-11-21T12:37:39.562Z">
        <t:Attribution userId="S::giuseppe.malgeri1@ec.europa.eu::9b1d0a44-c620-46e7-a051-2861850aa41f" userProvider="AD" userName="MALGERI Giuseppe (ECFIN)"/>
        <t:Anchor>
          <t:Comment id="1075478021"/>
        </t:Anchor>
        <t:Assign userId="S::Marco.MAPELLI@ec.europa.eu::9435c14f-c002-4e3e-a3fe-8ddeba22ee8c" userProvider="AD" userName="MAPELLI Marco (ECFIN)"/>
      </t:Event>
      <t:Event id="{9FA36C33-4FB1-4611-9986-51BE5498BB2A}" time="2023-11-21T12:37:39.562Z">
        <t:Attribution userId="S::giuseppe.malgeri1@ec.europa.eu::9b1d0a44-c620-46e7-a051-2861850aa41f" userProvider="AD" userName="MALGERI Giuseppe (ECFIN)"/>
        <t:Anchor>
          <t:Comment id="1075478021"/>
        </t:Anchor>
        <t:SetTitle title="@MAPELLI Marco (ECFIN) Just one clarification. Was this condition deleted in the last round of negotiations?  ''The satisfactorily fulfillment of the target also depends on the creation of a competence center to support acceleration programs and start …"/>
      </t:Event>
    </t:History>
  </t:Task>
  <t:Task id="{A35833FF-482C-432E-87EF-3F377425BE6A}">
    <t:Anchor>
      <t:Comment id="788014733"/>
    </t:Anchor>
    <t:History>
      <t:Event id="{8B931369-33B0-4227-88AC-F80734AC0299}" time="2023-11-22T09:21:17.85Z">
        <t:Attribution userId="S::giuseppe.malgeri1@ec.europa.eu::9b1d0a44-c620-46e7-a051-2861850aa41f" userProvider="AD" userName="MALGERI Giuseppe (ECFIN)"/>
        <t:Anchor>
          <t:Comment id="788014733"/>
        </t:Anchor>
        <t:Create/>
      </t:Event>
      <t:Event id="{2C2A4F6B-FDF3-46DA-A7B4-E956152FC34F}" time="2023-11-22T09:21:17.85Z">
        <t:Attribution userId="S::giuseppe.malgeri1@ec.europa.eu::9b1d0a44-c620-46e7-a051-2861850aa41f" userProvider="AD" userName="MALGERI Giuseppe (ECFIN)"/>
        <t:Anchor>
          <t:Comment id="788014733"/>
        </t:Anchor>
        <t:Assign userId="S::Andrea.COLOMBO@ec.europa.eu::3e3c8f93-9002-4526-aa0f-f25afd2c58b0" userProvider="AD" userName="COLOMBO Andrea (SG-RECOVER)"/>
      </t:Event>
      <t:Event id="{B940999D-AE62-489C-B6AE-1690C1AA84E3}" time="2023-11-22T09:21:17.85Z">
        <t:Attribution userId="S::giuseppe.malgeri1@ec.europa.eu::9b1d0a44-c620-46e7-a051-2861850aa41f" userProvider="AD" userName="MALGERI Giuseppe (ECFIN)"/>
        <t:Anchor>
          <t:Comment id="788014733"/>
        </t:Anchor>
        <t:SetTitle title="@COLOMBO Andrea (SG-RECOVER) perhaps we could refer the 100% to the resources allocated for the specific lines of interven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Stage xmlns="1700ab43-7395-48ff-866c-657c86ba7f4e" xsi:nil="true"/>
    <Scope xmlns="1700ab43-7395-48ff-866c-657c86ba7f4e" xsi:nil="true"/>
    <_ip_UnifiedCompliancePolicyUIAction xmlns="http://schemas.microsoft.com/sharepoint/v3" xsi:nil="true"/>
    <Answersent xmlns="1700ab43-7395-48ff-866c-657c86ba7f4e">false</Answersent>
    <_ip_UnifiedCompliancePolicyProperties xmlns="http://schemas.microsoft.com/sharepoint/v3" xsi:nil="true"/>
    <Level xmlns="1700ab43-7395-48ff-866c-657c86ba7f4e" xsi:nil="true"/>
    <Whoneedstoanswer xmlns="1700ab43-7395-48ff-866c-657c86ba7f4e" xsi:nil="true"/>
    <Deadlin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tatus xmlns="1700ab43-7395-48ff-866c-657c86ba7f4e" xsi:nil="true"/>
    <TaxCatchAll xmlns="e6c3bc29-9e11-4027-900b-c73633d7928a" xsi:nil="true"/>
    <ISCreferencenumber xmlns="1700ab43-7395-48ff-866c-657c86ba7f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8" ma:contentTypeDescription="Crée un document." ma:contentTypeScope="" ma:versionID="3316df849fd74940b30582680cf22ed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6ba2b77c8643b03490941671a532d273"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étés de la stratégie de conformité unifiée" ma:hidden="true" ma:internalName="_ip_UnifiedCompliancePolicyProperties" ma:readOnly="false">
      <xsd:simpleType>
        <xsd:restriction base="dms:Note"/>
      </xsd:simpleType>
    </xsd:element>
    <xsd:element name="_ip_UnifiedCompliancePolicyUIAction" ma:index="24" nillable="true" ma:displayName="Action d’interface utilisateur de la stratégie de conformité unifiée"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42E-AB47-4C1D-8F21-16F8AE3AC341}">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2.xml><?xml version="1.0" encoding="utf-8"?>
<ds:datastoreItem xmlns:ds="http://schemas.openxmlformats.org/officeDocument/2006/customXml" ds:itemID="{CA4F7552-381B-4877-9EAB-2D75398B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33CF5-D472-47D7-8E29-D38CEB9F5DCC}">
  <ds:schemaRefs>
    <ds:schemaRef ds:uri="http://schemas.microsoft.com/sharepoint/v3/contenttype/forms"/>
  </ds:schemaRefs>
</ds:datastoreItem>
</file>

<file path=customXml/itemProps4.xml><?xml version="1.0" encoding="utf-8"?>
<ds:datastoreItem xmlns:ds="http://schemas.openxmlformats.org/officeDocument/2006/customXml" ds:itemID="{6D59C1BB-A68F-47DC-B2EA-6A2821F0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13</Pages>
  <Words>141621</Words>
  <Characters>807242</Characters>
  <Application>Microsoft Office Word</Application>
  <DocSecurity>0</DocSecurity>
  <Lines>6727</Lines>
  <Paragraphs>1893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946970</CharactersWithSpaces>
  <SharedDoc>false</SharedDoc>
  <HLinks>
    <vt:vector size="1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Andrea.COLOMBO@ec.europa.eu</dc:creator>
  <cp:keywords/>
  <dc:description/>
  <cp:lastModifiedBy>EC CoDe</cp:lastModifiedBy>
  <cp:revision>315</cp:revision>
  <dcterms:created xsi:type="dcterms:W3CDTF">2023-11-25T14:43:00Z</dcterms:created>
  <dcterms:modified xsi:type="dcterms:W3CDTF">2023-12-01T14:53:00Z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2023-11-09T21:37:49Z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c9c18650-dba0-40ec-ab81-bede39719331</vt:lpwstr>
  </property>
  <property fmtid="{D5CDD505-2E9C-101B-9397-08002B2CF9AE}" pid="8" name="MSIP_Label_6bd9ddd1-4d20-43f6-abfa-fc3c07406f94_ContentBits">
    <vt:lpwstr>0</vt:lpwstr>
  </property>
  <property fmtid="{D5CDD505-2E9C-101B-9397-08002B2CF9AE}" pid="9" name="MSIP_Label_f4cdc456-5864-460f-beda-883d23b78bbb_Enabled">
    <vt:lpwstr>true</vt:lpwstr>
  </property>
  <property fmtid="{D5CDD505-2E9C-101B-9397-08002B2CF9AE}" pid="10" name="MSIP_Label_f4cdc456-5864-460f-beda-883d23b78bbb_SetDate">
    <vt:lpwstr>2023-11-09T21:37:49Z</vt:lpwstr>
  </property>
  <property fmtid="{D5CDD505-2E9C-101B-9397-08002B2CF9AE}" pid="11" name="MSIP_Label_f4cdc456-5864-460f-beda-883d23b78bbb_Method">
    <vt:lpwstr>Privileged</vt:lpwstr>
  </property>
  <property fmtid="{D5CDD505-2E9C-101B-9397-08002B2CF9AE}" pid="12" name="MSIP_Label_f4cdc456-5864-460f-beda-883d23b78bbb_Name">
    <vt:lpwstr>Publicly Available</vt:lpwstr>
  </property>
  <property fmtid="{D5CDD505-2E9C-101B-9397-08002B2CF9AE}" pid="13" name="MSIP_Label_f4cdc456-5864-460f-beda-883d23b78bbb_SiteId">
    <vt:lpwstr>b24c8b06-522c-46fe-9080-70926f8dddb1</vt:lpwstr>
  </property>
  <property fmtid="{D5CDD505-2E9C-101B-9397-08002B2CF9AE}" pid="14" name="MSIP_Label_f4cdc456-5864-460f-beda-883d23b78bbb_ActionId">
    <vt:lpwstr>660ba387-1b8b-4d7c-8d0d-f0e4217620f0</vt:lpwstr>
  </property>
  <property fmtid="{D5CDD505-2E9C-101B-9397-08002B2CF9AE}" pid="15" name="MSIP_Label_f4cdc456-5864-460f-beda-883d23b78bbb_ContentBits">
    <vt:lpwstr>0</vt:lpwstr>
  </property>
  <property fmtid="{D5CDD505-2E9C-101B-9397-08002B2CF9AE}" pid="16" name="Last edited using">
    <vt:lpwstr>LW 9.0, Build 20230317</vt:lpwstr>
  </property>
  <property fmtid="{D5CDD505-2E9C-101B-9397-08002B2CF9AE}" pid="17" name="MediaServiceImageTags">
    <vt:lpwstr/>
  </property>
  <property fmtid="{D5CDD505-2E9C-101B-9397-08002B2CF9AE}" pid="18" name="ContentTypeId">
    <vt:lpwstr>0x01010062094E9F29D6C04F85860C631ABC812A</vt:lpwstr>
  </property>
  <property fmtid="{D5CDD505-2E9C-101B-9397-08002B2CF9AE}" pid="19" name="Created using">
    <vt:lpwstr>LW 9.0, Build 20230317</vt:lpwstr>
  </property>
  <property fmtid="{D5CDD505-2E9C-101B-9397-08002B2CF9AE}" pid="20" name="Level of sensitivity">
    <vt:lpwstr>Standard treatment</vt:lpwstr>
  </property>
  <property fmtid="{D5CDD505-2E9C-101B-9397-08002B2CF9AE}" pid="21" name="First annex">
    <vt:lpwstr>1</vt:lpwstr>
  </property>
  <property fmtid="{D5CDD505-2E9C-101B-9397-08002B2CF9AE}" pid="22" name="Last annex">
    <vt:lpwstr>1</vt:lpwstr>
  </property>
  <property fmtid="{D5CDD505-2E9C-101B-9397-08002B2CF9AE}" pid="23" name="Unique annex">
    <vt:lpwstr>1</vt:lpwstr>
  </property>
  <property fmtid="{D5CDD505-2E9C-101B-9397-08002B2CF9AE}" pid="24" name="Part">
    <vt:lpwstr>1</vt:lpwstr>
  </property>
  <property fmtid="{D5CDD505-2E9C-101B-9397-08002B2CF9AE}" pid="25" name="Total parts">
    <vt:lpwstr>1</vt:lpwstr>
  </property>
  <property fmtid="{D5CDD505-2E9C-101B-9397-08002B2CF9AE}" pid="26" name="CPTemplateID">
    <vt:lpwstr>CP-036</vt:lpwstr>
  </property>
  <property fmtid="{D5CDD505-2E9C-101B-9397-08002B2CF9AE}" pid="27" name="DocStatus">
    <vt:lpwstr>Green</vt:lpwstr>
  </property>
</Properties>
</file>