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2E35D23" w14:textId="4E4DFB6F" w:rsidR="00AB6C71" w:rsidRPr="005357D3" w:rsidRDefault="006A5720" w:rsidP="006A5720">
      <w:pPr>
        <w:pStyle w:val="Pagedecouverture"/>
        <w:rPr>
          <w:noProof/>
        </w:rPr>
      </w:pPr>
      <w:r>
        <w:rPr>
          <w:noProof/>
        </w:rPr>
        <w:pict w14:anchorId="672B03E8">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45" type="#_x0000_t75" alt="2E3B7857-9C1E-4F91-BDCE-BB726C1B2CF1" style="width:455.25pt;height:355.5pt">
            <v:imagedata r:id="rId8" o:title=""/>
          </v:shape>
        </w:pict>
      </w:r>
    </w:p>
    <w:p w14:paraId="2778E8AD" w14:textId="77777777" w:rsidR="00AB6C71" w:rsidRPr="005357D3" w:rsidRDefault="00AB6C71" w:rsidP="00AB6C71">
      <w:pPr>
        <w:rPr>
          <w:noProof/>
        </w:rPr>
        <w:sectPr w:rsidR="00AB6C71" w:rsidRPr="005357D3" w:rsidSect="006A5720">
          <w:footerReference w:type="default" r:id="rId9"/>
          <w:pgSz w:w="11907" w:h="16839"/>
          <w:pgMar w:top="1134" w:right="1417" w:bottom="1134" w:left="1417" w:header="709" w:footer="709" w:gutter="0"/>
          <w:pgNumType w:start="0"/>
          <w:cols w:space="720"/>
          <w:docGrid w:linePitch="360"/>
        </w:sectPr>
      </w:pPr>
    </w:p>
    <w:p w14:paraId="6482E9F8" w14:textId="77777777" w:rsidR="00AB6C71" w:rsidRPr="005357D3" w:rsidRDefault="00AB6C71">
      <w:pPr>
        <w:pStyle w:val="Exposdesmotifstitre"/>
        <w:rPr>
          <w:noProof/>
        </w:rPr>
      </w:pPr>
      <w:bookmarkStart w:id="0" w:name="_GoBack"/>
      <w:bookmarkEnd w:id="0"/>
      <w:r w:rsidRPr="005357D3">
        <w:rPr>
          <w:noProof/>
        </w:rPr>
        <w:lastRenderedPageBreak/>
        <w:t>EXPOSÉ DES MOTIFS</w:t>
      </w:r>
    </w:p>
    <w:p w14:paraId="0D56C6FC" w14:textId="77777777" w:rsidR="00AB6C71" w:rsidRPr="005357D3" w:rsidRDefault="00AB6C71">
      <w:pPr>
        <w:pStyle w:val="ManualHeading1"/>
        <w:rPr>
          <w:noProof/>
        </w:rPr>
      </w:pPr>
      <w:r w:rsidRPr="005357D3">
        <w:rPr>
          <w:noProof/>
        </w:rPr>
        <w:t>1.</w:t>
      </w:r>
      <w:r w:rsidRPr="005357D3">
        <w:rPr>
          <w:noProof/>
        </w:rPr>
        <w:tab/>
        <w:t>CONTEXTE DE LA PROPOSITION</w:t>
      </w:r>
    </w:p>
    <w:p w14:paraId="551C56A3" w14:textId="77777777" w:rsidR="00AB6C71" w:rsidRPr="005357D3" w:rsidRDefault="00AB6C71">
      <w:pPr>
        <w:pStyle w:val="ManualHeading2"/>
        <w:rPr>
          <w:rFonts w:eastAsia="Arial Unicode MS"/>
          <w:noProof/>
        </w:rPr>
      </w:pPr>
      <w:r w:rsidRPr="005357D3">
        <w:rPr>
          <w:noProof/>
          <w:color w:val="000000"/>
          <w:u w:color="000000"/>
          <w:bdr w:val="nil"/>
        </w:rPr>
        <w:t>•</w:t>
      </w:r>
      <w:r w:rsidRPr="005357D3">
        <w:rPr>
          <w:noProof/>
          <w:color w:val="000000"/>
          <w:u w:color="000000"/>
          <w:bdr w:val="nil"/>
        </w:rPr>
        <w:tab/>
      </w:r>
      <w:r w:rsidRPr="005357D3">
        <w:rPr>
          <w:noProof/>
        </w:rPr>
        <w:t>Justification et objectifs de la proposition</w:t>
      </w:r>
    </w:p>
    <w:p w14:paraId="3B3481AF" w14:textId="77777777" w:rsidR="00AC6617" w:rsidRPr="005357D3" w:rsidRDefault="00467BD3" w:rsidP="00467BD3">
      <w:pPr>
        <w:widowControl w:val="0"/>
        <w:shd w:val="clear" w:color="auto" w:fill="FFFFFF"/>
        <w:autoSpaceDE w:val="0"/>
        <w:autoSpaceDN w:val="0"/>
        <w:adjustRightInd w:val="0"/>
        <w:spacing w:before="230" w:after="0" w:line="269" w:lineRule="exact"/>
        <w:ind w:right="86"/>
        <w:rPr>
          <w:noProof/>
        </w:rPr>
      </w:pPr>
      <w:r w:rsidRPr="005357D3">
        <w:rPr>
          <w:noProof/>
        </w:rPr>
        <w:t>Le Parlement européen et le Conseil ont adopté les règlements (UE) 2016/1139</w:t>
      </w:r>
      <w:r w:rsidR="008428E2" w:rsidRPr="005357D3">
        <w:rPr>
          <w:rStyle w:val="FootnoteReference"/>
          <w:noProof/>
        </w:rPr>
        <w:footnoteReference w:id="1"/>
      </w:r>
      <w:r w:rsidRPr="005357D3">
        <w:rPr>
          <w:noProof/>
        </w:rPr>
        <w:t>, (UE) 2018/973</w:t>
      </w:r>
      <w:r w:rsidR="008428E2" w:rsidRPr="005357D3">
        <w:rPr>
          <w:rStyle w:val="FootnoteReference"/>
          <w:noProof/>
        </w:rPr>
        <w:footnoteReference w:id="2"/>
      </w:r>
      <w:r w:rsidRPr="005357D3">
        <w:rPr>
          <w:noProof/>
        </w:rPr>
        <w:t xml:space="preserve"> et (UE) 2019/472</w:t>
      </w:r>
      <w:r w:rsidR="008428E2" w:rsidRPr="005357D3">
        <w:rPr>
          <w:rStyle w:val="FootnoteReference"/>
          <w:noProof/>
        </w:rPr>
        <w:footnoteReference w:id="3"/>
      </w:r>
      <w:r w:rsidRPr="005357D3">
        <w:rPr>
          <w:noProof/>
        </w:rPr>
        <w:t xml:space="preserve"> établissant des plans pluriannuels pour certains stocks pêchés en mer Baltique, en mer du Nord et dans les eaux occidentales, ainsi que pour les pêcheries exploitant ces stocks (ci-après les «plans pluriannuels»). Les plans pluriannuels sont l’un des principaux instruments permettant d’atteindre les objectifs de la politique commune de la pêche (PCP). </w:t>
      </w:r>
    </w:p>
    <w:p w14:paraId="685FE193" w14:textId="4EEFB182" w:rsidR="00A1570D" w:rsidRPr="005357D3" w:rsidRDefault="00AC6617" w:rsidP="00467BD3">
      <w:pPr>
        <w:widowControl w:val="0"/>
        <w:shd w:val="clear" w:color="auto" w:fill="FFFFFF"/>
        <w:autoSpaceDE w:val="0"/>
        <w:autoSpaceDN w:val="0"/>
        <w:adjustRightInd w:val="0"/>
        <w:spacing w:before="230" w:after="0" w:line="269" w:lineRule="exact"/>
        <w:ind w:right="86"/>
        <w:rPr>
          <w:noProof/>
        </w:rPr>
      </w:pPr>
      <w:r w:rsidRPr="005357D3">
        <w:rPr>
          <w:noProof/>
        </w:rPr>
        <w:t>Conformément aux principes, aux objectifs et au contenu énoncés aux articles 9 et 10 du règlement (UE) nº 1380/2013 (ci-après le «règlement relatif à la PCP»)</w:t>
      </w:r>
      <w:r w:rsidRPr="005357D3">
        <w:rPr>
          <w:rStyle w:val="FootnoteReference"/>
          <w:noProof/>
        </w:rPr>
        <w:footnoteReference w:id="4"/>
      </w:r>
      <w:r w:rsidRPr="005357D3">
        <w:rPr>
          <w:noProof/>
        </w:rPr>
        <w:t>, les plans pluriannuels définissent des objectifs et des mesures pour la gestion à long terme de certains stocks et pêcheries au niveau des bassins maritimes, y compris des mesures de sauvegarde et des actions correctives, le cas échéant. En outre, les plans pluriannuels prévoient une certaine souplesse en permettant la fixation des possibilités de pêche dans la «fourchette de F</w:t>
      </w:r>
      <w:r w:rsidRPr="005357D3">
        <w:rPr>
          <w:noProof/>
          <w:vertAlign w:val="subscript"/>
        </w:rPr>
        <w:t>RMD</w:t>
      </w:r>
      <w:r w:rsidRPr="005357D3">
        <w:rPr>
          <w:noProof/>
        </w:rPr>
        <w:t xml:space="preserve">», telle que définie à l’article 2, point 2), des plans pluriannuels pour la mer Baltique et les eaux occidentales, et à l’article 2, point 1), du plan pluriannuel pour la mer du Nord. </w:t>
      </w:r>
    </w:p>
    <w:p w14:paraId="415DBDC9" w14:textId="77777777" w:rsidR="00467BD3" w:rsidRPr="005357D3" w:rsidRDefault="00D7198B" w:rsidP="00467BD3">
      <w:pPr>
        <w:widowControl w:val="0"/>
        <w:shd w:val="clear" w:color="auto" w:fill="FFFFFF"/>
        <w:autoSpaceDE w:val="0"/>
        <w:autoSpaceDN w:val="0"/>
        <w:adjustRightInd w:val="0"/>
        <w:spacing w:before="230" w:after="0" w:line="269" w:lineRule="exact"/>
        <w:ind w:right="86"/>
        <w:rPr>
          <w:noProof/>
        </w:rPr>
      </w:pPr>
      <w:r w:rsidRPr="005357D3">
        <w:rPr>
          <w:noProof/>
        </w:rPr>
        <w:t>Les plans pluriannuels contiennent une disposition identique à l’article 4, paragraphe 6, des plans pluriannuels pour la mer Baltique et la mer du Nord et à l’article 4, paragraphe 7, du plan pluriannuel pour les eaux occidentales, qui dispose que «[l]es possibilités de pêche sont en tout état de cause fixées de manière à garantir que la probabilité que la biomasse du stock reproducteur tombe en dessous du B</w:t>
      </w:r>
      <w:r w:rsidRPr="005357D3">
        <w:rPr>
          <w:noProof/>
          <w:vertAlign w:val="subscript"/>
        </w:rPr>
        <w:t>lim</w:t>
      </w:r>
      <w:r w:rsidRPr="005357D3">
        <w:rPr>
          <w:noProof/>
        </w:rPr>
        <w:t xml:space="preserve"> soit inférieure à 5 %» (ci-après la «règle des 5 %»)</w:t>
      </w:r>
      <w:r w:rsidR="006F1567" w:rsidRPr="005357D3">
        <w:rPr>
          <w:rStyle w:val="FootnoteReference"/>
          <w:noProof/>
        </w:rPr>
        <w:footnoteReference w:id="5"/>
      </w:r>
      <w:r w:rsidRPr="005357D3">
        <w:rPr>
          <w:noProof/>
        </w:rPr>
        <w:t xml:space="preserve">. </w:t>
      </w:r>
    </w:p>
    <w:p w14:paraId="4446ABC0" w14:textId="77777777" w:rsidR="00281A08" w:rsidRPr="005357D3" w:rsidRDefault="00762D9D" w:rsidP="00467BD3">
      <w:pPr>
        <w:widowControl w:val="0"/>
        <w:shd w:val="clear" w:color="auto" w:fill="FFFFFF"/>
        <w:autoSpaceDE w:val="0"/>
        <w:autoSpaceDN w:val="0"/>
        <w:adjustRightInd w:val="0"/>
        <w:spacing w:before="230" w:after="0" w:line="269" w:lineRule="exact"/>
        <w:ind w:right="86"/>
        <w:rPr>
          <w:noProof/>
        </w:rPr>
      </w:pPr>
      <w:bookmarkStart w:id="1" w:name="_Hlk147994078"/>
      <w:r w:rsidRPr="005357D3">
        <w:rPr>
          <w:noProof/>
        </w:rPr>
        <w:t>Toutefois, dans certaines circonstances liées à l’état d’un stock halieutique donné et aux prévisions à court terme quant au développement de la biomasse dudit stock, l’application de la règle des 5 % est susceptible de créer une situation qui serait incompatible avec les autres règles des plans pluriannuels régissant la fixation des possibilités de pêche et qui pourrait avoir des conséquences socio-économiques graves.</w:t>
      </w:r>
    </w:p>
    <w:bookmarkEnd w:id="1"/>
    <w:p w14:paraId="6637B585" w14:textId="77777777" w:rsidR="00865489" w:rsidRPr="005357D3" w:rsidRDefault="00861497" w:rsidP="00401943">
      <w:pPr>
        <w:widowControl w:val="0"/>
        <w:shd w:val="clear" w:color="auto" w:fill="FFFFFF"/>
        <w:autoSpaceDE w:val="0"/>
        <w:autoSpaceDN w:val="0"/>
        <w:adjustRightInd w:val="0"/>
        <w:spacing w:before="230" w:after="0" w:line="269" w:lineRule="exact"/>
        <w:ind w:right="86"/>
        <w:rPr>
          <w:noProof/>
        </w:rPr>
      </w:pPr>
      <w:r w:rsidRPr="005357D3">
        <w:rPr>
          <w:noProof/>
        </w:rPr>
        <w:t>D’une part, la règle des 5 % peut signifier que les possibilités de pêche ne peuvent pas être fixées et que la pêche ciblée doit être suspendue. D’autre part, les dispositions de sauvegarde des plans pluriannuels exigent l’adoption de mesures correctives pour ramener le stock au-dessus du niveau B</w:t>
      </w:r>
      <w:r w:rsidRPr="005357D3">
        <w:rPr>
          <w:noProof/>
          <w:vertAlign w:val="subscript"/>
        </w:rPr>
        <w:t>trigger</w:t>
      </w:r>
      <w:r w:rsidRPr="005357D3">
        <w:rPr>
          <w:noProof/>
        </w:rPr>
        <w:t xml:space="preserve">, sur la base d’une évaluation au cas par cas quant au choix de la mesure appropriée, conformément aux critères énoncés dans les plans pluriannuels. En outre, les plans pluriannuels font référence à la possibilité, et non à l’obligation, de suspendre la pêche ciblée, à condition qu’une telle mesure soit jugée appropriée conformément aux critères énoncés dans les plans pluriannuels.  </w:t>
      </w:r>
    </w:p>
    <w:p w14:paraId="023BA82E" w14:textId="77777777" w:rsidR="00281BCA" w:rsidRPr="005357D3" w:rsidRDefault="00281BCA" w:rsidP="00467BD3">
      <w:pPr>
        <w:widowControl w:val="0"/>
        <w:shd w:val="clear" w:color="auto" w:fill="FFFFFF"/>
        <w:autoSpaceDE w:val="0"/>
        <w:autoSpaceDN w:val="0"/>
        <w:adjustRightInd w:val="0"/>
        <w:spacing w:before="230" w:after="0" w:line="269" w:lineRule="exact"/>
        <w:ind w:right="86"/>
        <w:rPr>
          <w:noProof/>
        </w:rPr>
      </w:pPr>
      <w:r w:rsidRPr="005357D3">
        <w:rPr>
          <w:noProof/>
        </w:rPr>
        <w:t xml:space="preserve">Pour ces raisons, il convient donc de supprimer la règle des 5 % dans les plans pluriannuels. </w:t>
      </w:r>
    </w:p>
    <w:p w14:paraId="45AF9FAA" w14:textId="77777777" w:rsidR="00AB6C71" w:rsidRPr="005357D3" w:rsidRDefault="00AB6C71">
      <w:pPr>
        <w:pStyle w:val="ManualHeading2"/>
        <w:rPr>
          <w:rFonts w:eastAsia="Arial Unicode MS"/>
          <w:noProof/>
          <w:color w:val="000000"/>
          <w:u w:color="000000"/>
          <w:bdr w:val="nil"/>
        </w:rPr>
      </w:pPr>
      <w:r w:rsidRPr="005357D3">
        <w:rPr>
          <w:noProof/>
          <w:color w:val="000000"/>
          <w:u w:color="000000"/>
          <w:bdr w:val="nil"/>
        </w:rPr>
        <w:t>•</w:t>
      </w:r>
      <w:r w:rsidRPr="005357D3">
        <w:rPr>
          <w:noProof/>
          <w:color w:val="000000"/>
          <w:u w:color="000000"/>
          <w:bdr w:val="nil"/>
        </w:rPr>
        <w:tab/>
      </w:r>
      <w:r w:rsidRPr="005357D3">
        <w:rPr>
          <w:noProof/>
        </w:rPr>
        <w:t>Cohérence avec les dispositions existantes dans le domaine d'action</w:t>
      </w:r>
    </w:p>
    <w:p w14:paraId="7D8D0403" w14:textId="77777777" w:rsidR="00AB6C71" w:rsidRPr="005357D3" w:rsidRDefault="00B35E8C">
      <w:pPr>
        <w:pBdr>
          <w:top w:val="nil"/>
          <w:left w:val="nil"/>
          <w:bottom w:val="nil"/>
          <w:right w:val="nil"/>
          <w:between w:val="nil"/>
          <w:bar w:val="nil"/>
        </w:pBdr>
        <w:spacing w:before="0" w:after="240"/>
        <w:rPr>
          <w:rFonts w:eastAsia="Arial Unicode MS"/>
          <w:noProof/>
        </w:rPr>
      </w:pPr>
      <w:r w:rsidRPr="005357D3">
        <w:rPr>
          <w:noProof/>
        </w:rPr>
        <w:t xml:space="preserve">La proposition est conforme au règlement relatif à la PCP et garantira la cohérence interne des règles des plans pluriannuels régissant la fixation des possibilités de pêche annuelles par le Conseil. </w:t>
      </w:r>
    </w:p>
    <w:p w14:paraId="25DFF455" w14:textId="77777777" w:rsidR="00AB6C71" w:rsidRPr="005357D3" w:rsidRDefault="00AB6C71">
      <w:pPr>
        <w:pStyle w:val="ManualHeading2"/>
        <w:rPr>
          <w:rFonts w:eastAsia="Arial Unicode MS"/>
          <w:noProof/>
        </w:rPr>
      </w:pPr>
      <w:r w:rsidRPr="005357D3">
        <w:rPr>
          <w:noProof/>
        </w:rPr>
        <w:t>•</w:t>
      </w:r>
      <w:r w:rsidRPr="005357D3">
        <w:rPr>
          <w:noProof/>
        </w:rPr>
        <w:tab/>
        <w:t>Cohérence avec les autres politiques de l'Union</w:t>
      </w:r>
    </w:p>
    <w:p w14:paraId="1BAD237E" w14:textId="77777777" w:rsidR="00AB6C71" w:rsidRPr="005357D3" w:rsidRDefault="00B35E8C">
      <w:pPr>
        <w:pBdr>
          <w:top w:val="nil"/>
          <w:left w:val="nil"/>
          <w:bottom w:val="nil"/>
          <w:right w:val="nil"/>
          <w:between w:val="nil"/>
          <w:bar w:val="nil"/>
        </w:pBdr>
        <w:spacing w:before="0" w:after="240"/>
        <w:rPr>
          <w:noProof/>
        </w:rPr>
      </w:pPr>
      <w:r w:rsidRPr="005357D3">
        <w:rPr>
          <w:noProof/>
        </w:rPr>
        <w:t>La proposition est conforme aux autres politiques de l’Union, notamment aux politiques dans le domaine de l’environnement.</w:t>
      </w:r>
    </w:p>
    <w:p w14:paraId="5C375E9B" w14:textId="77777777" w:rsidR="00AB6C71" w:rsidRPr="005357D3" w:rsidRDefault="00AB6C71">
      <w:pPr>
        <w:pStyle w:val="ManualHeading1"/>
        <w:rPr>
          <w:noProof/>
        </w:rPr>
      </w:pPr>
      <w:r w:rsidRPr="005357D3">
        <w:rPr>
          <w:noProof/>
        </w:rPr>
        <w:t>2.</w:t>
      </w:r>
      <w:r w:rsidRPr="005357D3">
        <w:rPr>
          <w:noProof/>
        </w:rPr>
        <w:tab/>
        <w:t>BASE JURIDIQUE, SUBSIDIARITÉ ET PROPORTIONNALITÉ</w:t>
      </w:r>
    </w:p>
    <w:p w14:paraId="5335453C" w14:textId="77777777" w:rsidR="00AB6C71" w:rsidRPr="005357D3" w:rsidRDefault="00AB6C71">
      <w:pPr>
        <w:pStyle w:val="ManualHeading2"/>
        <w:rPr>
          <w:rFonts w:eastAsia="Arial Unicode MS"/>
          <w:noProof/>
          <w:u w:color="000000"/>
          <w:bdr w:val="nil"/>
        </w:rPr>
      </w:pPr>
      <w:r w:rsidRPr="005357D3">
        <w:rPr>
          <w:noProof/>
          <w:u w:color="000000"/>
          <w:bdr w:val="nil"/>
        </w:rPr>
        <w:t>•</w:t>
      </w:r>
      <w:r w:rsidRPr="005357D3">
        <w:rPr>
          <w:noProof/>
          <w:u w:color="000000"/>
          <w:bdr w:val="nil"/>
        </w:rPr>
        <w:tab/>
        <w:t>Base juridique</w:t>
      </w:r>
    </w:p>
    <w:p w14:paraId="3DAE0256" w14:textId="77777777" w:rsidR="00AB6C71" w:rsidRPr="005357D3" w:rsidRDefault="00E10A09">
      <w:pPr>
        <w:pBdr>
          <w:top w:val="nil"/>
          <w:left w:val="nil"/>
          <w:bottom w:val="nil"/>
          <w:right w:val="nil"/>
          <w:between w:val="nil"/>
          <w:bar w:val="nil"/>
        </w:pBdr>
        <w:spacing w:before="0" w:after="240"/>
        <w:rPr>
          <w:noProof/>
        </w:rPr>
      </w:pPr>
      <w:r w:rsidRPr="005357D3">
        <w:rPr>
          <w:noProof/>
        </w:rPr>
        <w:t>La proposition modifie les plans pluriannuels et est donc fondée sur la même base juridique que ceux-ci, à savoir l’article 43, paragraphe 2, du traité sur le fonctionnement de l’Union européenne (TFUE).</w:t>
      </w:r>
    </w:p>
    <w:p w14:paraId="579C7A87" w14:textId="77777777" w:rsidR="00AB6C71" w:rsidRPr="005357D3" w:rsidRDefault="00AB6C71">
      <w:pPr>
        <w:pStyle w:val="ManualHeading2"/>
        <w:rPr>
          <w:rFonts w:eastAsia="Arial Unicode MS"/>
          <w:noProof/>
          <w:u w:color="000000"/>
          <w:bdr w:val="nil"/>
        </w:rPr>
      </w:pPr>
      <w:r w:rsidRPr="005357D3">
        <w:rPr>
          <w:noProof/>
          <w:u w:color="000000"/>
          <w:bdr w:val="nil"/>
        </w:rPr>
        <w:t>•</w:t>
      </w:r>
      <w:r w:rsidRPr="005357D3">
        <w:rPr>
          <w:noProof/>
          <w:u w:color="000000"/>
          <w:bdr w:val="nil"/>
        </w:rPr>
        <w:tab/>
        <w:t xml:space="preserve">Subsidiarité (en cas de compétence non exclusive) </w:t>
      </w:r>
    </w:p>
    <w:p w14:paraId="29156C5A" w14:textId="77777777" w:rsidR="00AB6C71" w:rsidRPr="005357D3" w:rsidRDefault="00B35E8C">
      <w:pPr>
        <w:pBdr>
          <w:top w:val="nil"/>
          <w:left w:val="nil"/>
          <w:bottom w:val="nil"/>
          <w:right w:val="nil"/>
          <w:between w:val="nil"/>
          <w:bar w:val="nil"/>
        </w:pBdr>
        <w:spacing w:before="0" w:after="240"/>
        <w:rPr>
          <w:noProof/>
        </w:rPr>
      </w:pPr>
      <w:r w:rsidRPr="005357D3">
        <w:rPr>
          <w:noProof/>
        </w:rPr>
        <w:t>La proposition relève de la compétence exclusive de l’Union énoncée à l’article 3, paragraphe 1, point d), du TFUE. Par conséquent, le principe de subsidiarité ne s’applique pas.</w:t>
      </w:r>
    </w:p>
    <w:p w14:paraId="35EA9455" w14:textId="77777777" w:rsidR="00AB6C71" w:rsidRPr="005357D3" w:rsidRDefault="00AB6C71">
      <w:pPr>
        <w:pStyle w:val="ManualHeading2"/>
        <w:rPr>
          <w:rFonts w:eastAsia="Arial Unicode MS"/>
          <w:noProof/>
          <w:u w:color="000000"/>
          <w:bdr w:val="nil"/>
        </w:rPr>
      </w:pPr>
      <w:r w:rsidRPr="005357D3">
        <w:rPr>
          <w:noProof/>
          <w:u w:color="000000"/>
          <w:bdr w:val="nil"/>
        </w:rPr>
        <w:t>•</w:t>
      </w:r>
      <w:r w:rsidRPr="005357D3">
        <w:rPr>
          <w:noProof/>
          <w:u w:color="000000"/>
          <w:bdr w:val="nil"/>
        </w:rPr>
        <w:tab/>
        <w:t>Proportionnalité</w:t>
      </w:r>
    </w:p>
    <w:p w14:paraId="03496057" w14:textId="77777777" w:rsidR="00AB6C71" w:rsidRPr="005357D3" w:rsidRDefault="00B35E8C">
      <w:pPr>
        <w:pBdr>
          <w:top w:val="nil"/>
          <w:left w:val="nil"/>
          <w:bottom w:val="nil"/>
          <w:right w:val="nil"/>
          <w:between w:val="nil"/>
          <w:bar w:val="nil"/>
        </w:pBdr>
        <w:spacing w:before="0" w:after="240"/>
        <w:rPr>
          <w:noProof/>
        </w:rPr>
      </w:pPr>
      <w:r w:rsidRPr="005357D3">
        <w:rPr>
          <w:noProof/>
        </w:rPr>
        <w:t xml:space="preserve">L’objectif de la présente proposition est de garantir la cohérence interne des règles des plans pluriannuels régissant la fixation des possibilités de pêche annuelles par le Conseil. La modification proposée est nécessaire à cette fin et constitue la mesure la plus appropriée pour atteindre cet objectif. </w:t>
      </w:r>
    </w:p>
    <w:p w14:paraId="3101ACD1" w14:textId="77777777" w:rsidR="00AB6C71" w:rsidRPr="005357D3" w:rsidRDefault="00AB6C71">
      <w:pPr>
        <w:pStyle w:val="ManualHeading2"/>
        <w:rPr>
          <w:rFonts w:eastAsia="Arial Unicode MS"/>
          <w:noProof/>
          <w:u w:color="000000"/>
          <w:bdr w:val="nil"/>
        </w:rPr>
      </w:pPr>
      <w:r w:rsidRPr="005357D3">
        <w:rPr>
          <w:noProof/>
          <w:u w:color="000000"/>
          <w:bdr w:val="nil"/>
        </w:rPr>
        <w:t>•</w:t>
      </w:r>
      <w:r w:rsidRPr="005357D3">
        <w:rPr>
          <w:noProof/>
          <w:u w:color="000000"/>
          <w:bdr w:val="nil"/>
        </w:rPr>
        <w:tab/>
        <w:t>Choix de l'instrument</w:t>
      </w:r>
    </w:p>
    <w:p w14:paraId="284FA525" w14:textId="77777777" w:rsidR="00703651" w:rsidRPr="005357D3" w:rsidRDefault="00E10A09" w:rsidP="00703651">
      <w:pPr>
        <w:pBdr>
          <w:top w:val="nil"/>
          <w:left w:val="nil"/>
          <w:bottom w:val="nil"/>
          <w:right w:val="nil"/>
          <w:between w:val="nil"/>
          <w:bar w:val="nil"/>
        </w:pBdr>
        <w:spacing w:before="0" w:after="240"/>
        <w:rPr>
          <w:noProof/>
        </w:rPr>
      </w:pPr>
      <w:r w:rsidRPr="005357D3">
        <w:rPr>
          <w:noProof/>
        </w:rPr>
        <w:t>Étant donné que la proposition modifie des règlements existants, l’instrument juridique le plus approprié est un règlement.</w:t>
      </w:r>
    </w:p>
    <w:p w14:paraId="127F5768" w14:textId="77777777" w:rsidR="00AB6C71" w:rsidRPr="005357D3" w:rsidRDefault="00AB6C71">
      <w:pPr>
        <w:pStyle w:val="ManualHeading1"/>
        <w:rPr>
          <w:noProof/>
        </w:rPr>
      </w:pPr>
      <w:r w:rsidRPr="005357D3">
        <w:rPr>
          <w:noProof/>
        </w:rPr>
        <w:t>3.</w:t>
      </w:r>
      <w:r w:rsidRPr="005357D3">
        <w:rPr>
          <w:noProof/>
        </w:rPr>
        <w:tab/>
        <w:t>RÉSULTATS DES ÉVALUATIONS EX POST, DES CONSULTATIONS DES PARTIES INTÉRESSÉES ET DES ANALYSES D'IMPACT</w:t>
      </w:r>
    </w:p>
    <w:p w14:paraId="3A48F7E4" w14:textId="77777777" w:rsidR="00AB6C71" w:rsidRPr="005357D3" w:rsidRDefault="00AB6C71">
      <w:pPr>
        <w:pStyle w:val="ManualHeading2"/>
        <w:rPr>
          <w:rFonts w:eastAsia="Arial Unicode MS"/>
          <w:noProof/>
          <w:u w:color="000000"/>
          <w:bdr w:val="nil"/>
        </w:rPr>
      </w:pPr>
      <w:r w:rsidRPr="005357D3">
        <w:rPr>
          <w:noProof/>
          <w:color w:val="000000"/>
          <w:u w:color="000000"/>
          <w:bdr w:val="nil"/>
        </w:rPr>
        <w:t>•</w:t>
      </w:r>
      <w:r w:rsidRPr="005357D3">
        <w:rPr>
          <w:noProof/>
          <w:color w:val="000000"/>
          <w:u w:color="000000"/>
          <w:bdr w:val="nil"/>
        </w:rPr>
        <w:tab/>
      </w:r>
      <w:r w:rsidRPr="005357D3">
        <w:rPr>
          <w:noProof/>
          <w:u w:color="000000"/>
          <w:bdr w:val="nil"/>
        </w:rPr>
        <w:t>Évaluations ex post/bilans de qualité de la législation existante</w:t>
      </w:r>
    </w:p>
    <w:p w14:paraId="1C5AA7C4" w14:textId="77777777" w:rsidR="00703651" w:rsidRPr="005357D3" w:rsidRDefault="00060892" w:rsidP="00703651">
      <w:pPr>
        <w:pBdr>
          <w:top w:val="nil"/>
          <w:left w:val="nil"/>
          <w:bottom w:val="nil"/>
          <w:right w:val="nil"/>
          <w:between w:val="nil"/>
          <w:bar w:val="nil"/>
        </w:pBdr>
        <w:spacing w:before="0" w:after="240"/>
        <w:rPr>
          <w:noProof/>
        </w:rPr>
      </w:pPr>
      <w:r w:rsidRPr="005357D3">
        <w:rPr>
          <w:noProof/>
        </w:rPr>
        <w:t xml:space="preserve">Sans objet. </w:t>
      </w:r>
    </w:p>
    <w:p w14:paraId="5CE2DE0C" w14:textId="77777777" w:rsidR="00AB6C71" w:rsidRPr="005357D3" w:rsidRDefault="00AB6C71">
      <w:pPr>
        <w:pStyle w:val="ManualHeading2"/>
        <w:rPr>
          <w:rFonts w:eastAsia="Arial Unicode MS"/>
          <w:noProof/>
          <w:u w:color="000000"/>
          <w:bdr w:val="nil"/>
        </w:rPr>
      </w:pPr>
      <w:r w:rsidRPr="005357D3">
        <w:rPr>
          <w:noProof/>
          <w:u w:color="000000"/>
          <w:bdr w:val="nil"/>
        </w:rPr>
        <w:t>•</w:t>
      </w:r>
      <w:r w:rsidRPr="005357D3">
        <w:rPr>
          <w:noProof/>
          <w:u w:color="000000"/>
          <w:bdr w:val="nil"/>
        </w:rPr>
        <w:tab/>
        <w:t>Consultation des parties intéressées</w:t>
      </w:r>
    </w:p>
    <w:p w14:paraId="066D5605" w14:textId="77777777" w:rsidR="00FC7416" w:rsidRPr="005357D3" w:rsidRDefault="00F577E8" w:rsidP="00FC7416">
      <w:pPr>
        <w:pBdr>
          <w:top w:val="nil"/>
          <w:left w:val="nil"/>
          <w:bottom w:val="nil"/>
          <w:right w:val="nil"/>
          <w:between w:val="nil"/>
          <w:bar w:val="nil"/>
        </w:pBdr>
        <w:spacing w:before="0" w:after="240"/>
        <w:rPr>
          <w:noProof/>
        </w:rPr>
      </w:pPr>
      <w:r w:rsidRPr="005357D3">
        <w:rPr>
          <w:noProof/>
        </w:rPr>
        <w:t xml:space="preserve">En 2023, la Commission a discuté de la règle des 5 % avec les parties prenantes, notamment le conseil consultatif pour la mer Baltique et le groupe régional PCP des États membres de l’UE de la mer Baltique («BaltFish»). La majorité des parties prenantes ont fait part de leurs vives inquiétudes quant à la cohérence de la règle des 5 % avec les autres règles des plans pluriannuels régissant la fixation des possibilités de pêche et à ses conséquences socio-économiques potentiellement graves.  </w:t>
      </w:r>
    </w:p>
    <w:p w14:paraId="2B89A142" w14:textId="77777777" w:rsidR="00AB6C71" w:rsidRPr="005357D3" w:rsidRDefault="00AB6C71">
      <w:pPr>
        <w:pStyle w:val="ManualHeading2"/>
        <w:rPr>
          <w:rFonts w:eastAsia="Arial Unicode MS"/>
          <w:noProof/>
          <w:u w:color="000000"/>
          <w:bdr w:val="nil"/>
        </w:rPr>
      </w:pPr>
      <w:r w:rsidRPr="005357D3">
        <w:rPr>
          <w:noProof/>
          <w:u w:color="000000"/>
          <w:bdr w:val="nil"/>
        </w:rPr>
        <w:t>•</w:t>
      </w:r>
      <w:r w:rsidRPr="005357D3">
        <w:rPr>
          <w:noProof/>
          <w:u w:color="000000"/>
          <w:bdr w:val="nil"/>
        </w:rPr>
        <w:tab/>
        <w:t>Obtention et utilisation d'expertise</w:t>
      </w:r>
    </w:p>
    <w:p w14:paraId="59FC3798" w14:textId="77777777" w:rsidR="00AB6C71" w:rsidRPr="005357D3" w:rsidRDefault="00861497">
      <w:pPr>
        <w:pBdr>
          <w:top w:val="nil"/>
          <w:left w:val="nil"/>
          <w:bottom w:val="nil"/>
          <w:right w:val="nil"/>
          <w:between w:val="nil"/>
          <w:bar w:val="nil"/>
        </w:pBdr>
        <w:spacing w:before="0" w:after="240"/>
        <w:rPr>
          <w:noProof/>
        </w:rPr>
      </w:pPr>
      <w:r w:rsidRPr="005357D3">
        <w:rPr>
          <w:noProof/>
        </w:rPr>
        <w:t>Chaque année, l’Union demande au Conseil international pour l’exploration de la mer (CIEM) un avis scientifique sur l’état des stocks de poissons importants</w:t>
      </w:r>
      <w:r w:rsidR="00260B87" w:rsidRPr="005357D3">
        <w:rPr>
          <w:rStyle w:val="FootnoteReference"/>
          <w:noProof/>
        </w:rPr>
        <w:footnoteReference w:id="6"/>
      </w:r>
      <w:r w:rsidRPr="005357D3">
        <w:rPr>
          <w:noProof/>
        </w:rPr>
        <w:t>. Les avis scientifiques du CIEM reposent sur un cadre d’avis interne élaboré par ses groupes d’experts et ses organes de décision, qui intègre une approche de précaution fondée sur un risque ne dépassant pas 5 % à long terme qu’un stock tombe en dessous du niveau B</w:t>
      </w:r>
      <w:r w:rsidRPr="005357D3">
        <w:rPr>
          <w:noProof/>
          <w:vertAlign w:val="subscript"/>
        </w:rPr>
        <w:t>lim</w:t>
      </w:r>
      <w:r w:rsidR="004A03DB" w:rsidRPr="005357D3">
        <w:rPr>
          <w:rStyle w:val="FootnoteReference"/>
          <w:noProof/>
        </w:rPr>
        <w:footnoteReference w:id="7"/>
      </w:r>
      <w:r w:rsidRPr="005357D3">
        <w:rPr>
          <w:noProof/>
        </w:rPr>
        <w:t xml:space="preserve">. En outre, l’avis scientifique du CIEM est publié conformément à l’accord-cadre de partenariat conclu avec la Commission.  </w:t>
      </w:r>
    </w:p>
    <w:p w14:paraId="3BED9B29" w14:textId="77777777" w:rsidR="00AB6C71" w:rsidRPr="005357D3" w:rsidRDefault="00AB6C71">
      <w:pPr>
        <w:pStyle w:val="ManualHeading2"/>
        <w:rPr>
          <w:rFonts w:eastAsia="Arial Unicode MS"/>
          <w:noProof/>
          <w:u w:color="000000"/>
          <w:bdr w:val="nil"/>
        </w:rPr>
      </w:pPr>
      <w:r w:rsidRPr="005357D3">
        <w:rPr>
          <w:noProof/>
          <w:u w:color="000000"/>
          <w:bdr w:val="nil"/>
        </w:rPr>
        <w:t>•</w:t>
      </w:r>
      <w:r w:rsidRPr="005357D3">
        <w:rPr>
          <w:noProof/>
          <w:u w:color="000000"/>
          <w:bdr w:val="nil"/>
        </w:rPr>
        <w:tab/>
        <w:t>Analyse d’impact</w:t>
      </w:r>
    </w:p>
    <w:p w14:paraId="25663EAD" w14:textId="77777777" w:rsidR="00AB6C71" w:rsidRPr="005357D3" w:rsidRDefault="00EF0DD5" w:rsidP="00401943">
      <w:pPr>
        <w:rPr>
          <w:noProof/>
          <w:sz w:val="22"/>
        </w:rPr>
      </w:pPr>
      <w:r w:rsidRPr="005357D3">
        <w:rPr>
          <w:noProof/>
        </w:rPr>
        <w:t xml:space="preserve">L’objectif de la présente proposition est de garantir la cohérence interne des règles des plans pluriannuels régissant la fixation des possibilités de pêche annuelles par le Conseil. La modification proposée des plans pluriannuels est nécessaire à cette fin et constitue la mesure la plus appropriée pour atteindre cet objectif. Il s’agit d’une modification ciblée et limitée d’une disposition spécifique des plans pluriannuels, qui vise à remédier à une incohérence interne de ces règlements. Étant donné qu’il n’y a pas d’options stratégiques, aucune analyse d’impact ou consultation publique n’est nécessaire. </w:t>
      </w:r>
    </w:p>
    <w:p w14:paraId="5E7F30F6" w14:textId="77777777" w:rsidR="00AB6C71" w:rsidRPr="005357D3" w:rsidRDefault="00AB6C71">
      <w:pPr>
        <w:pStyle w:val="ManualHeading2"/>
        <w:rPr>
          <w:rFonts w:eastAsia="Arial Unicode MS"/>
          <w:noProof/>
          <w:u w:color="000000"/>
          <w:bdr w:val="nil"/>
        </w:rPr>
      </w:pPr>
      <w:r w:rsidRPr="005357D3">
        <w:rPr>
          <w:noProof/>
          <w:u w:color="000000"/>
          <w:bdr w:val="nil"/>
        </w:rPr>
        <w:t>•</w:t>
      </w:r>
      <w:r w:rsidRPr="005357D3">
        <w:rPr>
          <w:noProof/>
          <w:u w:color="000000"/>
          <w:bdr w:val="nil"/>
        </w:rPr>
        <w:tab/>
        <w:t>Réglementation affûtée et simplification</w:t>
      </w:r>
    </w:p>
    <w:p w14:paraId="50863D76" w14:textId="77777777" w:rsidR="00AB6C71" w:rsidRPr="005357D3" w:rsidRDefault="00260B87" w:rsidP="00260B87">
      <w:pPr>
        <w:pBdr>
          <w:top w:val="nil"/>
          <w:left w:val="nil"/>
          <w:bottom w:val="nil"/>
          <w:right w:val="nil"/>
          <w:between w:val="nil"/>
          <w:bar w:val="nil"/>
        </w:pBdr>
        <w:spacing w:before="0" w:after="240"/>
        <w:rPr>
          <w:noProof/>
        </w:rPr>
      </w:pPr>
      <w:r w:rsidRPr="005357D3">
        <w:rPr>
          <w:noProof/>
        </w:rPr>
        <w:t xml:space="preserve">La proposition ne comporte aucune proposition de nouvelle règle ou de nouvelle procédure administrative à l’intention des autorités publiques (de l’Union ou nationales) susceptible d’alourdir la charge administrative. Elle n’a pas non plus de lien avec les charges réglementaires, les microentreprises, les PME ou les questions numériques. </w:t>
      </w:r>
    </w:p>
    <w:p w14:paraId="48F0A784" w14:textId="77777777" w:rsidR="00E92FCD" w:rsidRPr="005357D3" w:rsidRDefault="00E92FCD" w:rsidP="00E829EF">
      <w:pPr>
        <w:pStyle w:val="ManualHeading2"/>
        <w:rPr>
          <w:rFonts w:eastAsia="Arial Unicode MS"/>
          <w:b w:val="0"/>
          <w:bCs/>
          <w:noProof/>
          <w:u w:color="000000"/>
          <w:bdr w:val="nil"/>
        </w:rPr>
      </w:pPr>
      <w:r w:rsidRPr="005357D3">
        <w:rPr>
          <w:noProof/>
          <w:u w:color="000000"/>
          <w:bdr w:val="nil"/>
        </w:rPr>
        <w:t>•</w:t>
      </w:r>
      <w:r w:rsidRPr="005357D3">
        <w:rPr>
          <w:noProof/>
          <w:u w:color="000000"/>
          <w:bdr w:val="nil"/>
        </w:rPr>
        <w:tab/>
        <w:t>Droits fondamentaux</w:t>
      </w:r>
    </w:p>
    <w:p w14:paraId="53575003" w14:textId="77777777" w:rsidR="00E92FCD" w:rsidRPr="005357D3" w:rsidRDefault="00E92FCD" w:rsidP="00260B87">
      <w:pPr>
        <w:pBdr>
          <w:top w:val="nil"/>
          <w:left w:val="nil"/>
          <w:bottom w:val="nil"/>
          <w:right w:val="nil"/>
          <w:between w:val="nil"/>
          <w:bar w:val="nil"/>
        </w:pBdr>
        <w:spacing w:before="0" w:after="240"/>
        <w:rPr>
          <w:noProof/>
        </w:rPr>
      </w:pPr>
      <w:r w:rsidRPr="005357D3">
        <w:rPr>
          <w:noProof/>
        </w:rPr>
        <w:t>La proposition n’a pas de conséquences prévisibles pour la protection des droits fondamentaux.</w:t>
      </w:r>
    </w:p>
    <w:p w14:paraId="57A573DB" w14:textId="77777777" w:rsidR="00AB6C71" w:rsidRPr="005357D3" w:rsidRDefault="00AB6C71">
      <w:pPr>
        <w:pStyle w:val="ManualHeading1"/>
        <w:rPr>
          <w:noProof/>
        </w:rPr>
      </w:pPr>
      <w:r w:rsidRPr="005357D3">
        <w:rPr>
          <w:noProof/>
        </w:rPr>
        <w:t>4.</w:t>
      </w:r>
      <w:r w:rsidRPr="005357D3">
        <w:rPr>
          <w:noProof/>
        </w:rPr>
        <w:tab/>
        <w:t>INCIDENCE BUDGÉTAIRE</w:t>
      </w:r>
    </w:p>
    <w:p w14:paraId="015A8090" w14:textId="77777777" w:rsidR="00AB6C71" w:rsidRPr="005357D3" w:rsidRDefault="00260B87">
      <w:pPr>
        <w:pBdr>
          <w:top w:val="nil"/>
          <w:left w:val="nil"/>
          <w:bottom w:val="nil"/>
          <w:right w:val="nil"/>
          <w:between w:val="nil"/>
          <w:bar w:val="nil"/>
        </w:pBdr>
        <w:spacing w:before="0" w:after="240"/>
        <w:rPr>
          <w:rFonts w:eastAsia="Arial Unicode MS"/>
          <w:noProof/>
        </w:rPr>
      </w:pPr>
      <w:r w:rsidRPr="005357D3">
        <w:rPr>
          <w:noProof/>
        </w:rPr>
        <w:t>La proposition n’a aucune incidence sur le budget de l’Union.</w:t>
      </w:r>
    </w:p>
    <w:p w14:paraId="0802CC4A" w14:textId="77777777" w:rsidR="00AB6C71" w:rsidRPr="005357D3" w:rsidRDefault="00AB6C71">
      <w:pPr>
        <w:pStyle w:val="ManualHeading1"/>
        <w:rPr>
          <w:noProof/>
        </w:rPr>
      </w:pPr>
      <w:r w:rsidRPr="005357D3">
        <w:rPr>
          <w:noProof/>
        </w:rPr>
        <w:t>5.</w:t>
      </w:r>
      <w:r w:rsidRPr="005357D3">
        <w:rPr>
          <w:noProof/>
        </w:rPr>
        <w:tab/>
        <w:t>AUTRES ÉLÉMENTS</w:t>
      </w:r>
    </w:p>
    <w:p w14:paraId="6E63DA4B" w14:textId="77777777" w:rsidR="00AB6C71" w:rsidRPr="005357D3" w:rsidRDefault="00AB6C71">
      <w:pPr>
        <w:pStyle w:val="ManualHeading2"/>
        <w:rPr>
          <w:rFonts w:eastAsia="Arial Unicode MS"/>
          <w:noProof/>
          <w:u w:color="000000"/>
          <w:bdr w:val="nil"/>
        </w:rPr>
      </w:pPr>
      <w:r w:rsidRPr="005357D3">
        <w:rPr>
          <w:noProof/>
          <w:color w:val="000000"/>
          <w:u w:color="000000"/>
          <w:bdr w:val="nil"/>
        </w:rPr>
        <w:t>•</w:t>
      </w:r>
      <w:r w:rsidRPr="005357D3">
        <w:rPr>
          <w:noProof/>
          <w:color w:val="000000"/>
          <w:u w:color="000000"/>
          <w:bdr w:val="nil"/>
        </w:rPr>
        <w:tab/>
      </w:r>
      <w:r w:rsidRPr="005357D3">
        <w:rPr>
          <w:noProof/>
          <w:u w:color="000000"/>
          <w:bdr w:val="nil"/>
        </w:rPr>
        <w:t>Plans de mise en œuvre et modalités de suivi, d'évaluation et d'information</w:t>
      </w:r>
    </w:p>
    <w:p w14:paraId="07BA696C" w14:textId="77777777" w:rsidR="00DA2C77" w:rsidRPr="005357D3" w:rsidRDefault="00DA2C77">
      <w:pPr>
        <w:pBdr>
          <w:top w:val="nil"/>
          <w:left w:val="nil"/>
          <w:bottom w:val="nil"/>
          <w:right w:val="nil"/>
          <w:between w:val="nil"/>
          <w:bar w:val="nil"/>
        </w:pBdr>
        <w:spacing w:before="0" w:after="240"/>
        <w:rPr>
          <w:noProof/>
        </w:rPr>
      </w:pPr>
      <w:r w:rsidRPr="005357D3">
        <w:rPr>
          <w:noProof/>
        </w:rPr>
        <w:t xml:space="preserve">Sans objet. </w:t>
      </w:r>
    </w:p>
    <w:p w14:paraId="156AFAFA" w14:textId="77777777" w:rsidR="00AB6C71" w:rsidRPr="005357D3" w:rsidRDefault="00AB6C71">
      <w:pPr>
        <w:pStyle w:val="ManualHeading2"/>
        <w:rPr>
          <w:rFonts w:eastAsia="Arial Unicode MS"/>
          <w:noProof/>
          <w:u w:color="000000"/>
          <w:bdr w:val="nil"/>
        </w:rPr>
      </w:pPr>
      <w:r w:rsidRPr="005357D3">
        <w:rPr>
          <w:noProof/>
          <w:color w:val="000000"/>
          <w:u w:color="000000"/>
          <w:bdr w:val="nil"/>
        </w:rPr>
        <w:t>•</w:t>
      </w:r>
      <w:r w:rsidRPr="005357D3">
        <w:rPr>
          <w:noProof/>
          <w:color w:val="000000"/>
          <w:u w:color="000000"/>
          <w:bdr w:val="nil"/>
        </w:rPr>
        <w:tab/>
      </w:r>
      <w:r w:rsidRPr="005357D3">
        <w:rPr>
          <w:noProof/>
          <w:u w:color="000000"/>
          <w:bdr w:val="nil"/>
        </w:rPr>
        <w:t>Explication détaillée de certaines dispositions de la proposition</w:t>
      </w:r>
    </w:p>
    <w:p w14:paraId="442AF8C6" w14:textId="77777777" w:rsidR="00C958AB" w:rsidRPr="005357D3" w:rsidRDefault="001615B5" w:rsidP="00A007A7">
      <w:pPr>
        <w:pBdr>
          <w:top w:val="nil"/>
          <w:left w:val="nil"/>
          <w:bottom w:val="nil"/>
          <w:right w:val="nil"/>
          <w:between w:val="nil"/>
          <w:bar w:val="nil"/>
        </w:pBdr>
        <w:spacing w:before="0" w:after="240"/>
        <w:rPr>
          <w:noProof/>
        </w:rPr>
      </w:pPr>
      <w:r w:rsidRPr="005357D3">
        <w:rPr>
          <w:noProof/>
        </w:rPr>
        <w:t xml:space="preserve">Voir la section 1 «Contexte de la proposition» ci-dessus. </w:t>
      </w:r>
    </w:p>
    <w:p w14:paraId="3F96A75C" w14:textId="77777777" w:rsidR="00B97C82" w:rsidRPr="005357D3" w:rsidRDefault="00B97C82" w:rsidP="00BF3953">
      <w:pPr>
        <w:pBdr>
          <w:top w:val="nil"/>
          <w:left w:val="nil"/>
          <w:bottom w:val="nil"/>
          <w:right w:val="nil"/>
          <w:between w:val="nil"/>
          <w:bar w:val="nil"/>
        </w:pBdr>
        <w:spacing w:before="0" w:after="240"/>
        <w:rPr>
          <w:noProof/>
        </w:rPr>
      </w:pPr>
    </w:p>
    <w:p w14:paraId="119F4FB0" w14:textId="77777777" w:rsidR="001615B5" w:rsidRPr="005357D3" w:rsidRDefault="001615B5">
      <w:pPr>
        <w:spacing w:before="0" w:after="200" w:line="276" w:lineRule="auto"/>
        <w:jc w:val="left"/>
        <w:rPr>
          <w:noProof/>
        </w:rPr>
      </w:pPr>
      <w:r w:rsidRPr="005357D3">
        <w:rPr>
          <w:noProof/>
        </w:rPr>
        <w:br w:type="page"/>
      </w:r>
    </w:p>
    <w:p w14:paraId="51CE66EA" w14:textId="6D18A1C0" w:rsidR="004D0919" w:rsidRDefault="004D0919" w:rsidP="004D0919">
      <w:pPr>
        <w:pStyle w:val="Rfrenceinterinstitutionnelle"/>
        <w:rPr>
          <w:noProof/>
        </w:rPr>
      </w:pPr>
      <w:r w:rsidRPr="004D0919">
        <w:t>2023/0449 (COD)</w:t>
      </w:r>
    </w:p>
    <w:p w14:paraId="27C0CF8E" w14:textId="60EBD16F" w:rsidR="006278E6" w:rsidRPr="005357D3" w:rsidRDefault="005357D3" w:rsidP="005357D3">
      <w:pPr>
        <w:pStyle w:val="Statut"/>
        <w:rPr>
          <w:noProof/>
        </w:rPr>
      </w:pPr>
      <w:r w:rsidRPr="005357D3">
        <w:rPr>
          <w:noProof/>
        </w:rPr>
        <w:t>Proposition de</w:t>
      </w:r>
    </w:p>
    <w:p w14:paraId="2AE75267" w14:textId="1F2CEF94" w:rsidR="006278E6" w:rsidRPr="005357D3" w:rsidRDefault="005357D3" w:rsidP="005357D3">
      <w:pPr>
        <w:pStyle w:val="Typedudocument"/>
        <w:rPr>
          <w:noProof/>
        </w:rPr>
      </w:pPr>
      <w:r w:rsidRPr="005357D3">
        <w:rPr>
          <w:noProof/>
        </w:rPr>
        <w:t>RÈGLEMENT DU PARLEMENT EUROPÉEN ET DU CONSEIL</w:t>
      </w:r>
    </w:p>
    <w:p w14:paraId="07510EC4" w14:textId="1C1EDD7B" w:rsidR="006278E6" w:rsidRPr="005357D3" w:rsidRDefault="005357D3" w:rsidP="005357D3">
      <w:pPr>
        <w:pStyle w:val="Titreobjet"/>
        <w:rPr>
          <w:noProof/>
        </w:rPr>
      </w:pPr>
      <w:r w:rsidRPr="005357D3">
        <w:rPr>
          <w:noProof/>
        </w:rPr>
        <w:t>modifiant les règlements (UE) 2016/1139, (UE) 2018/973 et (UE) 2019/472 en ce qui concerne les objectifs ciblés pour la fixation des possibilités de pêche</w:t>
      </w:r>
    </w:p>
    <w:p w14:paraId="4BB02468" w14:textId="77777777" w:rsidR="006278E6" w:rsidRPr="005357D3" w:rsidRDefault="006278E6" w:rsidP="006278E6">
      <w:pPr>
        <w:pStyle w:val="Institutionquiagit"/>
        <w:rPr>
          <w:noProof/>
        </w:rPr>
      </w:pPr>
      <w:r w:rsidRPr="005357D3">
        <w:rPr>
          <w:noProof/>
        </w:rPr>
        <w:t>LE PARLEMENT EUROPÉEN ET LE CONSEIL DE L'UNION EUROPÉENNE,</w:t>
      </w:r>
    </w:p>
    <w:p w14:paraId="3F719441" w14:textId="77777777" w:rsidR="006278E6" w:rsidRPr="005357D3" w:rsidRDefault="006278E6" w:rsidP="006278E6">
      <w:pPr>
        <w:rPr>
          <w:noProof/>
        </w:rPr>
      </w:pPr>
      <w:r w:rsidRPr="005357D3">
        <w:rPr>
          <w:noProof/>
        </w:rPr>
        <w:t>vu le traité sur le fonctionnement de l'Union européenne, et notamment son article 43, paragraphe 2,</w:t>
      </w:r>
    </w:p>
    <w:p w14:paraId="03515FBA" w14:textId="77777777" w:rsidR="006278E6" w:rsidRPr="005357D3" w:rsidRDefault="006278E6" w:rsidP="006278E6">
      <w:pPr>
        <w:rPr>
          <w:noProof/>
        </w:rPr>
      </w:pPr>
      <w:r w:rsidRPr="005357D3">
        <w:rPr>
          <w:noProof/>
        </w:rPr>
        <w:t>vu la proposition de la Commission européenne,</w:t>
      </w:r>
    </w:p>
    <w:p w14:paraId="63D21B70" w14:textId="77777777" w:rsidR="006278E6" w:rsidRPr="005357D3" w:rsidRDefault="006278E6" w:rsidP="006278E6">
      <w:pPr>
        <w:rPr>
          <w:noProof/>
        </w:rPr>
      </w:pPr>
      <w:r w:rsidRPr="005357D3">
        <w:rPr>
          <w:noProof/>
        </w:rPr>
        <w:t>après transmission du projet d’acte législatif aux parlements nationaux,</w:t>
      </w:r>
    </w:p>
    <w:p w14:paraId="0E7392BA" w14:textId="77777777" w:rsidR="006278E6" w:rsidRPr="005357D3" w:rsidRDefault="006278E6" w:rsidP="006278E6">
      <w:pPr>
        <w:rPr>
          <w:noProof/>
        </w:rPr>
      </w:pPr>
      <w:r w:rsidRPr="005357D3">
        <w:rPr>
          <w:noProof/>
        </w:rPr>
        <w:t>vu l’avis du Comité économique et social européen</w:t>
      </w:r>
      <w:r w:rsidRPr="005357D3">
        <w:rPr>
          <w:rStyle w:val="FootnoteReference"/>
          <w:noProof/>
        </w:rPr>
        <w:footnoteReference w:id="8"/>
      </w:r>
      <w:r w:rsidRPr="005357D3">
        <w:rPr>
          <w:noProof/>
        </w:rPr>
        <w:t>,</w:t>
      </w:r>
    </w:p>
    <w:p w14:paraId="02D0976E" w14:textId="77777777" w:rsidR="006278E6" w:rsidRPr="005357D3" w:rsidRDefault="006278E6" w:rsidP="006278E6">
      <w:pPr>
        <w:rPr>
          <w:noProof/>
        </w:rPr>
      </w:pPr>
      <w:r w:rsidRPr="005357D3">
        <w:rPr>
          <w:noProof/>
        </w:rPr>
        <w:t>statuant conformément à la procédure législative ordinaire,</w:t>
      </w:r>
    </w:p>
    <w:p w14:paraId="174E10BC" w14:textId="77777777" w:rsidR="006278E6" w:rsidRPr="005357D3" w:rsidRDefault="006278E6" w:rsidP="006278E6">
      <w:pPr>
        <w:rPr>
          <w:noProof/>
        </w:rPr>
      </w:pPr>
      <w:r w:rsidRPr="005357D3">
        <w:rPr>
          <w:noProof/>
        </w:rPr>
        <w:t>considérant ce qui suit:</w:t>
      </w:r>
    </w:p>
    <w:p w14:paraId="28E4B180" w14:textId="2CFDA52F" w:rsidR="006278E6" w:rsidRPr="005357D3" w:rsidRDefault="00CF28BB" w:rsidP="00CF28BB">
      <w:pPr>
        <w:pStyle w:val="ManualConsidrant"/>
        <w:rPr>
          <w:noProof/>
        </w:rPr>
      </w:pPr>
      <w:r w:rsidRPr="00CF28BB">
        <w:t>(1)</w:t>
      </w:r>
      <w:r w:rsidRPr="00CF28BB">
        <w:tab/>
      </w:r>
      <w:r w:rsidR="006278E6" w:rsidRPr="005357D3">
        <w:rPr>
          <w:noProof/>
        </w:rPr>
        <w:t>L’un des objectifs de la politique commune de la pêche (PCP), tels qu’énoncés dans le règlement (UE) nº 1380/2013 du Parlement européen et du Conseil</w:t>
      </w:r>
      <w:r w:rsidR="006278E6" w:rsidRPr="005357D3">
        <w:rPr>
          <w:rStyle w:val="FootnoteReference"/>
          <w:noProof/>
        </w:rPr>
        <w:footnoteReference w:id="9"/>
      </w:r>
      <w:r w:rsidR="006278E6" w:rsidRPr="005357D3">
        <w:rPr>
          <w:noProof/>
        </w:rPr>
        <w:t>, est de faire en sorte que l’exploitation des ressources biologiques de la mer rétablisse et maintienne les populations des espèces exploitées au-dessus des niveaux qui permettent d’obtenir le rendement maximal durable (RMD). Conformément au règlement (UE) nº 1380/2013, le taux d’exploitation RMD devait être atteint en 2015 si possible et, progressivement et par paliers, en 2020 au plus tard pour tous les stocks.</w:t>
      </w:r>
    </w:p>
    <w:p w14:paraId="687A44A1" w14:textId="00D9577A" w:rsidR="006278E6" w:rsidRPr="005357D3" w:rsidRDefault="00CF28BB" w:rsidP="00CF28BB">
      <w:pPr>
        <w:pStyle w:val="ManualConsidrant"/>
        <w:rPr>
          <w:noProof/>
        </w:rPr>
      </w:pPr>
      <w:r w:rsidRPr="00CF28BB">
        <w:t>(2)</w:t>
      </w:r>
      <w:r w:rsidRPr="00CF28BB">
        <w:tab/>
      </w:r>
      <w:r w:rsidR="006278E6" w:rsidRPr="005357D3">
        <w:rPr>
          <w:noProof/>
        </w:rPr>
        <w:t>Afin d’atteindre les objectifs de la PCP, les règlements (UE) 2016/1139</w:t>
      </w:r>
      <w:r w:rsidR="006278E6" w:rsidRPr="005357D3">
        <w:rPr>
          <w:rStyle w:val="FootnoteReference"/>
          <w:noProof/>
        </w:rPr>
        <w:footnoteReference w:id="10"/>
      </w:r>
      <w:r w:rsidR="006278E6" w:rsidRPr="005357D3">
        <w:rPr>
          <w:noProof/>
        </w:rPr>
        <w:t>, (UE) 2018/973</w:t>
      </w:r>
      <w:r w:rsidR="006278E6" w:rsidRPr="005357D3">
        <w:rPr>
          <w:rStyle w:val="FootnoteReference"/>
          <w:noProof/>
        </w:rPr>
        <w:footnoteReference w:id="11"/>
      </w:r>
      <w:r w:rsidR="006278E6" w:rsidRPr="005357D3">
        <w:rPr>
          <w:noProof/>
        </w:rPr>
        <w:t xml:space="preserve"> et (UE) 2019/472</w:t>
      </w:r>
      <w:r w:rsidR="006278E6" w:rsidRPr="005357D3">
        <w:rPr>
          <w:rStyle w:val="FootnoteReference"/>
          <w:noProof/>
        </w:rPr>
        <w:footnoteReference w:id="12"/>
      </w:r>
      <w:r w:rsidR="006278E6" w:rsidRPr="005357D3">
        <w:rPr>
          <w:noProof/>
        </w:rPr>
        <w:t xml:space="preserve"> du Parlement européen et du Conseil ont établi des plans pluriannuels pour la gestion à long terme de certains stocks de la mer Baltique, de la mer du Nord et des eaux occidentales, pour les pêcheries exploitant ces stocks et, lorsque ces stocks s’étendent au-delà des eaux occidentales, dans leurs eaux adjacentes (ci-après les «plans pluriannuels»).</w:t>
      </w:r>
    </w:p>
    <w:p w14:paraId="35A7B91E" w14:textId="3EDB5F07" w:rsidR="006278E6" w:rsidRPr="005357D3" w:rsidRDefault="00CF28BB" w:rsidP="00CF28BB">
      <w:pPr>
        <w:pStyle w:val="ManualConsidrant"/>
        <w:rPr>
          <w:noProof/>
        </w:rPr>
      </w:pPr>
      <w:r w:rsidRPr="00CF28BB">
        <w:t>(3)</w:t>
      </w:r>
      <w:r w:rsidRPr="00CF28BB">
        <w:tab/>
      </w:r>
      <w:r w:rsidR="006278E6" w:rsidRPr="005357D3">
        <w:rPr>
          <w:noProof/>
        </w:rPr>
        <w:t>Conformément à l’article 10, paragraphe 1, point c), du règlement (UE) nº 1380/2013, les plans pluriannuels fixent des objectifs ciblés quantifiables sous la forme de taux cibles de mortalité par pêche. Ces taux offrent une certaine souplesse en établissant une fourchette de valeurs (fourchettes de F</w:t>
      </w:r>
      <w:bookmarkStart w:id="2" w:name="_Hlk150942052"/>
      <w:r w:rsidR="006278E6" w:rsidRPr="005357D3">
        <w:rPr>
          <w:noProof/>
          <w:vertAlign w:val="subscript"/>
        </w:rPr>
        <w:t>RMD</w:t>
      </w:r>
      <w:bookmarkEnd w:id="2"/>
      <w:r w:rsidR="006278E6" w:rsidRPr="005357D3">
        <w:rPr>
          <w:noProof/>
        </w:rPr>
        <w:t xml:space="preserve"> avec limites supérieures et inférieures) permettant d’obtenir et de maintenir le RMD pour les stocks cibles. </w:t>
      </w:r>
    </w:p>
    <w:p w14:paraId="7E758B90" w14:textId="51838D95" w:rsidR="006278E6" w:rsidRPr="005357D3" w:rsidRDefault="00CF28BB" w:rsidP="00CF28BB">
      <w:pPr>
        <w:pStyle w:val="ManualConsidrant"/>
        <w:rPr>
          <w:noProof/>
        </w:rPr>
      </w:pPr>
      <w:r w:rsidRPr="00CF28BB">
        <w:t>(4)</w:t>
      </w:r>
      <w:r w:rsidRPr="00CF28BB">
        <w:tab/>
      </w:r>
      <w:r w:rsidR="00475E8C" w:rsidRPr="005357D3">
        <w:rPr>
          <w:noProof/>
        </w:rPr>
        <w:t>Les possibilités de pêche sont fixées à l’intérieur de ces fourchettes F</w:t>
      </w:r>
      <w:r w:rsidR="00475E8C" w:rsidRPr="005357D3">
        <w:rPr>
          <w:noProof/>
          <w:vertAlign w:val="subscript"/>
        </w:rPr>
        <w:t>RMD</w:t>
      </w:r>
      <w:r w:rsidR="00475E8C" w:rsidRPr="005357D3">
        <w:rPr>
          <w:noProof/>
        </w:rPr>
        <w:t>. Ces fourchettes sont fondées sur des avis scientifiques du Conseil international pour l’exploration de la mer (CIEM) ou d’un organisme scientifique indépendant similaire reconnu au niveau de l’Union ou au niveau international, et déterminées de manière à ce que tous les niveaux de mortalité par pêche à l’intérieur de la fourchette permettent d’obtenir le RMD à long terme sans avoir de répercussions significatives sur le processus de reproduction du stock en question.</w:t>
      </w:r>
    </w:p>
    <w:p w14:paraId="7E780114" w14:textId="7316ECB3" w:rsidR="006278E6" w:rsidRPr="005357D3" w:rsidRDefault="00CF28BB" w:rsidP="00CF28BB">
      <w:pPr>
        <w:pStyle w:val="ManualConsidrant"/>
        <w:rPr>
          <w:noProof/>
        </w:rPr>
      </w:pPr>
      <w:r w:rsidRPr="00CF28BB">
        <w:t>(5)</w:t>
      </w:r>
      <w:r w:rsidRPr="00CF28BB">
        <w:tab/>
      </w:r>
      <w:r w:rsidR="007B3713" w:rsidRPr="005357D3">
        <w:rPr>
          <w:noProof/>
        </w:rPr>
        <w:t>Conformément à l’article 2, point 2), des règlements (UE) 2016/1139 et (UE) 2019/472 et à l’article 2, point 1), du règlement (UE) 2018/973, la fourchette de F</w:t>
      </w:r>
      <w:r w:rsidR="007B3713" w:rsidRPr="005357D3">
        <w:rPr>
          <w:noProof/>
          <w:vertAlign w:val="subscript"/>
        </w:rPr>
        <w:t>RMD</w:t>
      </w:r>
      <w:r w:rsidR="007B3713" w:rsidRPr="005357D3">
        <w:rPr>
          <w:noProof/>
        </w:rPr>
        <w:t xml:space="preserve"> est calculée de manière à ne pas entraîner une réduction de plus de 5 % du rendement à long terme par rapport au RMD et elle est plafonnée de sorte que la probabilité que le stock tombe en dessous du niveau B</w:t>
      </w:r>
      <w:r w:rsidR="007B3713" w:rsidRPr="005357D3">
        <w:rPr>
          <w:noProof/>
          <w:vertAlign w:val="subscript"/>
        </w:rPr>
        <w:t>lim</w:t>
      </w:r>
      <w:r w:rsidR="007B3713" w:rsidRPr="005357D3">
        <w:rPr>
          <w:noProof/>
        </w:rPr>
        <w:t xml:space="preserve"> ne dépasse pas 5 %.</w:t>
      </w:r>
    </w:p>
    <w:p w14:paraId="5CCE6083" w14:textId="226AB7B9" w:rsidR="006F1E7A" w:rsidRPr="005357D3" w:rsidRDefault="00CF28BB" w:rsidP="00CF28BB">
      <w:pPr>
        <w:pStyle w:val="ManualConsidrant"/>
        <w:rPr>
          <w:noProof/>
        </w:rPr>
      </w:pPr>
      <w:r w:rsidRPr="00CF28BB">
        <w:t>(6)</w:t>
      </w:r>
      <w:r w:rsidRPr="00CF28BB">
        <w:tab/>
      </w:r>
      <w:r w:rsidR="006F1E7A" w:rsidRPr="005357D3">
        <w:rPr>
          <w:noProof/>
        </w:rPr>
        <w:t>L’article 4, paragraphe 6, des règlements (UE) 2016/1139 et (UE) 2018/973 et l’article 4, paragraphe 7, du règlement (UE) 2019/472 disposent également que «[l]es possibilités de pêche sont en tout état de cause fixées de manière à garantir que la probabilité que la biomasse du stock reproducteur tombe en dessous du B</w:t>
      </w:r>
      <w:r w:rsidR="006F1E7A" w:rsidRPr="005357D3">
        <w:rPr>
          <w:noProof/>
          <w:vertAlign w:val="subscript"/>
        </w:rPr>
        <w:t>lim</w:t>
      </w:r>
      <w:r w:rsidR="006F1E7A" w:rsidRPr="005357D3">
        <w:rPr>
          <w:noProof/>
        </w:rPr>
        <w:t xml:space="preserve"> soit inférieure à 5 %» (ci-après la «règle des 5 %»). </w:t>
      </w:r>
    </w:p>
    <w:p w14:paraId="7459725B" w14:textId="37F739A1" w:rsidR="006F1E7A" w:rsidRPr="005357D3" w:rsidRDefault="00CF28BB" w:rsidP="00CF28BB">
      <w:pPr>
        <w:pStyle w:val="ManualConsidrant"/>
        <w:rPr>
          <w:noProof/>
        </w:rPr>
      </w:pPr>
      <w:r w:rsidRPr="00CF28BB">
        <w:t>(7)</w:t>
      </w:r>
      <w:r w:rsidRPr="00CF28BB">
        <w:tab/>
      </w:r>
      <w:r w:rsidR="006F1E7A" w:rsidRPr="005357D3">
        <w:rPr>
          <w:noProof/>
        </w:rPr>
        <w:t>Dans certaines circonstances liées à l’état d’un stock halieutique donné et aux prévisions à court terme quant au développement de la biomasse dudit stock, l’application de la règle des 5 % est susceptible de créer une situation qui serait incompatible avec les autres règles des plans pluriannuels régissant la fixation des possibilités de pêche et qui pourrait avoir des conséquences socio-économiques graves.</w:t>
      </w:r>
    </w:p>
    <w:p w14:paraId="2684F510" w14:textId="0ABE0CA1" w:rsidR="006278E6" w:rsidRPr="005357D3" w:rsidRDefault="00CF28BB" w:rsidP="00CF28BB">
      <w:pPr>
        <w:pStyle w:val="ManualConsidrant"/>
        <w:rPr>
          <w:noProof/>
        </w:rPr>
      </w:pPr>
      <w:r w:rsidRPr="00CF28BB">
        <w:t>(8)</w:t>
      </w:r>
      <w:r w:rsidRPr="00CF28BB">
        <w:tab/>
      </w:r>
      <w:r w:rsidR="006278E6" w:rsidRPr="005357D3">
        <w:rPr>
          <w:noProof/>
        </w:rPr>
        <w:t>Lorsque les avis scientifiques indiquent que, pour une année donnée, la biomasse du stock reproducteur pour le stock ciblé ou, dans le cas des stocks de langoustine, l’abondance de stocks spécifiques sont inférieures au RMD B</w:t>
      </w:r>
      <w:r w:rsidR="006278E6" w:rsidRPr="005357D3">
        <w:rPr>
          <w:noProof/>
          <w:vertAlign w:val="subscript"/>
        </w:rPr>
        <w:t>trigger</w:t>
      </w:r>
      <w:r w:rsidR="006278E6" w:rsidRPr="005357D3">
        <w:rPr>
          <w:noProof/>
        </w:rPr>
        <w:t>, les règles de sauvegarde énoncées dans les règlements (UE) 2016/1139, (UE) 2018/973 et (UE) 2019/472 prévoient que toutes les mesures correctives appropriées sont adoptées pour assurer le retour rapide du stock concerné à des niveaux supérieurs à ceux permettant d’obtenir le RMD. En particulier, les possibilités de pêche sont fixées à des niveaux compatibles avec une mortalité par pêche réduite en deçà de la fourchette supérieure de F</w:t>
      </w:r>
      <w:r w:rsidR="006278E6" w:rsidRPr="005357D3">
        <w:rPr>
          <w:noProof/>
          <w:vertAlign w:val="subscript"/>
        </w:rPr>
        <w:t>RMD</w:t>
      </w:r>
      <w:r w:rsidR="006278E6" w:rsidRPr="005357D3">
        <w:rPr>
          <w:noProof/>
        </w:rPr>
        <w:t xml:space="preserve">, compte tenu de la baisse de la biomasse. </w:t>
      </w:r>
    </w:p>
    <w:p w14:paraId="55BA1EC8" w14:textId="5C141D8A" w:rsidR="006278E6" w:rsidRPr="005357D3" w:rsidRDefault="00CF28BB" w:rsidP="00CF28BB">
      <w:pPr>
        <w:pStyle w:val="ManualConsidrant"/>
        <w:rPr>
          <w:noProof/>
        </w:rPr>
      </w:pPr>
      <w:r w:rsidRPr="00CF28BB">
        <w:t>(9)</w:t>
      </w:r>
      <w:r w:rsidRPr="00CF28BB">
        <w:tab/>
      </w:r>
      <w:r w:rsidR="001615B5" w:rsidRPr="005357D3">
        <w:rPr>
          <w:noProof/>
        </w:rPr>
        <w:t>Les règles de sauvegarde des plans pluriannuels prévoient également que d’autres mesures correctives doivent être adoptées lorsque la biomasse du stock reproducteur pour le stock ciblé ou, dans le cas des stocks de langoustine, l’abondance de stocks spécifiques, est inférieure au B</w:t>
      </w:r>
      <w:r w:rsidR="001615B5" w:rsidRPr="005357D3">
        <w:rPr>
          <w:noProof/>
          <w:vertAlign w:val="superscript"/>
        </w:rPr>
        <w:t>lim</w:t>
      </w:r>
      <w:r w:rsidR="001615B5" w:rsidRPr="005357D3">
        <w:rPr>
          <w:noProof/>
        </w:rPr>
        <w:t xml:space="preserve">, afin de garantir un retour rapide du stock concerné à des niveaux supérieurs à ceux permettant d’obtenir le RMD. Dans ce contexte, l’article 5, paragraphe 2, du règlement (UE) 2016/1139, ainsi que l’article 7, paragraphe 2, des règlements (UE) 2018/972 et (UE) 2019/472, font spécifiquement référence non seulement à la suspension de la pêche ciblée, mais aussi à d’autres mesures possibles telles que la réduction adéquate des possibilités de pêche et l’adoption de mesures d’urgence ou de mesures techniques. </w:t>
      </w:r>
    </w:p>
    <w:p w14:paraId="603BD2CB" w14:textId="0C1350EC" w:rsidR="006278E6" w:rsidRPr="005357D3" w:rsidRDefault="00CF28BB" w:rsidP="00CF28BB">
      <w:pPr>
        <w:pStyle w:val="ManualConsidrant"/>
        <w:rPr>
          <w:noProof/>
        </w:rPr>
      </w:pPr>
      <w:r w:rsidRPr="00CF28BB">
        <w:t>(10)</w:t>
      </w:r>
      <w:r w:rsidRPr="00CF28BB">
        <w:tab/>
      </w:r>
      <w:r w:rsidR="001615B5" w:rsidRPr="005357D3">
        <w:rPr>
          <w:noProof/>
        </w:rPr>
        <w:t>Les plans pluriannuels prévoient en outre que, dans les deux cas, le choix des mesures doit être effectué en fonction de la nature, de la gravité, de la durée et du caractère répétitif de la situation. Les plans pluriannuels n’exigent donc la suspension de la pêche ciblée que si, conformément aux critères énoncés dans les plans pluriannuels, elle est considérée comme constituant la mesure corrective appropriée requise pour assurer le retour rapide du stock à des niveaux supérieurs à ceux permettant d’obtenir le RMD.</w:t>
      </w:r>
    </w:p>
    <w:p w14:paraId="7212A46A" w14:textId="2264B227" w:rsidR="006278E6" w:rsidRPr="005357D3" w:rsidRDefault="00CF28BB" w:rsidP="00CF28BB">
      <w:pPr>
        <w:pStyle w:val="ManualConsidrant"/>
        <w:rPr>
          <w:noProof/>
        </w:rPr>
      </w:pPr>
      <w:r w:rsidRPr="00CF28BB">
        <w:t>(11)</w:t>
      </w:r>
      <w:r w:rsidRPr="00CF28BB">
        <w:tab/>
      </w:r>
      <w:r w:rsidR="006F1E7A" w:rsidRPr="005357D3">
        <w:rPr>
          <w:noProof/>
        </w:rPr>
        <w:t>En conséquence, d’une part, la règle des 5 % peut signifier que les possibilités de pêche ne peuvent pas être fixées et que la pêche ciblée doit être suspendue. D’autre part, les dispositions de sauvegarde des plans pluriannuels exigent l’adoption de mesures correctives pour ramener le stock au-dessus du niveau B</w:t>
      </w:r>
      <w:r w:rsidR="006F1E7A" w:rsidRPr="005357D3">
        <w:rPr>
          <w:noProof/>
          <w:vertAlign w:val="subscript"/>
        </w:rPr>
        <w:t>trigger</w:t>
      </w:r>
      <w:r w:rsidR="006F1E7A" w:rsidRPr="005357D3">
        <w:rPr>
          <w:noProof/>
        </w:rPr>
        <w:t>, sur la base d’une évaluation au cas par cas quant au choix de la mesure appropriée, conformément aux critères énoncés dans les plans pluriannuels. En outre, les plans pluriannuels font référence à la possibilité, et non à l’obligation, de suspendre la pêche ciblée, à condition qu’une telle mesure soit jugée appropriée conformément aux critères énoncés dans les plans pluriannuels.</w:t>
      </w:r>
    </w:p>
    <w:p w14:paraId="503A5B36" w14:textId="0FBB6029" w:rsidR="002F1ECB" w:rsidRPr="005357D3" w:rsidRDefault="00CF28BB" w:rsidP="00CF28BB">
      <w:pPr>
        <w:pStyle w:val="ManualConsidrant"/>
        <w:rPr>
          <w:noProof/>
        </w:rPr>
      </w:pPr>
      <w:r w:rsidRPr="00CF28BB">
        <w:t>(12)</w:t>
      </w:r>
      <w:r w:rsidRPr="00CF28BB">
        <w:tab/>
      </w:r>
      <w:r w:rsidR="006278E6" w:rsidRPr="005357D3">
        <w:rPr>
          <w:noProof/>
        </w:rPr>
        <w:t>Il est donc nécessaire de remédier à cette incohérence du cadre juridique en supprimant les dispositions des règlements (UE) 2016/1139, (UE) 2018/973 et (UE) 2019/472 qui prévoient que les possibilités de pêche sont, en tout état de cause, fixées de manière à garantir que la probabilité que le stock tombe en dessous du B</w:t>
      </w:r>
      <w:r w:rsidR="006278E6" w:rsidRPr="005357D3">
        <w:rPr>
          <w:noProof/>
          <w:vertAlign w:val="subscript"/>
        </w:rPr>
        <w:t>lim</w:t>
      </w:r>
      <w:r w:rsidR="006278E6" w:rsidRPr="005357D3">
        <w:rPr>
          <w:noProof/>
        </w:rPr>
        <w:t xml:space="preserve"> ne dépasse pas 5 %.</w:t>
      </w:r>
    </w:p>
    <w:p w14:paraId="69CA0540" w14:textId="4902E942" w:rsidR="006278E6" w:rsidRPr="005357D3" w:rsidRDefault="00CF28BB" w:rsidP="00CF28BB">
      <w:pPr>
        <w:pStyle w:val="ManualConsidrant"/>
        <w:rPr>
          <w:noProof/>
        </w:rPr>
      </w:pPr>
      <w:r w:rsidRPr="00CF28BB">
        <w:t>(13)</w:t>
      </w:r>
      <w:r w:rsidRPr="00CF28BB">
        <w:tab/>
      </w:r>
      <w:r w:rsidR="006278E6" w:rsidRPr="005357D3">
        <w:rPr>
          <w:noProof/>
        </w:rPr>
        <w:t>Il y a donc lieu de modifier les règlements (UE) 2016/1139, (UE) 2018/973 et (UE) 2019/472 en conséquence,</w:t>
      </w:r>
    </w:p>
    <w:p w14:paraId="063851E7" w14:textId="77777777" w:rsidR="006278E6" w:rsidRPr="005357D3" w:rsidRDefault="006278E6" w:rsidP="006278E6">
      <w:pPr>
        <w:pStyle w:val="Formuledadoption"/>
        <w:rPr>
          <w:noProof/>
        </w:rPr>
      </w:pPr>
      <w:r w:rsidRPr="005357D3">
        <w:rPr>
          <w:noProof/>
        </w:rPr>
        <w:t>ONT ADOPTÉ LE PRÉSENT RÈGLEMENT:</w:t>
      </w:r>
    </w:p>
    <w:p w14:paraId="66FDB2DC" w14:textId="69E49AE2" w:rsidR="006278E6" w:rsidRPr="005357D3" w:rsidRDefault="006278E6" w:rsidP="00AF5EDB">
      <w:pPr>
        <w:pStyle w:val="Titrearticle"/>
        <w:rPr>
          <w:b/>
          <w:bCs/>
          <w:i w:val="0"/>
          <w:iCs/>
          <w:noProof/>
        </w:rPr>
      </w:pPr>
      <w:r w:rsidRPr="005357D3">
        <w:rPr>
          <w:noProof/>
        </w:rPr>
        <w:t>Article premier</w:t>
      </w:r>
      <w:r w:rsidRPr="005357D3">
        <w:rPr>
          <w:noProof/>
        </w:rPr>
        <w:br/>
      </w:r>
      <w:r w:rsidRPr="005357D3">
        <w:rPr>
          <w:b/>
          <w:bCs/>
          <w:i w:val="0"/>
          <w:noProof/>
        </w:rPr>
        <w:t>Modification du règlement (UE) 2016/1139</w:t>
      </w:r>
    </w:p>
    <w:p w14:paraId="2DC398D6" w14:textId="77777777" w:rsidR="006278E6" w:rsidRPr="005357D3" w:rsidRDefault="006278E6" w:rsidP="006278E6">
      <w:pPr>
        <w:rPr>
          <w:noProof/>
        </w:rPr>
      </w:pPr>
      <w:r w:rsidRPr="005357D3">
        <w:rPr>
          <w:noProof/>
        </w:rPr>
        <w:t>L’article 4, paragraphe 6, du règlement (UE) 2016/1139 est supprimé.</w:t>
      </w:r>
    </w:p>
    <w:p w14:paraId="5EE52D8E" w14:textId="22C87FB6" w:rsidR="006278E6" w:rsidRPr="005357D3" w:rsidRDefault="006278E6" w:rsidP="00AF5EDB">
      <w:pPr>
        <w:pStyle w:val="Titrearticle"/>
        <w:rPr>
          <w:noProof/>
        </w:rPr>
      </w:pPr>
      <w:r w:rsidRPr="005357D3">
        <w:rPr>
          <w:noProof/>
        </w:rPr>
        <w:t>Arti</w:t>
      </w:r>
      <w:r w:rsidR="005357D3">
        <w:rPr>
          <w:noProof/>
        </w:rPr>
        <w:t>c</w:t>
      </w:r>
      <w:r w:rsidRPr="005357D3">
        <w:rPr>
          <w:noProof/>
        </w:rPr>
        <w:t>le 2</w:t>
      </w:r>
      <w:r w:rsidRPr="005357D3">
        <w:rPr>
          <w:noProof/>
        </w:rPr>
        <w:br/>
      </w:r>
      <w:r w:rsidRPr="005357D3">
        <w:rPr>
          <w:b/>
          <w:bCs/>
          <w:i w:val="0"/>
          <w:noProof/>
        </w:rPr>
        <w:t>Modification du règlement (UE) 2018/973</w:t>
      </w:r>
    </w:p>
    <w:p w14:paraId="19118D16" w14:textId="77777777" w:rsidR="006278E6" w:rsidRPr="005357D3" w:rsidRDefault="006278E6" w:rsidP="006278E6">
      <w:pPr>
        <w:rPr>
          <w:noProof/>
        </w:rPr>
      </w:pPr>
      <w:r w:rsidRPr="005357D3">
        <w:rPr>
          <w:noProof/>
        </w:rPr>
        <w:t>L’article 4, paragraphe 6, du règlement (UE) 2018/973 est supprimé.</w:t>
      </w:r>
    </w:p>
    <w:p w14:paraId="26C0243C" w14:textId="24BB58C9" w:rsidR="006278E6" w:rsidRPr="005357D3" w:rsidRDefault="006278E6" w:rsidP="00AF5EDB">
      <w:pPr>
        <w:pStyle w:val="Titrearticle"/>
        <w:rPr>
          <w:noProof/>
        </w:rPr>
      </w:pPr>
      <w:r w:rsidRPr="005357D3">
        <w:rPr>
          <w:noProof/>
        </w:rPr>
        <w:t>Arti</w:t>
      </w:r>
      <w:r w:rsidR="005357D3">
        <w:rPr>
          <w:noProof/>
        </w:rPr>
        <w:t>cl</w:t>
      </w:r>
      <w:r w:rsidRPr="005357D3">
        <w:rPr>
          <w:noProof/>
        </w:rPr>
        <w:t>e 3</w:t>
      </w:r>
      <w:r w:rsidRPr="005357D3">
        <w:rPr>
          <w:noProof/>
        </w:rPr>
        <w:br/>
      </w:r>
      <w:r w:rsidRPr="005357D3">
        <w:rPr>
          <w:b/>
          <w:bCs/>
          <w:i w:val="0"/>
          <w:noProof/>
        </w:rPr>
        <w:t>Modification du règlement (UE) 2019/472</w:t>
      </w:r>
    </w:p>
    <w:p w14:paraId="343ACA38" w14:textId="77777777" w:rsidR="006278E6" w:rsidRPr="005357D3" w:rsidRDefault="006278E6" w:rsidP="006278E6">
      <w:pPr>
        <w:rPr>
          <w:noProof/>
        </w:rPr>
      </w:pPr>
      <w:r w:rsidRPr="005357D3">
        <w:rPr>
          <w:noProof/>
        </w:rPr>
        <w:t>L’article 4, paragraphe 7, du règlement (UE) 2019/472 est supprimé.</w:t>
      </w:r>
    </w:p>
    <w:p w14:paraId="4E6C9791" w14:textId="77777777" w:rsidR="006278E6" w:rsidRPr="005357D3" w:rsidRDefault="006278E6" w:rsidP="006278E6">
      <w:pPr>
        <w:pStyle w:val="Titrearticle"/>
        <w:rPr>
          <w:noProof/>
        </w:rPr>
      </w:pPr>
      <w:r w:rsidRPr="005357D3">
        <w:rPr>
          <w:noProof/>
        </w:rPr>
        <w:t>Article 4</w:t>
      </w:r>
    </w:p>
    <w:p w14:paraId="36FF6B9F" w14:textId="77777777" w:rsidR="006278E6" w:rsidRPr="005357D3" w:rsidRDefault="006278E6" w:rsidP="006278E6">
      <w:pPr>
        <w:rPr>
          <w:noProof/>
        </w:rPr>
      </w:pPr>
      <w:r w:rsidRPr="005357D3">
        <w:rPr>
          <w:noProof/>
        </w:rPr>
        <w:t xml:space="preserve">Le présent règlement entre en vigueur le troisième jour suivant celui de sa publication au </w:t>
      </w:r>
      <w:r w:rsidRPr="005357D3">
        <w:rPr>
          <w:i/>
          <w:noProof/>
        </w:rPr>
        <w:t>Journal officiel de l’Union européenne</w:t>
      </w:r>
      <w:r w:rsidRPr="005357D3">
        <w:rPr>
          <w:noProof/>
        </w:rPr>
        <w:t>.</w:t>
      </w:r>
    </w:p>
    <w:p w14:paraId="7FD07359" w14:textId="77777777" w:rsidR="006278E6" w:rsidRPr="005357D3" w:rsidRDefault="006278E6" w:rsidP="006278E6">
      <w:pPr>
        <w:pStyle w:val="Applicationdirecte"/>
        <w:rPr>
          <w:noProof/>
        </w:rPr>
      </w:pPr>
      <w:r w:rsidRPr="005357D3">
        <w:rPr>
          <w:noProof/>
        </w:rPr>
        <w:t>Le présent règlement est obligatoire dans tous ses éléments et directement applicable dans tout État membre.</w:t>
      </w:r>
    </w:p>
    <w:p w14:paraId="7AE60D32" w14:textId="1FC8AE90" w:rsidR="006278E6" w:rsidRPr="005357D3" w:rsidRDefault="002B1E1B" w:rsidP="003C4617">
      <w:pPr>
        <w:pStyle w:val="Fait"/>
        <w:rPr>
          <w:noProof/>
        </w:rPr>
      </w:pPr>
      <w:r w:rsidRPr="002B1E1B">
        <w:t>Fait à Bruxelles, le</w:t>
      </w:r>
    </w:p>
    <w:p w14:paraId="66953EB5" w14:textId="77777777" w:rsidR="006278E6" w:rsidRPr="005357D3" w:rsidRDefault="006278E6" w:rsidP="003C4617">
      <w:pPr>
        <w:pStyle w:val="Institutionquisigne"/>
        <w:rPr>
          <w:noProof/>
        </w:rPr>
      </w:pPr>
      <w:r w:rsidRPr="005357D3">
        <w:rPr>
          <w:noProof/>
        </w:rPr>
        <w:t>Par le Parlement européen</w:t>
      </w:r>
      <w:r w:rsidRPr="005357D3">
        <w:rPr>
          <w:noProof/>
        </w:rPr>
        <w:tab/>
        <w:t>Par le Conseil</w:t>
      </w:r>
    </w:p>
    <w:p w14:paraId="0693963A" w14:textId="77777777" w:rsidR="006278E6" w:rsidRPr="005357D3" w:rsidRDefault="006278E6" w:rsidP="006278E6">
      <w:pPr>
        <w:pStyle w:val="Personnequisigne"/>
        <w:rPr>
          <w:noProof/>
        </w:rPr>
      </w:pPr>
      <w:r w:rsidRPr="005357D3">
        <w:rPr>
          <w:noProof/>
        </w:rPr>
        <w:t>La présidente</w:t>
      </w:r>
      <w:r w:rsidRPr="005357D3">
        <w:rPr>
          <w:noProof/>
        </w:rPr>
        <w:tab/>
        <w:t>Le président</w:t>
      </w:r>
    </w:p>
    <w:sectPr w:rsidR="006278E6" w:rsidRPr="005357D3" w:rsidSect="006A5720">
      <w:footerReference w:type="default" r:id="rId10"/>
      <w:footerReference w:type="first" r:id="rId11"/>
      <w:footnotePr>
        <w:numRestart w:val="eachSect"/>
      </w:footnotePr>
      <w:pgSz w:w="11907" w:h="16839"/>
      <w:pgMar w:top="1134" w:right="1417" w:bottom="1134" w:left="1417"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4C5B1D7" w14:textId="77777777" w:rsidR="00991423" w:rsidRDefault="00991423" w:rsidP="00AB6C71">
      <w:pPr>
        <w:spacing w:before="0" w:after="0"/>
      </w:pPr>
      <w:r>
        <w:separator/>
      </w:r>
    </w:p>
  </w:endnote>
  <w:endnote w:type="continuationSeparator" w:id="0">
    <w:p w14:paraId="3FB89C08" w14:textId="77777777" w:rsidR="00991423" w:rsidRDefault="00991423" w:rsidP="00AB6C71">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Arial Unicode MS">
    <w:panose1 w:val="020B0604020202020204"/>
    <w:charset w:val="00"/>
    <w:family w:val="roman"/>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MS Mincho">
    <w:altName w:val="Yu Gothic UI"/>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1555838" w14:textId="2EA831BB" w:rsidR="00F47B64" w:rsidRPr="006A5720" w:rsidRDefault="006A5720" w:rsidP="006A5720">
    <w:pPr>
      <w:pStyle w:val="Footer"/>
      <w:rPr>
        <w:rFonts w:ascii="Arial" w:hAnsi="Arial" w:cs="Arial"/>
        <w:b/>
        <w:sz w:val="48"/>
      </w:rPr>
    </w:pPr>
    <w:r w:rsidRPr="006A5720">
      <w:rPr>
        <w:rFonts w:ascii="Arial" w:hAnsi="Arial" w:cs="Arial"/>
        <w:b/>
        <w:sz w:val="48"/>
      </w:rPr>
      <w:t>FR</w:t>
    </w:r>
    <w:r w:rsidRPr="006A5720">
      <w:rPr>
        <w:rFonts w:ascii="Arial" w:hAnsi="Arial" w:cs="Arial"/>
        <w:b/>
        <w:sz w:val="48"/>
      </w:rPr>
      <w:tab/>
    </w:r>
    <w:r w:rsidRPr="006A5720">
      <w:rPr>
        <w:rFonts w:ascii="Arial" w:hAnsi="Arial" w:cs="Arial"/>
        <w:b/>
        <w:sz w:val="48"/>
      </w:rPr>
      <w:tab/>
    </w:r>
    <w:r w:rsidRPr="006A5720">
      <w:tab/>
    </w:r>
    <w:r w:rsidRPr="006A5720">
      <w:rPr>
        <w:rFonts w:ascii="Arial" w:hAnsi="Arial" w:cs="Arial"/>
        <w:b/>
        <w:sz w:val="48"/>
      </w:rPr>
      <w:t>FR</w:t>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AC7335C" w14:textId="4B629FEC" w:rsidR="006A5720" w:rsidRPr="006A5720" w:rsidRDefault="006A5720" w:rsidP="006A5720">
    <w:pPr>
      <w:pStyle w:val="Footer"/>
      <w:rPr>
        <w:rFonts w:ascii="Arial" w:hAnsi="Arial" w:cs="Arial"/>
        <w:b/>
        <w:sz w:val="48"/>
      </w:rPr>
    </w:pPr>
    <w:r w:rsidRPr="006A5720">
      <w:rPr>
        <w:rFonts w:ascii="Arial" w:hAnsi="Arial" w:cs="Arial"/>
        <w:b/>
        <w:sz w:val="48"/>
      </w:rPr>
      <w:t>FR</w:t>
    </w:r>
    <w:r w:rsidRPr="006A5720">
      <w:rPr>
        <w:rFonts w:ascii="Arial" w:hAnsi="Arial" w:cs="Arial"/>
        <w:b/>
        <w:sz w:val="48"/>
      </w:rPr>
      <w:tab/>
    </w:r>
    <w:r>
      <w:fldChar w:fldCharType="begin"/>
    </w:r>
    <w:r>
      <w:instrText xml:space="preserve"> PAGE  \* MERGEFORMAT </w:instrText>
    </w:r>
    <w:r>
      <w:fldChar w:fldCharType="separate"/>
    </w:r>
    <w:r w:rsidR="003C4617">
      <w:rPr>
        <w:noProof/>
      </w:rPr>
      <w:t>8</w:t>
    </w:r>
    <w:r>
      <w:fldChar w:fldCharType="end"/>
    </w:r>
    <w:r>
      <w:tab/>
    </w:r>
    <w:r w:rsidRPr="006A5720">
      <w:tab/>
    </w:r>
    <w:r w:rsidRPr="006A5720">
      <w:rPr>
        <w:rFonts w:ascii="Arial" w:hAnsi="Arial" w:cs="Arial"/>
        <w:b/>
        <w:sz w:val="48"/>
      </w:rPr>
      <w:t>FR</w:t>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8920C3E" w14:textId="77777777" w:rsidR="006A5720" w:rsidRPr="006A5720" w:rsidRDefault="006A5720" w:rsidP="006A572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AD7A56C" w14:textId="77777777" w:rsidR="00991423" w:rsidRDefault="00991423" w:rsidP="00AB6C71">
      <w:pPr>
        <w:spacing w:before="0" w:after="0"/>
      </w:pPr>
      <w:r>
        <w:separator/>
      </w:r>
    </w:p>
  </w:footnote>
  <w:footnote w:type="continuationSeparator" w:id="0">
    <w:p w14:paraId="134DA808" w14:textId="77777777" w:rsidR="00991423" w:rsidRDefault="00991423" w:rsidP="00AB6C71">
      <w:pPr>
        <w:spacing w:before="0" w:after="0"/>
      </w:pPr>
      <w:r>
        <w:continuationSeparator/>
      </w:r>
    </w:p>
  </w:footnote>
  <w:footnote w:id="1">
    <w:p w14:paraId="25198F69" w14:textId="079CE2AF" w:rsidR="008428E2" w:rsidRPr="005357D3" w:rsidRDefault="008428E2" w:rsidP="008428E2">
      <w:pPr>
        <w:pStyle w:val="FootnoteText"/>
      </w:pPr>
      <w:r>
        <w:rPr>
          <w:rStyle w:val="FootnoteReference"/>
        </w:rPr>
        <w:footnoteRef/>
      </w:r>
      <w:r w:rsidRPr="005357D3">
        <w:tab/>
        <w:t>Règlement (UE) 2016/1139 du Parlement européen et du Conseil du 6 juillet 2016 établissant un plan pluriannuel pour les stocks de cabillaud, de hareng et de sprat de la mer Baltique et les pêcheries exploitant ces stocks, modifiant le règlement (CE) nº 2187/2005 du Conseil et abrogeant le règlement (CE) nº 1098/2007 du Conseil (JO L 191 du 15.7.2016, p. 1).</w:t>
      </w:r>
    </w:p>
  </w:footnote>
  <w:footnote w:id="2">
    <w:p w14:paraId="609F6DEF" w14:textId="1FC512FC" w:rsidR="008428E2" w:rsidRPr="005357D3" w:rsidRDefault="008428E2" w:rsidP="008428E2">
      <w:pPr>
        <w:pStyle w:val="FootnoteText"/>
      </w:pPr>
      <w:r>
        <w:rPr>
          <w:rStyle w:val="FootnoteReference"/>
        </w:rPr>
        <w:footnoteRef/>
      </w:r>
      <w:r w:rsidRPr="005357D3">
        <w:tab/>
        <w:t>Règlement (UE) 2018/973 du Parlement européen et du Conseil du 4 juillet 2018 établissant un plan pluriannuel pour les stocks démersaux de la mer du Nord et les pêcheries exploitant ces stocks, précisant les modalités de la mise en œuvre de l'obligation de débarquement en mer du Nord et abrogeant les règlements (CE) nº 676/2007 et (CE) nº 1342/2008 du Conseil (JO L 179 du 16.7.2018, p. 1).</w:t>
      </w:r>
    </w:p>
  </w:footnote>
  <w:footnote w:id="3">
    <w:p w14:paraId="5F494BE7" w14:textId="3B0E8DBF" w:rsidR="008428E2" w:rsidRPr="005357D3" w:rsidRDefault="008428E2" w:rsidP="008428E2">
      <w:pPr>
        <w:pStyle w:val="FootnoteText"/>
      </w:pPr>
      <w:r>
        <w:rPr>
          <w:rStyle w:val="FootnoteReference"/>
        </w:rPr>
        <w:footnoteRef/>
      </w:r>
      <w:r w:rsidRPr="005357D3">
        <w:tab/>
        <w:t>Règlement (UE) 2019/472 du Parlement européen et du Conseil du 19 mars 2019 établissant un plan pluriannuel pour les stocks pêchés dans les eaux occidentales et les eaux adjacentes ainsi que pour les pêcheries exploitant ces stocks, modifiant les règlements (UE) 2016/1139 et (UE) 2018/973 et abrogeant les règlements (CE) nº 811/2004, (CE) nº 2166/2005, (CE) nº 388/2006, (CE) nº 509/2007 et (CE) nº 1300/2008 du Conseil (JO L 83 du 25.3.2019, p. 1).</w:t>
      </w:r>
    </w:p>
  </w:footnote>
  <w:footnote w:id="4">
    <w:p w14:paraId="19F1D435" w14:textId="258E2689" w:rsidR="00AC6617" w:rsidRPr="005357D3" w:rsidRDefault="00AC6617" w:rsidP="00AC6617">
      <w:pPr>
        <w:pStyle w:val="FootnoteText"/>
      </w:pPr>
      <w:r>
        <w:rPr>
          <w:rStyle w:val="FootnoteReference"/>
        </w:rPr>
        <w:footnoteRef/>
      </w:r>
      <w:r w:rsidRPr="005357D3">
        <w:tab/>
        <w:t>Règlement (UE) nº 1380/2013 du Parlement européen et du Conseil du 11 décembre 2013 relatif à la politique commune de la pêche, modifiant les règlements (CE) nº 1954/2003 et (CE) nº 1224/2009 du Conseil et abrogeant les règlements (CE) nº 2371/2002 et (CE) nº 639/2004 du Conseil et la décision 2004/585/CE du Conseil (JO L 354 du 28.12.2013, p. 22).</w:t>
      </w:r>
    </w:p>
  </w:footnote>
  <w:footnote w:id="5">
    <w:p w14:paraId="6D66AF52" w14:textId="1041DEA5" w:rsidR="006F1567" w:rsidRPr="005357D3" w:rsidRDefault="006F1567">
      <w:pPr>
        <w:pStyle w:val="FootnoteText"/>
      </w:pPr>
      <w:r>
        <w:rPr>
          <w:rStyle w:val="FootnoteReference"/>
        </w:rPr>
        <w:footnoteRef/>
      </w:r>
      <w:r w:rsidRPr="005357D3">
        <w:tab/>
        <w:t>L’article 2, point 7), du plan pluriannuel pour la mer du Nord et l’article 2, point 8), des plans pluriannuels pour la mer Baltique et les eaux occidentales définissent le terme «B</w:t>
      </w:r>
      <w:r w:rsidRPr="005357D3">
        <w:rPr>
          <w:vertAlign w:val="subscript"/>
        </w:rPr>
        <w:t>lim</w:t>
      </w:r>
      <w:r w:rsidRPr="005357D3">
        <w:t>» comme «le niveau de référence de la biomasse du stock reproducteur indiqué dans les meilleurs avis scientifiques disponibles, en dessous duquel la capacité reproductive risque d’être réduite».</w:t>
      </w:r>
    </w:p>
  </w:footnote>
  <w:footnote w:id="6">
    <w:p w14:paraId="1760D43A" w14:textId="1C70A895" w:rsidR="00260B87" w:rsidRPr="005357D3" w:rsidRDefault="00260B87" w:rsidP="00260B87">
      <w:pPr>
        <w:pStyle w:val="FootnoteText"/>
      </w:pPr>
      <w:r>
        <w:rPr>
          <w:rStyle w:val="FootnoteReference"/>
        </w:rPr>
        <w:footnoteRef/>
      </w:r>
      <w:r w:rsidRPr="005357D3">
        <w:tab/>
      </w:r>
      <w:hyperlink r:id="rId1" w:history="1">
        <w:r w:rsidRPr="005357D3">
          <w:rPr>
            <w:rStyle w:val="Hyperlink"/>
          </w:rPr>
          <w:t>http://www.ices.dk/advice/Pages/Latest-Advice.aspx</w:t>
        </w:r>
      </w:hyperlink>
    </w:p>
  </w:footnote>
  <w:footnote w:id="7">
    <w:p w14:paraId="78BA7D39" w14:textId="7911D7C9" w:rsidR="004A03DB" w:rsidRPr="005357D3" w:rsidRDefault="004A03DB">
      <w:pPr>
        <w:pStyle w:val="FootnoteText"/>
      </w:pPr>
      <w:r>
        <w:rPr>
          <w:rStyle w:val="FootnoteReference"/>
        </w:rPr>
        <w:footnoteRef/>
      </w:r>
      <w:r w:rsidRPr="005357D3">
        <w:tab/>
        <w:t>Avis du CIEM 2015, livre 6, p. 4, «EU request to ICES provide FMSY ranges for selected North Sea and Baltic Sea stock» (Demande de l’UE au CIEM visant à fournir des fourchettes de FRMD pour certains stocks de la mer du Nord et de la mer Baltique), https://ices-library.figshare.com/Articles/report/EU_request_to_ICES_to_provide_FMSY_ranges_for_selected_North_Sea_and_Baltic_Sea_stocks/18629411/1</w:t>
      </w:r>
    </w:p>
  </w:footnote>
  <w:footnote w:id="8">
    <w:p w14:paraId="2562F0D7" w14:textId="3C6D72F3" w:rsidR="006278E6" w:rsidRPr="005357D3" w:rsidRDefault="006278E6" w:rsidP="006278E6">
      <w:pPr>
        <w:pStyle w:val="FootnoteText"/>
      </w:pPr>
      <w:r>
        <w:rPr>
          <w:rStyle w:val="FootnoteReference"/>
        </w:rPr>
        <w:footnoteRef/>
      </w:r>
      <w:r w:rsidRPr="005357D3">
        <w:tab/>
        <w:t>JO C  du  , p. .</w:t>
      </w:r>
    </w:p>
  </w:footnote>
  <w:footnote w:id="9">
    <w:p w14:paraId="5FBE28C4" w14:textId="2366C8A1" w:rsidR="006278E6" w:rsidRPr="005357D3" w:rsidRDefault="006278E6" w:rsidP="006278E6">
      <w:pPr>
        <w:pStyle w:val="FootnoteText"/>
      </w:pPr>
      <w:r>
        <w:rPr>
          <w:rStyle w:val="FootnoteReference"/>
        </w:rPr>
        <w:footnoteRef/>
      </w:r>
      <w:r w:rsidRPr="005357D3">
        <w:tab/>
        <w:t xml:space="preserve">Règlement (UE) nº 1380/2013 du Parlement européen et du Conseil du 11 décembre 2013 relatif à la politique commune de la pêche, modifiant les règlements (CE) nº 1954/2003 et (CE) nº 1224/2009 du Conseil et abrogeant les règlements (CE) nº 2371/2002 et (CE) nº 639/2004 du Conseil et la décision 2004/585/CE du Conseil (JO L 354 du 28.12.2013, p. 22, </w:t>
      </w:r>
      <w:hyperlink r:id="rId2" w:tooltip="Gives access to this document through its ELI URI." w:history="1">
        <w:r w:rsidRPr="005357D3">
          <w:rPr>
            <w:rStyle w:val="Hyperlink"/>
            <w:color w:val="23527C"/>
            <w:shd w:val="clear" w:color="auto" w:fill="FFFFFF"/>
          </w:rPr>
          <w:t>http://data.europa.eu/eli/reg/2013/1380/2023-01-01</w:t>
        </w:r>
      </w:hyperlink>
      <w:r w:rsidRPr="005357D3">
        <w:t>).</w:t>
      </w:r>
    </w:p>
  </w:footnote>
  <w:footnote w:id="10">
    <w:p w14:paraId="1D2EDE0B" w14:textId="411347FA" w:rsidR="006278E6" w:rsidRPr="005357D3" w:rsidRDefault="006278E6" w:rsidP="006278E6">
      <w:pPr>
        <w:pStyle w:val="FootnoteText"/>
      </w:pPr>
      <w:r>
        <w:rPr>
          <w:rStyle w:val="FootnoteReference"/>
        </w:rPr>
        <w:footnoteRef/>
      </w:r>
      <w:r w:rsidRPr="005357D3">
        <w:tab/>
        <w:t xml:space="preserve">Règlement (UE) 2016/1139 du Parlement européen et du Conseil du 6 juillet 2016 établissant un plan pluriannuel pour les stocks de cabillaud, de hareng et de sprat de la mer Baltique et les pêcheries exploitant ces stocks, modifiant le règlement (CE) nº 2187/2005 du Conseil et abrogeant le règlement (CE) nº 1098/2007 du Conseil (JO L 191 du 15.7.2016, p. 1, </w:t>
      </w:r>
      <w:hyperlink r:id="rId3" w:tooltip="Gives access to this document through its ELI URI." w:history="1">
        <w:r w:rsidRPr="005357D3">
          <w:rPr>
            <w:rStyle w:val="Hyperlink"/>
            <w:color w:val="23527C"/>
            <w:sz w:val="21"/>
            <w:shd w:val="clear" w:color="auto" w:fill="FFFFFF"/>
          </w:rPr>
          <w:t>http://data.europa.eu/eli/reg/2016/1139/2020-12-01</w:t>
        </w:r>
      </w:hyperlink>
      <w:r w:rsidRPr="005357D3">
        <w:t>).</w:t>
      </w:r>
    </w:p>
  </w:footnote>
  <w:footnote w:id="11">
    <w:p w14:paraId="2A09029F" w14:textId="2481AA4A" w:rsidR="006278E6" w:rsidRPr="005357D3" w:rsidRDefault="006278E6" w:rsidP="006278E6">
      <w:pPr>
        <w:pStyle w:val="FootnoteText"/>
      </w:pPr>
      <w:r>
        <w:rPr>
          <w:rStyle w:val="FootnoteReference"/>
        </w:rPr>
        <w:footnoteRef/>
      </w:r>
      <w:r w:rsidRPr="005357D3">
        <w:tab/>
        <w:t xml:space="preserve">Règlement (UE) 2018/973 du Parlement européen et du Conseil du 4 juillet 2018 établissant un plan pluriannuel pour les stocks démersaux de la mer du Nord et les pêcheries exploitant ces stocks, précisant les modalités de la mise en œuvre de l'obligation de débarquement en mer du Nord et abrogeant les règlements (CE) nº 676/2007 et (CE) nº 1342/2008 du Conseil (JO L 179 du 16.7.2018, p. 1, </w:t>
      </w:r>
      <w:hyperlink r:id="rId4" w:tooltip="Gives access to this document through its ELI URI." w:history="1">
        <w:r w:rsidRPr="005357D3">
          <w:rPr>
            <w:rStyle w:val="Hyperlink"/>
            <w:color w:val="23527C"/>
            <w:sz w:val="21"/>
            <w:shd w:val="clear" w:color="auto" w:fill="FFFFFF"/>
          </w:rPr>
          <w:t>http://data.europa.eu/eli/reg/2018/973/2019-08-14</w:t>
        </w:r>
      </w:hyperlink>
      <w:r w:rsidRPr="005357D3">
        <w:t>).</w:t>
      </w:r>
    </w:p>
  </w:footnote>
  <w:footnote w:id="12">
    <w:p w14:paraId="36B65133" w14:textId="6E0F2A80" w:rsidR="006278E6" w:rsidRPr="005357D3" w:rsidRDefault="006278E6" w:rsidP="006278E6">
      <w:pPr>
        <w:pStyle w:val="FootnoteText"/>
      </w:pPr>
      <w:r>
        <w:rPr>
          <w:rStyle w:val="FootnoteReference"/>
        </w:rPr>
        <w:footnoteRef/>
      </w:r>
      <w:r w:rsidRPr="005357D3">
        <w:tab/>
        <w:t xml:space="preserve">Règlement (UE) 2019/472 du Parlement européen et du Conseil du 19 mars 2019 établissant un plan pluriannuel pour les stocks pêchés dans les eaux occidentales et les eaux adjacentes ainsi que pour les pêcheries exploitant ces stocks, modifiant les règlements (UE) 2016/1139 et (UE) 2018/973 et abrogeant les règlements (CE) nº 811/2004, (CE) nº 2166/2005, (CE) nº 388/2006, (CE) nº 509/2007 et (CE) nº 1300/2008 du Conseil (JO L 83 du 25.3.2019, p. 1, </w:t>
      </w:r>
      <w:hyperlink r:id="rId5" w:tooltip="Gives access to this document through its ELI URI." w:history="1">
        <w:r w:rsidRPr="005357D3">
          <w:rPr>
            <w:rStyle w:val="Hyperlink"/>
            <w:color w:val="23527C"/>
            <w:shd w:val="clear" w:color="auto" w:fill="FFFFFF"/>
          </w:rPr>
          <w:t>http://data.europa.eu/eli/reg/2019/472/2019-08-14</w:t>
        </w:r>
      </w:hyperlink>
      <w:r w:rsidRPr="005357D3">
        <w:t>).</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1"/>
    <w:multiLevelType w:val="singleLevel"/>
    <w:tmpl w:val="4A4A643A"/>
    <w:lvl w:ilvl="0">
      <w:start w:val="1"/>
      <w:numFmt w:val="bullet"/>
      <w:pStyle w:val="ListBullet4"/>
      <w:lvlText w:val=""/>
      <w:lvlJc w:val="left"/>
      <w:pPr>
        <w:tabs>
          <w:tab w:val="num" w:pos="1209"/>
        </w:tabs>
        <w:ind w:left="1209" w:hanging="360"/>
      </w:pPr>
      <w:rPr>
        <w:rFonts w:ascii="Symbol" w:hAnsi="Symbol" w:hint="default"/>
      </w:rPr>
    </w:lvl>
  </w:abstractNum>
  <w:abstractNum w:abstractNumId="1" w15:restartNumberingAfterBreak="0">
    <w:nsid w:val="FFFFFF82"/>
    <w:multiLevelType w:val="singleLevel"/>
    <w:tmpl w:val="37FA0082"/>
    <w:lvl w:ilvl="0">
      <w:start w:val="1"/>
      <w:numFmt w:val="bullet"/>
      <w:pStyle w:val="ListBullet3"/>
      <w:lvlText w:val=""/>
      <w:lvlJc w:val="left"/>
      <w:pPr>
        <w:tabs>
          <w:tab w:val="num" w:pos="926"/>
        </w:tabs>
        <w:ind w:left="926" w:hanging="360"/>
      </w:pPr>
      <w:rPr>
        <w:rFonts w:ascii="Symbol" w:hAnsi="Symbol" w:hint="default"/>
      </w:rPr>
    </w:lvl>
  </w:abstractNum>
  <w:abstractNum w:abstractNumId="2" w15:restartNumberingAfterBreak="0">
    <w:nsid w:val="FFFFFF83"/>
    <w:multiLevelType w:val="singleLevel"/>
    <w:tmpl w:val="5218B65C"/>
    <w:lvl w:ilvl="0">
      <w:start w:val="1"/>
      <w:numFmt w:val="bullet"/>
      <w:pStyle w:val="ListBullet2"/>
      <w:lvlText w:val=""/>
      <w:lvlJc w:val="left"/>
      <w:pPr>
        <w:tabs>
          <w:tab w:val="num" w:pos="643"/>
        </w:tabs>
        <w:ind w:left="643" w:hanging="360"/>
      </w:pPr>
      <w:rPr>
        <w:rFonts w:ascii="Symbol" w:hAnsi="Symbol" w:hint="default"/>
      </w:rPr>
    </w:lvl>
  </w:abstractNum>
  <w:abstractNum w:abstractNumId="3" w15:restartNumberingAfterBreak="0">
    <w:nsid w:val="FFFFFF89"/>
    <w:multiLevelType w:val="singleLevel"/>
    <w:tmpl w:val="2C8AF7AA"/>
    <w:lvl w:ilvl="0">
      <w:start w:val="1"/>
      <w:numFmt w:val="bullet"/>
      <w:pStyle w:val="ListBullet"/>
      <w:lvlText w:val=""/>
      <w:lvlJc w:val="left"/>
      <w:pPr>
        <w:tabs>
          <w:tab w:val="num" w:pos="360"/>
        </w:tabs>
        <w:ind w:left="360" w:hanging="360"/>
      </w:pPr>
      <w:rPr>
        <w:rFonts w:ascii="Symbol" w:hAnsi="Symbol" w:hint="default"/>
      </w:rPr>
    </w:lvl>
  </w:abstractNum>
  <w:abstractNum w:abstractNumId="4" w15:restartNumberingAfterBreak="0">
    <w:nsid w:val="1B3C78B8"/>
    <w:multiLevelType w:val="multilevel"/>
    <w:tmpl w:val="2ED4F4D0"/>
    <w:name w:val="Point"/>
    <w:lvl w:ilvl="0">
      <w:start w:val="1"/>
      <w:numFmt w:val="decimal"/>
      <w:lvlRestart w:val="0"/>
      <w:pStyle w:val="Point0number"/>
      <w:lvlText w:val="(%1)"/>
      <w:lvlJc w:val="left"/>
      <w:pPr>
        <w:tabs>
          <w:tab w:val="num" w:pos="850"/>
        </w:tabs>
        <w:ind w:left="850" w:hanging="850"/>
      </w:pPr>
    </w:lvl>
    <w:lvl w:ilvl="1">
      <w:start w:val="1"/>
      <w:numFmt w:val="lowerLetter"/>
      <w:pStyle w:val="Point0letter"/>
      <w:lvlText w:val="(%2)"/>
      <w:lvlJc w:val="left"/>
      <w:pPr>
        <w:tabs>
          <w:tab w:val="num" w:pos="850"/>
        </w:tabs>
        <w:ind w:left="850" w:hanging="850"/>
      </w:pPr>
    </w:lvl>
    <w:lvl w:ilvl="2">
      <w:start w:val="1"/>
      <w:numFmt w:val="decimal"/>
      <w:pStyle w:val="Point1number"/>
      <w:lvlText w:val="(%3)"/>
      <w:lvlJc w:val="left"/>
      <w:pPr>
        <w:tabs>
          <w:tab w:val="num" w:pos="1417"/>
        </w:tabs>
        <w:ind w:left="1417" w:hanging="567"/>
      </w:pPr>
    </w:lvl>
    <w:lvl w:ilvl="3">
      <w:start w:val="1"/>
      <w:numFmt w:val="lowerLetter"/>
      <w:pStyle w:val="Point1letter"/>
      <w:lvlText w:val="(%4)"/>
      <w:lvlJc w:val="left"/>
      <w:pPr>
        <w:tabs>
          <w:tab w:val="num" w:pos="1417"/>
        </w:tabs>
        <w:ind w:left="1417" w:hanging="567"/>
      </w:pPr>
    </w:lvl>
    <w:lvl w:ilvl="4">
      <w:start w:val="1"/>
      <w:numFmt w:val="decimal"/>
      <w:pStyle w:val="Point2number"/>
      <w:lvlText w:val="(%5)"/>
      <w:lvlJc w:val="left"/>
      <w:pPr>
        <w:tabs>
          <w:tab w:val="num" w:pos="1984"/>
        </w:tabs>
        <w:ind w:left="1984" w:hanging="567"/>
      </w:pPr>
    </w:lvl>
    <w:lvl w:ilvl="5">
      <w:start w:val="1"/>
      <w:numFmt w:val="lowerLetter"/>
      <w:pStyle w:val="Point2letter"/>
      <w:lvlText w:val="(%6)"/>
      <w:lvlJc w:val="left"/>
      <w:pPr>
        <w:tabs>
          <w:tab w:val="num" w:pos="1984"/>
        </w:tabs>
        <w:ind w:left="1984" w:hanging="567"/>
      </w:pPr>
    </w:lvl>
    <w:lvl w:ilvl="6">
      <w:start w:val="1"/>
      <w:numFmt w:val="decimal"/>
      <w:pStyle w:val="Point3number"/>
      <w:lvlText w:val="(%7)"/>
      <w:lvlJc w:val="left"/>
      <w:pPr>
        <w:tabs>
          <w:tab w:val="num" w:pos="2551"/>
        </w:tabs>
        <w:ind w:left="2551" w:hanging="567"/>
      </w:pPr>
    </w:lvl>
    <w:lvl w:ilvl="7">
      <w:start w:val="1"/>
      <w:numFmt w:val="lowerLetter"/>
      <w:pStyle w:val="Point3letter"/>
      <w:lvlText w:val="(%8)"/>
      <w:lvlJc w:val="left"/>
      <w:pPr>
        <w:tabs>
          <w:tab w:val="num" w:pos="2551"/>
        </w:tabs>
        <w:ind w:left="2551" w:hanging="567"/>
      </w:pPr>
    </w:lvl>
    <w:lvl w:ilvl="8">
      <w:start w:val="1"/>
      <w:numFmt w:val="lowerLetter"/>
      <w:pStyle w:val="Point4letter"/>
      <w:lvlText w:val="(%9)"/>
      <w:lvlJc w:val="left"/>
      <w:pPr>
        <w:tabs>
          <w:tab w:val="num" w:pos="3118"/>
        </w:tabs>
        <w:ind w:left="3118" w:hanging="567"/>
      </w:pPr>
    </w:lvl>
  </w:abstractNum>
  <w:abstractNum w:abstractNumId="5" w15:restartNumberingAfterBreak="0">
    <w:nsid w:val="22E44180"/>
    <w:multiLevelType w:val="multilevel"/>
    <w:tmpl w:val="DFC88CEC"/>
    <w:name w:val="NumPar"/>
    <w:lvl w:ilvl="0">
      <w:start w:val="1"/>
      <w:numFmt w:val="decimal"/>
      <w:lvlRestart w:val="0"/>
      <w:pStyle w:val="NumPar1"/>
      <w:lvlText w:val="%1."/>
      <w:lvlJc w:val="left"/>
      <w:pPr>
        <w:tabs>
          <w:tab w:val="num" w:pos="850"/>
        </w:tabs>
        <w:ind w:left="850" w:hanging="850"/>
      </w:pPr>
    </w:lvl>
    <w:lvl w:ilvl="1">
      <w:start w:val="1"/>
      <w:numFmt w:val="decimal"/>
      <w:pStyle w:val="NumPar2"/>
      <w:lvlText w:val="%1.%2."/>
      <w:lvlJc w:val="left"/>
      <w:pPr>
        <w:tabs>
          <w:tab w:val="num" w:pos="850"/>
        </w:tabs>
        <w:ind w:left="850" w:hanging="850"/>
      </w:pPr>
    </w:lvl>
    <w:lvl w:ilvl="2">
      <w:start w:val="1"/>
      <w:numFmt w:val="decimal"/>
      <w:pStyle w:val="NumPar3"/>
      <w:lvlText w:val="%1.%2.%3."/>
      <w:lvlJc w:val="left"/>
      <w:pPr>
        <w:tabs>
          <w:tab w:val="num" w:pos="850"/>
        </w:tabs>
        <w:ind w:left="850" w:hanging="850"/>
      </w:pPr>
    </w:lvl>
    <w:lvl w:ilvl="3">
      <w:start w:val="1"/>
      <w:numFmt w:val="decimal"/>
      <w:pStyle w:val="NumPar4"/>
      <w:lvlText w:val="%1.%2.%3.%4."/>
      <w:lvlJc w:val="left"/>
      <w:pPr>
        <w:tabs>
          <w:tab w:val="num" w:pos="850"/>
        </w:tabs>
        <w:ind w:left="850" w:hanging="850"/>
      </w:pPr>
    </w:lvl>
    <w:lvl w:ilvl="4">
      <w:start w:val="1"/>
      <w:numFmt w:val="decimal"/>
      <w:pStyle w:val="NumPar5"/>
      <w:lvlText w:val="%1.%2.%3.%4.%5."/>
      <w:lvlJc w:val="left"/>
      <w:pPr>
        <w:tabs>
          <w:tab w:val="num" w:pos="1417"/>
        </w:tabs>
        <w:ind w:left="1417" w:hanging="1417"/>
      </w:pPr>
    </w:lvl>
    <w:lvl w:ilvl="5">
      <w:start w:val="1"/>
      <w:numFmt w:val="decimal"/>
      <w:pStyle w:val="NumPar6"/>
      <w:lvlText w:val="%1.%2.%3.%4.%5.%6."/>
      <w:lvlJc w:val="left"/>
      <w:pPr>
        <w:tabs>
          <w:tab w:val="num" w:pos="1417"/>
        </w:tabs>
        <w:ind w:left="1417" w:hanging="1417"/>
      </w:pPr>
    </w:lvl>
    <w:lvl w:ilvl="6">
      <w:start w:val="1"/>
      <w:numFmt w:val="decimal"/>
      <w:pStyle w:val="NumPar7"/>
      <w:lvlText w:val="%1.%2.%3.%4.%5.%6.%7."/>
      <w:lvlJc w:val="left"/>
      <w:pPr>
        <w:tabs>
          <w:tab w:val="num" w:pos="1417"/>
        </w:tabs>
        <w:ind w:left="1417" w:hanging="1417"/>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6" w15:restartNumberingAfterBreak="0">
    <w:nsid w:val="2CB72C6E"/>
    <w:multiLevelType w:val="singleLevel"/>
    <w:tmpl w:val="10ACD464"/>
    <w:name w:val="Bullet 3"/>
    <w:lvl w:ilvl="0">
      <w:start w:val="1"/>
      <w:numFmt w:val="bullet"/>
      <w:lvlRestart w:val="0"/>
      <w:pStyle w:val="Bullet3"/>
      <w:lvlText w:val=""/>
      <w:lvlJc w:val="left"/>
      <w:pPr>
        <w:tabs>
          <w:tab w:val="num" w:pos="2551"/>
        </w:tabs>
        <w:ind w:left="2551" w:hanging="567"/>
      </w:pPr>
      <w:rPr>
        <w:rFonts w:ascii="Symbol" w:hAnsi="Symbol" w:hint="default"/>
      </w:rPr>
    </w:lvl>
  </w:abstractNum>
  <w:abstractNum w:abstractNumId="7" w15:restartNumberingAfterBreak="0">
    <w:nsid w:val="2CE9221F"/>
    <w:multiLevelType w:val="singleLevel"/>
    <w:tmpl w:val="9B4AFB48"/>
    <w:name w:val="Tiret 3"/>
    <w:lvl w:ilvl="0">
      <w:start w:val="1"/>
      <w:numFmt w:val="bullet"/>
      <w:lvlRestart w:val="0"/>
      <w:pStyle w:val="Tiret3"/>
      <w:lvlText w:val="–"/>
      <w:lvlJc w:val="left"/>
      <w:pPr>
        <w:tabs>
          <w:tab w:val="num" w:pos="2551"/>
        </w:tabs>
        <w:ind w:left="2551" w:hanging="567"/>
      </w:pPr>
    </w:lvl>
  </w:abstractNum>
  <w:abstractNum w:abstractNumId="8" w15:restartNumberingAfterBreak="0">
    <w:nsid w:val="42713452"/>
    <w:multiLevelType w:val="singleLevel"/>
    <w:tmpl w:val="3B8CC7EA"/>
    <w:name w:val="Tiret 1"/>
    <w:lvl w:ilvl="0">
      <w:start w:val="1"/>
      <w:numFmt w:val="bullet"/>
      <w:lvlRestart w:val="0"/>
      <w:pStyle w:val="Tiret1"/>
      <w:lvlText w:val="–"/>
      <w:lvlJc w:val="left"/>
      <w:pPr>
        <w:tabs>
          <w:tab w:val="num" w:pos="1417"/>
        </w:tabs>
        <w:ind w:left="1417" w:hanging="567"/>
      </w:pPr>
    </w:lvl>
  </w:abstractNum>
  <w:abstractNum w:abstractNumId="9" w15:restartNumberingAfterBreak="0">
    <w:nsid w:val="42FC0772"/>
    <w:multiLevelType w:val="singleLevel"/>
    <w:tmpl w:val="4128FCF8"/>
    <w:name w:val="Tiret 4"/>
    <w:lvl w:ilvl="0">
      <w:start w:val="1"/>
      <w:numFmt w:val="bullet"/>
      <w:lvlRestart w:val="0"/>
      <w:pStyle w:val="Tiret4"/>
      <w:lvlText w:val="–"/>
      <w:lvlJc w:val="left"/>
      <w:pPr>
        <w:tabs>
          <w:tab w:val="num" w:pos="3118"/>
        </w:tabs>
        <w:ind w:left="3118" w:hanging="567"/>
      </w:pPr>
    </w:lvl>
  </w:abstractNum>
  <w:abstractNum w:abstractNumId="10" w15:restartNumberingAfterBreak="0">
    <w:nsid w:val="42FC077D"/>
    <w:multiLevelType w:val="singleLevel"/>
    <w:tmpl w:val="4128FD03"/>
    <w:name w:val="Tiret 5"/>
    <w:lvl w:ilvl="0">
      <w:start w:val="1"/>
      <w:numFmt w:val="bullet"/>
      <w:lvlRestart w:val="0"/>
      <w:pStyle w:val="Tiret5"/>
      <w:lvlText w:val="–"/>
      <w:lvlJc w:val="left"/>
      <w:pPr>
        <w:tabs>
          <w:tab w:val="num" w:pos="3685"/>
        </w:tabs>
        <w:ind w:left="3685" w:hanging="567"/>
      </w:pPr>
    </w:lvl>
  </w:abstractNum>
  <w:abstractNum w:abstractNumId="11" w15:restartNumberingAfterBreak="0">
    <w:nsid w:val="4552127F"/>
    <w:multiLevelType w:val="singleLevel"/>
    <w:tmpl w:val="057A5296"/>
    <w:name w:val="Bullet 0"/>
    <w:lvl w:ilvl="0">
      <w:start w:val="1"/>
      <w:numFmt w:val="bullet"/>
      <w:lvlRestart w:val="0"/>
      <w:pStyle w:val="Bullet0"/>
      <w:lvlText w:val=""/>
      <w:lvlJc w:val="left"/>
      <w:pPr>
        <w:tabs>
          <w:tab w:val="num" w:pos="850"/>
        </w:tabs>
        <w:ind w:left="850" w:hanging="850"/>
      </w:pPr>
      <w:rPr>
        <w:rFonts w:ascii="Symbol" w:hAnsi="Symbol" w:hint="default"/>
      </w:rPr>
    </w:lvl>
  </w:abstractNum>
  <w:abstractNum w:abstractNumId="12" w15:restartNumberingAfterBreak="0">
    <w:nsid w:val="556E1D63"/>
    <w:multiLevelType w:val="singleLevel"/>
    <w:tmpl w:val="493AAFF0"/>
    <w:name w:val="Bullet 4"/>
    <w:lvl w:ilvl="0">
      <w:start w:val="1"/>
      <w:numFmt w:val="bullet"/>
      <w:lvlRestart w:val="0"/>
      <w:pStyle w:val="Bullet4"/>
      <w:lvlText w:val=""/>
      <w:lvlJc w:val="left"/>
      <w:pPr>
        <w:tabs>
          <w:tab w:val="num" w:pos="3118"/>
        </w:tabs>
        <w:ind w:left="3118" w:hanging="567"/>
      </w:pPr>
      <w:rPr>
        <w:rFonts w:ascii="Symbol" w:hAnsi="Symbol" w:hint="default"/>
      </w:rPr>
    </w:lvl>
  </w:abstractNum>
  <w:abstractNum w:abstractNumId="13" w15:restartNumberingAfterBreak="0">
    <w:nsid w:val="5B395AAA"/>
    <w:multiLevelType w:val="singleLevel"/>
    <w:tmpl w:val="96D02E8A"/>
    <w:name w:val="Bullet 1"/>
    <w:lvl w:ilvl="0">
      <w:start w:val="1"/>
      <w:numFmt w:val="bullet"/>
      <w:lvlRestart w:val="0"/>
      <w:pStyle w:val="Bullet1"/>
      <w:lvlText w:val=""/>
      <w:lvlJc w:val="left"/>
      <w:pPr>
        <w:tabs>
          <w:tab w:val="num" w:pos="1417"/>
        </w:tabs>
        <w:ind w:left="1417" w:hanging="567"/>
      </w:pPr>
      <w:rPr>
        <w:rFonts w:ascii="Symbol" w:hAnsi="Symbol" w:hint="default"/>
      </w:rPr>
    </w:lvl>
  </w:abstractNum>
  <w:abstractNum w:abstractNumId="14" w15:restartNumberingAfterBreak="0">
    <w:nsid w:val="5C056EE5"/>
    <w:multiLevelType w:val="singleLevel"/>
    <w:tmpl w:val="3378D27C"/>
    <w:name w:val="Bullet 2"/>
    <w:lvl w:ilvl="0">
      <w:start w:val="1"/>
      <w:numFmt w:val="bullet"/>
      <w:lvlRestart w:val="0"/>
      <w:pStyle w:val="Bullet2"/>
      <w:lvlText w:val=""/>
      <w:lvlJc w:val="left"/>
      <w:pPr>
        <w:tabs>
          <w:tab w:val="num" w:pos="1984"/>
        </w:tabs>
        <w:ind w:left="1984" w:hanging="567"/>
      </w:pPr>
      <w:rPr>
        <w:rFonts w:ascii="Symbol" w:hAnsi="Symbol" w:hint="default"/>
      </w:rPr>
    </w:lvl>
  </w:abstractNum>
  <w:abstractNum w:abstractNumId="15" w15:restartNumberingAfterBreak="0">
    <w:nsid w:val="5CA31A15"/>
    <w:multiLevelType w:val="singleLevel"/>
    <w:tmpl w:val="CB981644"/>
    <w:name w:val="Tiret 0"/>
    <w:lvl w:ilvl="0">
      <w:start w:val="1"/>
      <w:numFmt w:val="bullet"/>
      <w:lvlRestart w:val="0"/>
      <w:pStyle w:val="Tiret0"/>
      <w:lvlText w:val="–"/>
      <w:lvlJc w:val="left"/>
      <w:pPr>
        <w:tabs>
          <w:tab w:val="num" w:pos="850"/>
        </w:tabs>
        <w:ind w:left="850" w:hanging="850"/>
      </w:pPr>
    </w:lvl>
  </w:abstractNum>
  <w:abstractNum w:abstractNumId="16" w15:restartNumberingAfterBreak="0">
    <w:nsid w:val="64A12FA4"/>
    <w:multiLevelType w:val="multilevel"/>
    <w:tmpl w:val="428ECF3E"/>
    <w:name w:val="Heading"/>
    <w:lvl w:ilvl="0">
      <w:start w:val="1"/>
      <w:numFmt w:val="decimal"/>
      <w:lvlRestart w:val="0"/>
      <w:pStyle w:val="Heading1"/>
      <w:lvlText w:val="%1."/>
      <w:lvlJc w:val="left"/>
      <w:pPr>
        <w:tabs>
          <w:tab w:val="num" w:pos="850"/>
        </w:tabs>
        <w:ind w:left="850" w:hanging="850"/>
      </w:pPr>
    </w:lvl>
    <w:lvl w:ilvl="1">
      <w:start w:val="1"/>
      <w:numFmt w:val="decimal"/>
      <w:pStyle w:val="Heading2"/>
      <w:lvlText w:val="%1.%2."/>
      <w:lvlJc w:val="left"/>
      <w:pPr>
        <w:tabs>
          <w:tab w:val="num" w:pos="850"/>
        </w:tabs>
        <w:ind w:left="850" w:hanging="850"/>
      </w:pPr>
    </w:lvl>
    <w:lvl w:ilvl="2">
      <w:start w:val="1"/>
      <w:numFmt w:val="decimal"/>
      <w:pStyle w:val="Heading3"/>
      <w:lvlText w:val="%1.%2.%3."/>
      <w:lvlJc w:val="left"/>
      <w:pPr>
        <w:tabs>
          <w:tab w:val="num" w:pos="850"/>
        </w:tabs>
        <w:ind w:left="850" w:hanging="850"/>
      </w:pPr>
    </w:lvl>
    <w:lvl w:ilvl="3">
      <w:start w:val="1"/>
      <w:numFmt w:val="decimal"/>
      <w:pStyle w:val="Heading4"/>
      <w:lvlText w:val="%1.%2.%3.%4."/>
      <w:lvlJc w:val="left"/>
      <w:pPr>
        <w:tabs>
          <w:tab w:val="num" w:pos="850"/>
        </w:tabs>
        <w:ind w:left="850" w:hanging="850"/>
      </w:pPr>
    </w:lvl>
    <w:lvl w:ilvl="4">
      <w:start w:val="1"/>
      <w:numFmt w:val="decimal"/>
      <w:pStyle w:val="Heading5"/>
      <w:lvlText w:val="%1.%2.%3.%4.%5."/>
      <w:lvlJc w:val="left"/>
      <w:pPr>
        <w:tabs>
          <w:tab w:val="num" w:pos="1417"/>
        </w:tabs>
        <w:ind w:left="1417" w:hanging="1417"/>
      </w:pPr>
    </w:lvl>
    <w:lvl w:ilvl="5">
      <w:start w:val="1"/>
      <w:numFmt w:val="decimal"/>
      <w:pStyle w:val="Heading6"/>
      <w:lvlText w:val="%1.%2.%3.%4.%5.%6."/>
      <w:lvlJc w:val="left"/>
      <w:pPr>
        <w:tabs>
          <w:tab w:val="num" w:pos="1417"/>
        </w:tabs>
        <w:ind w:left="1417" w:hanging="1417"/>
      </w:pPr>
    </w:lvl>
    <w:lvl w:ilvl="6">
      <w:start w:val="1"/>
      <w:numFmt w:val="decimal"/>
      <w:pStyle w:val="Heading7"/>
      <w:lvlText w:val="%1.%2.%3.%4.%5.%6.%7."/>
      <w:lvlJc w:val="left"/>
      <w:pPr>
        <w:tabs>
          <w:tab w:val="num" w:pos="1417"/>
        </w:tabs>
        <w:ind w:left="1417" w:hanging="1417"/>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7" w15:restartNumberingAfterBreak="0">
    <w:nsid w:val="67B856F6"/>
    <w:multiLevelType w:val="singleLevel"/>
    <w:tmpl w:val="0AB28E9C"/>
    <w:name w:val="Tiret 2"/>
    <w:lvl w:ilvl="0">
      <w:start w:val="1"/>
      <w:numFmt w:val="bullet"/>
      <w:lvlRestart w:val="0"/>
      <w:pStyle w:val="Tiret2"/>
      <w:lvlText w:val="–"/>
      <w:lvlJc w:val="left"/>
      <w:pPr>
        <w:tabs>
          <w:tab w:val="num" w:pos="1984"/>
        </w:tabs>
        <w:ind w:left="1984" w:hanging="567"/>
      </w:pPr>
    </w:lvl>
  </w:abstractNum>
  <w:abstractNum w:abstractNumId="18" w15:restartNumberingAfterBreak="0">
    <w:nsid w:val="7CBE4812"/>
    <w:multiLevelType w:val="singleLevel"/>
    <w:tmpl w:val="23C821E4"/>
    <w:name w:val="Considérant"/>
    <w:lvl w:ilvl="0">
      <w:start w:val="1"/>
      <w:numFmt w:val="decimal"/>
      <w:lvlRestart w:val="0"/>
      <w:pStyle w:val="Considrant"/>
      <w:lvlText w:val="(%1)"/>
      <w:lvlJc w:val="left"/>
      <w:pPr>
        <w:tabs>
          <w:tab w:val="num" w:pos="709"/>
        </w:tabs>
        <w:ind w:left="709" w:hanging="709"/>
      </w:pPr>
    </w:lvl>
  </w:abstractNum>
  <w:num w:numId="1">
    <w:abstractNumId w:val="3"/>
  </w:num>
  <w:num w:numId="2">
    <w:abstractNumId w:val="2"/>
  </w:num>
  <w:num w:numId="3">
    <w:abstractNumId w:val="1"/>
  </w:num>
  <w:num w:numId="4">
    <w:abstractNumId w:val="0"/>
  </w:num>
  <w:num w:numId="5">
    <w:abstractNumId w:val="18"/>
    <w:lvlOverride w:ilvl="0">
      <w:startOverride w:val="1"/>
    </w:lvlOverride>
  </w:num>
  <w:num w:numId="6">
    <w:abstractNumId w:val="15"/>
  </w:num>
  <w:num w:numId="7">
    <w:abstractNumId w:val="8"/>
  </w:num>
  <w:num w:numId="8">
    <w:abstractNumId w:val="17"/>
  </w:num>
  <w:num w:numId="9">
    <w:abstractNumId w:val="7"/>
  </w:num>
  <w:num w:numId="10">
    <w:abstractNumId w:val="9"/>
  </w:num>
  <w:num w:numId="11">
    <w:abstractNumId w:val="10"/>
  </w:num>
  <w:num w:numId="12">
    <w:abstractNumId w:val="5"/>
  </w:num>
  <w:num w:numId="13">
    <w:abstractNumId w:val="16"/>
  </w:num>
  <w:num w:numId="14">
    <w:abstractNumId w:val="4"/>
  </w:num>
  <w:num w:numId="15">
    <w:abstractNumId w:val="11"/>
  </w:num>
  <w:num w:numId="16">
    <w:abstractNumId w:val="13"/>
  </w:num>
  <w:num w:numId="17">
    <w:abstractNumId w:val="14"/>
  </w:num>
  <w:num w:numId="18">
    <w:abstractNumId w:val="6"/>
  </w:num>
  <w:num w:numId="19">
    <w:abstractNumId w:val="12"/>
  </w:num>
  <w:num w:numId="20">
    <w:abstractNumId w:val="18"/>
  </w:num>
  <w:numIdMacAtCleanup w:val="2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zoom w:percent="100"/>
  <w:hideSpellingErrors/>
  <w:hideGrammaticalErrors/>
  <w:attachedTemplate r:id="rId1"/>
  <w:revisionView w:markup="0"/>
  <w:defaultTabStop w:val="720"/>
  <w:hyphenationZone w:val="425"/>
  <w:characterSpacingControl w:val="doNotCompress"/>
  <w:hdrShapeDefaults>
    <o:shapedefaults v:ext="edit" spidmax="2051"/>
  </w:hdrShapeDefaults>
  <w:footnotePr>
    <w:footnote w:id="-1"/>
    <w:footnote w:id="0"/>
  </w:footnotePr>
  <w:endnotePr>
    <w:endnote w:id="-1"/>
    <w:endnote w:id="0"/>
  </w:endnotePr>
  <w:compat>
    <w:compatSetting w:name="compatibilityMode" w:uri="http://schemas.microsoft.com/office/word" w:val="12"/>
  </w:compat>
  <w:docVars>
    <w:docVar w:name="CR_RefLast" w:val="0"/>
    <w:docVar w:name="DQCDateTime" w:val="2023-12-06 16:15:11"/>
    <w:docVar w:name="DQCResult_Distribution" w:val="0;0"/>
    <w:docVar w:name="DQCResult_DocumentContent" w:val="0;0"/>
    <w:docVar w:name="DQCResult_DocumentSize" w:val="0;0"/>
    <w:docVar w:name="DQCResult_InvalidFootnotes" w:val="0;0"/>
    <w:docVar w:name="DQCResult_ModifiedMarkers" w:val="0;0"/>
    <w:docVar w:name="DQCResult_ModifiedNumbering" w:val="0;0"/>
    <w:docVar w:name="DQCResult_Objects" w:val="0;0"/>
    <w:docVar w:name="DQCResult_StructureCheck" w:val="0;0"/>
    <w:docVar w:name="DQCStatus" w:val="Green"/>
    <w:docVar w:name="DQCVersion" w:val="3"/>
    <w:docVar w:name="DQCWithWarnings" w:val="0"/>
    <w:docVar w:name="LW_CORRIGENDUM" w:val="&lt;UNUSED&gt;"/>
    <w:docVar w:name="LW_COVERPAGE_EXISTS" w:val="True"/>
    <w:docVar w:name="LW_COVERPAGE_GUID" w:val="2E3B7857-9C1E-4F91-BDCE-BB726C1B2CF1"/>
    <w:docVar w:name="LW_COVERPAGE_TYPE" w:val="1"/>
    <w:docVar w:name="LW_CROSSREFERENCE" w:val="&lt;UNUSED&gt;"/>
    <w:docVar w:name="LW_DocType" w:val="COM"/>
    <w:docVar w:name="LW_EMISSION" w:val="6.12.2023"/>
    <w:docVar w:name="LW_EMISSION_ISODATE" w:val="2023-12-06"/>
    <w:docVar w:name="LW_EMISSION_LOCATION" w:val="BRX"/>
    <w:docVar w:name="LW_EMISSION_PREFIX" w:val="Bruxelles, le "/>
    <w:docVar w:name="LW_EMISSION_SUFFIX" w:val=" "/>
    <w:docVar w:name="LW_ID_DOCMODEL" w:val="SJ-023"/>
    <w:docVar w:name="LW_ID_DOCSIGNATURE" w:val="SJ-023"/>
    <w:docVar w:name="LW_ID_DOCSTRUCTURE" w:val="COM/PL/ORG"/>
    <w:docVar w:name="LW_ID_DOCTYPE" w:val="SJ-023"/>
    <w:docVar w:name="LW_ID_STATUT" w:val="SJ-023"/>
    <w:docVar w:name="LW_INSERT_EXP.MOTIFS.NEW" w:val="1"/>
    <w:docVar w:name="LW_INTERETEEE.CP" w:val="&lt;UNUSED&gt;"/>
    <w:docVar w:name="LW_LANGUE" w:val="FR"/>
    <w:docVar w:name="LW_LEVEL_OF_SENSITIVITY" w:val="Standard treatment"/>
    <w:docVar w:name="LW_NOM.INST" w:val="COMMISSION EUROPÉENNE"/>
    <w:docVar w:name="LW_NOM.INST_JOINTDOC" w:val="&lt;EMPTY&gt;"/>
    <w:docVar w:name="LW_PART_NBR" w:val="1"/>
    <w:docVar w:name="LW_PART_NBR_TOTAL" w:val="1"/>
    <w:docVar w:name="LW_REF.II.NEW.CP" w:val="COD"/>
    <w:docVar w:name="LW_REF.II.NEW.CP_NUMBER" w:val="0449"/>
    <w:docVar w:name="LW_REF.II.NEW.CP_YEAR" w:val="2023"/>
    <w:docVar w:name="LW_REF.INST.NEW" w:val="COM"/>
    <w:docVar w:name="LW_REF.INST.NEW_ADOPTED" w:val="final"/>
    <w:docVar w:name="LW_REF.INST.NEW_TEXT" w:val="(2023) 771"/>
    <w:docVar w:name="LW_REF.INTERNE" w:val="&lt;UNUSED&gt;"/>
    <w:docVar w:name="LW_SENSITIVITY" w:val="&lt;?xml version=&quot;1.0&quot; encoding=&quot;utf-8&quot;?&gt;_x000d__x000a_&lt;SensitivityLevel xmlns:xsd=&quot;http://www.w3.org/2001/XMLSchema&quot; xmlns:xsi=&quot;http://www.w3.org/2001/XMLSchema-instance&quot; id=&quot;standard&quot;&gt;_x000d__x000a_  &lt;nicename EN=&quot;Standard treatment&quot; FR=&quot;Traitement standard&quot; /&gt;_x000d__x000a_  &lt;documentProperty&gt;Standard treatment&lt;/documentProperty&gt;_x000d__x000a_  &lt;markingConfig isAvailable=&quot;false&quot; isMandatory=&quot;false&quot; sensitiveMarkingMandatory=&quot;false&quot; specialMarkingMandatory=&quot;true&quot; isOptionDisplayInHeaderAvailable=&quot;true&quot; sensitiveMarkingListSee=&quot;SensitiveMarkings&quot; specialMarkingListSee=&quot;SpecialMarkings&quot; sensitiveFootnoteTextSee=&quot;sensitiveFootnote&quot; specialFootnoteTextSee=&quot;specialFootnote&quot; /&gt;_x000d__x000a_  &lt;chosenMainMarking xsi:nil=&quot;true&quot; /&gt;_x000d__x000a_  &lt;dateMarking xsi:nil=&quot;true&quot; /&gt;_x000d__x000a_  &lt;releasableToConfig isAvailable=&quot;false&quot; institutionListSee=&quot;DefaultInstitutions&quot; /&gt;_x000d__x000a_  &lt;chosenReleasableTo xsi:nil=&quot;true&quot; /&gt;_x000d__x000a_  &lt;detached xsi:nil=&quot;true&quot; /&gt;_x000d__x000a_  &lt;declassify xsi:nil=&quot;true&quot; /&gt;_x000d__x000a_  &lt;headerTexts xsi:nil=&quot;true&quot; /&gt;_x000d__x000a_  &lt;footerTexts xsi:nil=&quot;true&quot; /&gt;_x000d__x000a_  &lt;isRestricted&gt;false&lt;/isRestricted&gt;_x000d__x000a_&lt;/SensitivityLevel&gt;"/>
    <w:docVar w:name="LW_STATUT.CP" w:val="Proposition de"/>
    <w:docVar w:name="LW_SUPERTITRE" w:val="&lt;UNUSED&gt;"/>
    <w:docVar w:name="LW_TITRE.OBJ.CP" w:val="modifiant les règlements (UE) 2016/1139, (UE) 2018/973 et (UE) 2019/472 en ce qui concerne les objectifs ciblés pour la fixation des possibilités de pêche"/>
    <w:docVar w:name="LW_TYPE.DOC.CP" w:val="RÈGLEMENT DU PARLEMENT EUROPÉEN ET DU CONSEIL"/>
    <w:docVar w:name="LwApiVersions" w:val="LW4CoDe 1.23.2.0; LW 8.0, Build 20211117"/>
  </w:docVars>
  <w:rsids>
    <w:rsidRoot w:val="00AB6C71"/>
    <w:rsid w:val="000024B0"/>
    <w:rsid w:val="00023409"/>
    <w:rsid w:val="000372FD"/>
    <w:rsid w:val="00043C8D"/>
    <w:rsid w:val="00060892"/>
    <w:rsid w:val="000672F8"/>
    <w:rsid w:val="000715EA"/>
    <w:rsid w:val="00081E81"/>
    <w:rsid w:val="0009714F"/>
    <w:rsid w:val="000A142D"/>
    <w:rsid w:val="000B4D25"/>
    <w:rsid w:val="000B4D6C"/>
    <w:rsid w:val="000B572A"/>
    <w:rsid w:val="000C4997"/>
    <w:rsid w:val="000D5F2F"/>
    <w:rsid w:val="000D74C9"/>
    <w:rsid w:val="000F5940"/>
    <w:rsid w:val="001065F5"/>
    <w:rsid w:val="00106735"/>
    <w:rsid w:val="0011037C"/>
    <w:rsid w:val="00122E7D"/>
    <w:rsid w:val="001238EF"/>
    <w:rsid w:val="00127FE1"/>
    <w:rsid w:val="001457D6"/>
    <w:rsid w:val="0014769C"/>
    <w:rsid w:val="0016058E"/>
    <w:rsid w:val="001615B5"/>
    <w:rsid w:val="001700B4"/>
    <w:rsid w:val="0017164F"/>
    <w:rsid w:val="00196BBE"/>
    <w:rsid w:val="00197613"/>
    <w:rsid w:val="001A0FD4"/>
    <w:rsid w:val="001B0BB2"/>
    <w:rsid w:val="001B2C32"/>
    <w:rsid w:val="001C2BEC"/>
    <w:rsid w:val="001D20A1"/>
    <w:rsid w:val="001D6488"/>
    <w:rsid w:val="001D6C5E"/>
    <w:rsid w:val="001F6387"/>
    <w:rsid w:val="00215BDE"/>
    <w:rsid w:val="00233DC7"/>
    <w:rsid w:val="00237EDB"/>
    <w:rsid w:val="00247779"/>
    <w:rsid w:val="00251AC7"/>
    <w:rsid w:val="002535C9"/>
    <w:rsid w:val="00257BBD"/>
    <w:rsid w:val="00260B87"/>
    <w:rsid w:val="00263271"/>
    <w:rsid w:val="002706B9"/>
    <w:rsid w:val="00271023"/>
    <w:rsid w:val="00281A08"/>
    <w:rsid w:val="00281BCA"/>
    <w:rsid w:val="00285BEE"/>
    <w:rsid w:val="00291CB3"/>
    <w:rsid w:val="0029533F"/>
    <w:rsid w:val="00295F40"/>
    <w:rsid w:val="00296661"/>
    <w:rsid w:val="002A6494"/>
    <w:rsid w:val="002B1E1B"/>
    <w:rsid w:val="002B30AF"/>
    <w:rsid w:val="002D2B81"/>
    <w:rsid w:val="002D5644"/>
    <w:rsid w:val="002F1ECB"/>
    <w:rsid w:val="002F627D"/>
    <w:rsid w:val="002F6C34"/>
    <w:rsid w:val="003239CB"/>
    <w:rsid w:val="00326EFE"/>
    <w:rsid w:val="0033344A"/>
    <w:rsid w:val="00333C9A"/>
    <w:rsid w:val="0034518C"/>
    <w:rsid w:val="0035598E"/>
    <w:rsid w:val="003614BB"/>
    <w:rsid w:val="00372100"/>
    <w:rsid w:val="0039052E"/>
    <w:rsid w:val="0039175F"/>
    <w:rsid w:val="00396551"/>
    <w:rsid w:val="003A12C5"/>
    <w:rsid w:val="003B38B1"/>
    <w:rsid w:val="003B6C47"/>
    <w:rsid w:val="003C4617"/>
    <w:rsid w:val="003E39D3"/>
    <w:rsid w:val="003F30A3"/>
    <w:rsid w:val="00401943"/>
    <w:rsid w:val="004063A7"/>
    <w:rsid w:val="00410DDF"/>
    <w:rsid w:val="00417DA2"/>
    <w:rsid w:val="0042648E"/>
    <w:rsid w:val="004462DA"/>
    <w:rsid w:val="00456938"/>
    <w:rsid w:val="0045728F"/>
    <w:rsid w:val="00457C3B"/>
    <w:rsid w:val="00467BD3"/>
    <w:rsid w:val="00475E8C"/>
    <w:rsid w:val="00476E8A"/>
    <w:rsid w:val="00490EA7"/>
    <w:rsid w:val="00491152"/>
    <w:rsid w:val="00491A47"/>
    <w:rsid w:val="004936D2"/>
    <w:rsid w:val="00495B4A"/>
    <w:rsid w:val="00495D19"/>
    <w:rsid w:val="004A03DB"/>
    <w:rsid w:val="004B6B60"/>
    <w:rsid w:val="004B7C4F"/>
    <w:rsid w:val="004C0383"/>
    <w:rsid w:val="004C2877"/>
    <w:rsid w:val="004D0919"/>
    <w:rsid w:val="004E7EED"/>
    <w:rsid w:val="005042FA"/>
    <w:rsid w:val="0050694B"/>
    <w:rsid w:val="005357D3"/>
    <w:rsid w:val="0055329C"/>
    <w:rsid w:val="0055381D"/>
    <w:rsid w:val="005546DB"/>
    <w:rsid w:val="00555E66"/>
    <w:rsid w:val="0056371A"/>
    <w:rsid w:val="0056594C"/>
    <w:rsid w:val="00565E11"/>
    <w:rsid w:val="005670E5"/>
    <w:rsid w:val="005762CF"/>
    <w:rsid w:val="00591E8E"/>
    <w:rsid w:val="00597DEE"/>
    <w:rsid w:val="005A237F"/>
    <w:rsid w:val="005B1EB6"/>
    <w:rsid w:val="005B43D9"/>
    <w:rsid w:val="005C26DF"/>
    <w:rsid w:val="005C29F0"/>
    <w:rsid w:val="005D245C"/>
    <w:rsid w:val="005D45AE"/>
    <w:rsid w:val="005E1379"/>
    <w:rsid w:val="005F4CB6"/>
    <w:rsid w:val="00603CC9"/>
    <w:rsid w:val="00605A24"/>
    <w:rsid w:val="006132C7"/>
    <w:rsid w:val="0061385F"/>
    <w:rsid w:val="00622D4D"/>
    <w:rsid w:val="006255BC"/>
    <w:rsid w:val="006278E6"/>
    <w:rsid w:val="00632ED7"/>
    <w:rsid w:val="0064606C"/>
    <w:rsid w:val="0064748A"/>
    <w:rsid w:val="00662599"/>
    <w:rsid w:val="00680F2A"/>
    <w:rsid w:val="0068348E"/>
    <w:rsid w:val="0069352F"/>
    <w:rsid w:val="00695C14"/>
    <w:rsid w:val="00697D6B"/>
    <w:rsid w:val="006A052A"/>
    <w:rsid w:val="006A208E"/>
    <w:rsid w:val="006A2A1B"/>
    <w:rsid w:val="006A5720"/>
    <w:rsid w:val="006C2403"/>
    <w:rsid w:val="006C41DC"/>
    <w:rsid w:val="006C69EC"/>
    <w:rsid w:val="006D3852"/>
    <w:rsid w:val="006F1567"/>
    <w:rsid w:val="006F1E7A"/>
    <w:rsid w:val="006F46C9"/>
    <w:rsid w:val="006F64DD"/>
    <w:rsid w:val="00702706"/>
    <w:rsid w:val="00703651"/>
    <w:rsid w:val="007139BE"/>
    <w:rsid w:val="00720D10"/>
    <w:rsid w:val="0072591D"/>
    <w:rsid w:val="00726BB2"/>
    <w:rsid w:val="00730676"/>
    <w:rsid w:val="0073430E"/>
    <w:rsid w:val="007428F0"/>
    <w:rsid w:val="00747FC4"/>
    <w:rsid w:val="00762D9D"/>
    <w:rsid w:val="00763A19"/>
    <w:rsid w:val="00763C2E"/>
    <w:rsid w:val="00771DD7"/>
    <w:rsid w:val="00773331"/>
    <w:rsid w:val="007811A7"/>
    <w:rsid w:val="00791C9C"/>
    <w:rsid w:val="00791E18"/>
    <w:rsid w:val="007920DB"/>
    <w:rsid w:val="007932EF"/>
    <w:rsid w:val="007A4C19"/>
    <w:rsid w:val="007B3713"/>
    <w:rsid w:val="007B4541"/>
    <w:rsid w:val="007C655E"/>
    <w:rsid w:val="007D543B"/>
    <w:rsid w:val="007E05B0"/>
    <w:rsid w:val="007F551A"/>
    <w:rsid w:val="00801A4A"/>
    <w:rsid w:val="00805BF8"/>
    <w:rsid w:val="00810882"/>
    <w:rsid w:val="0083075E"/>
    <w:rsid w:val="00831394"/>
    <w:rsid w:val="00835BB0"/>
    <w:rsid w:val="008428E2"/>
    <w:rsid w:val="00844918"/>
    <w:rsid w:val="0085204C"/>
    <w:rsid w:val="00854A81"/>
    <w:rsid w:val="00855401"/>
    <w:rsid w:val="00861497"/>
    <w:rsid w:val="00865489"/>
    <w:rsid w:val="00870649"/>
    <w:rsid w:val="00874D22"/>
    <w:rsid w:val="00882102"/>
    <w:rsid w:val="00883626"/>
    <w:rsid w:val="008903D8"/>
    <w:rsid w:val="008A2914"/>
    <w:rsid w:val="008B00E8"/>
    <w:rsid w:val="008B45B7"/>
    <w:rsid w:val="008B7500"/>
    <w:rsid w:val="008B77BF"/>
    <w:rsid w:val="008C0A0E"/>
    <w:rsid w:val="008C5A77"/>
    <w:rsid w:val="008D5AE2"/>
    <w:rsid w:val="008E4D8E"/>
    <w:rsid w:val="008E5970"/>
    <w:rsid w:val="008F1917"/>
    <w:rsid w:val="008F382A"/>
    <w:rsid w:val="009472E5"/>
    <w:rsid w:val="0096253C"/>
    <w:rsid w:val="00962591"/>
    <w:rsid w:val="00963182"/>
    <w:rsid w:val="0097155F"/>
    <w:rsid w:val="009817DC"/>
    <w:rsid w:val="00982129"/>
    <w:rsid w:val="00991423"/>
    <w:rsid w:val="009A0097"/>
    <w:rsid w:val="009A2089"/>
    <w:rsid w:val="009B35CC"/>
    <w:rsid w:val="009B5306"/>
    <w:rsid w:val="009B5577"/>
    <w:rsid w:val="009C3635"/>
    <w:rsid w:val="009D69A7"/>
    <w:rsid w:val="009D6DC9"/>
    <w:rsid w:val="009E48A0"/>
    <w:rsid w:val="009E6D04"/>
    <w:rsid w:val="009F0EFA"/>
    <w:rsid w:val="009F2564"/>
    <w:rsid w:val="00A007A7"/>
    <w:rsid w:val="00A01299"/>
    <w:rsid w:val="00A10EAC"/>
    <w:rsid w:val="00A1570D"/>
    <w:rsid w:val="00A16990"/>
    <w:rsid w:val="00A26C61"/>
    <w:rsid w:val="00A33808"/>
    <w:rsid w:val="00A34730"/>
    <w:rsid w:val="00A4664D"/>
    <w:rsid w:val="00A66590"/>
    <w:rsid w:val="00A74556"/>
    <w:rsid w:val="00A746A5"/>
    <w:rsid w:val="00A75EE0"/>
    <w:rsid w:val="00A8322C"/>
    <w:rsid w:val="00A91BC1"/>
    <w:rsid w:val="00A939F0"/>
    <w:rsid w:val="00AA4356"/>
    <w:rsid w:val="00AA6161"/>
    <w:rsid w:val="00AB31AE"/>
    <w:rsid w:val="00AB6C71"/>
    <w:rsid w:val="00AC088F"/>
    <w:rsid w:val="00AC3350"/>
    <w:rsid w:val="00AC33C0"/>
    <w:rsid w:val="00AC6617"/>
    <w:rsid w:val="00AD08E7"/>
    <w:rsid w:val="00AD68C2"/>
    <w:rsid w:val="00AD7A69"/>
    <w:rsid w:val="00AF1346"/>
    <w:rsid w:val="00AF478D"/>
    <w:rsid w:val="00AF5061"/>
    <w:rsid w:val="00AF5EDB"/>
    <w:rsid w:val="00B00B62"/>
    <w:rsid w:val="00B14DD9"/>
    <w:rsid w:val="00B15C8D"/>
    <w:rsid w:val="00B16A60"/>
    <w:rsid w:val="00B24E2C"/>
    <w:rsid w:val="00B254CA"/>
    <w:rsid w:val="00B33F06"/>
    <w:rsid w:val="00B35E8C"/>
    <w:rsid w:val="00B56B94"/>
    <w:rsid w:val="00B57882"/>
    <w:rsid w:val="00B64A35"/>
    <w:rsid w:val="00B65B76"/>
    <w:rsid w:val="00B8087B"/>
    <w:rsid w:val="00B86DA9"/>
    <w:rsid w:val="00B94E24"/>
    <w:rsid w:val="00B97C82"/>
    <w:rsid w:val="00BB7D24"/>
    <w:rsid w:val="00BC20BB"/>
    <w:rsid w:val="00BD2D25"/>
    <w:rsid w:val="00BD7196"/>
    <w:rsid w:val="00BF3953"/>
    <w:rsid w:val="00C052CD"/>
    <w:rsid w:val="00C111D4"/>
    <w:rsid w:val="00C12301"/>
    <w:rsid w:val="00C16625"/>
    <w:rsid w:val="00C24C58"/>
    <w:rsid w:val="00C31B6C"/>
    <w:rsid w:val="00C36E0F"/>
    <w:rsid w:val="00C6565E"/>
    <w:rsid w:val="00C740E0"/>
    <w:rsid w:val="00C92D51"/>
    <w:rsid w:val="00C94489"/>
    <w:rsid w:val="00C958AB"/>
    <w:rsid w:val="00CD5C06"/>
    <w:rsid w:val="00CE2DB4"/>
    <w:rsid w:val="00CF28BB"/>
    <w:rsid w:val="00CF3099"/>
    <w:rsid w:val="00CF5090"/>
    <w:rsid w:val="00CF710D"/>
    <w:rsid w:val="00D0130B"/>
    <w:rsid w:val="00D047A4"/>
    <w:rsid w:val="00D20381"/>
    <w:rsid w:val="00D231BE"/>
    <w:rsid w:val="00D56F68"/>
    <w:rsid w:val="00D61B2A"/>
    <w:rsid w:val="00D7198B"/>
    <w:rsid w:val="00D81F35"/>
    <w:rsid w:val="00D86961"/>
    <w:rsid w:val="00D900D0"/>
    <w:rsid w:val="00DA2151"/>
    <w:rsid w:val="00DA2C77"/>
    <w:rsid w:val="00DA41BC"/>
    <w:rsid w:val="00DB5013"/>
    <w:rsid w:val="00DE3CA6"/>
    <w:rsid w:val="00DF0257"/>
    <w:rsid w:val="00DF1CF4"/>
    <w:rsid w:val="00E10A09"/>
    <w:rsid w:val="00E158B3"/>
    <w:rsid w:val="00E242E5"/>
    <w:rsid w:val="00E33ED0"/>
    <w:rsid w:val="00E37A64"/>
    <w:rsid w:val="00E404E7"/>
    <w:rsid w:val="00E41E8E"/>
    <w:rsid w:val="00E64476"/>
    <w:rsid w:val="00E6771C"/>
    <w:rsid w:val="00E829EF"/>
    <w:rsid w:val="00E85C40"/>
    <w:rsid w:val="00E92FCD"/>
    <w:rsid w:val="00EA4C6C"/>
    <w:rsid w:val="00EB05E8"/>
    <w:rsid w:val="00EF0DD5"/>
    <w:rsid w:val="00F03CF3"/>
    <w:rsid w:val="00F11AB3"/>
    <w:rsid w:val="00F12022"/>
    <w:rsid w:val="00F12AC9"/>
    <w:rsid w:val="00F1580D"/>
    <w:rsid w:val="00F236E0"/>
    <w:rsid w:val="00F33130"/>
    <w:rsid w:val="00F444C5"/>
    <w:rsid w:val="00F47B64"/>
    <w:rsid w:val="00F55676"/>
    <w:rsid w:val="00F577E8"/>
    <w:rsid w:val="00F631CB"/>
    <w:rsid w:val="00F6457A"/>
    <w:rsid w:val="00F646B6"/>
    <w:rsid w:val="00F90049"/>
    <w:rsid w:val="00F952FC"/>
    <w:rsid w:val="00F96928"/>
    <w:rsid w:val="00F97062"/>
    <w:rsid w:val="00FB12DB"/>
    <w:rsid w:val="00FC38F8"/>
    <w:rsid w:val="00FC7416"/>
    <w:rsid w:val="00FD07CA"/>
    <w:rsid w:val="00FF79E0"/>
    <w:rsid w:val="00FF7EA4"/>
  </w:rsids>
  <m:mathPr>
    <m:mathFont m:val="Cambria Math"/>
    <m:brkBin m:val="before"/>
    <m:brkBinSub m:val="--"/>
    <m:smallFrac m:val="0"/>
    <m:dispDef/>
    <m:lMargin m:val="0"/>
    <m:rMargin m:val="0"/>
    <m:defJc m:val="centerGroup"/>
    <m:wrapIndent m:val="1440"/>
    <m:intLim m:val="subSup"/>
    <m:naryLim m:val="undOvr"/>
  </m:mathPr>
  <w:attachedSchema w:val="urn:schemas-microsoft-com:office:smarttags"/>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1"/>
    <o:shapelayout v:ext="edit">
      <o:idmap v:ext="edit" data="2"/>
    </o:shapelayout>
  </w:shapeDefaults>
  <w:decimalSymbol w:val=","/>
  <w:listSeparator w:val=";"/>
  <w14:docId w14:val="6D8DB16B"/>
  <w15:docId w15:val="{E81264A0-5ACD-4CBF-8207-B06448E2D4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spacing w:before="120" w:after="120" w:line="240" w:lineRule="auto"/>
      <w:jc w:val="both"/>
    </w:pPr>
    <w:rPr>
      <w:rFonts w:ascii="Times New Roman" w:hAnsi="Times New Roman" w:cs="Times New Roman"/>
      <w:sz w:val="24"/>
      <w:lang w:val="fr-FR"/>
    </w:rPr>
  </w:style>
  <w:style w:type="paragraph" w:styleId="Heading1">
    <w:name w:val="heading 1"/>
    <w:basedOn w:val="Normal"/>
    <w:next w:val="Text1"/>
    <w:link w:val="Heading1Char"/>
    <w:uiPriority w:val="9"/>
    <w:qFormat/>
    <w:pPr>
      <w:keepNext/>
      <w:numPr>
        <w:numId w:val="13"/>
      </w:numPr>
      <w:spacing w:before="360"/>
      <w:outlineLvl w:val="0"/>
    </w:pPr>
    <w:rPr>
      <w:rFonts w:eastAsiaTheme="majorEastAsia"/>
      <w:b/>
      <w:bCs/>
      <w:smallCaps/>
      <w:szCs w:val="28"/>
    </w:rPr>
  </w:style>
  <w:style w:type="paragraph" w:styleId="Heading2">
    <w:name w:val="heading 2"/>
    <w:basedOn w:val="Normal"/>
    <w:next w:val="Text1"/>
    <w:link w:val="Heading2Char"/>
    <w:uiPriority w:val="9"/>
    <w:semiHidden/>
    <w:unhideWhenUsed/>
    <w:qFormat/>
    <w:pPr>
      <w:keepNext/>
      <w:numPr>
        <w:ilvl w:val="1"/>
        <w:numId w:val="13"/>
      </w:numPr>
      <w:outlineLvl w:val="1"/>
    </w:pPr>
    <w:rPr>
      <w:rFonts w:eastAsiaTheme="majorEastAsia"/>
      <w:b/>
      <w:bCs/>
      <w:szCs w:val="26"/>
    </w:rPr>
  </w:style>
  <w:style w:type="paragraph" w:styleId="Heading3">
    <w:name w:val="heading 3"/>
    <w:basedOn w:val="Normal"/>
    <w:next w:val="Text1"/>
    <w:link w:val="Heading3Char"/>
    <w:uiPriority w:val="9"/>
    <w:semiHidden/>
    <w:unhideWhenUsed/>
    <w:qFormat/>
    <w:pPr>
      <w:keepNext/>
      <w:numPr>
        <w:ilvl w:val="2"/>
        <w:numId w:val="13"/>
      </w:numPr>
      <w:outlineLvl w:val="2"/>
    </w:pPr>
    <w:rPr>
      <w:rFonts w:eastAsiaTheme="majorEastAsia"/>
      <w:bCs/>
      <w:i/>
    </w:rPr>
  </w:style>
  <w:style w:type="paragraph" w:styleId="Heading4">
    <w:name w:val="heading 4"/>
    <w:basedOn w:val="Normal"/>
    <w:next w:val="Text1"/>
    <w:link w:val="Heading4Char"/>
    <w:uiPriority w:val="9"/>
    <w:semiHidden/>
    <w:unhideWhenUsed/>
    <w:qFormat/>
    <w:pPr>
      <w:keepNext/>
      <w:numPr>
        <w:ilvl w:val="3"/>
        <w:numId w:val="13"/>
      </w:numPr>
      <w:outlineLvl w:val="3"/>
    </w:pPr>
    <w:rPr>
      <w:rFonts w:eastAsiaTheme="majorEastAsia"/>
      <w:bCs/>
      <w:iCs/>
    </w:rPr>
  </w:style>
  <w:style w:type="paragraph" w:styleId="Heading5">
    <w:name w:val="heading 5"/>
    <w:basedOn w:val="Normal"/>
    <w:next w:val="Text2"/>
    <w:link w:val="Heading5Char"/>
    <w:uiPriority w:val="9"/>
    <w:semiHidden/>
    <w:unhideWhenUsed/>
    <w:qFormat/>
    <w:pPr>
      <w:keepNext/>
      <w:numPr>
        <w:ilvl w:val="4"/>
        <w:numId w:val="13"/>
      </w:numPr>
      <w:outlineLvl w:val="4"/>
    </w:pPr>
    <w:rPr>
      <w:rFonts w:eastAsiaTheme="majorEastAsia"/>
    </w:rPr>
  </w:style>
  <w:style w:type="paragraph" w:styleId="Heading6">
    <w:name w:val="heading 6"/>
    <w:basedOn w:val="Normal"/>
    <w:next w:val="Text2"/>
    <w:link w:val="Heading6Char"/>
    <w:uiPriority w:val="9"/>
    <w:semiHidden/>
    <w:unhideWhenUsed/>
    <w:qFormat/>
    <w:pPr>
      <w:keepNext/>
      <w:numPr>
        <w:ilvl w:val="5"/>
        <w:numId w:val="13"/>
      </w:numPr>
      <w:outlineLvl w:val="5"/>
    </w:pPr>
    <w:rPr>
      <w:rFonts w:eastAsiaTheme="majorEastAsia"/>
      <w:iCs/>
    </w:rPr>
  </w:style>
  <w:style w:type="paragraph" w:styleId="Heading7">
    <w:name w:val="heading 7"/>
    <w:basedOn w:val="Normal"/>
    <w:next w:val="Text2"/>
    <w:link w:val="Heading7Char"/>
    <w:uiPriority w:val="9"/>
    <w:semiHidden/>
    <w:unhideWhenUsed/>
    <w:qFormat/>
    <w:pPr>
      <w:keepNext/>
      <w:numPr>
        <w:ilvl w:val="6"/>
        <w:numId w:val="13"/>
      </w:numPr>
      <w:outlineLvl w:val="6"/>
    </w:pPr>
    <w:rPr>
      <w:rFonts w:eastAsiaTheme="majorEastAsia"/>
      <w:iCs/>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Bullet">
    <w:name w:val="List Bullet"/>
    <w:basedOn w:val="Normal"/>
    <w:uiPriority w:val="99"/>
    <w:semiHidden/>
    <w:unhideWhenUsed/>
    <w:rsid w:val="00467BD3"/>
    <w:pPr>
      <w:numPr>
        <w:numId w:val="1"/>
      </w:numPr>
      <w:contextualSpacing/>
    </w:pPr>
  </w:style>
  <w:style w:type="paragraph" w:styleId="ListBullet2">
    <w:name w:val="List Bullet 2"/>
    <w:basedOn w:val="Normal"/>
    <w:uiPriority w:val="99"/>
    <w:semiHidden/>
    <w:unhideWhenUsed/>
    <w:rsid w:val="00467BD3"/>
    <w:pPr>
      <w:numPr>
        <w:numId w:val="2"/>
      </w:numPr>
      <w:contextualSpacing/>
    </w:pPr>
  </w:style>
  <w:style w:type="paragraph" w:styleId="ListBullet3">
    <w:name w:val="List Bullet 3"/>
    <w:basedOn w:val="Normal"/>
    <w:uiPriority w:val="99"/>
    <w:semiHidden/>
    <w:unhideWhenUsed/>
    <w:rsid w:val="00467BD3"/>
    <w:pPr>
      <w:numPr>
        <w:numId w:val="3"/>
      </w:numPr>
      <w:contextualSpacing/>
    </w:pPr>
  </w:style>
  <w:style w:type="paragraph" w:styleId="ListBullet4">
    <w:name w:val="List Bullet 4"/>
    <w:basedOn w:val="Normal"/>
    <w:uiPriority w:val="99"/>
    <w:semiHidden/>
    <w:unhideWhenUsed/>
    <w:rsid w:val="00467BD3"/>
    <w:pPr>
      <w:numPr>
        <w:numId w:val="4"/>
      </w:numPr>
      <w:contextualSpacing/>
    </w:pPr>
  </w:style>
  <w:style w:type="character" w:styleId="Hyperlink">
    <w:name w:val="Hyperlink"/>
    <w:basedOn w:val="DefaultParagraphFont"/>
    <w:uiPriority w:val="99"/>
    <w:unhideWhenUsed/>
    <w:rsid w:val="001D6C5E"/>
    <w:rPr>
      <w:color w:val="0000FF" w:themeColor="hyperlink"/>
      <w:u w:val="single"/>
    </w:rPr>
  </w:style>
  <w:style w:type="character" w:customStyle="1" w:styleId="UnresolvedMention1">
    <w:name w:val="Unresolved Mention1"/>
    <w:basedOn w:val="DefaultParagraphFont"/>
    <w:uiPriority w:val="99"/>
    <w:semiHidden/>
    <w:unhideWhenUsed/>
    <w:rsid w:val="001D6C5E"/>
    <w:rPr>
      <w:color w:val="605E5C"/>
      <w:shd w:val="clear" w:color="auto" w:fill="E1DFDD"/>
    </w:rPr>
  </w:style>
  <w:style w:type="character" w:styleId="CommentReference">
    <w:name w:val="annotation reference"/>
    <w:rsid w:val="00C958AB"/>
    <w:rPr>
      <w:sz w:val="16"/>
      <w:szCs w:val="16"/>
    </w:rPr>
  </w:style>
  <w:style w:type="paragraph" w:styleId="CommentText">
    <w:name w:val="annotation text"/>
    <w:basedOn w:val="Normal"/>
    <w:link w:val="CommentTextChar"/>
    <w:rsid w:val="00C958AB"/>
    <w:pPr>
      <w:spacing w:before="0" w:after="0"/>
      <w:jc w:val="left"/>
    </w:pPr>
    <w:rPr>
      <w:rFonts w:eastAsia="Times New Roman"/>
      <w:sz w:val="20"/>
      <w:szCs w:val="20"/>
      <w:lang w:eastAsia="en-GB"/>
    </w:rPr>
  </w:style>
  <w:style w:type="character" w:customStyle="1" w:styleId="CommentTextChar">
    <w:name w:val="Comment Text Char"/>
    <w:basedOn w:val="DefaultParagraphFont"/>
    <w:link w:val="CommentText"/>
    <w:rsid w:val="00C958AB"/>
    <w:rPr>
      <w:rFonts w:ascii="Times New Roman" w:eastAsia="Times New Roman" w:hAnsi="Times New Roman" w:cs="Times New Roman"/>
      <w:sz w:val="20"/>
      <w:szCs w:val="20"/>
      <w:lang w:val="fr-FR" w:eastAsia="en-GB"/>
    </w:rPr>
  </w:style>
  <w:style w:type="paragraph" w:styleId="CommentSubject">
    <w:name w:val="annotation subject"/>
    <w:basedOn w:val="CommentText"/>
    <w:next w:val="CommentText"/>
    <w:link w:val="CommentSubjectChar"/>
    <w:uiPriority w:val="99"/>
    <w:semiHidden/>
    <w:unhideWhenUsed/>
    <w:rsid w:val="002D2B81"/>
    <w:pPr>
      <w:spacing w:before="120" w:after="120"/>
      <w:jc w:val="both"/>
    </w:pPr>
    <w:rPr>
      <w:rFonts w:eastAsiaTheme="minorHAnsi"/>
      <w:b/>
      <w:bCs/>
      <w:lang w:eastAsia="en-US"/>
    </w:rPr>
  </w:style>
  <w:style w:type="character" w:customStyle="1" w:styleId="CommentSubjectChar">
    <w:name w:val="Comment Subject Char"/>
    <w:basedOn w:val="CommentTextChar"/>
    <w:link w:val="CommentSubject"/>
    <w:uiPriority w:val="99"/>
    <w:semiHidden/>
    <w:rsid w:val="002D2B81"/>
    <w:rPr>
      <w:rFonts w:ascii="Times New Roman" w:eastAsia="Times New Roman" w:hAnsi="Times New Roman" w:cs="Times New Roman"/>
      <w:b/>
      <w:bCs/>
      <w:sz w:val="20"/>
      <w:szCs w:val="20"/>
      <w:lang w:val="fr-FR" w:eastAsia="en-GB"/>
    </w:rPr>
  </w:style>
  <w:style w:type="paragraph" w:styleId="Revision">
    <w:name w:val="Revision"/>
    <w:hidden/>
    <w:uiPriority w:val="99"/>
    <w:semiHidden/>
    <w:rsid w:val="00F12022"/>
    <w:pPr>
      <w:spacing w:after="0" w:line="240" w:lineRule="auto"/>
    </w:pPr>
    <w:rPr>
      <w:rFonts w:ascii="Times New Roman" w:hAnsi="Times New Roman" w:cs="Times New Roman"/>
      <w:sz w:val="24"/>
    </w:rPr>
  </w:style>
  <w:style w:type="character" w:styleId="FollowedHyperlink">
    <w:name w:val="FollowedHyperlink"/>
    <w:basedOn w:val="DefaultParagraphFont"/>
    <w:uiPriority w:val="99"/>
    <w:semiHidden/>
    <w:unhideWhenUsed/>
    <w:rsid w:val="000D5F2F"/>
    <w:rPr>
      <w:color w:val="800080" w:themeColor="followedHyperlink"/>
      <w:u w:val="single"/>
    </w:rPr>
  </w:style>
  <w:style w:type="paragraph" w:styleId="Header">
    <w:name w:val="header"/>
    <w:basedOn w:val="Normal"/>
    <w:link w:val="HeaderChar"/>
    <w:uiPriority w:val="99"/>
    <w:unhideWhenUsed/>
    <w:rsid w:val="006A5720"/>
    <w:pPr>
      <w:tabs>
        <w:tab w:val="center" w:pos="4535"/>
        <w:tab w:val="right" w:pos="9071"/>
      </w:tabs>
      <w:spacing w:before="0"/>
    </w:pPr>
  </w:style>
  <w:style w:type="character" w:customStyle="1" w:styleId="HeaderChar">
    <w:name w:val="Header Char"/>
    <w:basedOn w:val="DefaultParagraphFont"/>
    <w:link w:val="Header"/>
    <w:uiPriority w:val="99"/>
    <w:rsid w:val="006A5720"/>
    <w:rPr>
      <w:rFonts w:ascii="Times New Roman" w:hAnsi="Times New Roman" w:cs="Times New Roman"/>
      <w:sz w:val="24"/>
      <w:lang w:val="fr-FR"/>
    </w:rPr>
  </w:style>
  <w:style w:type="paragraph" w:styleId="Footer">
    <w:name w:val="footer"/>
    <w:basedOn w:val="Normal"/>
    <w:link w:val="FooterChar"/>
    <w:uiPriority w:val="99"/>
    <w:unhideWhenUsed/>
    <w:rsid w:val="006A5720"/>
    <w:pPr>
      <w:tabs>
        <w:tab w:val="center" w:pos="4535"/>
        <w:tab w:val="right" w:pos="9071"/>
        <w:tab w:val="right" w:pos="9921"/>
      </w:tabs>
      <w:spacing w:before="360" w:after="0"/>
      <w:ind w:left="-850" w:right="-850"/>
      <w:jc w:val="left"/>
    </w:pPr>
  </w:style>
  <w:style w:type="character" w:customStyle="1" w:styleId="FooterChar">
    <w:name w:val="Footer Char"/>
    <w:basedOn w:val="DefaultParagraphFont"/>
    <w:link w:val="Footer"/>
    <w:uiPriority w:val="99"/>
    <w:rsid w:val="006A5720"/>
    <w:rPr>
      <w:rFonts w:ascii="Times New Roman" w:hAnsi="Times New Roman" w:cs="Times New Roman"/>
      <w:sz w:val="24"/>
      <w:lang w:val="fr-FR"/>
    </w:rPr>
  </w:style>
  <w:style w:type="paragraph" w:styleId="FootnoteText">
    <w:name w:val="footnote text"/>
    <w:basedOn w:val="Normal"/>
    <w:link w:val="FootnoteTextChar"/>
    <w:uiPriority w:val="99"/>
    <w:semiHidden/>
    <w:unhideWhenUsed/>
    <w:pPr>
      <w:spacing w:before="0" w:after="0"/>
      <w:ind w:left="720" w:hanging="720"/>
    </w:pPr>
    <w:rPr>
      <w:sz w:val="20"/>
      <w:szCs w:val="20"/>
    </w:rPr>
  </w:style>
  <w:style w:type="character" w:customStyle="1" w:styleId="FootnoteTextChar">
    <w:name w:val="Footnote Text Char"/>
    <w:basedOn w:val="DefaultParagraphFont"/>
    <w:link w:val="FootnoteText"/>
    <w:uiPriority w:val="99"/>
    <w:semiHidden/>
    <w:rPr>
      <w:rFonts w:ascii="Times New Roman" w:hAnsi="Times New Roman" w:cs="Times New Roman"/>
      <w:sz w:val="20"/>
      <w:szCs w:val="20"/>
      <w:shd w:val="clear" w:color="auto" w:fill="auto"/>
      <w:lang w:val="en-GB"/>
    </w:rPr>
  </w:style>
  <w:style w:type="character" w:customStyle="1" w:styleId="Heading1Char">
    <w:name w:val="Heading 1 Char"/>
    <w:basedOn w:val="DefaultParagraphFont"/>
    <w:link w:val="Heading1"/>
    <w:uiPriority w:val="9"/>
    <w:rPr>
      <w:rFonts w:ascii="Times New Roman" w:eastAsiaTheme="majorEastAsia" w:hAnsi="Times New Roman" w:cs="Times New Roman"/>
      <w:b/>
      <w:bCs/>
      <w:smallCaps/>
      <w:sz w:val="24"/>
      <w:szCs w:val="28"/>
      <w:lang w:val="fr-FR"/>
    </w:rPr>
  </w:style>
  <w:style w:type="character" w:customStyle="1" w:styleId="Heading2Char">
    <w:name w:val="Heading 2 Char"/>
    <w:basedOn w:val="DefaultParagraphFont"/>
    <w:link w:val="Heading2"/>
    <w:uiPriority w:val="9"/>
    <w:semiHidden/>
    <w:rPr>
      <w:rFonts w:ascii="Times New Roman" w:eastAsiaTheme="majorEastAsia" w:hAnsi="Times New Roman" w:cs="Times New Roman"/>
      <w:b/>
      <w:bCs/>
      <w:sz w:val="24"/>
      <w:szCs w:val="26"/>
      <w:lang w:val="fr-FR"/>
    </w:rPr>
  </w:style>
  <w:style w:type="character" w:customStyle="1" w:styleId="Heading3Char">
    <w:name w:val="Heading 3 Char"/>
    <w:basedOn w:val="DefaultParagraphFont"/>
    <w:link w:val="Heading3"/>
    <w:uiPriority w:val="9"/>
    <w:semiHidden/>
    <w:rPr>
      <w:rFonts w:ascii="Times New Roman" w:eastAsiaTheme="majorEastAsia" w:hAnsi="Times New Roman" w:cs="Times New Roman"/>
      <w:bCs/>
      <w:i/>
      <w:sz w:val="24"/>
      <w:lang w:val="fr-FR"/>
    </w:rPr>
  </w:style>
  <w:style w:type="character" w:customStyle="1" w:styleId="Heading4Char">
    <w:name w:val="Heading 4 Char"/>
    <w:basedOn w:val="DefaultParagraphFont"/>
    <w:link w:val="Heading4"/>
    <w:uiPriority w:val="9"/>
    <w:semiHidden/>
    <w:rPr>
      <w:rFonts w:ascii="Times New Roman" w:eastAsiaTheme="majorEastAsia" w:hAnsi="Times New Roman" w:cs="Times New Roman"/>
      <w:bCs/>
      <w:iCs/>
      <w:sz w:val="24"/>
      <w:lang w:val="fr-FR"/>
    </w:rPr>
  </w:style>
  <w:style w:type="character" w:customStyle="1" w:styleId="Heading5Char">
    <w:name w:val="Heading 5 Char"/>
    <w:basedOn w:val="DefaultParagraphFont"/>
    <w:link w:val="Heading5"/>
    <w:uiPriority w:val="9"/>
    <w:semiHidden/>
    <w:rPr>
      <w:rFonts w:ascii="Times New Roman" w:eastAsiaTheme="majorEastAsia" w:hAnsi="Times New Roman" w:cs="Times New Roman"/>
      <w:sz w:val="24"/>
      <w:lang w:val="fr-FR"/>
    </w:rPr>
  </w:style>
  <w:style w:type="character" w:customStyle="1" w:styleId="Heading6Char">
    <w:name w:val="Heading 6 Char"/>
    <w:basedOn w:val="DefaultParagraphFont"/>
    <w:link w:val="Heading6"/>
    <w:uiPriority w:val="9"/>
    <w:semiHidden/>
    <w:rPr>
      <w:rFonts w:ascii="Times New Roman" w:eastAsiaTheme="majorEastAsia" w:hAnsi="Times New Roman" w:cs="Times New Roman"/>
      <w:iCs/>
      <w:sz w:val="24"/>
      <w:lang w:val="fr-FR"/>
    </w:rPr>
  </w:style>
  <w:style w:type="character" w:customStyle="1" w:styleId="Heading7Char">
    <w:name w:val="Heading 7 Char"/>
    <w:basedOn w:val="DefaultParagraphFont"/>
    <w:link w:val="Heading7"/>
    <w:uiPriority w:val="9"/>
    <w:semiHidden/>
    <w:rPr>
      <w:rFonts w:ascii="Times New Roman" w:eastAsiaTheme="majorEastAsia" w:hAnsi="Times New Roman" w:cs="Times New Roman"/>
      <w:iCs/>
      <w:sz w:val="24"/>
      <w:lang w:val="fr-FR"/>
    </w:rPr>
  </w:style>
  <w:style w:type="paragraph" w:styleId="TOCHeading">
    <w:name w:val="TOC Heading"/>
    <w:basedOn w:val="Normal"/>
    <w:next w:val="Normal"/>
    <w:uiPriority w:val="39"/>
    <w:semiHidden/>
    <w:unhideWhenUsed/>
    <w:qFormat/>
    <w:pPr>
      <w:spacing w:after="240"/>
      <w:jc w:val="center"/>
    </w:pPr>
    <w:rPr>
      <w:b/>
      <w:sz w:val="28"/>
    </w:rPr>
  </w:style>
  <w:style w:type="paragraph" w:styleId="TOC1">
    <w:name w:val="toc 1"/>
    <w:basedOn w:val="Normal"/>
    <w:next w:val="Normal"/>
    <w:uiPriority w:val="39"/>
    <w:semiHidden/>
    <w:unhideWhenUsed/>
    <w:pPr>
      <w:tabs>
        <w:tab w:val="right" w:leader="dot" w:pos="9071"/>
      </w:tabs>
      <w:spacing w:before="60"/>
      <w:ind w:left="850" w:hanging="850"/>
      <w:jc w:val="left"/>
    </w:pPr>
  </w:style>
  <w:style w:type="paragraph" w:styleId="TOC2">
    <w:name w:val="toc 2"/>
    <w:basedOn w:val="Normal"/>
    <w:next w:val="Normal"/>
    <w:uiPriority w:val="39"/>
    <w:semiHidden/>
    <w:unhideWhenUsed/>
    <w:pPr>
      <w:tabs>
        <w:tab w:val="right" w:leader="dot" w:pos="9071"/>
      </w:tabs>
      <w:spacing w:before="60"/>
      <w:ind w:left="850" w:hanging="850"/>
      <w:jc w:val="left"/>
    </w:pPr>
  </w:style>
  <w:style w:type="paragraph" w:styleId="TOC3">
    <w:name w:val="toc 3"/>
    <w:basedOn w:val="Normal"/>
    <w:next w:val="Normal"/>
    <w:uiPriority w:val="39"/>
    <w:semiHidden/>
    <w:unhideWhenUsed/>
    <w:pPr>
      <w:tabs>
        <w:tab w:val="right" w:leader="dot" w:pos="9071"/>
      </w:tabs>
      <w:spacing w:before="60"/>
      <w:ind w:left="850" w:hanging="850"/>
      <w:jc w:val="left"/>
    </w:pPr>
  </w:style>
  <w:style w:type="paragraph" w:styleId="TOC4">
    <w:name w:val="toc 4"/>
    <w:basedOn w:val="Normal"/>
    <w:next w:val="Normal"/>
    <w:uiPriority w:val="39"/>
    <w:semiHidden/>
    <w:unhideWhenUsed/>
    <w:pPr>
      <w:tabs>
        <w:tab w:val="right" w:leader="dot" w:pos="9071"/>
      </w:tabs>
      <w:spacing w:before="60"/>
      <w:ind w:left="850" w:hanging="850"/>
      <w:jc w:val="left"/>
    </w:pPr>
  </w:style>
  <w:style w:type="paragraph" w:styleId="TOC5">
    <w:name w:val="toc 5"/>
    <w:basedOn w:val="Normal"/>
    <w:next w:val="Normal"/>
    <w:uiPriority w:val="39"/>
    <w:semiHidden/>
    <w:unhideWhenUsed/>
    <w:pPr>
      <w:tabs>
        <w:tab w:val="right" w:leader="dot" w:pos="9071"/>
      </w:tabs>
      <w:spacing w:before="300"/>
      <w:jc w:val="left"/>
    </w:pPr>
  </w:style>
  <w:style w:type="paragraph" w:styleId="TOC6">
    <w:name w:val="toc 6"/>
    <w:basedOn w:val="Normal"/>
    <w:next w:val="Normal"/>
    <w:uiPriority w:val="39"/>
    <w:semiHidden/>
    <w:unhideWhenUsed/>
    <w:pPr>
      <w:tabs>
        <w:tab w:val="right" w:leader="dot" w:pos="9071"/>
      </w:tabs>
      <w:spacing w:before="240"/>
      <w:jc w:val="left"/>
    </w:pPr>
  </w:style>
  <w:style w:type="paragraph" w:styleId="TOC7">
    <w:name w:val="toc 7"/>
    <w:basedOn w:val="Normal"/>
    <w:next w:val="Normal"/>
    <w:uiPriority w:val="39"/>
    <w:semiHidden/>
    <w:unhideWhenUsed/>
    <w:pPr>
      <w:tabs>
        <w:tab w:val="right" w:leader="dot" w:pos="9071"/>
      </w:tabs>
      <w:spacing w:before="180"/>
      <w:jc w:val="left"/>
    </w:pPr>
  </w:style>
  <w:style w:type="paragraph" w:styleId="TOC8">
    <w:name w:val="toc 8"/>
    <w:basedOn w:val="Normal"/>
    <w:next w:val="Normal"/>
    <w:uiPriority w:val="39"/>
    <w:semiHidden/>
    <w:unhideWhenUsed/>
    <w:pPr>
      <w:tabs>
        <w:tab w:val="right" w:leader="dot" w:pos="9071"/>
      </w:tabs>
      <w:jc w:val="left"/>
    </w:pPr>
  </w:style>
  <w:style w:type="paragraph" w:styleId="TOC9">
    <w:name w:val="toc 9"/>
    <w:basedOn w:val="Normal"/>
    <w:next w:val="Normal"/>
    <w:uiPriority w:val="39"/>
    <w:semiHidden/>
    <w:unhideWhenUsed/>
    <w:pPr>
      <w:tabs>
        <w:tab w:val="right" w:leader="dot" w:pos="9071"/>
      </w:tabs>
      <w:ind w:left="1417" w:hanging="1417"/>
      <w:jc w:val="left"/>
    </w:pPr>
  </w:style>
  <w:style w:type="paragraph" w:customStyle="1" w:styleId="HeaderLandscape">
    <w:name w:val="HeaderLandscape"/>
    <w:basedOn w:val="Normal"/>
    <w:rsid w:val="006A5720"/>
    <w:pPr>
      <w:tabs>
        <w:tab w:val="center" w:pos="7285"/>
        <w:tab w:val="right" w:pos="14003"/>
      </w:tabs>
      <w:spacing w:before="0"/>
    </w:pPr>
  </w:style>
  <w:style w:type="paragraph" w:customStyle="1" w:styleId="FooterLandscape">
    <w:name w:val="FooterLandscape"/>
    <w:basedOn w:val="Normal"/>
    <w:rsid w:val="006A5720"/>
    <w:pPr>
      <w:tabs>
        <w:tab w:val="center" w:pos="7285"/>
        <w:tab w:val="center" w:pos="10913"/>
        <w:tab w:val="right" w:pos="15137"/>
      </w:tabs>
      <w:spacing w:before="360" w:after="0"/>
      <w:ind w:left="-567" w:right="-567"/>
      <w:jc w:val="left"/>
    </w:pPr>
  </w:style>
  <w:style w:type="character" w:styleId="FootnoteReference">
    <w:name w:val="footnote reference"/>
    <w:basedOn w:val="DefaultParagraphFont"/>
    <w:uiPriority w:val="99"/>
    <w:semiHidden/>
    <w:unhideWhenUsed/>
    <w:rPr>
      <w:shd w:val="clear" w:color="auto" w:fill="auto"/>
      <w:vertAlign w:val="superscript"/>
    </w:rPr>
  </w:style>
  <w:style w:type="paragraph" w:customStyle="1" w:styleId="HeaderSensitivity">
    <w:name w:val="Header Sensitivity"/>
    <w:basedOn w:val="Normal"/>
    <w:rsid w:val="006A5720"/>
    <w:pPr>
      <w:pBdr>
        <w:top w:val="single" w:sz="4" w:space="1" w:color="auto"/>
        <w:left w:val="single" w:sz="4" w:space="4" w:color="auto"/>
        <w:bottom w:val="single" w:sz="4" w:space="1" w:color="auto"/>
        <w:right w:val="single" w:sz="4" w:space="4" w:color="auto"/>
      </w:pBdr>
      <w:spacing w:before="0"/>
      <w:ind w:left="113" w:right="113"/>
      <w:jc w:val="center"/>
    </w:pPr>
    <w:rPr>
      <w:b/>
      <w:sz w:val="32"/>
    </w:rPr>
  </w:style>
  <w:style w:type="paragraph" w:customStyle="1" w:styleId="HeaderSensitivityRight">
    <w:name w:val="Header Sensitivity Right"/>
    <w:basedOn w:val="Normal"/>
    <w:rsid w:val="006A5720"/>
    <w:pPr>
      <w:spacing w:before="0"/>
      <w:jc w:val="right"/>
    </w:pPr>
    <w:rPr>
      <w:sz w:val="28"/>
    </w:rPr>
  </w:style>
  <w:style w:type="paragraph" w:customStyle="1" w:styleId="FooterSensitivity">
    <w:name w:val="Footer Sensitivity"/>
    <w:basedOn w:val="Normal"/>
    <w:rsid w:val="006A5720"/>
    <w:pPr>
      <w:pBdr>
        <w:top w:val="single" w:sz="4" w:space="1" w:color="auto"/>
        <w:left w:val="single" w:sz="4" w:space="4" w:color="auto"/>
        <w:bottom w:val="single" w:sz="4" w:space="1" w:color="auto"/>
        <w:right w:val="single" w:sz="4" w:space="4" w:color="auto"/>
      </w:pBdr>
      <w:spacing w:before="360" w:after="0"/>
      <w:ind w:left="113" w:right="113"/>
      <w:jc w:val="center"/>
    </w:pPr>
    <w:rPr>
      <w:b/>
      <w:sz w:val="32"/>
    </w:rPr>
  </w:style>
  <w:style w:type="paragraph" w:customStyle="1" w:styleId="Text1">
    <w:name w:val="Text 1"/>
    <w:basedOn w:val="Normal"/>
    <w:pPr>
      <w:ind w:left="850"/>
    </w:pPr>
  </w:style>
  <w:style w:type="paragraph" w:customStyle="1" w:styleId="Text2">
    <w:name w:val="Text 2"/>
    <w:basedOn w:val="Normal"/>
    <w:pPr>
      <w:ind w:left="1417"/>
    </w:pPr>
  </w:style>
  <w:style w:type="paragraph" w:customStyle="1" w:styleId="Text3">
    <w:name w:val="Text 3"/>
    <w:basedOn w:val="Normal"/>
    <w:pPr>
      <w:ind w:left="1984"/>
    </w:pPr>
  </w:style>
  <w:style w:type="paragraph" w:customStyle="1" w:styleId="Text4">
    <w:name w:val="Text 4"/>
    <w:basedOn w:val="Normal"/>
    <w:pPr>
      <w:ind w:left="2551"/>
    </w:pPr>
  </w:style>
  <w:style w:type="paragraph" w:customStyle="1" w:styleId="Text5">
    <w:name w:val="Text 5"/>
    <w:basedOn w:val="Normal"/>
    <w:pPr>
      <w:ind w:left="3118"/>
    </w:pPr>
  </w:style>
  <w:style w:type="paragraph" w:customStyle="1" w:styleId="Text6">
    <w:name w:val="Text 6"/>
    <w:basedOn w:val="Normal"/>
    <w:pPr>
      <w:ind w:left="3685"/>
    </w:pPr>
  </w:style>
  <w:style w:type="paragraph" w:customStyle="1" w:styleId="NormalCentered">
    <w:name w:val="Normal Centered"/>
    <w:basedOn w:val="Normal"/>
    <w:pPr>
      <w:jc w:val="center"/>
    </w:pPr>
  </w:style>
  <w:style w:type="paragraph" w:customStyle="1" w:styleId="NormalLeft">
    <w:name w:val="Normal Left"/>
    <w:basedOn w:val="Normal"/>
    <w:pPr>
      <w:jc w:val="left"/>
    </w:pPr>
  </w:style>
  <w:style w:type="paragraph" w:customStyle="1" w:styleId="NormalRight">
    <w:name w:val="Normal Right"/>
    <w:basedOn w:val="Normal"/>
    <w:pPr>
      <w:jc w:val="right"/>
    </w:pPr>
  </w:style>
  <w:style w:type="paragraph" w:customStyle="1" w:styleId="QuotedText">
    <w:name w:val="Quoted Text"/>
    <w:basedOn w:val="Normal"/>
    <w:pPr>
      <w:ind w:left="1417"/>
    </w:pPr>
  </w:style>
  <w:style w:type="paragraph" w:customStyle="1" w:styleId="Point0">
    <w:name w:val="Point 0"/>
    <w:basedOn w:val="Normal"/>
    <w:pPr>
      <w:ind w:left="850" w:hanging="850"/>
    </w:pPr>
  </w:style>
  <w:style w:type="paragraph" w:customStyle="1" w:styleId="Point1">
    <w:name w:val="Point 1"/>
    <w:basedOn w:val="Normal"/>
    <w:pPr>
      <w:ind w:left="1417" w:hanging="567"/>
    </w:pPr>
  </w:style>
  <w:style w:type="paragraph" w:customStyle="1" w:styleId="Point2">
    <w:name w:val="Point 2"/>
    <w:basedOn w:val="Normal"/>
    <w:pPr>
      <w:ind w:left="1984" w:hanging="567"/>
    </w:pPr>
  </w:style>
  <w:style w:type="paragraph" w:customStyle="1" w:styleId="Point3">
    <w:name w:val="Point 3"/>
    <w:basedOn w:val="Normal"/>
    <w:pPr>
      <w:ind w:left="2551" w:hanging="567"/>
    </w:pPr>
  </w:style>
  <w:style w:type="paragraph" w:customStyle="1" w:styleId="Point4">
    <w:name w:val="Point 4"/>
    <w:basedOn w:val="Normal"/>
    <w:pPr>
      <w:ind w:left="3118" w:hanging="567"/>
    </w:pPr>
  </w:style>
  <w:style w:type="paragraph" w:customStyle="1" w:styleId="Point5">
    <w:name w:val="Point 5"/>
    <w:basedOn w:val="Normal"/>
    <w:pPr>
      <w:ind w:left="3685" w:hanging="567"/>
    </w:pPr>
  </w:style>
  <w:style w:type="paragraph" w:customStyle="1" w:styleId="Tiret0">
    <w:name w:val="Tiret 0"/>
    <w:basedOn w:val="Point0"/>
    <w:pPr>
      <w:numPr>
        <w:numId w:val="6"/>
      </w:numPr>
    </w:pPr>
  </w:style>
  <w:style w:type="paragraph" w:customStyle="1" w:styleId="Tiret1">
    <w:name w:val="Tiret 1"/>
    <w:basedOn w:val="Point1"/>
    <w:pPr>
      <w:numPr>
        <w:numId w:val="7"/>
      </w:numPr>
    </w:pPr>
  </w:style>
  <w:style w:type="paragraph" w:customStyle="1" w:styleId="Tiret2">
    <w:name w:val="Tiret 2"/>
    <w:basedOn w:val="Point2"/>
    <w:pPr>
      <w:numPr>
        <w:numId w:val="8"/>
      </w:numPr>
    </w:pPr>
  </w:style>
  <w:style w:type="paragraph" w:customStyle="1" w:styleId="Tiret3">
    <w:name w:val="Tiret 3"/>
    <w:basedOn w:val="Point3"/>
    <w:pPr>
      <w:numPr>
        <w:numId w:val="9"/>
      </w:numPr>
    </w:pPr>
  </w:style>
  <w:style w:type="paragraph" w:customStyle="1" w:styleId="Tiret4">
    <w:name w:val="Tiret 4"/>
    <w:basedOn w:val="Point4"/>
    <w:pPr>
      <w:numPr>
        <w:numId w:val="10"/>
      </w:numPr>
    </w:pPr>
  </w:style>
  <w:style w:type="paragraph" w:customStyle="1" w:styleId="Tiret5">
    <w:name w:val="Tiret 5"/>
    <w:basedOn w:val="Point5"/>
    <w:pPr>
      <w:numPr>
        <w:numId w:val="11"/>
      </w:numPr>
    </w:pPr>
  </w:style>
  <w:style w:type="paragraph" w:customStyle="1" w:styleId="PointDouble0">
    <w:name w:val="PointDouble 0"/>
    <w:basedOn w:val="Normal"/>
    <w:pPr>
      <w:tabs>
        <w:tab w:val="left" w:pos="850"/>
      </w:tabs>
      <w:ind w:left="1417" w:hanging="1417"/>
    </w:pPr>
  </w:style>
  <w:style w:type="paragraph" w:customStyle="1" w:styleId="PointDouble1">
    <w:name w:val="PointDouble 1"/>
    <w:basedOn w:val="Normal"/>
    <w:pPr>
      <w:tabs>
        <w:tab w:val="left" w:pos="1417"/>
      </w:tabs>
      <w:ind w:left="1984" w:hanging="1134"/>
    </w:pPr>
  </w:style>
  <w:style w:type="paragraph" w:customStyle="1" w:styleId="PointDouble2">
    <w:name w:val="PointDouble 2"/>
    <w:basedOn w:val="Normal"/>
    <w:pPr>
      <w:tabs>
        <w:tab w:val="left" w:pos="1984"/>
      </w:tabs>
      <w:ind w:left="2551" w:hanging="1134"/>
    </w:pPr>
  </w:style>
  <w:style w:type="paragraph" w:customStyle="1" w:styleId="PointDouble3">
    <w:name w:val="PointDouble 3"/>
    <w:basedOn w:val="Normal"/>
    <w:pPr>
      <w:tabs>
        <w:tab w:val="left" w:pos="2551"/>
      </w:tabs>
      <w:ind w:left="3118" w:hanging="1134"/>
    </w:pPr>
  </w:style>
  <w:style w:type="paragraph" w:customStyle="1" w:styleId="PointDouble4">
    <w:name w:val="PointDouble 4"/>
    <w:basedOn w:val="Normal"/>
    <w:pPr>
      <w:tabs>
        <w:tab w:val="left" w:pos="3118"/>
      </w:tabs>
      <w:ind w:left="3685" w:hanging="1134"/>
    </w:pPr>
  </w:style>
  <w:style w:type="paragraph" w:customStyle="1" w:styleId="PointTriple0">
    <w:name w:val="PointTriple 0"/>
    <w:basedOn w:val="Normal"/>
    <w:pPr>
      <w:tabs>
        <w:tab w:val="left" w:pos="850"/>
        <w:tab w:val="left" w:pos="1417"/>
      </w:tabs>
      <w:ind w:left="1984" w:hanging="1984"/>
    </w:pPr>
  </w:style>
  <w:style w:type="paragraph" w:customStyle="1" w:styleId="PointTriple1">
    <w:name w:val="PointTriple 1"/>
    <w:basedOn w:val="Normal"/>
    <w:pPr>
      <w:tabs>
        <w:tab w:val="left" w:pos="1417"/>
        <w:tab w:val="left" w:pos="1984"/>
      </w:tabs>
      <w:ind w:left="2551" w:hanging="1701"/>
    </w:pPr>
  </w:style>
  <w:style w:type="paragraph" w:customStyle="1" w:styleId="PointTriple2">
    <w:name w:val="PointTriple 2"/>
    <w:basedOn w:val="Normal"/>
    <w:pPr>
      <w:tabs>
        <w:tab w:val="left" w:pos="1984"/>
        <w:tab w:val="left" w:pos="2551"/>
      </w:tabs>
      <w:ind w:left="3118" w:hanging="1701"/>
    </w:pPr>
  </w:style>
  <w:style w:type="paragraph" w:customStyle="1" w:styleId="PointTriple3">
    <w:name w:val="PointTriple 3"/>
    <w:basedOn w:val="Normal"/>
    <w:pPr>
      <w:tabs>
        <w:tab w:val="left" w:pos="2551"/>
        <w:tab w:val="left" w:pos="3118"/>
      </w:tabs>
      <w:ind w:left="3685" w:hanging="1701"/>
    </w:pPr>
  </w:style>
  <w:style w:type="paragraph" w:customStyle="1" w:styleId="PointTriple4">
    <w:name w:val="PointTriple 4"/>
    <w:basedOn w:val="Normal"/>
    <w:pPr>
      <w:tabs>
        <w:tab w:val="left" w:pos="3118"/>
        <w:tab w:val="left" w:pos="3685"/>
      </w:tabs>
      <w:ind w:left="4252" w:hanging="1701"/>
    </w:pPr>
  </w:style>
  <w:style w:type="paragraph" w:customStyle="1" w:styleId="NumPar1">
    <w:name w:val="NumPar 1"/>
    <w:basedOn w:val="Normal"/>
    <w:next w:val="Text1"/>
    <w:pPr>
      <w:numPr>
        <w:numId w:val="12"/>
      </w:numPr>
    </w:pPr>
  </w:style>
  <w:style w:type="paragraph" w:customStyle="1" w:styleId="NumPar2">
    <w:name w:val="NumPar 2"/>
    <w:basedOn w:val="Normal"/>
    <w:next w:val="Text1"/>
    <w:pPr>
      <w:numPr>
        <w:ilvl w:val="1"/>
        <w:numId w:val="12"/>
      </w:numPr>
    </w:pPr>
  </w:style>
  <w:style w:type="paragraph" w:customStyle="1" w:styleId="NumPar3">
    <w:name w:val="NumPar 3"/>
    <w:basedOn w:val="Normal"/>
    <w:next w:val="Text1"/>
    <w:pPr>
      <w:numPr>
        <w:ilvl w:val="2"/>
        <w:numId w:val="12"/>
      </w:numPr>
    </w:pPr>
  </w:style>
  <w:style w:type="paragraph" w:customStyle="1" w:styleId="NumPar4">
    <w:name w:val="NumPar 4"/>
    <w:basedOn w:val="Normal"/>
    <w:next w:val="Text1"/>
    <w:pPr>
      <w:numPr>
        <w:ilvl w:val="3"/>
        <w:numId w:val="12"/>
      </w:numPr>
    </w:pPr>
  </w:style>
  <w:style w:type="paragraph" w:customStyle="1" w:styleId="NumPar5">
    <w:name w:val="NumPar 5"/>
    <w:basedOn w:val="Normal"/>
    <w:next w:val="Text2"/>
    <w:pPr>
      <w:numPr>
        <w:ilvl w:val="4"/>
        <w:numId w:val="12"/>
      </w:numPr>
    </w:pPr>
  </w:style>
  <w:style w:type="paragraph" w:customStyle="1" w:styleId="NumPar6">
    <w:name w:val="NumPar 6"/>
    <w:basedOn w:val="Normal"/>
    <w:next w:val="Text2"/>
    <w:pPr>
      <w:numPr>
        <w:ilvl w:val="5"/>
        <w:numId w:val="12"/>
      </w:numPr>
    </w:pPr>
  </w:style>
  <w:style w:type="paragraph" w:customStyle="1" w:styleId="NumPar7">
    <w:name w:val="NumPar 7"/>
    <w:basedOn w:val="Normal"/>
    <w:next w:val="Text2"/>
    <w:pPr>
      <w:numPr>
        <w:ilvl w:val="6"/>
        <w:numId w:val="12"/>
      </w:numPr>
    </w:pPr>
  </w:style>
  <w:style w:type="paragraph" w:customStyle="1" w:styleId="ManualNumPar1">
    <w:name w:val="Manual NumPar 1"/>
    <w:basedOn w:val="Normal"/>
    <w:next w:val="Text1"/>
    <w:pPr>
      <w:ind w:left="850" w:hanging="850"/>
    </w:pPr>
  </w:style>
  <w:style w:type="paragraph" w:customStyle="1" w:styleId="ManualNumPar2">
    <w:name w:val="Manual NumPar 2"/>
    <w:basedOn w:val="Normal"/>
    <w:next w:val="Text1"/>
    <w:pPr>
      <w:ind w:left="850" w:hanging="850"/>
    </w:pPr>
  </w:style>
  <w:style w:type="paragraph" w:customStyle="1" w:styleId="ManualNumPar3">
    <w:name w:val="Manual NumPar 3"/>
    <w:basedOn w:val="Normal"/>
    <w:next w:val="Text1"/>
    <w:pPr>
      <w:ind w:left="850" w:hanging="850"/>
    </w:pPr>
  </w:style>
  <w:style w:type="paragraph" w:customStyle="1" w:styleId="ManualNumPar4">
    <w:name w:val="Manual NumPar 4"/>
    <w:basedOn w:val="Normal"/>
    <w:next w:val="Text1"/>
    <w:pPr>
      <w:ind w:left="850" w:hanging="850"/>
    </w:pPr>
  </w:style>
  <w:style w:type="paragraph" w:customStyle="1" w:styleId="ManualNumPar5">
    <w:name w:val="Manual NumPar 5"/>
    <w:basedOn w:val="Normal"/>
    <w:next w:val="Text2"/>
    <w:pPr>
      <w:ind w:left="1417" w:hanging="1417"/>
    </w:pPr>
  </w:style>
  <w:style w:type="paragraph" w:customStyle="1" w:styleId="ManualNumPar6">
    <w:name w:val="Manual NumPar 6"/>
    <w:basedOn w:val="Normal"/>
    <w:next w:val="Text2"/>
    <w:pPr>
      <w:ind w:left="1417" w:hanging="1417"/>
    </w:pPr>
  </w:style>
  <w:style w:type="paragraph" w:customStyle="1" w:styleId="ManualNumPar7">
    <w:name w:val="Manual NumPar 7"/>
    <w:basedOn w:val="Normal"/>
    <w:next w:val="Text2"/>
    <w:pPr>
      <w:ind w:left="1417" w:hanging="1417"/>
    </w:pPr>
  </w:style>
  <w:style w:type="paragraph" w:customStyle="1" w:styleId="QuotedNumPar">
    <w:name w:val="Quoted NumPar"/>
    <w:basedOn w:val="Normal"/>
    <w:pPr>
      <w:ind w:left="1417" w:hanging="567"/>
    </w:pPr>
  </w:style>
  <w:style w:type="paragraph" w:customStyle="1" w:styleId="ManualHeading1">
    <w:name w:val="Manual Heading 1"/>
    <w:basedOn w:val="Normal"/>
    <w:next w:val="Text1"/>
    <w:pPr>
      <w:keepNext/>
      <w:tabs>
        <w:tab w:val="left" w:pos="850"/>
      </w:tabs>
      <w:spacing w:before="360"/>
      <w:ind w:left="850" w:hanging="850"/>
      <w:outlineLvl w:val="0"/>
    </w:pPr>
    <w:rPr>
      <w:b/>
      <w:smallCaps/>
    </w:rPr>
  </w:style>
  <w:style w:type="paragraph" w:customStyle="1" w:styleId="ManualHeading2">
    <w:name w:val="Manual Heading 2"/>
    <w:basedOn w:val="Normal"/>
    <w:next w:val="Text1"/>
    <w:pPr>
      <w:keepNext/>
      <w:tabs>
        <w:tab w:val="left" w:pos="850"/>
      </w:tabs>
      <w:ind w:left="850" w:hanging="850"/>
      <w:outlineLvl w:val="1"/>
    </w:pPr>
    <w:rPr>
      <w:b/>
    </w:rPr>
  </w:style>
  <w:style w:type="paragraph" w:customStyle="1" w:styleId="ManualHeading3">
    <w:name w:val="Manual Heading 3"/>
    <w:basedOn w:val="Normal"/>
    <w:next w:val="Text1"/>
    <w:pPr>
      <w:keepNext/>
      <w:tabs>
        <w:tab w:val="left" w:pos="850"/>
      </w:tabs>
      <w:ind w:left="850" w:hanging="850"/>
      <w:outlineLvl w:val="2"/>
    </w:pPr>
    <w:rPr>
      <w:i/>
    </w:rPr>
  </w:style>
  <w:style w:type="paragraph" w:customStyle="1" w:styleId="ManualHeading4">
    <w:name w:val="Manual Heading 4"/>
    <w:basedOn w:val="Normal"/>
    <w:next w:val="Text1"/>
    <w:pPr>
      <w:keepNext/>
      <w:tabs>
        <w:tab w:val="left" w:pos="850"/>
      </w:tabs>
      <w:ind w:left="850" w:hanging="850"/>
      <w:outlineLvl w:val="3"/>
    </w:pPr>
  </w:style>
  <w:style w:type="paragraph" w:customStyle="1" w:styleId="ManualHeading5">
    <w:name w:val="Manual Heading 5"/>
    <w:basedOn w:val="Normal"/>
    <w:next w:val="Text2"/>
    <w:pPr>
      <w:keepNext/>
      <w:tabs>
        <w:tab w:val="left" w:pos="1417"/>
      </w:tabs>
      <w:ind w:left="1417" w:hanging="1417"/>
      <w:outlineLvl w:val="4"/>
    </w:pPr>
  </w:style>
  <w:style w:type="paragraph" w:customStyle="1" w:styleId="ManualHeading6">
    <w:name w:val="Manual Heading 6"/>
    <w:basedOn w:val="Normal"/>
    <w:next w:val="Text2"/>
    <w:pPr>
      <w:keepNext/>
      <w:tabs>
        <w:tab w:val="left" w:pos="1417"/>
      </w:tabs>
      <w:ind w:left="1417" w:hanging="1417"/>
      <w:outlineLvl w:val="5"/>
    </w:pPr>
  </w:style>
  <w:style w:type="paragraph" w:customStyle="1" w:styleId="ManualHeading7">
    <w:name w:val="Manual Heading 7"/>
    <w:basedOn w:val="Normal"/>
    <w:next w:val="Text2"/>
    <w:pPr>
      <w:keepNext/>
      <w:tabs>
        <w:tab w:val="left" w:pos="1417"/>
      </w:tabs>
      <w:ind w:left="1417" w:hanging="1417"/>
      <w:outlineLvl w:val="6"/>
    </w:pPr>
  </w:style>
  <w:style w:type="paragraph" w:customStyle="1" w:styleId="ChapterTitle">
    <w:name w:val="ChapterTitle"/>
    <w:basedOn w:val="Normal"/>
    <w:next w:val="Normal"/>
    <w:pPr>
      <w:keepNext/>
      <w:spacing w:after="360"/>
      <w:jc w:val="center"/>
    </w:pPr>
    <w:rPr>
      <w:b/>
      <w:sz w:val="32"/>
    </w:rPr>
  </w:style>
  <w:style w:type="paragraph" w:customStyle="1" w:styleId="PartTitle">
    <w:name w:val="PartTitle"/>
    <w:basedOn w:val="Normal"/>
    <w:next w:val="ChapterTitle"/>
    <w:pPr>
      <w:keepNext/>
      <w:pageBreakBefore/>
      <w:spacing w:after="360"/>
      <w:jc w:val="center"/>
    </w:pPr>
    <w:rPr>
      <w:b/>
      <w:sz w:val="36"/>
    </w:rPr>
  </w:style>
  <w:style w:type="paragraph" w:customStyle="1" w:styleId="SectionTitle">
    <w:name w:val="SectionTitle"/>
    <w:basedOn w:val="Normal"/>
    <w:next w:val="Heading1"/>
    <w:pPr>
      <w:keepNext/>
      <w:spacing w:after="360"/>
      <w:jc w:val="center"/>
    </w:pPr>
    <w:rPr>
      <w:b/>
      <w:smallCaps/>
      <w:sz w:val="28"/>
    </w:rPr>
  </w:style>
  <w:style w:type="paragraph" w:customStyle="1" w:styleId="TableTitle">
    <w:name w:val="Table Title"/>
    <w:basedOn w:val="Normal"/>
    <w:next w:val="Normal"/>
    <w:pPr>
      <w:jc w:val="center"/>
    </w:pPr>
    <w:rPr>
      <w:b/>
    </w:rPr>
  </w:style>
  <w:style w:type="character" w:customStyle="1" w:styleId="Marker">
    <w:name w:val="Marker"/>
    <w:basedOn w:val="DefaultParagraphFont"/>
    <w:rsid w:val="006A052A"/>
    <w:rPr>
      <w:color w:val="0000FF"/>
      <w:shd w:val="clear" w:color="auto" w:fill="auto"/>
    </w:rPr>
  </w:style>
  <w:style w:type="character" w:customStyle="1" w:styleId="Marker1">
    <w:name w:val="Marker1"/>
    <w:basedOn w:val="DefaultParagraphFont"/>
    <w:rPr>
      <w:color w:val="008000"/>
      <w:shd w:val="clear" w:color="auto" w:fill="auto"/>
    </w:rPr>
  </w:style>
  <w:style w:type="character" w:customStyle="1" w:styleId="Marker2">
    <w:name w:val="Marker2"/>
    <w:basedOn w:val="DefaultParagraphFont"/>
    <w:rPr>
      <w:color w:val="FF0000"/>
      <w:shd w:val="clear" w:color="auto" w:fill="auto"/>
    </w:rPr>
  </w:style>
  <w:style w:type="paragraph" w:customStyle="1" w:styleId="Point0number">
    <w:name w:val="Point 0 (number)"/>
    <w:basedOn w:val="Normal"/>
    <w:pPr>
      <w:numPr>
        <w:numId w:val="14"/>
      </w:numPr>
    </w:pPr>
  </w:style>
  <w:style w:type="paragraph" w:customStyle="1" w:styleId="Point1number">
    <w:name w:val="Point 1 (number)"/>
    <w:basedOn w:val="Normal"/>
    <w:pPr>
      <w:numPr>
        <w:ilvl w:val="2"/>
        <w:numId w:val="14"/>
      </w:numPr>
    </w:pPr>
  </w:style>
  <w:style w:type="paragraph" w:customStyle="1" w:styleId="Point2number">
    <w:name w:val="Point 2 (number)"/>
    <w:basedOn w:val="Normal"/>
    <w:pPr>
      <w:numPr>
        <w:ilvl w:val="4"/>
        <w:numId w:val="14"/>
      </w:numPr>
    </w:pPr>
  </w:style>
  <w:style w:type="paragraph" w:customStyle="1" w:styleId="Point3number">
    <w:name w:val="Point 3 (number)"/>
    <w:basedOn w:val="Normal"/>
    <w:pPr>
      <w:numPr>
        <w:ilvl w:val="6"/>
        <w:numId w:val="14"/>
      </w:numPr>
    </w:pPr>
  </w:style>
  <w:style w:type="paragraph" w:customStyle="1" w:styleId="Point0letter">
    <w:name w:val="Point 0 (letter)"/>
    <w:basedOn w:val="Normal"/>
    <w:pPr>
      <w:numPr>
        <w:ilvl w:val="1"/>
        <w:numId w:val="14"/>
      </w:numPr>
    </w:pPr>
  </w:style>
  <w:style w:type="paragraph" w:customStyle="1" w:styleId="Point1letter">
    <w:name w:val="Point 1 (letter)"/>
    <w:basedOn w:val="Normal"/>
    <w:pPr>
      <w:numPr>
        <w:ilvl w:val="3"/>
        <w:numId w:val="14"/>
      </w:numPr>
    </w:pPr>
  </w:style>
  <w:style w:type="paragraph" w:customStyle="1" w:styleId="Point2letter">
    <w:name w:val="Point 2 (letter)"/>
    <w:basedOn w:val="Normal"/>
    <w:pPr>
      <w:numPr>
        <w:ilvl w:val="5"/>
        <w:numId w:val="14"/>
      </w:numPr>
    </w:pPr>
  </w:style>
  <w:style w:type="paragraph" w:customStyle="1" w:styleId="Point3letter">
    <w:name w:val="Point 3 (letter)"/>
    <w:basedOn w:val="Normal"/>
    <w:pPr>
      <w:numPr>
        <w:ilvl w:val="7"/>
        <w:numId w:val="14"/>
      </w:numPr>
    </w:pPr>
  </w:style>
  <w:style w:type="paragraph" w:customStyle="1" w:styleId="Point4letter">
    <w:name w:val="Point 4 (letter)"/>
    <w:basedOn w:val="Normal"/>
    <w:pPr>
      <w:numPr>
        <w:ilvl w:val="8"/>
        <w:numId w:val="14"/>
      </w:numPr>
    </w:pPr>
  </w:style>
  <w:style w:type="paragraph" w:customStyle="1" w:styleId="Bullet0">
    <w:name w:val="Bullet 0"/>
    <w:basedOn w:val="Normal"/>
    <w:pPr>
      <w:numPr>
        <w:numId w:val="15"/>
      </w:numPr>
    </w:pPr>
  </w:style>
  <w:style w:type="paragraph" w:customStyle="1" w:styleId="Bullet1">
    <w:name w:val="Bullet 1"/>
    <w:basedOn w:val="Normal"/>
    <w:pPr>
      <w:numPr>
        <w:numId w:val="16"/>
      </w:numPr>
    </w:pPr>
  </w:style>
  <w:style w:type="paragraph" w:customStyle="1" w:styleId="Bullet2">
    <w:name w:val="Bullet 2"/>
    <w:basedOn w:val="Normal"/>
    <w:pPr>
      <w:numPr>
        <w:numId w:val="17"/>
      </w:numPr>
    </w:pPr>
  </w:style>
  <w:style w:type="paragraph" w:customStyle="1" w:styleId="Bullet3">
    <w:name w:val="Bullet 3"/>
    <w:basedOn w:val="Normal"/>
    <w:pPr>
      <w:numPr>
        <w:numId w:val="18"/>
      </w:numPr>
    </w:pPr>
  </w:style>
  <w:style w:type="paragraph" w:customStyle="1" w:styleId="Bullet4">
    <w:name w:val="Bullet 4"/>
    <w:basedOn w:val="Normal"/>
    <w:pPr>
      <w:numPr>
        <w:numId w:val="19"/>
      </w:numPr>
    </w:pPr>
  </w:style>
  <w:style w:type="paragraph" w:customStyle="1" w:styleId="Langue">
    <w:name w:val="Langue"/>
    <w:basedOn w:val="Normal"/>
    <w:next w:val="Rfrenceinterne"/>
    <w:pPr>
      <w:framePr w:wrap="around" w:vAnchor="page" w:hAnchor="text" w:xAlign="center" w:y="14741"/>
      <w:spacing w:before="0" w:after="600"/>
      <w:jc w:val="center"/>
    </w:pPr>
    <w:rPr>
      <w:b/>
      <w:caps/>
    </w:rPr>
  </w:style>
  <w:style w:type="paragraph" w:customStyle="1" w:styleId="Nomdelinstitution">
    <w:name w:val="Nom de l'institution"/>
    <w:basedOn w:val="Normal"/>
    <w:next w:val="Emission"/>
    <w:pPr>
      <w:spacing w:before="0" w:after="0"/>
      <w:jc w:val="left"/>
    </w:pPr>
    <w:rPr>
      <w:rFonts w:ascii="Arial" w:hAnsi="Arial" w:cs="Arial"/>
    </w:rPr>
  </w:style>
  <w:style w:type="paragraph" w:customStyle="1" w:styleId="Emission">
    <w:name w:val="Emission"/>
    <w:basedOn w:val="Normal"/>
    <w:next w:val="Rfrenceinstitutionnelle"/>
    <w:pPr>
      <w:spacing w:before="0" w:after="0"/>
      <w:ind w:left="5103"/>
      <w:jc w:val="left"/>
    </w:pPr>
  </w:style>
  <w:style w:type="paragraph" w:customStyle="1" w:styleId="Rfrenceinstitutionnelle">
    <w:name w:val="Référence institutionnelle"/>
    <w:basedOn w:val="Normal"/>
    <w:next w:val="Confidentialit"/>
    <w:pPr>
      <w:spacing w:before="0" w:after="240"/>
      <w:ind w:left="5103"/>
      <w:jc w:val="left"/>
    </w:pPr>
  </w:style>
  <w:style w:type="paragraph" w:customStyle="1" w:styleId="Pagedecouverture">
    <w:name w:val="Page de couverture"/>
    <w:basedOn w:val="Normal"/>
    <w:next w:val="Normal"/>
    <w:pPr>
      <w:spacing w:before="0" w:after="0"/>
    </w:pPr>
  </w:style>
  <w:style w:type="paragraph" w:customStyle="1" w:styleId="Declassification">
    <w:name w:val="Declassification"/>
    <w:basedOn w:val="Normal"/>
    <w:next w:val="Normal"/>
    <w:pPr>
      <w:spacing w:before="0" w:after="0"/>
    </w:pPr>
  </w:style>
  <w:style w:type="paragraph" w:customStyle="1" w:styleId="Disclaimer">
    <w:name w:val="Disclaimer"/>
    <w:basedOn w:val="Normal"/>
    <w:pPr>
      <w:framePr w:w="8220" w:wrap="notBeside" w:hAnchor="margin" w:xAlign="center" w:y="10401"/>
      <w:pBdr>
        <w:top w:val="single" w:sz="6" w:space="4" w:color="auto"/>
        <w:left w:val="single" w:sz="6" w:space="7" w:color="auto"/>
        <w:bottom w:val="single" w:sz="6" w:space="4" w:color="auto"/>
        <w:right w:val="single" w:sz="6" w:space="7" w:color="auto"/>
      </w:pBdr>
      <w:shd w:val="clear" w:color="FFFFFF" w:fill="auto"/>
    </w:pPr>
  </w:style>
  <w:style w:type="paragraph" w:customStyle="1" w:styleId="SecurityMarking">
    <w:name w:val="SecurityMarking"/>
    <w:basedOn w:val="Normal"/>
    <w:pPr>
      <w:spacing w:before="0" w:after="0" w:line="276" w:lineRule="auto"/>
      <w:ind w:left="5103"/>
      <w:jc w:val="left"/>
    </w:pPr>
    <w:rPr>
      <w:sz w:val="28"/>
    </w:rPr>
  </w:style>
  <w:style w:type="paragraph" w:customStyle="1" w:styleId="DateMarking">
    <w:name w:val="DateMarking"/>
    <w:basedOn w:val="Normal"/>
    <w:pPr>
      <w:spacing w:before="0" w:after="0" w:line="276" w:lineRule="auto"/>
      <w:ind w:left="5103"/>
      <w:jc w:val="left"/>
    </w:pPr>
    <w:rPr>
      <w:i/>
      <w:sz w:val="28"/>
    </w:rPr>
  </w:style>
  <w:style w:type="paragraph" w:customStyle="1" w:styleId="ReleasableTo">
    <w:name w:val="ReleasableTo"/>
    <w:basedOn w:val="Normal"/>
    <w:pPr>
      <w:spacing w:before="0" w:after="0" w:line="276" w:lineRule="auto"/>
      <w:ind w:left="5103"/>
      <w:jc w:val="left"/>
    </w:pPr>
    <w:rPr>
      <w:i/>
      <w:sz w:val="28"/>
    </w:rPr>
  </w:style>
  <w:style w:type="paragraph" w:customStyle="1" w:styleId="Annexetitreexpos">
    <w:name w:val="Annexe titre (exposé)"/>
    <w:basedOn w:val="Normal"/>
    <w:next w:val="Normal"/>
    <w:pPr>
      <w:jc w:val="center"/>
    </w:pPr>
    <w:rPr>
      <w:b/>
      <w:u w:val="single"/>
    </w:rPr>
  </w:style>
  <w:style w:type="paragraph" w:customStyle="1" w:styleId="Annexetitre">
    <w:name w:val="Annexe titre"/>
    <w:basedOn w:val="Normal"/>
    <w:next w:val="Normal"/>
    <w:pPr>
      <w:jc w:val="center"/>
    </w:pPr>
    <w:rPr>
      <w:b/>
      <w:u w:val="single"/>
    </w:rPr>
  </w:style>
  <w:style w:type="paragraph" w:customStyle="1" w:styleId="Annexetitrefichefinancire">
    <w:name w:val="Annexe titre (fiche financière)"/>
    <w:basedOn w:val="Normal"/>
    <w:next w:val="Normal"/>
    <w:pPr>
      <w:jc w:val="center"/>
    </w:pPr>
    <w:rPr>
      <w:b/>
      <w:u w:val="single"/>
    </w:rPr>
  </w:style>
  <w:style w:type="paragraph" w:customStyle="1" w:styleId="Applicationdirecte">
    <w:name w:val="Application directe"/>
    <w:basedOn w:val="Normal"/>
    <w:next w:val="Fait"/>
    <w:pPr>
      <w:spacing w:before="480"/>
    </w:pPr>
  </w:style>
  <w:style w:type="paragraph" w:customStyle="1" w:styleId="Avertissementtitre">
    <w:name w:val="Avertissement titre"/>
    <w:basedOn w:val="Normal"/>
    <w:next w:val="Normal"/>
    <w:pPr>
      <w:keepNext/>
      <w:spacing w:before="480"/>
    </w:pPr>
    <w:rPr>
      <w:u w:val="single"/>
    </w:rPr>
  </w:style>
  <w:style w:type="paragraph" w:customStyle="1" w:styleId="Confidence">
    <w:name w:val="Confidence"/>
    <w:basedOn w:val="Normal"/>
    <w:next w:val="Normal"/>
    <w:pPr>
      <w:spacing w:before="360"/>
      <w:jc w:val="center"/>
    </w:pPr>
  </w:style>
  <w:style w:type="paragraph" w:customStyle="1" w:styleId="Confidentialit">
    <w:name w:val="Confidentialité"/>
    <w:basedOn w:val="Normal"/>
    <w:next w:val="TypedudocumentPagedecouverture"/>
    <w:pPr>
      <w:spacing w:before="240" w:after="240"/>
      <w:ind w:left="5103"/>
      <w:jc w:val="left"/>
    </w:pPr>
    <w:rPr>
      <w:i/>
      <w:sz w:val="32"/>
    </w:rPr>
  </w:style>
  <w:style w:type="paragraph" w:customStyle="1" w:styleId="Considrant">
    <w:name w:val="Considérant"/>
    <w:basedOn w:val="Normal"/>
    <w:pPr>
      <w:numPr>
        <w:numId w:val="20"/>
      </w:numPr>
    </w:pPr>
  </w:style>
  <w:style w:type="paragraph" w:customStyle="1" w:styleId="Corrigendum">
    <w:name w:val="Corrigendum"/>
    <w:basedOn w:val="Normal"/>
    <w:next w:val="Normal"/>
    <w:pPr>
      <w:spacing w:before="0" w:after="240"/>
      <w:jc w:val="left"/>
    </w:pPr>
  </w:style>
  <w:style w:type="paragraph" w:customStyle="1" w:styleId="Datedadoption">
    <w:name w:val="Date d'adoption"/>
    <w:basedOn w:val="Normal"/>
    <w:next w:val="Titreobjet"/>
    <w:pPr>
      <w:spacing w:before="360" w:after="0"/>
      <w:jc w:val="center"/>
    </w:pPr>
    <w:rPr>
      <w:b/>
    </w:rPr>
  </w:style>
  <w:style w:type="paragraph" w:customStyle="1" w:styleId="Exposdesmotifstitre">
    <w:name w:val="Exposé des motifs titre"/>
    <w:basedOn w:val="Normal"/>
    <w:next w:val="Normal"/>
    <w:pPr>
      <w:jc w:val="center"/>
    </w:pPr>
    <w:rPr>
      <w:b/>
      <w:u w:val="single"/>
    </w:rPr>
  </w:style>
  <w:style w:type="paragraph" w:customStyle="1" w:styleId="Fait">
    <w:name w:val="Fait à"/>
    <w:basedOn w:val="Normal"/>
    <w:next w:val="Institutionquisigne"/>
    <w:pPr>
      <w:keepNext/>
      <w:spacing w:after="0"/>
    </w:pPr>
  </w:style>
  <w:style w:type="paragraph" w:customStyle="1" w:styleId="Formuledadoption">
    <w:name w:val="Formule d'adoption"/>
    <w:basedOn w:val="Normal"/>
    <w:next w:val="Titrearticle"/>
    <w:pPr>
      <w:keepNext/>
    </w:pPr>
  </w:style>
  <w:style w:type="paragraph" w:customStyle="1" w:styleId="Institutionquiagit">
    <w:name w:val="Institution qui agit"/>
    <w:basedOn w:val="Normal"/>
    <w:next w:val="Normal"/>
    <w:pPr>
      <w:keepNext/>
      <w:spacing w:before="600"/>
    </w:pPr>
  </w:style>
  <w:style w:type="paragraph" w:customStyle="1" w:styleId="Institutionquisigne">
    <w:name w:val="Institution qui signe"/>
    <w:basedOn w:val="Normal"/>
    <w:next w:val="Personnequisigne"/>
    <w:pPr>
      <w:keepNext/>
      <w:tabs>
        <w:tab w:val="left" w:pos="4252"/>
      </w:tabs>
      <w:spacing w:before="720" w:after="0"/>
    </w:pPr>
    <w:rPr>
      <w:i/>
    </w:rPr>
  </w:style>
  <w:style w:type="paragraph" w:customStyle="1" w:styleId="ManualConsidrant">
    <w:name w:val="Manual Considérant"/>
    <w:basedOn w:val="Normal"/>
    <w:pPr>
      <w:ind w:left="709" w:hanging="709"/>
    </w:pPr>
  </w:style>
  <w:style w:type="paragraph" w:customStyle="1" w:styleId="Personnequisigne">
    <w:name w:val="Personne qui signe"/>
    <w:basedOn w:val="Normal"/>
    <w:next w:val="Institutionquisigne"/>
    <w:pPr>
      <w:tabs>
        <w:tab w:val="left" w:pos="4252"/>
      </w:tabs>
      <w:spacing w:before="0" w:after="0"/>
      <w:jc w:val="left"/>
    </w:pPr>
    <w:rPr>
      <w:i/>
    </w:rPr>
  </w:style>
  <w:style w:type="paragraph" w:customStyle="1" w:styleId="Rfrenceinterinstitutionnelle">
    <w:name w:val="Référence interinstitutionnelle"/>
    <w:basedOn w:val="Normal"/>
    <w:next w:val="Statut"/>
    <w:pPr>
      <w:spacing w:before="0" w:after="0"/>
      <w:ind w:left="5103"/>
      <w:jc w:val="left"/>
    </w:pPr>
  </w:style>
  <w:style w:type="paragraph" w:customStyle="1" w:styleId="Rfrenceinterne">
    <w:name w:val="Référence interne"/>
    <w:basedOn w:val="Normal"/>
    <w:next w:val="Rfrenceinterinstitutionnelle"/>
    <w:pPr>
      <w:spacing w:before="0" w:after="0"/>
      <w:ind w:left="5103"/>
      <w:jc w:val="left"/>
    </w:pPr>
  </w:style>
  <w:style w:type="paragraph" w:customStyle="1" w:styleId="Statut">
    <w:name w:val="Statut"/>
    <w:basedOn w:val="Normal"/>
    <w:next w:val="Typedudocument"/>
    <w:pPr>
      <w:spacing w:before="360" w:after="0"/>
      <w:jc w:val="center"/>
    </w:pPr>
  </w:style>
  <w:style w:type="paragraph" w:customStyle="1" w:styleId="Titrearticle">
    <w:name w:val="Titre article"/>
    <w:basedOn w:val="Normal"/>
    <w:next w:val="Normal"/>
    <w:pPr>
      <w:keepNext/>
      <w:spacing w:before="360"/>
      <w:jc w:val="center"/>
    </w:pPr>
    <w:rPr>
      <w:i/>
    </w:rPr>
  </w:style>
  <w:style w:type="paragraph" w:customStyle="1" w:styleId="Titreobjet">
    <w:name w:val="Titre objet"/>
    <w:basedOn w:val="Normal"/>
    <w:next w:val="IntrtEEE"/>
    <w:pPr>
      <w:spacing w:before="360" w:after="360"/>
      <w:jc w:val="center"/>
    </w:pPr>
    <w:rPr>
      <w:b/>
    </w:rPr>
  </w:style>
  <w:style w:type="paragraph" w:customStyle="1" w:styleId="Typedudocument">
    <w:name w:val="Type du document"/>
    <w:basedOn w:val="Normal"/>
    <w:next w:val="Titreobjet"/>
    <w:pPr>
      <w:spacing w:before="360" w:after="0"/>
      <w:jc w:val="center"/>
    </w:pPr>
    <w:rPr>
      <w:b/>
    </w:rPr>
  </w:style>
  <w:style w:type="character" w:customStyle="1" w:styleId="Added">
    <w:name w:val="Added"/>
    <w:basedOn w:val="DefaultParagraphFont"/>
    <w:rPr>
      <w:b/>
      <w:u w:val="single"/>
      <w:shd w:val="clear" w:color="auto" w:fill="auto"/>
    </w:rPr>
  </w:style>
  <w:style w:type="character" w:customStyle="1" w:styleId="Deleted">
    <w:name w:val="Deleted"/>
    <w:basedOn w:val="DefaultParagraphFont"/>
    <w:rPr>
      <w:strike/>
      <w:dstrike w:val="0"/>
      <w:shd w:val="clear" w:color="auto" w:fill="auto"/>
    </w:rPr>
  </w:style>
  <w:style w:type="paragraph" w:customStyle="1" w:styleId="Address">
    <w:name w:val="Address"/>
    <w:basedOn w:val="Normal"/>
    <w:next w:val="Normal"/>
    <w:pPr>
      <w:keepLines/>
      <w:spacing w:line="360" w:lineRule="auto"/>
      <w:ind w:left="3402"/>
      <w:jc w:val="left"/>
    </w:pPr>
  </w:style>
  <w:style w:type="paragraph" w:customStyle="1" w:styleId="Objetexterne">
    <w:name w:val="Objet externe"/>
    <w:basedOn w:val="Normal"/>
    <w:next w:val="Normal"/>
    <w:rPr>
      <w:i/>
      <w:caps/>
    </w:rPr>
  </w:style>
  <w:style w:type="paragraph" w:customStyle="1" w:styleId="Supertitre">
    <w:name w:val="Supertitre"/>
    <w:basedOn w:val="Normal"/>
    <w:next w:val="Normal"/>
    <w:pPr>
      <w:spacing w:before="0" w:after="600"/>
      <w:jc w:val="center"/>
    </w:pPr>
    <w:rPr>
      <w:b/>
    </w:rPr>
  </w:style>
  <w:style w:type="paragraph" w:customStyle="1" w:styleId="Languesfaisantfoi">
    <w:name w:val="Langues faisant foi"/>
    <w:basedOn w:val="Normal"/>
    <w:next w:val="Normal"/>
    <w:pPr>
      <w:spacing w:before="360" w:after="0"/>
      <w:jc w:val="center"/>
    </w:pPr>
  </w:style>
  <w:style w:type="paragraph" w:customStyle="1" w:styleId="Rfrencecroise">
    <w:name w:val="Référence croisée"/>
    <w:basedOn w:val="Normal"/>
    <w:pPr>
      <w:spacing w:before="0" w:after="0"/>
      <w:jc w:val="center"/>
    </w:pPr>
  </w:style>
  <w:style w:type="paragraph" w:customStyle="1" w:styleId="Fichefinanciretitre">
    <w:name w:val="Fiche financière titre"/>
    <w:basedOn w:val="Normal"/>
    <w:next w:val="Normal"/>
    <w:pPr>
      <w:jc w:val="center"/>
    </w:pPr>
    <w:rPr>
      <w:b/>
      <w:u w:val="single"/>
    </w:rPr>
  </w:style>
  <w:style w:type="paragraph" w:customStyle="1" w:styleId="DatedadoptionPagedecouverture">
    <w:name w:val="Date d'adoption (Page de couverture)"/>
    <w:basedOn w:val="Datedadoption"/>
    <w:next w:val="TitreobjetPagedecouverture"/>
  </w:style>
  <w:style w:type="paragraph" w:customStyle="1" w:styleId="RfrenceinterinstitutionnellePagedecouverture">
    <w:name w:val="Référence interinstitutionnelle (Page de couverture)"/>
    <w:basedOn w:val="Rfrenceinterinstitutionnelle"/>
    <w:next w:val="Confidentialit"/>
  </w:style>
  <w:style w:type="paragraph" w:customStyle="1" w:styleId="StatutPagedecouverture">
    <w:name w:val="Statut (Page de couverture)"/>
    <w:basedOn w:val="Statut"/>
    <w:next w:val="TypedudocumentPagedecouverture"/>
  </w:style>
  <w:style w:type="paragraph" w:customStyle="1" w:styleId="TitreobjetPagedecouverture">
    <w:name w:val="Titre objet (Page de couverture)"/>
    <w:basedOn w:val="Titreobjet"/>
    <w:next w:val="IntrtEEEPagedecouverture"/>
  </w:style>
  <w:style w:type="paragraph" w:customStyle="1" w:styleId="TypedudocumentPagedecouverture">
    <w:name w:val="Type du document (Page de couverture)"/>
    <w:basedOn w:val="Typedudocument"/>
    <w:next w:val="TitreobjetPagedecouverture"/>
  </w:style>
  <w:style w:type="paragraph" w:customStyle="1" w:styleId="Volume">
    <w:name w:val="Volume"/>
    <w:basedOn w:val="Normal"/>
    <w:next w:val="Confidentialit"/>
    <w:pPr>
      <w:spacing w:before="0" w:after="240"/>
      <w:ind w:left="5103"/>
      <w:jc w:val="left"/>
    </w:pPr>
  </w:style>
  <w:style w:type="paragraph" w:customStyle="1" w:styleId="IntrtEEE">
    <w:name w:val="Intérêt EEE"/>
    <w:basedOn w:val="Languesfaisantfoi"/>
    <w:next w:val="Normal"/>
    <w:pPr>
      <w:spacing w:after="240"/>
    </w:pPr>
  </w:style>
  <w:style w:type="paragraph" w:customStyle="1" w:styleId="Accompagnant">
    <w:name w:val="Accompagnant"/>
    <w:basedOn w:val="Normal"/>
    <w:next w:val="Typeacteprincipal"/>
    <w:pPr>
      <w:spacing w:before="0" w:after="240"/>
      <w:jc w:val="center"/>
    </w:pPr>
    <w:rPr>
      <w:b/>
      <w:i/>
    </w:rPr>
  </w:style>
  <w:style w:type="paragraph" w:customStyle="1" w:styleId="Typeacteprincipal">
    <w:name w:val="Type acte principal"/>
    <w:basedOn w:val="Normal"/>
    <w:next w:val="Objetacteprincipal"/>
    <w:pPr>
      <w:spacing w:before="0" w:after="240"/>
      <w:jc w:val="center"/>
    </w:pPr>
    <w:rPr>
      <w:b/>
    </w:rPr>
  </w:style>
  <w:style w:type="paragraph" w:customStyle="1" w:styleId="Objetacteprincipal">
    <w:name w:val="Objet acte principal"/>
    <w:basedOn w:val="Normal"/>
    <w:next w:val="Titrearticle"/>
    <w:pPr>
      <w:spacing w:before="0" w:after="360"/>
      <w:jc w:val="center"/>
    </w:pPr>
    <w:rPr>
      <w:b/>
    </w:rPr>
  </w:style>
  <w:style w:type="paragraph" w:customStyle="1" w:styleId="IntrtEEEPagedecouverture">
    <w:name w:val="Intérêt EEE (Page de couverture)"/>
    <w:basedOn w:val="IntrtEEE"/>
    <w:next w:val="Rfrencecroise"/>
  </w:style>
  <w:style w:type="paragraph" w:customStyle="1" w:styleId="AccompagnantPagedecouverture">
    <w:name w:val="Accompagnant (Page de couverture)"/>
    <w:basedOn w:val="Accompagnant"/>
    <w:next w:val="TypeacteprincipalPagedecouverture"/>
  </w:style>
  <w:style w:type="paragraph" w:customStyle="1" w:styleId="TypeacteprincipalPagedecouverture">
    <w:name w:val="Type acte principal (Page de couverture)"/>
    <w:basedOn w:val="Typeacteprincipal"/>
    <w:next w:val="ObjetacteprincipalPagedecouverture"/>
  </w:style>
  <w:style w:type="paragraph" w:customStyle="1" w:styleId="ObjetacteprincipalPagedecouverture">
    <w:name w:val="Objet acte principal (Page de couverture)"/>
    <w:basedOn w:val="Objetacteprincipal"/>
    <w:next w:val="Rfrencecroise"/>
  </w:style>
  <w:style w:type="paragraph" w:customStyle="1" w:styleId="LanguesfaisantfoiPagedecouverture">
    <w:name w:val="Langues faisant foi (Page de couverture)"/>
    <w:basedOn w:val="Normal"/>
    <w:next w:val="Normal"/>
    <w:pPr>
      <w:spacing w:before="360" w:after="0"/>
      <w:jc w:val="cente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49031735">
      <w:bodyDiv w:val="1"/>
      <w:marLeft w:val="0"/>
      <w:marRight w:val="0"/>
      <w:marTop w:val="0"/>
      <w:marBottom w:val="0"/>
      <w:divBdr>
        <w:top w:val="none" w:sz="0" w:space="0" w:color="auto"/>
        <w:left w:val="none" w:sz="0" w:space="0" w:color="auto"/>
        <w:bottom w:val="none" w:sz="0" w:space="0" w:color="auto"/>
        <w:right w:val="none" w:sz="0" w:space="0" w:color="auto"/>
      </w:divBdr>
    </w:div>
    <w:div w:id="936792906">
      <w:bodyDiv w:val="1"/>
      <w:marLeft w:val="0"/>
      <w:marRight w:val="0"/>
      <w:marTop w:val="0"/>
      <w:marBottom w:val="0"/>
      <w:divBdr>
        <w:top w:val="none" w:sz="0" w:space="0" w:color="auto"/>
        <w:left w:val="none" w:sz="0" w:space="0" w:color="auto"/>
        <w:bottom w:val="none" w:sz="0" w:space="0" w:color="auto"/>
        <w:right w:val="none" w:sz="0" w:space="0" w:color="auto"/>
      </w:divBdr>
    </w:div>
    <w:div w:id="1003775370">
      <w:bodyDiv w:val="1"/>
      <w:marLeft w:val="0"/>
      <w:marRight w:val="0"/>
      <w:marTop w:val="0"/>
      <w:marBottom w:val="0"/>
      <w:divBdr>
        <w:top w:val="none" w:sz="0" w:space="0" w:color="auto"/>
        <w:left w:val="none" w:sz="0" w:space="0" w:color="auto"/>
        <w:bottom w:val="none" w:sz="0" w:space="0" w:color="auto"/>
        <w:right w:val="none" w:sz="0" w:space="0" w:color="auto"/>
      </w:divBdr>
    </w:div>
    <w:div w:id="1481580947">
      <w:bodyDiv w:val="1"/>
      <w:marLeft w:val="0"/>
      <w:marRight w:val="0"/>
      <w:marTop w:val="0"/>
      <w:marBottom w:val="0"/>
      <w:divBdr>
        <w:top w:val="none" w:sz="0" w:space="0" w:color="auto"/>
        <w:left w:val="none" w:sz="0" w:space="0" w:color="auto"/>
        <w:bottom w:val="none" w:sz="0" w:space="0" w:color="auto"/>
        <w:right w:val="none" w:sz="0" w:space="0" w:color="auto"/>
      </w:divBdr>
    </w:div>
    <w:div w:id="2137873961">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3.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_rels/footnotes.xml.rels><?xml version="1.0" encoding="UTF-8" standalone="yes"?>
<Relationships xmlns="http://schemas.openxmlformats.org/package/2006/relationships"><Relationship Id="rId3" Type="http://schemas.openxmlformats.org/officeDocument/2006/relationships/hyperlink" Target="http://data.europa.eu/eli/reg/2016/1139/2020-12-01" TargetMode="External"/><Relationship Id="rId2" Type="http://schemas.openxmlformats.org/officeDocument/2006/relationships/hyperlink" Target="http://data.europa.eu/eli/reg/2013/1380/2023-01-01" TargetMode="External"/><Relationship Id="rId1" Type="http://schemas.openxmlformats.org/officeDocument/2006/relationships/hyperlink" Target="http://www.ices.dk/advice/Pages/Latest-Advice.aspx" TargetMode="External"/><Relationship Id="rId5" Type="http://schemas.openxmlformats.org/officeDocument/2006/relationships/hyperlink" Target="http://data.europa.eu/eli/reg/2019/472/2019-08-14" TargetMode="External"/><Relationship Id="rId4" Type="http://schemas.openxmlformats.org/officeDocument/2006/relationships/hyperlink" Target="http://data.europa.eu/eli/reg/2018/973/2019-08-14"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Public\Documents\Templates\COM.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622915C-9274-4655-8661-1EA2ED9A562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COM.dotm</Template>
  <TotalTime>20</TotalTime>
  <Pages>9</Pages>
  <Words>2323</Words>
  <Characters>12661</Characters>
  <Application>Microsoft Office Word</Application>
  <DocSecurity>0</DocSecurity>
  <Lines>222</Lines>
  <Paragraphs>93</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14891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EC CoDe</cp:lastModifiedBy>
  <cp:revision>45</cp:revision>
  <dcterms:created xsi:type="dcterms:W3CDTF">2023-12-05T14:22:00Z</dcterms:created>
  <dcterms:modified xsi:type="dcterms:W3CDTF">2023-12-06T15:15:00Z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ategory">
    <vt:lpwstr>COM/PL/ORG</vt:lpwstr>
  </property>
  <property fmtid="{D5CDD505-2E9C-101B-9397-08002B2CF9AE}" pid="3" name="Version">
    <vt:lpwstr>8.0.25.0</vt:lpwstr>
  </property>
  <property fmtid="{D5CDD505-2E9C-101B-9397-08002B2CF9AE}" pid="4" name="Last edited using">
    <vt:lpwstr>LW 9.0, Build 20230317</vt:lpwstr>
  </property>
  <property fmtid="{D5CDD505-2E9C-101B-9397-08002B2CF9AE}" pid="5" name="MSIP_Label_6bd9ddd1-4d20-43f6-abfa-fc3c07406f94_Enabled">
    <vt:lpwstr>true</vt:lpwstr>
  </property>
  <property fmtid="{D5CDD505-2E9C-101B-9397-08002B2CF9AE}" pid="6" name="MSIP_Label_6bd9ddd1-4d20-43f6-abfa-fc3c07406f94_SetDate">
    <vt:lpwstr>2023-10-06T14:58:36Z</vt:lpwstr>
  </property>
  <property fmtid="{D5CDD505-2E9C-101B-9397-08002B2CF9AE}" pid="7" name="MSIP_Label_6bd9ddd1-4d20-43f6-abfa-fc3c07406f94_Method">
    <vt:lpwstr>Standard</vt:lpwstr>
  </property>
  <property fmtid="{D5CDD505-2E9C-101B-9397-08002B2CF9AE}" pid="8" name="MSIP_Label_6bd9ddd1-4d20-43f6-abfa-fc3c07406f94_Name">
    <vt:lpwstr>Commission Use</vt:lpwstr>
  </property>
  <property fmtid="{D5CDD505-2E9C-101B-9397-08002B2CF9AE}" pid="9" name="MSIP_Label_6bd9ddd1-4d20-43f6-abfa-fc3c07406f94_SiteId">
    <vt:lpwstr>b24c8b06-522c-46fe-9080-70926f8dddb1</vt:lpwstr>
  </property>
  <property fmtid="{D5CDD505-2E9C-101B-9397-08002B2CF9AE}" pid="10" name="MSIP_Label_6bd9ddd1-4d20-43f6-abfa-fc3c07406f94_ActionId">
    <vt:lpwstr>61bcb986-16c0-4d5d-b757-ba7d8e2db481</vt:lpwstr>
  </property>
  <property fmtid="{D5CDD505-2E9C-101B-9397-08002B2CF9AE}" pid="11" name="MSIP_Label_6bd9ddd1-4d20-43f6-abfa-fc3c07406f94_ContentBits">
    <vt:lpwstr>0</vt:lpwstr>
  </property>
  <property fmtid="{D5CDD505-2E9C-101B-9397-08002B2CF9AE}" pid="12" name="Created using">
    <vt:lpwstr>LW 9.0, Build 20230317</vt:lpwstr>
  </property>
  <property fmtid="{D5CDD505-2E9C-101B-9397-08002B2CF9AE}" pid="13" name="Part">
    <vt:lpwstr>1</vt:lpwstr>
  </property>
  <property fmtid="{D5CDD505-2E9C-101B-9397-08002B2CF9AE}" pid="14" name="Total parts">
    <vt:lpwstr>1</vt:lpwstr>
  </property>
  <property fmtid="{D5CDD505-2E9C-101B-9397-08002B2CF9AE}" pid="15" name="Level of sensitivity">
    <vt:lpwstr>Standard treatment</vt:lpwstr>
  </property>
  <property fmtid="{D5CDD505-2E9C-101B-9397-08002B2CF9AE}" pid="16" name="LWTemplateID">
    <vt:lpwstr>SJ-023</vt:lpwstr>
  </property>
  <property fmtid="{D5CDD505-2E9C-101B-9397-08002B2CF9AE}" pid="17" name="DQCStatus">
    <vt:lpwstr>Green (DQC version 03)</vt:lpwstr>
  </property>
</Properties>
</file>